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2.xml" ContentType="application/vnd.openxmlformats-officedocument.wordprocessingml.header+xml"/>
  <Override PartName="/word/footer14.xml" ContentType="application/vnd.openxmlformats-officedocument.wordprocessingml.footer+xml"/>
  <Override PartName="/word/header3.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7"/>
        <w:rPr>
          <w:rFonts w:ascii="Times New Roman"/>
          <w:sz w:val="25"/>
        </w:rPr>
      </w:pPr>
    </w:p>
    <w:p>
      <w:pPr>
        <w:spacing w:line="271" w:lineRule="auto" w:before="32"/>
        <w:ind w:left="2818" w:right="2503" w:hanging="77"/>
        <w:jc w:val="left"/>
        <w:rPr>
          <w:rFonts w:ascii="Cambria" w:hAnsi="Cambria"/>
          <w:sz w:val="44"/>
        </w:rPr>
      </w:pPr>
      <w:r>
        <w:rPr>
          <w:rFonts w:ascii="Cambria" w:hAnsi="Cambria"/>
          <w:color w:val="231F20"/>
          <w:w w:val="90"/>
          <w:sz w:val="44"/>
        </w:rPr>
        <w:t>Contribución de la producción animal </w:t>
      </w:r>
      <w:r>
        <w:rPr>
          <w:rFonts w:ascii="Cambria" w:hAnsi="Cambria"/>
          <w:color w:val="231F20"/>
          <w:w w:val="95"/>
          <w:sz w:val="44"/>
        </w:rPr>
        <w:t>en</w:t>
      </w:r>
      <w:r>
        <w:rPr>
          <w:rFonts w:ascii="Cambria" w:hAnsi="Cambria"/>
          <w:color w:val="231F20"/>
          <w:spacing w:val="-64"/>
          <w:w w:val="95"/>
          <w:sz w:val="44"/>
        </w:rPr>
        <w:t> </w:t>
      </w:r>
      <w:r>
        <w:rPr>
          <w:rFonts w:ascii="Cambria" w:hAnsi="Cambria"/>
          <w:color w:val="231F20"/>
          <w:w w:val="95"/>
          <w:sz w:val="44"/>
        </w:rPr>
        <w:t>pequeña</w:t>
      </w:r>
      <w:r>
        <w:rPr>
          <w:rFonts w:ascii="Cambria" w:hAnsi="Cambria"/>
          <w:color w:val="231F20"/>
          <w:spacing w:val="-64"/>
          <w:w w:val="95"/>
          <w:sz w:val="44"/>
        </w:rPr>
        <w:t> </w:t>
      </w:r>
      <w:r>
        <w:rPr>
          <w:rFonts w:ascii="Cambria" w:hAnsi="Cambria"/>
          <w:color w:val="231F20"/>
          <w:w w:val="95"/>
          <w:sz w:val="44"/>
        </w:rPr>
        <w:t>escala</w:t>
      </w:r>
      <w:r>
        <w:rPr>
          <w:rFonts w:ascii="Cambria" w:hAnsi="Cambria"/>
          <w:color w:val="231F20"/>
          <w:spacing w:val="-64"/>
          <w:w w:val="95"/>
          <w:sz w:val="44"/>
        </w:rPr>
        <w:t> </w:t>
      </w:r>
      <w:r>
        <w:rPr>
          <w:rFonts w:ascii="Cambria" w:hAnsi="Cambria"/>
          <w:color w:val="231F20"/>
          <w:w w:val="95"/>
          <w:sz w:val="44"/>
        </w:rPr>
        <w:t>al</w:t>
      </w:r>
      <w:r>
        <w:rPr>
          <w:rFonts w:ascii="Cambria" w:hAnsi="Cambria"/>
          <w:color w:val="231F20"/>
          <w:spacing w:val="-64"/>
          <w:w w:val="95"/>
          <w:sz w:val="44"/>
        </w:rPr>
        <w:t> </w:t>
      </w:r>
      <w:r>
        <w:rPr>
          <w:rFonts w:ascii="Cambria" w:hAnsi="Cambria"/>
          <w:color w:val="231F20"/>
          <w:w w:val="95"/>
          <w:sz w:val="44"/>
        </w:rPr>
        <w:t>desarrollo</w:t>
      </w:r>
      <w:r>
        <w:rPr>
          <w:rFonts w:ascii="Cambria" w:hAnsi="Cambria"/>
          <w:color w:val="231F20"/>
          <w:spacing w:val="-64"/>
          <w:w w:val="95"/>
          <w:sz w:val="44"/>
        </w:rPr>
        <w:t> </w:t>
      </w:r>
      <w:r>
        <w:rPr>
          <w:rFonts w:ascii="Cambria" w:hAnsi="Cambria"/>
          <w:color w:val="231F20"/>
          <w:w w:val="95"/>
          <w:sz w:val="44"/>
        </w:rPr>
        <w:t>rural</w:t>
      </w:r>
    </w:p>
    <w:p>
      <w:pPr>
        <w:spacing w:after="0" w:line="271" w:lineRule="auto"/>
        <w:jc w:val="left"/>
        <w:rPr>
          <w:rFonts w:ascii="Cambria" w:hAnsi="Cambria"/>
          <w:sz w:val="44"/>
        </w:rPr>
        <w:sectPr>
          <w:headerReference w:type="default" r:id="rId5"/>
          <w:footerReference w:type="default" r:id="rId6"/>
          <w:type w:val="continuous"/>
          <w:pgSz w:w="11900" w:h="14450"/>
          <w:pgMar w:header="0" w:footer="222" w:top="420" w:bottom="420" w:left="0" w:right="0"/>
        </w:sectPr>
      </w:pPr>
    </w:p>
    <w:p>
      <w:pPr>
        <w:pStyle w:val="BodyText"/>
        <w:spacing w:before="4"/>
        <w:rPr>
          <w:rFonts w:ascii="Times New Roman"/>
          <w:sz w:val="17"/>
        </w:rPr>
      </w:pPr>
    </w:p>
    <w:p>
      <w:pPr>
        <w:spacing w:after="0"/>
        <w:rPr>
          <w:rFonts w:ascii="Times New Roman"/>
          <w:sz w:val="17"/>
        </w:rPr>
        <w:sectPr>
          <w:footerReference w:type="default" r:id="rId7"/>
          <w:pgSz w:w="11900" w:h="14450"/>
          <w:pgMar w:footer="222" w:header="0"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3"/>
        <w:rPr>
          <w:rFonts w:ascii="Times New Roman"/>
          <w:sz w:val="19"/>
        </w:rPr>
      </w:pPr>
    </w:p>
    <w:p>
      <w:pPr>
        <w:spacing w:line="307" w:lineRule="auto" w:before="27"/>
        <w:ind w:left="2516" w:right="2503" w:hanging="94"/>
        <w:jc w:val="left"/>
        <w:rPr>
          <w:rFonts w:ascii="Cambria" w:hAnsi="Cambria"/>
          <w:sz w:val="48"/>
        </w:rPr>
      </w:pPr>
      <w:r>
        <w:rPr>
          <w:rFonts w:ascii="Cambria" w:hAnsi="Cambria"/>
          <w:color w:val="231F20"/>
          <w:w w:val="90"/>
          <w:sz w:val="48"/>
        </w:rPr>
        <w:t>Contribución de la producción animal </w:t>
      </w:r>
      <w:r>
        <w:rPr>
          <w:rFonts w:ascii="Cambria" w:hAnsi="Cambria"/>
          <w:color w:val="231F20"/>
          <w:w w:val="95"/>
          <w:sz w:val="48"/>
        </w:rPr>
        <w:t>en</w:t>
      </w:r>
      <w:r>
        <w:rPr>
          <w:rFonts w:ascii="Cambria" w:hAnsi="Cambria"/>
          <w:color w:val="231F20"/>
          <w:spacing w:val="-69"/>
          <w:w w:val="95"/>
          <w:sz w:val="48"/>
        </w:rPr>
        <w:t> </w:t>
      </w:r>
      <w:r>
        <w:rPr>
          <w:rFonts w:ascii="Cambria" w:hAnsi="Cambria"/>
          <w:color w:val="231F20"/>
          <w:w w:val="95"/>
          <w:sz w:val="48"/>
        </w:rPr>
        <w:t>pequeña</w:t>
      </w:r>
      <w:r>
        <w:rPr>
          <w:rFonts w:ascii="Cambria" w:hAnsi="Cambria"/>
          <w:color w:val="231F20"/>
          <w:spacing w:val="-69"/>
          <w:w w:val="95"/>
          <w:sz w:val="48"/>
        </w:rPr>
        <w:t> </w:t>
      </w:r>
      <w:r>
        <w:rPr>
          <w:rFonts w:ascii="Cambria" w:hAnsi="Cambria"/>
          <w:color w:val="231F20"/>
          <w:w w:val="95"/>
          <w:sz w:val="48"/>
        </w:rPr>
        <w:t>escala</w:t>
      </w:r>
      <w:r>
        <w:rPr>
          <w:rFonts w:ascii="Cambria" w:hAnsi="Cambria"/>
          <w:color w:val="231F20"/>
          <w:spacing w:val="-69"/>
          <w:w w:val="95"/>
          <w:sz w:val="48"/>
        </w:rPr>
        <w:t> </w:t>
      </w:r>
      <w:r>
        <w:rPr>
          <w:rFonts w:ascii="Cambria" w:hAnsi="Cambria"/>
          <w:color w:val="231F20"/>
          <w:w w:val="95"/>
          <w:sz w:val="48"/>
        </w:rPr>
        <w:t>al</w:t>
      </w:r>
      <w:r>
        <w:rPr>
          <w:rFonts w:ascii="Cambria" w:hAnsi="Cambria"/>
          <w:color w:val="231F20"/>
          <w:spacing w:val="-69"/>
          <w:w w:val="95"/>
          <w:sz w:val="48"/>
        </w:rPr>
        <w:t> </w:t>
      </w:r>
      <w:r>
        <w:rPr>
          <w:rFonts w:ascii="Cambria" w:hAnsi="Cambria"/>
          <w:color w:val="231F20"/>
          <w:w w:val="95"/>
          <w:sz w:val="48"/>
        </w:rPr>
        <w:t>desarrollo</w:t>
      </w:r>
      <w:r>
        <w:rPr>
          <w:rFonts w:ascii="Cambria" w:hAnsi="Cambria"/>
          <w:color w:val="231F20"/>
          <w:spacing w:val="-69"/>
          <w:w w:val="95"/>
          <w:sz w:val="48"/>
        </w:rPr>
        <w:t> </w:t>
      </w:r>
      <w:r>
        <w:rPr>
          <w:rFonts w:ascii="Cambria" w:hAnsi="Cambria"/>
          <w:color w:val="231F20"/>
          <w:w w:val="95"/>
          <w:sz w:val="48"/>
        </w:rPr>
        <w:t>rural</w:t>
      </w:r>
    </w:p>
    <w:p>
      <w:pPr>
        <w:pStyle w:val="BodyText"/>
        <w:rPr>
          <w:rFonts w:ascii="Cambria"/>
        </w:rPr>
      </w:pPr>
    </w:p>
    <w:p>
      <w:pPr>
        <w:pStyle w:val="BodyText"/>
        <w:rPr>
          <w:rFonts w:ascii="Cambria"/>
        </w:rPr>
      </w:pPr>
    </w:p>
    <w:p>
      <w:pPr>
        <w:pStyle w:val="BodyText"/>
        <w:spacing w:before="9"/>
        <w:rPr>
          <w:rFonts w:ascii="Cambria"/>
          <w:sz w:val="28"/>
        </w:rPr>
      </w:pPr>
    </w:p>
    <w:p>
      <w:pPr>
        <w:spacing w:before="57"/>
        <w:ind w:left="3936" w:right="3946" w:firstLine="0"/>
        <w:jc w:val="center"/>
        <w:rPr>
          <w:rFonts w:ascii="Cambria"/>
          <w:sz w:val="28"/>
        </w:rPr>
      </w:pPr>
      <w:r>
        <w:rPr/>
        <w:pict>
          <v:shape style="position:absolute;margin-left:176.571854pt;margin-top:21.632446pt;width:240.95pt;height:.1pt;mso-position-horizontal-relative:page;mso-position-vertical-relative:paragraph;z-index:0;mso-wrap-distance-left:0;mso-wrap-distance-right:0" coordorigin="3531,433" coordsize="4819,0" path="m3531,433l6317,433,7748,433,8275,433,8350,433e" filled="false" stroked="true" strokeweight="1pt" strokecolor="#000000">
            <v:path arrowok="t"/>
            <w10:wrap type="topAndBottom"/>
          </v:shape>
        </w:pict>
      </w:r>
      <w:r>
        <w:rPr>
          <w:rFonts w:ascii="Cambria"/>
          <w:sz w:val="28"/>
        </w:rPr>
        <w:t>Compiladores</w:t>
      </w:r>
    </w:p>
    <w:p>
      <w:pPr>
        <w:spacing w:line="300" w:lineRule="auto" w:before="163"/>
        <w:ind w:left="3913" w:right="3946" w:firstLine="0"/>
        <w:jc w:val="center"/>
        <w:rPr>
          <w:rFonts w:ascii="Cambria" w:hAnsi="Cambria"/>
          <w:sz w:val="32"/>
        </w:rPr>
      </w:pPr>
      <w:r>
        <w:rPr>
          <w:rFonts w:ascii="Cambria" w:hAnsi="Cambria"/>
          <w:color w:val="231F20"/>
          <w:w w:val="90"/>
          <w:sz w:val="32"/>
        </w:rPr>
        <w:t>Carlos Manuel Arriaga Jordán </w:t>
      </w:r>
      <w:r>
        <w:rPr>
          <w:rFonts w:ascii="Cambria" w:hAnsi="Cambria"/>
          <w:color w:val="231F20"/>
          <w:w w:val="95"/>
          <w:sz w:val="32"/>
        </w:rPr>
        <w:t>Juan Pablo Anaya Ortega</w:t>
      </w: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2"/>
        <w:rPr>
          <w:rFonts w:ascii="Cambria"/>
          <w:sz w:val="11"/>
        </w:rPr>
      </w:pPr>
      <w:r>
        <w:rPr/>
        <w:pict>
          <v:group style="position:absolute;margin-left:264.83725pt;margin-top:8.503295pt;width:65.75pt;height:58.35pt;mso-position-horizontal-relative:page;mso-position-vertical-relative:paragraph;z-index:1048;mso-wrap-distance-left:0;mso-wrap-distance-right:0" coordorigin="5297,170" coordsize="1315,1167">
            <v:shape style="position:absolute;left:5385;top:199;width:1139;height:886" type="#_x0000_t75" stroked="false">
              <v:imagedata r:id="rId8" o:title=""/>
            </v:shape>
            <v:shape style="position:absolute;left:5901;top:531;width:112;height:105" type="#_x0000_t75" stroked="false">
              <v:imagedata r:id="rId9" o:title=""/>
            </v:shape>
            <v:shape style="position:absolute;left:5752;top:491;width:424;height:276" coordorigin="5752,491" coordsize="424,276" path="m5901,597l5900,595,5902,594,5901,597xm5900,598l5901,597,5901,598,5900,598xm5775,633l5765,633,5771,630,5790,626,5809,622,5827,617,5846,613,5900,598,5900,599,5908,599,5905,603,5876,611,5861,615,5826,622,5806,627,5786,631,5775,633xm5908,599l5900,599,5908,599,5908,599xm5795,682l5790,682,5792,679,5809,670,5826,661,5843,653,5860,644,5877,635,5885,632,5892,625,5901,624,5901,626,5900,630,5894,631,5891,634,5851,653,5837,661,5806,676,5795,682xm5757,638l5752,637,5757,633,5765,633,5775,633,5765,635,5761,637,5757,638xm5887,733l5884,730,5888,727,5888,724,5898,704,5908,684,5917,664,5928,645,5930,645,5930,645,5931,647,5930,652,5925,656,5924,662,5920,666,5921,673,5917,677,5910,691,5902,705,5895,719,5887,733xm5813,749l5812,748,5811,747,5812,745,5827,729,5841,714,5898,651,5901,651,5901,655,5887,671,5872,687,5858,703,5843,718,5828,733,5813,749xm5787,688l5784,686,5784,681,5790,682,5795,682,5792,684,5788,684,5787,688xm5791,684l5788,684,5792,684,5791,684xm6175,663l6159,659,6144,654,6128,649,6113,644,6093,637,6054,623,6034,616,6014,610,6012,609,6008,606,6012,604,6023,606,6033,610,6044,614,6055,617,6068,622,6081,628,6095,633,6108,637,6124,642,6140,647,6172,659,6173,660,6174,660,6175,663xm6117,707l6116,707,6105,702,6097,696,6089,689,6080,683,6065,672,6050,661,6020,640,6005,628,6006,627,6004,625,6006,625,6014,626,6018,632,6024,636,6041,647,6057,658,6072,669,6088,681,6103,693,6118,706,6118,707,6117,707xm6085,767l6078,766,6076,757,6071,752,6058,735,6046,718,6034,701,6023,684,6000,649,6000,648,6000,647,6001,647,6007,647,6009,654,6012,658,6037,693,6049,711,6061,728,6073,746,6085,764,6085,767xm5999,716l5997,716,5991,703,5986,690,5982,677,5978,663,5977,658,5972,651,5974,645,5978,644,5979,649,5980,651,5985,667,5995,699,5999,715,5999,716xm5950,691l5947,688,5949,675,5948,661,5948,648,5951,636,5954,635,5955,637,5956,638,5955,652,5954,665,5953,678,5950,691xm6128,604l6115,602,6103,600,6090,599,6074,596,6058,594,6043,591,6027,588,6026,587,6026,585,6026,584,6032,583,6038,584,6043,585,6062,589,6082,592,6140,601,6140,603,6128,604xm5889,585l5828,585,5808,584,5787,583,5767,582,5767,581,5767,581,5766,581,5768,578,5788,579,5809,580,5891,580,5893,582,5894,582,5893,584,5889,585xm5891,580l5829,580,5871,580,5891,580,5891,580xm5974,534l5972,534,5973,531,5973,530,5978,518,5986,507,5990,495,5991,493,5993,491,5995,492,5994,503,5987,511,5983,521,5979,525,5979,532,5974,534xm5986,552l5985,551,5984,550,5986,543,5993,540,5997,534,6005,526,6012,518,6019,511,6027,504,6029,506,6019,518,6009,529,5998,541,5987,552,5986,552xm6012,555l6008,552,6015,550,6016,547,6028,541,6039,535,6051,528,6062,522,6065,522,6066,524,6063,525,6061,528,6049,535,6037,543,6024,550,6012,555xm6055,564l6037,564,6042,562,6058,558,6089,551,6105,548,6106,550,6106,552,6103,552,6102,553,6083,558,6065,562,6055,564xm6106,552l6103,552,6106,552,6106,552xm6029,569l6028,568,6027,568,6027,566,6031,562,6037,564,6055,564,6047,566,6029,569xm5906,553l5891,543,5877,532,5864,520,5851,509,5851,507,5853,507,5855,507,5868,517,5881,528,5894,539,5907,550,5907,552,5906,552,5906,553xm5888,565l5878,563,5869,559,5859,554,5850,550,5845,548,5840,545,5833,544,5827,540,5818,539,5812,535,5812,534,5812,533,5813,532,5832,538,5851,546,5869,553,5888,561,5888,562,5890,563,5888,565xm5941,532l5940,532,5938,531,5921,497,5920,491,5926,496,5926,499,5933,508,5940,519,5943,531,5941,532xe" filled="true" fillcolor="#231f20" stroked="false">
              <v:path arrowok="t"/>
              <v:fill type="solid"/>
            </v:shape>
            <v:shape style="position:absolute;left:5721;top:920;width:466;height:140" type="#_x0000_t75" stroked="false">
              <v:imagedata r:id="rId10" o:title=""/>
            </v:shape>
            <v:shape style="position:absolute;left:5605;top:430;width:352;height:301" type="#_x0000_t75" stroked="false">
              <v:imagedata r:id="rId11" o:title=""/>
            </v:shape>
            <v:shape style="position:absolute;left:5991;top:435;width:302;height:282" type="#_x0000_t75" stroked="false">
              <v:imagedata r:id="rId12" o:title=""/>
            </v:shape>
            <v:shape style="position:absolute;left:5297;top:170;width:1315;height:1166" type="#_x0000_t75" stroked="false">
              <v:imagedata r:id="rId13" o:title=""/>
            </v:shape>
            <w10:wrap type="topAndBottom"/>
          </v:group>
        </w:pict>
      </w:r>
    </w:p>
    <w:p>
      <w:pPr>
        <w:pStyle w:val="BodyText"/>
        <w:spacing w:before="1"/>
        <w:rPr>
          <w:rFonts w:ascii="Cambria"/>
          <w:sz w:val="7"/>
        </w:rPr>
      </w:pPr>
    </w:p>
    <w:p>
      <w:pPr>
        <w:spacing w:before="108"/>
        <w:ind w:left="4842" w:right="4902" w:firstLine="0"/>
        <w:jc w:val="center"/>
        <w:rPr>
          <w:b/>
          <w:sz w:val="22"/>
        </w:rPr>
      </w:pPr>
      <w:r>
        <w:rPr>
          <w:b/>
          <w:sz w:val="22"/>
        </w:rPr>
        <w:t>Universidad Autónoma del Estado de México</w:t>
      </w:r>
    </w:p>
    <w:p>
      <w:pPr>
        <w:pStyle w:val="BodyText"/>
        <w:rPr>
          <w:b/>
        </w:rPr>
      </w:pPr>
    </w:p>
    <w:p>
      <w:pPr>
        <w:pStyle w:val="BodyText"/>
        <w:rPr>
          <w:b/>
          <w:sz w:val="23"/>
        </w:rPr>
      </w:pPr>
      <w:r>
        <w:rPr/>
        <w:pict>
          <v:group style="position:absolute;margin-left:268.011383pt;margin-top:16.034502pt;width:58.6pt;height:58.6pt;mso-position-horizontal-relative:page;mso-position-vertical-relative:paragraph;z-index:1072;mso-wrap-distance-left:0;mso-wrap-distance-right:0" coordorigin="5360,321" coordsize="1172,1172">
            <v:shape style="position:absolute;left:5360;top:321;width:1172;height:1172" coordorigin="5360,321" coordsize="1172,1172" path="m5946,321l5859,327,5777,345,5699,375,5627,415,5562,464,5504,522,5455,588,5415,660,5385,737,5367,820,5360,907,5362,950,5374,1035,5399,1115,5433,1190,5478,1259,5532,1321,5593,1374,5662,1419,5737,1454,5818,1478,5902,1491,5946,1492,5990,1491,6074,1478,6155,1454,6230,1419,6299,1374,6360,1321,6414,1259,6459,1190,6494,1115,6518,1035,6530,950,6532,907,6530,863,6518,778,6494,698,6459,623,6414,554,6360,492,6299,439,6230,394,6155,359,6074,335,5990,322,5946,321xe" filled="true" fillcolor="#231f20" stroked="false">
              <v:path arrowok="t"/>
              <v:fill type="solid"/>
            </v:shape>
            <v:line style="position:absolute" from="5558,504" to="5558,1309" stroked="true" strokeweight="1.399461pt" strokecolor="#ffffff"/>
            <v:line style="position:absolute" from="5596,504" to="5596,1309" stroked="true" strokeweight="1.400052pt" strokecolor="#ffffff"/>
            <v:line style="position:absolute" from="6334,504" to="6334,1309" stroked="true" strokeweight="1.395918pt" strokecolor="#ffffff"/>
            <v:line style="position:absolute" from="6296,504" to="6296,1309" stroked="true" strokeweight="1.400052pt" strokecolor="#ffffff"/>
            <v:shape style="position:absolute;left:6360;top:543;width:138;height:728" coordorigin="6360,543" coordsize="138,728" path="m6360,543l6360,567,6387,603,6411,641,6449,723,6473,812,6482,907,6480,954,6463,1046,6432,1132,6387,1210,6360,1246,6360,1270,6412,1201,6453,1125,6481,1041,6496,952,6497,907,6496,861,6481,772,6453,689,6412,612,6387,576,6360,543xe" filled="true" fillcolor="#ffffff" stroked="false">
              <v:path arrowok="t"/>
              <v:fill type="solid"/>
            </v:shape>
            <v:shape style="position:absolute;left:5582;top:355;width:728;height:138" coordorigin="5582,355" coordsize="728,138" path="m5946,355l5900,357,5855,363,5811,372,5769,384,5728,400,5689,419,5651,441,5616,465,5582,493,5607,493,5642,465,5681,441,5721,421,5763,403,5806,389,5852,379,5898,373,5946,371,6077,371,6037,363,5992,357,5946,355xm6077,371l5946,371,5994,373,6040,379,6086,389,6129,403,6171,421,6212,441,6250,465,6286,493,6310,493,6276,465,6241,441,6203,419,6164,400,6123,384,6081,372,6077,371xe" filled="true" fillcolor="#ffffff" stroked="false">
              <v:path arrowok="t"/>
              <v:fill type="solid"/>
            </v:shape>
            <v:shape style="position:absolute;left:5395;top:543;width:138;height:728" coordorigin="5395,543" coordsize="138,728" path="m5532,543l5480,612,5440,689,5411,772,5397,861,5395,907,5397,952,5411,1041,5440,1124,5480,1201,5532,1270,5532,1246,5505,1210,5481,1172,5443,1090,5419,1001,5410,907,5413,859,5429,767,5460,681,5505,603,5532,567,5532,543xe" filled="true" fillcolor="#ffffff" stroked="false">
              <v:path arrowok="t"/>
              <v:fill type="solid"/>
            </v:shape>
            <v:shape style="position:absolute;left:5582;top:1321;width:728;height:138" coordorigin="5582,1321" coordsize="728,138" path="m5607,1321l5582,1321,5616,1348,5651,1372,5689,1394,5728,1413,5769,1429,5811,1441,5855,1450,5900,1456,5946,1458,5992,1456,6037,1450,6077,1442,5946,1442,5898,1440,5852,1434,5806,1424,5763,1410,5721,1392,5681,1372,5642,1348,5607,1321xm6310,1321l6286,1321,6250,1348,6212,1372,6171,1392,6129,1410,6086,1424,6040,1434,5994,1440,5946,1442,6077,1442,6081,1441,6123,1429,6164,1413,6203,1394,6241,1372,6276,1348,6310,1321xe" filled="true" fillcolor="#ffffff" stroked="false">
              <v:path arrowok="t"/>
              <v:fill type="solid"/>
            </v:shape>
            <v:rect style="position:absolute;left:5620;top:504;width:315;height:805" filled="true" fillcolor="#ffffff" stroked="false">
              <v:fill type="solid"/>
            </v:rect>
            <v:rect style="position:absolute;left:5949;top:504;width:324;height:805" filled="true" fillcolor="#ffffff" stroked="false">
              <v:fill type="solid"/>
            </v:rect>
            <v:shape style="position:absolute;left:6007;top:670;width:227;height:454" coordorigin="6007,670" coordsize="227,454" path="m6096,670l6067,670,6043,670,6007,671,6007,1123,6092,1123,6092,925,6209,925,6207,921,6181,905,6141,898,6141,897,6180,885,6196,870,6092,870,6092,723,6098,723,6217,723,6212,714,6187,691,6148,675,6096,670xm6209,925l6092,925,6115,928,6131,937,6140,952,6144,976,6145,988,6145,1008,6150,1123,6234,1123,6233,1105,6231,1064,6229,1017,6228,985,6221,947,6209,925xm6217,723l6098,723,6118,727,6134,738,6144,759,6148,789,6145,824,6135,849,6117,865,6092,870,6196,870,6208,858,6226,822,6231,780,6227,745,6217,723xe" filled="true" fillcolor="#231f20" stroked="false">
              <v:path arrowok="t"/>
              <v:fill type="solid"/>
            </v:shape>
            <v:shape style="position:absolute;left:5682;top:671;width:211;height:452" coordorigin="5682,671" coordsize="211,452" path="m5893,671l5682,671,5682,1123,5885,1123,5885,1067,5770,1067,5770,921,5871,921,5871,865,5770,865,5770,728,5869,728,5893,671xe" filled="true" fillcolor="#231f20" stroked="false">
              <v:path arrowok="t"/>
              <v:fill type="solid"/>
            </v:shape>
            <w10:wrap type="topAndBottom"/>
          </v:group>
        </w:pict>
      </w:r>
      <w:r>
        <w:rPr/>
        <w:pict>
          <v:group style="position:absolute;margin-left:267.136261pt;margin-top:85.512497pt;width:62.6pt;height:10pt;mso-position-horizontal-relative:page;mso-position-vertical-relative:paragraph;z-index:1096;mso-wrap-distance-left:0;mso-wrap-distance-right:0" coordorigin="5343,1710" coordsize="1252,200">
            <v:shape style="position:absolute;left:5343;top:1725;width:92;height:172" coordorigin="5343,1725" coordsize="92,172" path="m5434,1725l5343,1725,5343,1896,5435,1896,5435,1873,5370,1873,5370,1820,5426,1820,5426,1797,5370,1797,5370,1748,5426,1748,5434,1725xe" filled="true" fillcolor="#231f20" stroked="false">
              <v:path arrowok="t"/>
              <v:fill type="solid"/>
            </v:shape>
            <v:shape style="position:absolute;left:5479;top:1725;width:142;height:172" type="#_x0000_t75" stroked="false">
              <v:imagedata r:id="rId14" o:title=""/>
            </v:shape>
            <v:shape style="position:absolute;left:5662;top:1711;width:381;height:199" type="#_x0000_t75" stroked="false">
              <v:imagedata r:id="rId15" o:title=""/>
            </v:shape>
            <v:shape style="position:absolute;left:6085;top:1725;width:122;height:172" type="#_x0000_t75" stroked="false">
              <v:imagedata r:id="rId16" o:title=""/>
            </v:shape>
            <v:shape style="position:absolute;left:6242;top:1711;width:216;height:199" type="#_x0000_t75" stroked="false">
              <v:imagedata r:id="rId17" o:title=""/>
            </v:shape>
            <v:line style="position:absolute" from="6492,1884" to="6582,1884" stroked="true" strokeweight="1.2pt" strokecolor="#231f20"/>
            <v:line style="position:absolute" from="6506,1724" to="6506,1872" stroked="true" strokeweight="1.353994pt" strokecolor="#231f20"/>
            <w10:wrap type="topAndBottom"/>
          </v:group>
        </w:pict>
      </w:r>
    </w:p>
    <w:p>
      <w:pPr>
        <w:pStyle w:val="BodyText"/>
        <w:spacing w:before="3"/>
        <w:rPr>
          <w:b/>
          <w:sz w:val="12"/>
        </w:rPr>
      </w:pPr>
    </w:p>
    <w:p>
      <w:pPr>
        <w:pStyle w:val="BodyText"/>
        <w:spacing w:before="1"/>
        <w:rPr>
          <w:b/>
          <w:sz w:val="4"/>
        </w:rPr>
      </w:pPr>
    </w:p>
    <w:p>
      <w:pPr>
        <w:pStyle w:val="BodyText"/>
        <w:spacing w:line="220" w:lineRule="exact"/>
        <w:ind w:left="5460"/>
      </w:pPr>
      <w:r>
        <w:rPr>
          <w:position w:val="-3"/>
        </w:rPr>
        <w:pict>
          <v:group style="width:49.4pt;height:11.05pt;mso-position-horizontal-relative:char;mso-position-vertical-relative:line" coordorigin="0,0" coordsize="988,221">
            <v:shape style="position:absolute;left:0;top:48;width:122;height:172" type="#_x0000_t75" stroked="false">
              <v:imagedata r:id="rId18" o:title=""/>
            </v:shape>
            <v:shape style="position:absolute;left:157;top:48;width:272;height:173" type="#_x0000_t75" stroked="false">
              <v:imagedata r:id="rId19" o:title=""/>
            </v:shape>
            <v:shape style="position:absolute;left:463;top:48;width:92;height:172" coordorigin="463,48" coordsize="92,172" path="m555,48l463,48,463,220,555,220,555,196,490,196,490,143,546,143,546,120,490,120,490,71,546,71,555,48xe" filled="true" fillcolor="#231f20" stroked="false">
              <v:path arrowok="t"/>
              <v:fill type="solid"/>
            </v:shape>
            <v:shape style="position:absolute;left:599;top:48;width:264;height:172" type="#_x0000_t75" stroked="false">
              <v:imagedata r:id="rId20" o:title=""/>
            </v:shape>
            <v:shape style="position:absolute;left:895;top:0;width:92;height:220" coordorigin="895,0" coordsize="92,220" path="m977,0l944,0,922,38,944,38,977,0xm987,48l895,48,895,220,987,220,987,196,923,196,923,143,978,143,978,120,923,120,923,71,979,71,987,48xe" filled="true" fillcolor="#231f20" stroked="false">
              <v:path arrowok="t"/>
              <v:fill type="solid"/>
            </v:shape>
          </v:group>
        </w:pict>
      </w:r>
      <w:r>
        <w:rPr>
          <w:position w:val="-3"/>
        </w:rPr>
      </w:r>
    </w:p>
    <w:p>
      <w:pPr>
        <w:pStyle w:val="BodyText"/>
        <w:spacing w:before="10"/>
        <w:rPr>
          <w:b/>
          <w:sz w:val="21"/>
        </w:rPr>
      </w:pPr>
    </w:p>
    <w:p>
      <w:pPr>
        <w:spacing w:before="56"/>
        <w:ind w:left="3195" w:right="2503" w:firstLine="0"/>
        <w:jc w:val="left"/>
        <w:rPr>
          <w:sz w:val="26"/>
        </w:rPr>
      </w:pPr>
      <w:r>
        <w:rPr>
          <w:color w:val="231F20"/>
          <w:sz w:val="26"/>
        </w:rPr>
        <w:t>Barcelona · Bogotá · Buenos Aires · Caracas · México</w:t>
      </w:r>
    </w:p>
    <w:p>
      <w:pPr>
        <w:spacing w:after="0"/>
        <w:jc w:val="left"/>
        <w:rPr>
          <w:sz w:val="26"/>
        </w:rPr>
        <w:sectPr>
          <w:pgSz w:w="11900" w:h="14450"/>
          <w:pgMar w:header="0" w:footer="222"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pPr>
    </w:p>
    <w:p>
      <w:pPr>
        <w:pStyle w:val="BodyText"/>
        <w:spacing w:line="229" w:lineRule="exact" w:before="75"/>
        <w:ind w:left="1567" w:right="2503"/>
        <w:rPr>
          <w:rFonts w:ascii="Arial" w:hAnsi="Arial"/>
        </w:rPr>
      </w:pPr>
      <w:r>
        <w:rPr>
          <w:rFonts w:ascii="Arial" w:hAnsi="Arial"/>
        </w:rPr>
        <w:t>Derechos reservados © 2014, Universidad Autónoma del Estado de México</w:t>
      </w:r>
    </w:p>
    <w:p>
      <w:pPr>
        <w:spacing w:line="206" w:lineRule="exact" w:before="0"/>
        <w:ind w:left="1565" w:right="2503" w:firstLine="0"/>
        <w:jc w:val="left"/>
        <w:rPr>
          <w:rFonts w:ascii="Times New Roman" w:hAnsi="Times New Roman"/>
          <w:sz w:val="18"/>
        </w:rPr>
      </w:pPr>
      <w:r>
        <w:rPr>
          <w:rFonts w:ascii="Times New Roman" w:hAnsi="Times New Roman"/>
          <w:sz w:val="18"/>
        </w:rPr>
        <w:t>Avenida Instituto Literario número 100 Oriente</w:t>
      </w:r>
    </w:p>
    <w:p>
      <w:pPr>
        <w:spacing w:before="0"/>
        <w:ind w:left="1565" w:right="8185" w:firstLine="0"/>
        <w:jc w:val="left"/>
        <w:rPr>
          <w:rFonts w:ascii="Times New Roman" w:hAnsi="Times New Roman"/>
          <w:sz w:val="18"/>
        </w:rPr>
      </w:pPr>
      <w:r>
        <w:rPr>
          <w:rFonts w:ascii="Times New Roman" w:hAnsi="Times New Roman"/>
          <w:sz w:val="18"/>
        </w:rPr>
        <w:t>C. P. 50000, Toluca de Lerdo Estado de México – México</w:t>
      </w:r>
    </w:p>
    <w:p>
      <w:pPr>
        <w:pStyle w:val="BodyText"/>
        <w:rPr>
          <w:rFonts w:ascii="Times New Roman"/>
        </w:rPr>
      </w:pPr>
    </w:p>
    <w:p>
      <w:pPr>
        <w:pStyle w:val="BodyText"/>
        <w:rPr>
          <w:rFonts w:ascii="Times New Roman"/>
        </w:rPr>
      </w:pPr>
    </w:p>
    <w:p>
      <w:pPr>
        <w:spacing w:before="194"/>
        <w:ind w:left="1567" w:right="2503" w:firstLine="0"/>
        <w:jc w:val="left"/>
        <w:rPr>
          <w:rFonts w:ascii="Times New Roman" w:hAnsi="Times New Roman"/>
          <w:i/>
          <w:sz w:val="22"/>
        </w:rPr>
      </w:pPr>
      <w:r>
        <w:rPr>
          <w:rFonts w:ascii="Times New Roman" w:hAnsi="Times New Roman"/>
          <w:i/>
          <w:sz w:val="22"/>
        </w:rPr>
        <w:t>Esta edición:</w:t>
      </w:r>
    </w:p>
    <w:p>
      <w:pPr>
        <w:pStyle w:val="BodyText"/>
        <w:spacing w:line="302" w:lineRule="auto" w:before="58"/>
        <w:ind w:left="1566" w:right="6985" w:hanging="1"/>
        <w:rPr>
          <w:rFonts w:ascii="Times New Roman" w:hAnsi="Times New Roman"/>
        </w:rPr>
      </w:pPr>
      <w:r>
        <w:rPr>
          <w:rFonts w:ascii="Times New Roman" w:hAnsi="Times New Roman"/>
        </w:rPr>
        <w:t>© Reverté Ediciones, México D. F., 2014 ISBN: 978-607-7815-15-0</w:t>
      </w:r>
    </w:p>
    <w:p>
      <w:pPr>
        <w:pStyle w:val="BodyText"/>
        <w:spacing w:before="5"/>
        <w:rPr>
          <w:rFonts w:ascii="Times New Roman"/>
          <w:sz w:val="12"/>
        </w:rPr>
      </w:pPr>
    </w:p>
    <w:p>
      <w:pPr>
        <w:pStyle w:val="BodyText"/>
        <w:spacing w:line="302" w:lineRule="auto" w:before="74"/>
        <w:ind w:left="1567" w:right="7328"/>
        <w:rPr>
          <w:rFonts w:ascii="Times New Roman" w:hAnsi="Times New Roman"/>
        </w:rPr>
      </w:pPr>
      <w:r>
        <w:rPr>
          <w:rFonts w:ascii="Times New Roman" w:hAnsi="Times New Roman"/>
        </w:rPr>
        <w:t>© Editorial Reverté, Barcelona, 2014 ISBN: 978-84-291-7972-9</w:t>
      </w:r>
    </w:p>
    <w:p>
      <w:pPr>
        <w:pStyle w:val="BodyText"/>
        <w:spacing w:before="10"/>
        <w:rPr>
          <w:rFonts w:ascii="Times New Roman"/>
          <w:sz w:val="18"/>
        </w:rPr>
      </w:pPr>
    </w:p>
    <w:p>
      <w:pPr>
        <w:spacing w:before="0"/>
        <w:ind w:left="1567" w:right="5986" w:firstLine="0"/>
        <w:jc w:val="left"/>
        <w:rPr>
          <w:rFonts w:ascii="Times New Roman" w:hAnsi="Times New Roman"/>
          <w:sz w:val="18"/>
        </w:rPr>
      </w:pPr>
      <w:r>
        <w:rPr>
          <w:rFonts w:ascii="Times New Roman" w:hAnsi="Times New Roman"/>
          <w:sz w:val="18"/>
        </w:rPr>
        <w:t>D</w:t>
      </w:r>
      <w:r>
        <w:rPr>
          <w:rFonts w:ascii="Times New Roman" w:hAnsi="Times New Roman"/>
          <w:sz w:val="14"/>
        </w:rPr>
        <w:t>ISEÑO DE LA CUBIERTA</w:t>
      </w:r>
      <w:r>
        <w:rPr>
          <w:rFonts w:ascii="Times New Roman" w:hAnsi="Times New Roman"/>
          <w:sz w:val="18"/>
        </w:rPr>
        <w:t>: David Kimura + Gabriela Varela D</w:t>
      </w:r>
      <w:r>
        <w:rPr>
          <w:rFonts w:ascii="Times New Roman" w:hAnsi="Times New Roman"/>
          <w:sz w:val="14"/>
        </w:rPr>
        <w:t>ISEÑO Y FORMACIÓN DE INTERIORES</w:t>
      </w:r>
      <w:r>
        <w:rPr>
          <w:rFonts w:ascii="Times New Roman" w:hAnsi="Times New Roman"/>
          <w:sz w:val="18"/>
        </w:rPr>
        <w:t>: Reverté-Aguilar, S. L.</w:t>
      </w:r>
    </w:p>
    <w:p>
      <w:pPr>
        <w:spacing w:before="0"/>
        <w:ind w:left="1567" w:right="2503" w:firstLine="0"/>
        <w:jc w:val="left"/>
        <w:rPr>
          <w:rFonts w:ascii="Times New Roman" w:hAnsi="Times New Roman"/>
          <w:sz w:val="18"/>
        </w:rPr>
      </w:pPr>
      <w:r>
        <w:rPr>
          <w:rFonts w:ascii="Times New Roman" w:hAnsi="Times New Roman"/>
          <w:sz w:val="18"/>
        </w:rPr>
        <w:t>C</w:t>
      </w:r>
      <w:r>
        <w:rPr>
          <w:rFonts w:ascii="Times New Roman" w:hAnsi="Times New Roman"/>
          <w:sz w:val="14"/>
        </w:rPr>
        <w:t>ORRECCIÓN DE TEXTOS</w:t>
      </w:r>
      <w:r>
        <w:rPr>
          <w:rFonts w:ascii="Times New Roman" w:hAnsi="Times New Roman"/>
          <w:sz w:val="18"/>
        </w:rPr>
        <w:t>: Carmen Company Cera</w:t>
      </w:r>
    </w:p>
    <w:p>
      <w:pPr>
        <w:pStyle w:val="BodyText"/>
        <w:rPr>
          <w:rFonts w:ascii="Times New Roman"/>
          <w:sz w:val="18"/>
        </w:rPr>
      </w:pPr>
    </w:p>
    <w:p>
      <w:pPr>
        <w:pStyle w:val="BodyText"/>
        <w:rPr>
          <w:rFonts w:ascii="Times New Roman"/>
          <w:sz w:val="18"/>
        </w:rPr>
      </w:pPr>
    </w:p>
    <w:p>
      <w:pPr>
        <w:spacing w:before="141"/>
        <w:ind w:left="1567" w:right="2503" w:firstLine="0"/>
        <w:jc w:val="left"/>
        <w:rPr>
          <w:rFonts w:ascii="Times New Roman"/>
          <w:b/>
          <w:i/>
          <w:sz w:val="22"/>
        </w:rPr>
      </w:pPr>
      <w:r>
        <w:rPr>
          <w:rFonts w:ascii="Times New Roman"/>
          <w:b/>
          <w:i/>
          <w:sz w:val="22"/>
        </w:rPr>
        <w:t>Propiedad de:</w:t>
      </w:r>
    </w:p>
    <w:p>
      <w:pPr>
        <w:tabs>
          <w:tab w:pos="5643" w:val="left" w:leader="none"/>
        </w:tabs>
        <w:spacing w:before="61"/>
        <w:ind w:left="1567" w:right="2503" w:firstLine="0"/>
        <w:jc w:val="left"/>
        <w:rPr>
          <w:rFonts w:ascii="Times New Roman" w:hAnsi="Times New Roman"/>
          <w:b/>
          <w:sz w:val="20"/>
        </w:rPr>
      </w:pPr>
      <w:r>
        <w:rPr>
          <w:rFonts w:ascii="Times New Roman" w:hAnsi="Times New Roman"/>
          <w:b/>
          <w:sz w:val="20"/>
        </w:rPr>
        <w:t>R</w:t>
      </w:r>
      <w:r>
        <w:rPr>
          <w:rFonts w:ascii="Times New Roman" w:hAnsi="Times New Roman"/>
          <w:b/>
          <w:sz w:val="16"/>
        </w:rPr>
        <w:t>EVERTÉ</w:t>
      </w:r>
      <w:r>
        <w:rPr>
          <w:rFonts w:ascii="Times New Roman" w:hAnsi="Times New Roman"/>
          <w:b/>
          <w:spacing w:val="-2"/>
          <w:sz w:val="16"/>
        </w:rPr>
        <w:t> </w:t>
      </w:r>
      <w:r>
        <w:rPr>
          <w:rFonts w:ascii="Times New Roman" w:hAnsi="Times New Roman"/>
          <w:b/>
          <w:sz w:val="20"/>
        </w:rPr>
        <w:t>E</w:t>
      </w:r>
      <w:r>
        <w:rPr>
          <w:rFonts w:ascii="Times New Roman" w:hAnsi="Times New Roman"/>
          <w:b/>
          <w:sz w:val="16"/>
        </w:rPr>
        <w:t>DICIONES</w:t>
      </w:r>
      <w:r>
        <w:rPr>
          <w:rFonts w:ascii="Times New Roman" w:hAnsi="Times New Roman"/>
          <w:b/>
          <w:sz w:val="20"/>
        </w:rPr>
        <w:t>,</w:t>
      </w:r>
      <w:r>
        <w:rPr>
          <w:rFonts w:ascii="Times New Roman" w:hAnsi="Times New Roman"/>
          <w:b/>
          <w:spacing w:val="-12"/>
          <w:sz w:val="20"/>
        </w:rPr>
        <w:t> </w:t>
      </w:r>
      <w:r>
        <w:rPr>
          <w:rFonts w:ascii="Times New Roman" w:hAnsi="Times New Roman"/>
          <w:b/>
          <w:sz w:val="20"/>
        </w:rPr>
        <w:t>S.</w:t>
      </w:r>
      <w:r>
        <w:rPr>
          <w:rFonts w:ascii="Times New Roman" w:hAnsi="Times New Roman"/>
          <w:b/>
          <w:spacing w:val="-12"/>
          <w:sz w:val="20"/>
        </w:rPr>
        <w:t> </w:t>
      </w:r>
      <w:r>
        <w:rPr>
          <w:rFonts w:ascii="Times New Roman" w:hAnsi="Times New Roman"/>
          <w:b/>
          <w:sz w:val="20"/>
        </w:rPr>
        <w:t>A.</w:t>
      </w:r>
      <w:r>
        <w:rPr>
          <w:rFonts w:ascii="Times New Roman" w:hAnsi="Times New Roman"/>
          <w:b/>
          <w:spacing w:val="-12"/>
          <w:sz w:val="20"/>
        </w:rPr>
        <w:t> </w:t>
      </w:r>
      <w:r>
        <w:rPr>
          <w:rFonts w:ascii="Times New Roman" w:hAnsi="Times New Roman"/>
          <w:b/>
          <w:sz w:val="16"/>
        </w:rPr>
        <w:t>DE</w:t>
      </w:r>
      <w:r>
        <w:rPr>
          <w:rFonts w:ascii="Times New Roman" w:hAnsi="Times New Roman"/>
          <w:b/>
          <w:spacing w:val="-2"/>
          <w:sz w:val="16"/>
        </w:rPr>
        <w:t> </w:t>
      </w:r>
      <w:r>
        <w:rPr>
          <w:rFonts w:ascii="Times New Roman" w:hAnsi="Times New Roman"/>
          <w:b/>
          <w:sz w:val="20"/>
        </w:rPr>
        <w:t>C.</w:t>
      </w:r>
      <w:r>
        <w:rPr>
          <w:rFonts w:ascii="Times New Roman" w:hAnsi="Times New Roman"/>
          <w:b/>
          <w:spacing w:val="-12"/>
          <w:sz w:val="20"/>
        </w:rPr>
        <w:t> </w:t>
      </w:r>
      <w:r>
        <w:rPr>
          <w:rFonts w:ascii="Times New Roman" w:hAnsi="Times New Roman"/>
          <w:b/>
          <w:sz w:val="20"/>
        </w:rPr>
        <w:t>V.</w:t>
        <w:tab/>
        <w:t>E</w:t>
      </w:r>
      <w:r>
        <w:rPr>
          <w:rFonts w:ascii="Times New Roman" w:hAnsi="Times New Roman"/>
          <w:b/>
          <w:sz w:val="16"/>
        </w:rPr>
        <w:t>DITORIAL </w:t>
      </w:r>
      <w:r>
        <w:rPr>
          <w:rFonts w:ascii="Times New Roman" w:hAnsi="Times New Roman"/>
          <w:b/>
          <w:sz w:val="20"/>
        </w:rPr>
        <w:t>R</w:t>
      </w:r>
      <w:r>
        <w:rPr>
          <w:rFonts w:ascii="Times New Roman" w:hAnsi="Times New Roman"/>
          <w:b/>
          <w:sz w:val="16"/>
        </w:rPr>
        <w:t>EVERTÉ</w:t>
      </w:r>
      <w:r>
        <w:rPr>
          <w:rFonts w:ascii="Times New Roman" w:hAnsi="Times New Roman"/>
          <w:b/>
          <w:sz w:val="20"/>
        </w:rPr>
        <w:t>, S.</w:t>
      </w:r>
      <w:r>
        <w:rPr>
          <w:rFonts w:ascii="Times New Roman" w:hAnsi="Times New Roman"/>
          <w:b/>
          <w:spacing w:val="-25"/>
          <w:sz w:val="20"/>
        </w:rPr>
        <w:t> </w:t>
      </w:r>
      <w:r>
        <w:rPr>
          <w:rFonts w:ascii="Times New Roman" w:hAnsi="Times New Roman"/>
          <w:b/>
          <w:sz w:val="20"/>
        </w:rPr>
        <w:t>A.</w:t>
      </w:r>
    </w:p>
    <w:p>
      <w:pPr>
        <w:spacing w:after="0"/>
        <w:jc w:val="left"/>
        <w:rPr>
          <w:rFonts w:ascii="Times New Roman" w:hAnsi="Times New Roman"/>
          <w:sz w:val="20"/>
        </w:rPr>
        <w:sectPr>
          <w:pgSz w:w="11900" w:h="14450"/>
          <w:pgMar w:header="0" w:footer="222" w:top="420" w:bottom="420" w:left="0" w:right="0"/>
        </w:sectPr>
      </w:pPr>
    </w:p>
    <w:p>
      <w:pPr>
        <w:spacing w:before="19"/>
        <w:ind w:left="1567" w:right="-19" w:firstLine="0"/>
        <w:jc w:val="left"/>
        <w:rPr>
          <w:rFonts w:ascii="Times New Roman" w:hAnsi="Times New Roman"/>
          <w:sz w:val="18"/>
        </w:rPr>
      </w:pPr>
      <w:r>
        <w:rPr>
          <w:rFonts w:ascii="Times New Roman" w:hAnsi="Times New Roman"/>
          <w:sz w:val="18"/>
        </w:rPr>
        <w:t>Río Pánuco, número 141. Col. Cuauhtémoc Delegación Cuauhtémoc</w:t>
      </w:r>
    </w:p>
    <w:p>
      <w:pPr>
        <w:pStyle w:val="ListParagraph"/>
        <w:numPr>
          <w:ilvl w:val="0"/>
          <w:numId w:val="1"/>
        </w:numPr>
        <w:tabs>
          <w:tab w:pos="1778" w:val="left" w:leader="none"/>
        </w:tabs>
        <w:spacing w:line="240" w:lineRule="auto" w:before="0" w:after="0"/>
        <w:ind w:left="1567" w:right="1282" w:firstLine="0"/>
        <w:jc w:val="left"/>
        <w:rPr>
          <w:rFonts w:ascii="Times New Roman" w:hAnsi="Times New Roman"/>
          <w:sz w:val="18"/>
        </w:rPr>
      </w:pPr>
      <w:r>
        <w:rPr>
          <w:rFonts w:ascii="Times New Roman" w:hAnsi="Times New Roman"/>
          <w:sz w:val="18"/>
        </w:rPr>
        <w:t>P. 06500 México, D.F. T: +(52) 55</w:t>
      </w:r>
      <w:r>
        <w:rPr>
          <w:rFonts w:ascii="Times New Roman" w:hAnsi="Times New Roman"/>
          <w:spacing w:val="-4"/>
          <w:sz w:val="18"/>
        </w:rPr>
        <w:t> </w:t>
      </w:r>
      <w:r>
        <w:rPr>
          <w:rFonts w:ascii="Times New Roman" w:hAnsi="Times New Roman"/>
          <w:sz w:val="18"/>
        </w:rPr>
        <w:t>5533-5658</w:t>
      </w:r>
    </w:p>
    <w:p>
      <w:pPr>
        <w:spacing w:line="207" w:lineRule="exact" w:before="0"/>
        <w:ind w:left="1567" w:right="-19" w:firstLine="0"/>
        <w:jc w:val="left"/>
        <w:rPr>
          <w:rFonts w:ascii="Times New Roman"/>
          <w:sz w:val="18"/>
        </w:rPr>
      </w:pPr>
      <w:r>
        <w:rPr>
          <w:rFonts w:ascii="Times New Roman"/>
          <w:sz w:val="18"/>
        </w:rPr>
        <w:t>F: +(52) 55 5514-6799</w:t>
      </w:r>
    </w:p>
    <w:p>
      <w:pPr>
        <w:spacing w:before="0"/>
        <w:ind w:left="1567" w:right="1326" w:firstLine="0"/>
        <w:jc w:val="left"/>
        <w:rPr>
          <w:rFonts w:ascii="Times New Roman"/>
          <w:sz w:val="18"/>
        </w:rPr>
      </w:pPr>
      <w:hyperlink r:id="rId21">
        <w:r>
          <w:rPr>
            <w:rFonts w:ascii="Times New Roman"/>
            <w:sz w:val="18"/>
            <w:u w:val="single"/>
          </w:rPr>
          <w:t>reverte@reverte.com.mx</w:t>
        </w:r>
      </w:hyperlink>
      <w:r>
        <w:rPr>
          <w:rFonts w:ascii="Times New Roman"/>
          <w:sz w:val="18"/>
          <w:u w:val="single"/>
        </w:rPr>
        <w:t> </w:t>
      </w:r>
      <w:hyperlink r:id="rId22">
        <w:r>
          <w:rPr>
            <w:rFonts w:ascii="Times New Roman"/>
            <w:sz w:val="18"/>
            <w:u w:val="single"/>
          </w:rPr>
          <w:t>www.reverte.com</w:t>
        </w:r>
      </w:hyperlink>
    </w:p>
    <w:p>
      <w:pPr>
        <w:spacing w:before="19"/>
        <w:ind w:left="896" w:right="4626" w:firstLine="0"/>
        <w:jc w:val="left"/>
        <w:rPr>
          <w:rFonts w:ascii="Times New Roman" w:hAnsi="Times New Roman"/>
          <w:sz w:val="18"/>
        </w:rPr>
      </w:pPr>
      <w:r>
        <w:rPr/>
        <w:br w:type="column"/>
      </w:r>
      <w:r>
        <w:rPr>
          <w:rFonts w:ascii="Times New Roman" w:hAnsi="Times New Roman"/>
          <w:sz w:val="18"/>
        </w:rPr>
        <w:t>Loreto 13-15, Local B 08029 Barcelona España (</w:t>
      </w:r>
      <w:r>
        <w:rPr>
          <w:rFonts w:ascii="Times New Roman" w:hAnsi="Times New Roman"/>
          <w:i/>
          <w:sz w:val="18"/>
        </w:rPr>
        <w:t>Spain</w:t>
      </w:r>
      <w:r>
        <w:rPr>
          <w:rFonts w:ascii="Times New Roman" w:hAnsi="Times New Roman"/>
          <w:sz w:val="18"/>
        </w:rPr>
        <w:t>)</w:t>
      </w:r>
    </w:p>
    <w:p>
      <w:pPr>
        <w:spacing w:line="206" w:lineRule="exact" w:before="0"/>
        <w:ind w:left="896" w:right="0" w:firstLine="0"/>
        <w:jc w:val="left"/>
        <w:rPr>
          <w:rFonts w:ascii="Times New Roman"/>
          <w:sz w:val="18"/>
        </w:rPr>
      </w:pPr>
      <w:r>
        <w:rPr>
          <w:rFonts w:ascii="Times New Roman"/>
          <w:sz w:val="18"/>
        </w:rPr>
        <w:t>T: +(34) 93 419 33 36</w:t>
      </w:r>
    </w:p>
    <w:p>
      <w:pPr>
        <w:spacing w:line="207" w:lineRule="exact" w:before="0"/>
        <w:ind w:left="896" w:right="4626" w:firstLine="0"/>
        <w:jc w:val="left"/>
        <w:rPr>
          <w:rFonts w:ascii="Times New Roman"/>
          <w:sz w:val="18"/>
        </w:rPr>
      </w:pPr>
      <w:r>
        <w:rPr>
          <w:rFonts w:ascii="Times New Roman"/>
          <w:sz w:val="18"/>
        </w:rPr>
        <w:t>F: +(34) 93 419 51 89</w:t>
      </w:r>
    </w:p>
    <w:p>
      <w:pPr>
        <w:spacing w:before="0"/>
        <w:ind w:left="896" w:right="4716" w:firstLine="0"/>
        <w:jc w:val="left"/>
        <w:rPr>
          <w:rFonts w:ascii="Times New Roman"/>
          <w:sz w:val="18"/>
        </w:rPr>
      </w:pPr>
      <w:hyperlink r:id="rId23">
        <w:r>
          <w:rPr>
            <w:rFonts w:ascii="Times New Roman"/>
            <w:sz w:val="18"/>
            <w:u w:val="single"/>
          </w:rPr>
          <w:t>reverte@reverte.com</w:t>
        </w:r>
      </w:hyperlink>
      <w:r>
        <w:rPr>
          <w:rFonts w:ascii="Times New Roman"/>
          <w:sz w:val="18"/>
          <w:u w:val="single"/>
        </w:rPr>
        <w:t> </w:t>
      </w:r>
      <w:hyperlink r:id="rId22">
        <w:r>
          <w:rPr>
            <w:rFonts w:ascii="Times New Roman"/>
            <w:sz w:val="18"/>
            <w:u w:val="single"/>
          </w:rPr>
          <w:t>www.reverte.com</w:t>
        </w:r>
      </w:hyperlink>
    </w:p>
    <w:p>
      <w:pPr>
        <w:spacing w:after="0"/>
        <w:jc w:val="left"/>
        <w:rPr>
          <w:rFonts w:ascii="Times New Roman"/>
          <w:sz w:val="18"/>
        </w:rPr>
        <w:sectPr>
          <w:type w:val="continuous"/>
          <w:pgSz w:w="11900" w:h="14450"/>
          <w:pgMar w:top="420" w:bottom="420" w:left="0" w:right="0"/>
          <w:cols w:num="2" w:equalWidth="0">
            <w:col w:w="4708" w:space="40"/>
            <w:col w:w="7152"/>
          </w:cols>
        </w:sectPr>
      </w:pPr>
    </w:p>
    <w:p>
      <w:pPr>
        <w:pStyle w:val="BodyText"/>
        <w:spacing w:before="7"/>
        <w:rPr>
          <w:rFonts w:ascii="Times New Roman"/>
          <w:sz w:val="29"/>
        </w:rPr>
      </w:pPr>
    </w:p>
    <w:p>
      <w:pPr>
        <w:pStyle w:val="BodyText"/>
        <w:spacing w:before="74"/>
        <w:ind w:left="1567" w:right="2810"/>
        <w:jc w:val="both"/>
        <w:rPr>
          <w:rFonts w:ascii="Times New Roman" w:hAnsi="Times New Roman"/>
        </w:rPr>
      </w:pPr>
      <w:r>
        <w:rPr>
          <w:rFonts w:ascii="Times New Roman" w:hAnsi="Times New Roman"/>
        </w:rPr>
        <w:t>Reservados todos los derechos. La reproducción total o parcial de esta obra, por cualquier medio o procedimiento, comprendidos la reprografía y el tratamiento informático, y la distri- bución de ejemplares de ella mediante alquiler o préstamo públicos, queda rigurosamente prohibida sin la autorización escrita de los titulares del copyright, bajo las sanciones estable- cidas por las leyes.</w:t>
      </w:r>
    </w:p>
    <w:p>
      <w:pPr>
        <w:spacing w:before="170"/>
        <w:ind w:left="1567" w:right="0" w:firstLine="0"/>
        <w:jc w:val="both"/>
        <w:rPr>
          <w:rFonts w:ascii="Times New Roman" w:hAnsi="Times New Roman"/>
          <w:i/>
          <w:sz w:val="20"/>
        </w:rPr>
      </w:pPr>
      <w:r>
        <w:rPr>
          <w:rFonts w:ascii="Times New Roman" w:hAnsi="Times New Roman"/>
          <w:sz w:val="20"/>
        </w:rPr>
        <w:t>Impreso en España. </w:t>
      </w:r>
      <w:r>
        <w:rPr>
          <w:rFonts w:ascii="Times New Roman" w:hAnsi="Times New Roman"/>
          <w:i/>
          <w:sz w:val="20"/>
        </w:rPr>
        <w:t>Printed in Spain</w:t>
      </w:r>
    </w:p>
    <w:p>
      <w:pPr>
        <w:pStyle w:val="BodyText"/>
        <w:spacing w:before="5"/>
        <w:rPr>
          <w:rFonts w:ascii="Times New Roman"/>
          <w:i/>
          <w:sz w:val="10"/>
        </w:rPr>
      </w:pPr>
    </w:p>
    <w:p>
      <w:pPr>
        <w:spacing w:before="77"/>
        <w:ind w:left="1567" w:right="2503" w:firstLine="0"/>
        <w:jc w:val="left"/>
        <w:rPr>
          <w:rFonts w:ascii="Times New Roman"/>
          <w:sz w:val="18"/>
        </w:rPr>
      </w:pPr>
      <w:r>
        <w:rPr>
          <w:rFonts w:ascii="Times New Roman"/>
          <w:sz w:val="18"/>
        </w:rPr>
        <w:t>DL B 15725-2014</w:t>
      </w:r>
    </w:p>
    <w:p>
      <w:pPr>
        <w:spacing w:before="136"/>
        <w:ind w:left="1567" w:right="2503" w:firstLine="0"/>
        <w:jc w:val="left"/>
        <w:rPr>
          <w:rFonts w:ascii="Times New Roman" w:hAnsi="Times New Roman"/>
          <w:sz w:val="18"/>
        </w:rPr>
      </w:pPr>
      <w:r>
        <w:rPr>
          <w:rFonts w:ascii="Times New Roman" w:hAnsi="Times New Roman"/>
          <w:sz w:val="18"/>
        </w:rPr>
        <w:t>Impresión de 1000 ejemplares</w:t>
      </w:r>
    </w:p>
    <w:p>
      <w:pPr>
        <w:spacing w:before="138"/>
        <w:ind w:left="1567" w:right="7948" w:firstLine="0"/>
        <w:jc w:val="left"/>
        <w:rPr>
          <w:rFonts w:ascii="Times New Roman" w:hAnsi="Times New Roman"/>
          <w:sz w:val="18"/>
        </w:rPr>
      </w:pPr>
      <w:r>
        <w:rPr>
          <w:rFonts w:ascii="Times New Roman" w:hAnsi="Times New Roman"/>
          <w:sz w:val="18"/>
        </w:rPr>
        <w:t>Impreso por Liberdúplex, S.L.U. Barcelona – España</w:t>
      </w:r>
    </w:p>
    <w:p>
      <w:pPr>
        <w:pStyle w:val="BodyText"/>
        <w:spacing w:before="9"/>
        <w:rPr>
          <w:rFonts w:ascii="Times New Roman"/>
          <w:sz w:val="8"/>
        </w:rPr>
      </w:pPr>
    </w:p>
    <w:p>
      <w:pPr>
        <w:spacing w:before="77"/>
        <w:ind w:left="1554" w:right="2503" w:firstLine="0"/>
        <w:jc w:val="left"/>
        <w:rPr>
          <w:rFonts w:ascii="Times New Roman"/>
          <w:sz w:val="18"/>
        </w:rPr>
      </w:pPr>
      <w:r>
        <w:rPr>
          <w:rFonts w:ascii="Times New Roman"/>
          <w:sz w:val="18"/>
        </w:rPr>
        <w:t># 1418</w:t>
      </w:r>
    </w:p>
    <w:p>
      <w:pPr>
        <w:spacing w:after="0"/>
        <w:jc w:val="left"/>
        <w:rPr>
          <w:rFonts w:ascii="Times New Roman"/>
          <w:sz w:val="18"/>
        </w:rPr>
        <w:sectPr>
          <w:type w:val="continuous"/>
          <w:pgSz w:w="11900" w:h="14450"/>
          <w:pgMar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3"/>
        <w:spacing w:before="207"/>
        <w:ind w:right="2503"/>
        <w:jc w:val="left"/>
      </w:pPr>
      <w:r>
        <w:rPr>
          <w:color w:val="231F20"/>
          <w:w w:val="110"/>
        </w:rPr>
        <w:t>ÍNDICE</w:t>
      </w:r>
      <w:r>
        <w:rPr>
          <w:color w:val="231F20"/>
          <w:spacing w:val="54"/>
          <w:w w:val="110"/>
        </w:rPr>
        <w:t> </w:t>
      </w:r>
      <w:r>
        <w:rPr>
          <w:color w:val="231F20"/>
          <w:w w:val="110"/>
        </w:rPr>
        <w:t>GENERAL</w:t>
      </w:r>
    </w:p>
    <w:p>
      <w:pPr>
        <w:pStyle w:val="BodyText"/>
        <w:rPr>
          <w:sz w:val="36"/>
        </w:rPr>
      </w:pPr>
    </w:p>
    <w:p>
      <w:pPr>
        <w:pStyle w:val="BodyText"/>
        <w:spacing w:before="3"/>
        <w:rPr>
          <w:sz w:val="48"/>
        </w:rPr>
      </w:pPr>
    </w:p>
    <w:p>
      <w:pPr>
        <w:spacing w:before="0"/>
        <w:ind w:left="1553" w:right="2503" w:firstLine="0"/>
        <w:jc w:val="left"/>
        <w:rPr>
          <w:sz w:val="18"/>
        </w:rPr>
      </w:pPr>
      <w:r>
        <w:rPr>
          <w:color w:val="231F20"/>
          <w:w w:val="115"/>
          <w:sz w:val="18"/>
        </w:rPr>
        <w:t>SECCIÓN 1</w:t>
      </w:r>
    </w:p>
    <w:p>
      <w:pPr>
        <w:tabs>
          <w:tab w:pos="10273" w:val="right" w:leader="dot"/>
        </w:tabs>
        <w:spacing w:before="0"/>
        <w:ind w:left="1553" w:right="0" w:firstLine="0"/>
        <w:jc w:val="left"/>
        <w:rPr>
          <w:sz w:val="18"/>
        </w:rPr>
      </w:pPr>
      <w:r>
        <w:rPr>
          <w:color w:val="231F20"/>
          <w:sz w:val="18"/>
        </w:rPr>
        <w:t>Introducción: producción animal en pequeña escala y </w:t>
      </w:r>
      <w:r>
        <w:rPr>
          <w:color w:val="231F20"/>
          <w:spacing w:val="37"/>
          <w:sz w:val="18"/>
        </w:rPr>
        <w:t> </w:t>
      </w:r>
      <w:r>
        <w:rPr>
          <w:color w:val="231F20"/>
          <w:sz w:val="18"/>
        </w:rPr>
        <w:t>desarrollo</w:t>
      </w:r>
      <w:r>
        <w:rPr>
          <w:color w:val="231F20"/>
          <w:spacing w:val="11"/>
          <w:sz w:val="18"/>
        </w:rPr>
        <w:t> </w:t>
      </w:r>
      <w:r>
        <w:rPr>
          <w:color w:val="231F20"/>
          <w:sz w:val="18"/>
        </w:rPr>
        <w:t>rural</w:t>
        <w:tab/>
        <w:t>1</w:t>
      </w:r>
    </w:p>
    <w:p>
      <w:pPr>
        <w:spacing w:before="170"/>
        <w:ind w:left="2234" w:right="2503" w:firstLine="0"/>
        <w:jc w:val="left"/>
        <w:rPr>
          <w:sz w:val="18"/>
        </w:rPr>
      </w:pPr>
      <w:r>
        <w:rPr>
          <w:color w:val="231F20"/>
          <w:w w:val="110"/>
          <w:sz w:val="18"/>
        </w:rPr>
        <w:t>CAPÍTULO 1</w:t>
      </w:r>
    </w:p>
    <w:p>
      <w:pPr>
        <w:spacing w:before="57"/>
        <w:ind w:left="2234" w:right="4475" w:firstLine="0"/>
        <w:jc w:val="left"/>
        <w:rPr>
          <w:sz w:val="18"/>
        </w:rPr>
      </w:pPr>
      <w:r>
        <w:rPr>
          <w:color w:val="231F20"/>
          <w:w w:val="105"/>
          <w:sz w:val="18"/>
        </w:rPr>
        <w:t>CONTRIBUCIÓN DE LA PRODUCCIÓN ANIMAL EN PEQUEÑA ESCALA  A LAS ESTRATEGIAS DE VIDA CAMPESINAS</w:t>
      </w:r>
    </w:p>
    <w:p>
      <w:pPr>
        <w:tabs>
          <w:tab w:pos="10273" w:val="right" w:leader="dot"/>
        </w:tabs>
        <w:spacing w:before="57"/>
        <w:ind w:left="2234" w:right="0" w:firstLine="0"/>
        <w:jc w:val="left"/>
        <w:rPr>
          <w:sz w:val="18"/>
        </w:rPr>
      </w:pPr>
      <w:r>
        <w:rPr>
          <w:rFonts w:ascii="Cambria" w:hAnsi="Cambria"/>
          <w:i/>
          <w:color w:val="231F20"/>
          <w:sz w:val="18"/>
        </w:rPr>
        <w:t>Ernesto Sánchez Vera y Francisco Ernesto </w:t>
      </w:r>
      <w:r>
        <w:rPr>
          <w:rFonts w:ascii="Cambria" w:hAnsi="Cambria"/>
          <w:i/>
          <w:color w:val="231F20"/>
          <w:spacing w:val="29"/>
          <w:sz w:val="18"/>
        </w:rPr>
        <w:t> </w:t>
      </w:r>
      <w:r>
        <w:rPr>
          <w:rFonts w:ascii="Cambria" w:hAnsi="Cambria"/>
          <w:i/>
          <w:color w:val="231F20"/>
          <w:sz w:val="18"/>
        </w:rPr>
        <w:t>Martínez</w:t>
      </w:r>
      <w:r>
        <w:rPr>
          <w:rFonts w:ascii="Cambria" w:hAnsi="Cambria"/>
          <w:i/>
          <w:color w:val="231F20"/>
          <w:spacing w:val="11"/>
          <w:sz w:val="18"/>
        </w:rPr>
        <w:t> </w:t>
      </w:r>
      <w:r>
        <w:rPr>
          <w:rFonts w:ascii="Cambria" w:hAnsi="Cambria"/>
          <w:i/>
          <w:color w:val="231F20"/>
          <w:sz w:val="18"/>
        </w:rPr>
        <w:t>Castañeda</w:t>
      </w:r>
      <w:r>
        <w:rPr>
          <w:color w:val="231F20"/>
          <w:sz w:val="18"/>
        </w:rPr>
        <w:tab/>
        <w:t>3</w:t>
      </w:r>
    </w:p>
    <w:p>
      <w:pPr>
        <w:spacing w:before="283"/>
        <w:ind w:left="1553" w:right="2503" w:firstLine="0"/>
        <w:jc w:val="left"/>
        <w:rPr>
          <w:sz w:val="18"/>
        </w:rPr>
      </w:pPr>
      <w:r>
        <w:rPr>
          <w:color w:val="231F20"/>
          <w:w w:val="115"/>
          <w:sz w:val="18"/>
        </w:rPr>
        <w:t>SECCIÓN 2</w:t>
      </w:r>
    </w:p>
    <w:p>
      <w:pPr>
        <w:tabs>
          <w:tab w:pos="10270" w:val="right" w:leader="dot"/>
        </w:tabs>
        <w:spacing w:before="0"/>
        <w:ind w:left="1553" w:right="0" w:firstLine="0"/>
        <w:jc w:val="left"/>
        <w:rPr>
          <w:sz w:val="18"/>
        </w:rPr>
      </w:pPr>
      <w:r>
        <w:rPr>
          <w:color w:val="231F20"/>
          <w:sz w:val="18"/>
        </w:rPr>
        <w:t>Producción bovina en pequeña escala y su contribución al  </w:t>
      </w:r>
      <w:r>
        <w:rPr>
          <w:color w:val="231F20"/>
          <w:spacing w:val="22"/>
          <w:sz w:val="18"/>
        </w:rPr>
        <w:t> </w:t>
      </w:r>
      <w:r>
        <w:rPr>
          <w:color w:val="231F20"/>
          <w:sz w:val="18"/>
        </w:rPr>
        <w:t>desarrollo</w:t>
      </w:r>
      <w:r>
        <w:rPr>
          <w:color w:val="231F20"/>
          <w:spacing w:val="11"/>
          <w:sz w:val="18"/>
        </w:rPr>
        <w:t> </w:t>
      </w:r>
      <w:r>
        <w:rPr>
          <w:color w:val="231F20"/>
          <w:sz w:val="18"/>
        </w:rPr>
        <w:t>rural</w:t>
        <w:tab/>
      </w:r>
      <w:r>
        <w:rPr>
          <w:color w:val="231F20"/>
          <w:spacing w:val="-4"/>
          <w:sz w:val="18"/>
        </w:rPr>
        <w:t>21</w:t>
      </w:r>
    </w:p>
    <w:p>
      <w:pPr>
        <w:pStyle w:val="ListParagraph"/>
        <w:numPr>
          <w:ilvl w:val="1"/>
          <w:numId w:val="1"/>
        </w:numPr>
        <w:tabs>
          <w:tab w:pos="2107" w:val="left" w:leader="none"/>
          <w:tab w:pos="10273" w:val="right" w:leader="dot"/>
        </w:tabs>
        <w:spacing w:line="240" w:lineRule="auto" w:before="114" w:after="0"/>
        <w:ind w:left="2106" w:right="0" w:hanging="212"/>
        <w:jc w:val="left"/>
        <w:rPr>
          <w:sz w:val="18"/>
        </w:rPr>
      </w:pPr>
      <w:r>
        <w:rPr>
          <w:color w:val="6D6E71"/>
          <w:w w:val="120"/>
          <w:sz w:val="20"/>
        </w:rPr>
        <w:t>S</w:t>
      </w:r>
      <w:r>
        <w:rPr>
          <w:color w:val="6D6E71"/>
          <w:w w:val="120"/>
          <w:sz w:val="14"/>
        </w:rPr>
        <w:t>iStemAS  de  producción</w:t>
      </w:r>
      <w:r>
        <w:rPr>
          <w:color w:val="6D6E71"/>
          <w:spacing w:val="-15"/>
          <w:w w:val="120"/>
          <w:sz w:val="14"/>
        </w:rPr>
        <w:t> </w:t>
      </w:r>
      <w:r>
        <w:rPr>
          <w:color w:val="6D6E71"/>
          <w:w w:val="120"/>
          <w:sz w:val="14"/>
        </w:rPr>
        <w:t>de</w:t>
      </w:r>
      <w:r>
        <w:rPr>
          <w:color w:val="6D6E71"/>
          <w:spacing w:val="20"/>
          <w:w w:val="120"/>
          <w:sz w:val="14"/>
        </w:rPr>
        <w:t> </w:t>
      </w:r>
      <w:r>
        <w:rPr>
          <w:color w:val="6D6E71"/>
          <w:w w:val="120"/>
          <w:sz w:val="14"/>
        </w:rPr>
        <w:t>leche</w:t>
      </w:r>
      <w:r>
        <w:rPr>
          <w:color w:val="231F20"/>
          <w:w w:val="120"/>
          <w:sz w:val="18"/>
        </w:rPr>
        <w:tab/>
        <w:t>23</w:t>
      </w:r>
    </w:p>
    <w:p>
      <w:pPr>
        <w:spacing w:before="165"/>
        <w:ind w:left="2234" w:right="2503" w:firstLine="0"/>
        <w:jc w:val="left"/>
        <w:rPr>
          <w:sz w:val="18"/>
        </w:rPr>
      </w:pPr>
      <w:r>
        <w:rPr>
          <w:color w:val="231F20"/>
          <w:w w:val="110"/>
          <w:sz w:val="18"/>
        </w:rPr>
        <w:t>CAPÍTULO 2</w:t>
      </w:r>
    </w:p>
    <w:p>
      <w:pPr>
        <w:spacing w:before="57"/>
        <w:ind w:left="2234" w:right="2503" w:firstLine="0"/>
        <w:jc w:val="left"/>
        <w:rPr>
          <w:sz w:val="18"/>
        </w:rPr>
      </w:pPr>
      <w:r>
        <w:rPr>
          <w:color w:val="231F20"/>
          <w:w w:val="105"/>
          <w:sz w:val="18"/>
        </w:rPr>
        <w:t>BUENAS PRÁCTICAS DE ORDEÑO, CONTROL DE LA   MASTITIS</w:t>
      </w:r>
    </w:p>
    <w:p>
      <w:pPr>
        <w:spacing w:before="0"/>
        <w:ind w:left="2234" w:right="2503" w:firstLine="0"/>
        <w:jc w:val="left"/>
        <w:rPr>
          <w:sz w:val="18"/>
        </w:rPr>
      </w:pPr>
      <w:r>
        <w:rPr>
          <w:color w:val="231F20"/>
          <w:w w:val="105"/>
          <w:sz w:val="18"/>
        </w:rPr>
        <w:t>E IMPACTO  EN LOS SISTEMAS DE PRODUCCIÓN DE LECHE EN PEQUEÑA    ESCALA</w:t>
      </w:r>
    </w:p>
    <w:p>
      <w:pPr>
        <w:tabs>
          <w:tab w:pos="10067" w:val="left" w:leader="dot"/>
        </w:tabs>
        <w:spacing w:before="57"/>
        <w:ind w:left="2234" w:right="0" w:firstLine="0"/>
        <w:jc w:val="left"/>
        <w:rPr>
          <w:sz w:val="18"/>
        </w:rPr>
      </w:pPr>
      <w:r>
        <w:rPr>
          <w:rFonts w:ascii="Cambria" w:hAnsi="Cambria"/>
          <w:i/>
          <w:color w:val="231F20"/>
          <w:sz w:val="18"/>
        </w:rPr>
        <w:t>Humberto Alfredo Soto Castilla y Georgina Aidé</w:t>
      </w:r>
      <w:r>
        <w:rPr>
          <w:rFonts w:ascii="Cambria" w:hAnsi="Cambria"/>
          <w:i/>
          <w:color w:val="231F20"/>
          <w:spacing w:val="25"/>
          <w:sz w:val="18"/>
        </w:rPr>
        <w:t> </w:t>
      </w:r>
      <w:r>
        <w:rPr>
          <w:rFonts w:ascii="Cambria" w:hAnsi="Cambria"/>
          <w:i/>
          <w:color w:val="231F20"/>
          <w:sz w:val="18"/>
        </w:rPr>
        <w:t>Arias</w:t>
      </w:r>
      <w:r>
        <w:rPr>
          <w:rFonts w:ascii="Cambria" w:hAnsi="Cambria"/>
          <w:i/>
          <w:color w:val="231F20"/>
          <w:spacing w:val="6"/>
          <w:sz w:val="18"/>
        </w:rPr>
        <w:t> </w:t>
      </w:r>
      <w:r>
        <w:rPr>
          <w:rFonts w:ascii="Cambria" w:hAnsi="Cambria"/>
          <w:i/>
          <w:color w:val="231F20"/>
          <w:sz w:val="18"/>
        </w:rPr>
        <w:t>Ramírez</w:t>
      </w:r>
      <w:r>
        <w:rPr>
          <w:color w:val="231F20"/>
          <w:sz w:val="18"/>
        </w:rPr>
        <w:tab/>
      </w:r>
      <w:r>
        <w:rPr>
          <w:color w:val="231F20"/>
          <w:spacing w:val="-4"/>
          <w:sz w:val="18"/>
        </w:rPr>
        <w:t>23</w:t>
      </w:r>
    </w:p>
    <w:p>
      <w:pPr>
        <w:pStyle w:val="BodyText"/>
        <w:spacing w:before="11"/>
        <w:rPr>
          <w:sz w:val="13"/>
        </w:rPr>
      </w:pPr>
    </w:p>
    <w:p>
      <w:pPr>
        <w:spacing w:before="0"/>
        <w:ind w:left="2234" w:right="2503" w:firstLine="0"/>
        <w:jc w:val="left"/>
        <w:rPr>
          <w:sz w:val="18"/>
        </w:rPr>
      </w:pPr>
      <w:r>
        <w:rPr>
          <w:color w:val="231F20"/>
          <w:w w:val="110"/>
          <w:sz w:val="18"/>
        </w:rPr>
        <w:t>CAPÍTULO 3</w:t>
      </w:r>
    </w:p>
    <w:p>
      <w:pPr>
        <w:spacing w:before="57"/>
        <w:ind w:left="2234" w:right="3345" w:firstLine="0"/>
        <w:jc w:val="left"/>
        <w:rPr>
          <w:sz w:val="18"/>
        </w:rPr>
      </w:pPr>
      <w:r>
        <w:rPr>
          <w:color w:val="231F20"/>
          <w:w w:val="105"/>
          <w:sz w:val="18"/>
        </w:rPr>
        <w:t>CALIDAD DE LA LECHE EN LOS SISTEMAS DE PRODUCCIÓN EN PEQUEÑA ESCALA EN LA ZONA SURORIENTE DEL ESTADO DE   MÉXICO</w:t>
      </w:r>
    </w:p>
    <w:p>
      <w:pPr>
        <w:spacing w:before="57"/>
        <w:ind w:left="2234" w:right="2503" w:firstLine="0"/>
        <w:jc w:val="left"/>
        <w:rPr>
          <w:rFonts w:ascii="Cambria" w:hAnsi="Cambria"/>
          <w:i/>
          <w:sz w:val="18"/>
        </w:rPr>
      </w:pPr>
      <w:r>
        <w:rPr>
          <w:rFonts w:ascii="Cambria" w:hAnsi="Cambria"/>
          <w:i/>
          <w:color w:val="231F20"/>
          <w:sz w:val="18"/>
        </w:rPr>
        <w:t>José Dobler López, Luis Brunett Pérez, Leticia Xochitl López Martínez,</w:t>
      </w:r>
    </w:p>
    <w:p>
      <w:pPr>
        <w:tabs>
          <w:tab w:pos="10071" w:val="left" w:leader="dot"/>
        </w:tabs>
        <w:spacing w:before="8"/>
        <w:ind w:left="2234" w:right="0" w:firstLine="0"/>
        <w:jc w:val="left"/>
        <w:rPr>
          <w:sz w:val="18"/>
        </w:rPr>
      </w:pPr>
      <w:r>
        <w:rPr>
          <w:rFonts w:ascii="Cambria" w:hAnsi="Cambria"/>
          <w:i/>
          <w:color w:val="231F20"/>
          <w:sz w:val="18"/>
        </w:rPr>
        <w:t>Enrique Espinosa Ayala y Ofelia</w:t>
      </w:r>
      <w:r>
        <w:rPr>
          <w:rFonts w:ascii="Cambria" w:hAnsi="Cambria"/>
          <w:i/>
          <w:color w:val="231F20"/>
          <w:spacing w:val="38"/>
          <w:sz w:val="18"/>
        </w:rPr>
        <w:t> </w:t>
      </w:r>
      <w:r>
        <w:rPr>
          <w:rFonts w:ascii="Cambria" w:hAnsi="Cambria"/>
          <w:i/>
          <w:color w:val="231F20"/>
          <w:sz w:val="18"/>
        </w:rPr>
        <w:t>Márquez</w:t>
      </w:r>
      <w:r>
        <w:rPr>
          <w:rFonts w:ascii="Cambria" w:hAnsi="Cambria"/>
          <w:i/>
          <w:color w:val="231F20"/>
          <w:spacing w:val="7"/>
          <w:sz w:val="18"/>
        </w:rPr>
        <w:t> </w:t>
      </w:r>
      <w:r>
        <w:rPr>
          <w:rFonts w:ascii="Cambria" w:hAnsi="Cambria"/>
          <w:i/>
          <w:color w:val="231F20"/>
          <w:sz w:val="18"/>
        </w:rPr>
        <w:t>Molina</w:t>
      </w:r>
      <w:r>
        <w:rPr>
          <w:color w:val="231F20"/>
          <w:sz w:val="18"/>
        </w:rPr>
        <w:tab/>
      </w:r>
      <w:r>
        <w:rPr>
          <w:color w:val="231F20"/>
          <w:spacing w:val="-8"/>
          <w:sz w:val="18"/>
        </w:rPr>
        <w:t>47</w:t>
      </w:r>
    </w:p>
    <w:p>
      <w:pPr>
        <w:pStyle w:val="BodyText"/>
        <w:spacing w:before="11"/>
        <w:rPr>
          <w:sz w:val="13"/>
        </w:rPr>
      </w:pPr>
    </w:p>
    <w:p>
      <w:pPr>
        <w:spacing w:before="0"/>
        <w:ind w:left="2234" w:right="2503" w:firstLine="0"/>
        <w:jc w:val="left"/>
        <w:rPr>
          <w:sz w:val="18"/>
        </w:rPr>
      </w:pPr>
      <w:r>
        <w:rPr>
          <w:color w:val="231F20"/>
          <w:w w:val="110"/>
          <w:sz w:val="18"/>
        </w:rPr>
        <w:t>CAPÍTULO 4</w:t>
      </w:r>
    </w:p>
    <w:p>
      <w:pPr>
        <w:spacing w:before="57"/>
        <w:ind w:left="2234" w:right="4107" w:firstLine="0"/>
        <w:jc w:val="left"/>
        <w:rPr>
          <w:sz w:val="18"/>
        </w:rPr>
      </w:pPr>
      <w:r>
        <w:rPr>
          <w:color w:val="231F20"/>
          <w:w w:val="105"/>
          <w:sz w:val="18"/>
        </w:rPr>
        <w:t>SUSTENTABILIDAD DE LA PRODUCCIÓN DE LECHE EN PEQUEÑA ESCALA   Y SU CONTRIBUCIÓN AL DESARROLLO </w:t>
      </w:r>
      <w:r>
        <w:rPr>
          <w:color w:val="231F20"/>
          <w:spacing w:val="39"/>
          <w:w w:val="105"/>
          <w:sz w:val="18"/>
        </w:rPr>
        <w:t> </w:t>
      </w:r>
      <w:r>
        <w:rPr>
          <w:color w:val="231F20"/>
          <w:w w:val="105"/>
          <w:sz w:val="18"/>
        </w:rPr>
        <w:t>RURAL</w:t>
      </w:r>
    </w:p>
    <w:p>
      <w:pPr>
        <w:spacing w:before="57"/>
        <w:ind w:left="2234" w:right="2503" w:firstLine="0"/>
        <w:jc w:val="left"/>
        <w:rPr>
          <w:rFonts w:ascii="Cambria" w:hAnsi="Cambria"/>
          <w:i/>
          <w:sz w:val="18"/>
        </w:rPr>
      </w:pPr>
      <w:r>
        <w:rPr>
          <w:rFonts w:ascii="Cambria" w:hAnsi="Cambria"/>
          <w:i/>
          <w:color w:val="231F20"/>
          <w:sz w:val="18"/>
        </w:rPr>
        <w:t>Liliana Fadul Pacheco, Ángel René Alfonso Ávila, Angélica Espinoza  Ortega,</w:t>
      </w:r>
    </w:p>
    <w:p>
      <w:pPr>
        <w:tabs>
          <w:tab w:pos="10067" w:val="left" w:leader="dot"/>
        </w:tabs>
        <w:spacing w:before="8"/>
        <w:ind w:left="2234" w:right="0" w:firstLine="0"/>
        <w:jc w:val="left"/>
        <w:rPr>
          <w:sz w:val="18"/>
        </w:rPr>
      </w:pPr>
      <w:r>
        <w:rPr>
          <w:rFonts w:ascii="Cambria" w:hAnsi="Cambria"/>
          <w:i/>
          <w:color w:val="231F20"/>
          <w:sz w:val="18"/>
        </w:rPr>
        <w:t>Ernesto Sánchez Vera y Carlos Manuel </w:t>
      </w:r>
      <w:r>
        <w:rPr>
          <w:rFonts w:ascii="Cambria" w:hAnsi="Cambria"/>
          <w:i/>
          <w:color w:val="231F20"/>
          <w:spacing w:val="6"/>
          <w:sz w:val="18"/>
        </w:rPr>
        <w:t> </w:t>
      </w:r>
      <w:r>
        <w:rPr>
          <w:rFonts w:ascii="Cambria" w:hAnsi="Cambria"/>
          <w:i/>
          <w:color w:val="231F20"/>
          <w:sz w:val="18"/>
        </w:rPr>
        <w:t>Arriaga</w:t>
      </w:r>
      <w:r>
        <w:rPr>
          <w:rFonts w:ascii="Cambria" w:hAnsi="Cambria"/>
          <w:i/>
          <w:color w:val="231F20"/>
          <w:spacing w:val="7"/>
          <w:sz w:val="18"/>
        </w:rPr>
        <w:t> </w:t>
      </w:r>
      <w:r>
        <w:rPr>
          <w:rFonts w:ascii="Cambria" w:hAnsi="Cambria"/>
          <w:i/>
          <w:color w:val="231F20"/>
          <w:sz w:val="18"/>
        </w:rPr>
        <w:t>Jordán</w:t>
      </w:r>
      <w:r>
        <w:rPr>
          <w:color w:val="231F20"/>
          <w:sz w:val="18"/>
        </w:rPr>
        <w:tab/>
      </w:r>
      <w:r>
        <w:rPr>
          <w:color w:val="231F20"/>
          <w:spacing w:val="-4"/>
          <w:sz w:val="18"/>
        </w:rPr>
        <w:t>57</w:t>
      </w:r>
    </w:p>
    <w:p>
      <w:pPr>
        <w:pStyle w:val="BodyText"/>
        <w:spacing w:before="11"/>
        <w:rPr>
          <w:sz w:val="13"/>
        </w:rPr>
      </w:pPr>
    </w:p>
    <w:p>
      <w:pPr>
        <w:spacing w:before="0"/>
        <w:ind w:left="2234" w:right="2503" w:firstLine="0"/>
        <w:jc w:val="left"/>
        <w:rPr>
          <w:sz w:val="18"/>
        </w:rPr>
      </w:pPr>
      <w:r>
        <w:rPr>
          <w:color w:val="231F20"/>
          <w:w w:val="110"/>
          <w:sz w:val="18"/>
        </w:rPr>
        <w:t>CAPÍTULO 5</w:t>
      </w:r>
    </w:p>
    <w:p>
      <w:pPr>
        <w:spacing w:before="57"/>
        <w:ind w:left="2234" w:right="2063" w:firstLine="0"/>
        <w:jc w:val="left"/>
        <w:rPr>
          <w:sz w:val="18"/>
        </w:rPr>
      </w:pPr>
      <w:r>
        <w:rPr>
          <w:color w:val="231F20"/>
          <w:spacing w:val="-7"/>
          <w:w w:val="105"/>
          <w:sz w:val="18"/>
        </w:rPr>
        <w:t>FACTORES </w:t>
      </w:r>
      <w:r>
        <w:rPr>
          <w:color w:val="231F20"/>
          <w:w w:val="105"/>
          <w:sz w:val="18"/>
        </w:rPr>
        <w:t>QUE </w:t>
      </w:r>
      <w:r>
        <w:rPr>
          <w:color w:val="231F20"/>
          <w:spacing w:val="-3"/>
          <w:w w:val="105"/>
          <w:sz w:val="18"/>
        </w:rPr>
        <w:t>INTERVIENEN </w:t>
      </w:r>
      <w:r>
        <w:rPr>
          <w:color w:val="231F20"/>
          <w:w w:val="105"/>
          <w:sz w:val="18"/>
        </w:rPr>
        <w:t>EN LA </w:t>
      </w:r>
      <w:r>
        <w:rPr>
          <w:color w:val="231F20"/>
          <w:spacing w:val="-4"/>
          <w:w w:val="105"/>
          <w:sz w:val="18"/>
        </w:rPr>
        <w:t>ADOPCIÓN </w:t>
      </w:r>
      <w:r>
        <w:rPr>
          <w:color w:val="231F20"/>
          <w:w w:val="105"/>
          <w:sz w:val="18"/>
        </w:rPr>
        <w:t>DE </w:t>
      </w:r>
      <w:r>
        <w:rPr>
          <w:color w:val="231F20"/>
          <w:spacing w:val="-5"/>
          <w:w w:val="105"/>
          <w:sz w:val="18"/>
        </w:rPr>
        <w:t>TECNOLOGÍAS </w:t>
      </w:r>
      <w:r>
        <w:rPr>
          <w:color w:val="231F20"/>
          <w:spacing w:val="-4"/>
          <w:w w:val="105"/>
          <w:sz w:val="18"/>
        </w:rPr>
        <w:t>AGROPECUARIAS POR PRODUCTORES </w:t>
      </w:r>
      <w:r>
        <w:rPr>
          <w:color w:val="231F20"/>
          <w:w w:val="105"/>
          <w:sz w:val="18"/>
        </w:rPr>
        <w:t>DE </w:t>
      </w:r>
      <w:r>
        <w:rPr>
          <w:color w:val="231F20"/>
          <w:spacing w:val="-4"/>
          <w:w w:val="105"/>
          <w:sz w:val="18"/>
        </w:rPr>
        <w:t>LECHE </w:t>
      </w:r>
      <w:r>
        <w:rPr>
          <w:color w:val="231F20"/>
          <w:w w:val="105"/>
          <w:sz w:val="18"/>
        </w:rPr>
        <w:t>EN </w:t>
      </w:r>
      <w:r>
        <w:rPr>
          <w:color w:val="231F20"/>
          <w:spacing w:val="-3"/>
          <w:w w:val="105"/>
          <w:sz w:val="18"/>
        </w:rPr>
        <w:t>PEQUEÑA ESCALA </w:t>
      </w:r>
      <w:r>
        <w:rPr>
          <w:color w:val="231F20"/>
          <w:w w:val="105"/>
          <w:sz w:val="18"/>
        </w:rPr>
        <w:t>Y SUS </w:t>
      </w:r>
      <w:r>
        <w:rPr>
          <w:color w:val="231F20"/>
          <w:spacing w:val="-3"/>
          <w:w w:val="105"/>
          <w:sz w:val="18"/>
        </w:rPr>
        <w:t>IMPLICACIONES </w:t>
      </w:r>
      <w:r>
        <w:rPr>
          <w:color w:val="231F20"/>
          <w:spacing w:val="-5"/>
          <w:w w:val="105"/>
          <w:sz w:val="18"/>
        </w:rPr>
        <w:t>PARA </w:t>
      </w:r>
      <w:r>
        <w:rPr>
          <w:color w:val="231F20"/>
          <w:w w:val="105"/>
          <w:sz w:val="18"/>
        </w:rPr>
        <w:t>EL </w:t>
      </w:r>
      <w:r>
        <w:rPr>
          <w:color w:val="231F20"/>
          <w:spacing w:val="-4"/>
          <w:w w:val="105"/>
          <w:sz w:val="18"/>
        </w:rPr>
        <w:t>DESARROLLO   </w:t>
      </w:r>
      <w:r>
        <w:rPr>
          <w:color w:val="231F20"/>
          <w:w w:val="105"/>
          <w:sz w:val="18"/>
        </w:rPr>
        <w:t>RURAL</w:t>
      </w:r>
    </w:p>
    <w:p>
      <w:pPr>
        <w:tabs>
          <w:tab w:pos="10071" w:val="left" w:leader="dot"/>
        </w:tabs>
        <w:spacing w:before="57"/>
        <w:ind w:left="2234" w:right="0" w:firstLine="0"/>
        <w:jc w:val="left"/>
        <w:rPr>
          <w:sz w:val="18"/>
        </w:rPr>
      </w:pPr>
      <w:r>
        <w:rPr>
          <w:rFonts w:ascii="Cambria" w:hAnsi="Cambria"/>
          <w:i/>
          <w:color w:val="231F20"/>
          <w:sz w:val="18"/>
        </w:rPr>
        <w:t>Carlos Galdino Martínez-García y Carlos</w:t>
      </w:r>
      <w:r>
        <w:rPr>
          <w:rFonts w:ascii="Cambria" w:hAnsi="Cambria"/>
          <w:i/>
          <w:color w:val="231F20"/>
          <w:spacing w:val="25"/>
          <w:sz w:val="18"/>
        </w:rPr>
        <w:t> </w:t>
      </w:r>
      <w:r>
        <w:rPr>
          <w:rFonts w:ascii="Cambria" w:hAnsi="Cambria"/>
          <w:i/>
          <w:color w:val="231F20"/>
          <w:sz w:val="18"/>
        </w:rPr>
        <w:t>Manuel</w:t>
      </w:r>
      <w:r>
        <w:rPr>
          <w:rFonts w:ascii="Cambria" w:hAnsi="Cambria"/>
          <w:i/>
          <w:color w:val="231F20"/>
          <w:spacing w:val="5"/>
          <w:sz w:val="18"/>
        </w:rPr>
        <w:t> </w:t>
      </w:r>
      <w:r>
        <w:rPr>
          <w:rFonts w:ascii="Cambria" w:hAnsi="Cambria"/>
          <w:i/>
          <w:color w:val="231F20"/>
          <w:sz w:val="18"/>
        </w:rPr>
        <w:t>Arriaga-Jordán</w:t>
      </w:r>
      <w:r>
        <w:rPr>
          <w:color w:val="231F20"/>
          <w:sz w:val="18"/>
        </w:rPr>
        <w:tab/>
      </w:r>
      <w:r>
        <w:rPr>
          <w:color w:val="231F20"/>
          <w:spacing w:val="-8"/>
          <w:sz w:val="18"/>
        </w:rPr>
        <w:t>75</w:t>
      </w:r>
    </w:p>
    <w:p>
      <w:pPr>
        <w:pStyle w:val="BodyText"/>
        <w:spacing w:before="11"/>
        <w:rPr>
          <w:sz w:val="13"/>
        </w:rPr>
      </w:pPr>
    </w:p>
    <w:p>
      <w:pPr>
        <w:spacing w:before="0"/>
        <w:ind w:left="2234" w:right="2503" w:firstLine="0"/>
        <w:jc w:val="left"/>
        <w:rPr>
          <w:sz w:val="18"/>
        </w:rPr>
      </w:pPr>
      <w:r>
        <w:rPr>
          <w:color w:val="231F20"/>
          <w:w w:val="110"/>
          <w:sz w:val="18"/>
        </w:rPr>
        <w:t>CAPÍTULO 6</w:t>
      </w:r>
    </w:p>
    <w:p>
      <w:pPr>
        <w:spacing w:before="57"/>
        <w:ind w:left="2234" w:right="3664" w:firstLine="0"/>
        <w:jc w:val="left"/>
        <w:rPr>
          <w:sz w:val="18"/>
        </w:rPr>
      </w:pPr>
      <w:r>
        <w:rPr>
          <w:color w:val="231F20"/>
          <w:w w:val="105"/>
          <w:sz w:val="18"/>
        </w:rPr>
        <w:t>INNOVACIÓN EN EL PROCESO DE CONVERSIÓN Y CERTIFICACIÓN ORGÁNICA DE LA LECHE BOVINA CON PRODUCTORES DE TECPATÁN   CHIAPAS:</w:t>
      </w:r>
    </w:p>
    <w:p>
      <w:pPr>
        <w:spacing w:before="0"/>
        <w:ind w:left="2234" w:right="2503" w:firstLine="0"/>
        <w:jc w:val="left"/>
        <w:rPr>
          <w:sz w:val="18"/>
        </w:rPr>
      </w:pPr>
      <w:r>
        <w:rPr>
          <w:color w:val="231F20"/>
          <w:w w:val="105"/>
          <w:sz w:val="18"/>
        </w:rPr>
        <w:t>UN PILAR DEL DESARROLLO RURAL  SUSTENTABLE</w:t>
      </w:r>
    </w:p>
    <w:p>
      <w:pPr>
        <w:spacing w:line="249" w:lineRule="auto" w:before="57"/>
        <w:ind w:left="2234" w:right="3664" w:firstLine="0"/>
        <w:jc w:val="left"/>
        <w:rPr>
          <w:rFonts w:ascii="Cambria" w:hAnsi="Cambria"/>
          <w:i/>
          <w:sz w:val="18"/>
        </w:rPr>
      </w:pPr>
      <w:r>
        <w:rPr>
          <w:rFonts w:ascii="Cambria" w:hAnsi="Cambria"/>
          <w:i/>
          <w:color w:val="231F20"/>
          <w:sz w:val="18"/>
        </w:rPr>
        <w:t>José Nahed Toral, Francisco Guevara Hernández, Bernardo Sánchez Muñoz, </w:t>
      </w:r>
      <w:r>
        <w:rPr>
          <w:rFonts w:ascii="Cambria" w:hAnsi="Cambria"/>
          <w:i/>
          <w:color w:val="231F20"/>
          <w:sz w:val="18"/>
        </w:rPr>
        <w:t>Jorge L. Ruiz Rojas, Claudia Delgadillo Puga, Pascual Escobar  Solar,</w:t>
      </w:r>
    </w:p>
    <w:p>
      <w:pPr>
        <w:tabs>
          <w:tab w:pos="10071" w:val="left" w:leader="dot"/>
        </w:tabs>
        <w:spacing w:before="0"/>
        <w:ind w:left="2234" w:right="0" w:firstLine="0"/>
        <w:jc w:val="left"/>
        <w:rPr>
          <w:sz w:val="18"/>
        </w:rPr>
      </w:pPr>
      <w:r>
        <w:rPr>
          <w:rFonts w:ascii="Cambria" w:hAnsi="Cambria"/>
          <w:i/>
          <w:color w:val="231F20"/>
          <w:sz w:val="18"/>
        </w:rPr>
        <w:t>Miguel A. Orantes Zebadúa, Alberto Manzur Cruz y José L.  </w:t>
      </w:r>
      <w:r>
        <w:rPr>
          <w:rFonts w:ascii="Cambria" w:hAnsi="Cambria"/>
          <w:i/>
          <w:color w:val="231F20"/>
          <w:spacing w:val="31"/>
          <w:sz w:val="18"/>
        </w:rPr>
        <w:t> </w:t>
      </w:r>
      <w:r>
        <w:rPr>
          <w:rFonts w:ascii="Cambria" w:hAnsi="Cambria"/>
          <w:i/>
          <w:color w:val="231F20"/>
          <w:sz w:val="18"/>
        </w:rPr>
        <w:t>Cruz</w:t>
      </w:r>
      <w:r>
        <w:rPr>
          <w:rFonts w:ascii="Cambria" w:hAnsi="Cambria"/>
          <w:i/>
          <w:color w:val="231F20"/>
          <w:spacing w:val="11"/>
          <w:sz w:val="18"/>
        </w:rPr>
        <w:t> </w:t>
      </w:r>
      <w:r>
        <w:rPr>
          <w:rFonts w:ascii="Cambria" w:hAnsi="Cambria"/>
          <w:i/>
          <w:color w:val="231F20"/>
          <w:sz w:val="18"/>
        </w:rPr>
        <w:t>López</w:t>
      </w:r>
      <w:r>
        <w:rPr>
          <w:color w:val="231F20"/>
          <w:sz w:val="18"/>
        </w:rPr>
        <w:tab/>
      </w:r>
      <w:r>
        <w:rPr>
          <w:color w:val="231F20"/>
          <w:spacing w:val="-8"/>
          <w:sz w:val="18"/>
        </w:rPr>
        <w:t>87</w:t>
      </w:r>
    </w:p>
    <w:p>
      <w:pPr>
        <w:pStyle w:val="BodyText"/>
        <w:spacing w:before="8"/>
        <w:rPr>
          <w:sz w:val="12"/>
        </w:rPr>
      </w:pPr>
    </w:p>
    <w:p>
      <w:pPr>
        <w:pStyle w:val="Heading5"/>
        <w:spacing w:before="64"/>
        <w:ind w:right="1551"/>
      </w:pPr>
      <w:r>
        <w:rPr>
          <w:color w:val="231F20"/>
          <w:w w:val="96"/>
        </w:rPr>
        <w:t>v</w:t>
      </w:r>
    </w:p>
    <w:p>
      <w:pPr>
        <w:spacing w:after="0"/>
        <w:sectPr>
          <w:pgSz w:w="11900" w:h="14450"/>
          <w:pgMar w:header="0" w:footer="222" w:top="420" w:bottom="420" w:left="0" w:right="0"/>
        </w:sectPr>
      </w:pPr>
    </w:p>
    <w:p>
      <w:pPr>
        <w:pStyle w:val="BodyText"/>
      </w:pPr>
    </w:p>
    <w:p>
      <w:pPr>
        <w:pStyle w:val="BodyText"/>
      </w:pPr>
    </w:p>
    <w:p>
      <w:pPr>
        <w:pStyle w:val="BodyText"/>
        <w:rPr>
          <w:sz w:val="17"/>
        </w:rPr>
      </w:pPr>
    </w:p>
    <w:p>
      <w:pPr>
        <w:tabs>
          <w:tab w:pos="9296" w:val="left" w:leader="none"/>
        </w:tabs>
        <w:spacing w:before="64"/>
        <w:ind w:left="1551" w:right="0" w:firstLine="0"/>
        <w:jc w:val="left"/>
        <w:rPr>
          <w:sz w:val="18"/>
        </w:rPr>
      </w:pPr>
      <w:r>
        <w:rPr>
          <w:color w:val="231F20"/>
          <w:sz w:val="22"/>
        </w:rPr>
        <w:t>vi</w:t>
        <w:tab/>
      </w:r>
      <w:r>
        <w:rPr>
          <w:color w:val="231F20"/>
          <w:sz w:val="18"/>
        </w:rPr>
        <w:t>índice</w:t>
      </w:r>
      <w:r>
        <w:rPr>
          <w:color w:val="231F20"/>
          <w:spacing w:val="15"/>
          <w:sz w:val="18"/>
        </w:rPr>
        <w:t> </w:t>
      </w:r>
      <w:r>
        <w:rPr>
          <w:color w:val="231F20"/>
          <w:sz w:val="18"/>
        </w:rPr>
        <w:t>general</w:t>
      </w:r>
    </w:p>
    <w:p>
      <w:pPr>
        <w:pStyle w:val="ListParagraph"/>
        <w:numPr>
          <w:ilvl w:val="1"/>
          <w:numId w:val="1"/>
        </w:numPr>
        <w:tabs>
          <w:tab w:pos="2111" w:val="left" w:leader="none"/>
          <w:tab w:pos="10273" w:val="right" w:leader="dot"/>
        </w:tabs>
        <w:spacing w:line="240" w:lineRule="auto" w:before="345" w:after="0"/>
        <w:ind w:left="2110" w:right="0" w:hanging="216"/>
        <w:jc w:val="left"/>
        <w:rPr>
          <w:sz w:val="18"/>
        </w:rPr>
      </w:pPr>
      <w:r>
        <w:rPr>
          <w:color w:val="6D6E71"/>
          <w:w w:val="120"/>
          <w:sz w:val="20"/>
        </w:rPr>
        <w:t>S</w:t>
      </w:r>
      <w:r>
        <w:rPr>
          <w:color w:val="6D6E71"/>
          <w:w w:val="120"/>
          <w:sz w:val="14"/>
        </w:rPr>
        <w:t>iStemAS  de</w:t>
      </w:r>
      <w:r>
        <w:rPr>
          <w:color w:val="6D6E71"/>
          <w:spacing w:val="2"/>
          <w:w w:val="120"/>
          <w:sz w:val="14"/>
        </w:rPr>
        <w:t> </w:t>
      </w:r>
      <w:r>
        <w:rPr>
          <w:color w:val="6D6E71"/>
          <w:w w:val="120"/>
          <w:sz w:val="14"/>
        </w:rPr>
        <w:t>doBle</w:t>
      </w:r>
      <w:r>
        <w:rPr>
          <w:color w:val="6D6E71"/>
          <w:spacing w:val="20"/>
          <w:w w:val="120"/>
          <w:sz w:val="14"/>
        </w:rPr>
        <w:t> </w:t>
      </w:r>
      <w:r>
        <w:rPr>
          <w:color w:val="6D6E71"/>
          <w:w w:val="120"/>
          <w:sz w:val="14"/>
        </w:rPr>
        <w:t>propóSito</w:t>
      </w:r>
      <w:r>
        <w:rPr>
          <w:color w:val="231F20"/>
          <w:w w:val="120"/>
          <w:sz w:val="18"/>
        </w:rPr>
        <w:tab/>
      </w:r>
      <w:r>
        <w:rPr>
          <w:color w:val="231F20"/>
          <w:spacing w:val="-6"/>
          <w:w w:val="120"/>
          <w:sz w:val="18"/>
        </w:rPr>
        <w:t>101</w:t>
      </w:r>
    </w:p>
    <w:p>
      <w:pPr>
        <w:spacing w:before="168"/>
        <w:ind w:left="2234" w:right="2503" w:firstLine="0"/>
        <w:jc w:val="left"/>
        <w:rPr>
          <w:sz w:val="18"/>
        </w:rPr>
      </w:pPr>
      <w:r>
        <w:rPr>
          <w:color w:val="231F20"/>
          <w:w w:val="110"/>
          <w:sz w:val="18"/>
        </w:rPr>
        <w:t>CAPÍTULO 7</w:t>
      </w:r>
    </w:p>
    <w:p>
      <w:pPr>
        <w:spacing w:before="60"/>
        <w:ind w:left="2234" w:right="2503" w:firstLine="0"/>
        <w:jc w:val="left"/>
        <w:rPr>
          <w:sz w:val="18"/>
        </w:rPr>
      </w:pPr>
      <w:r>
        <w:rPr>
          <w:color w:val="231F20"/>
          <w:w w:val="110"/>
          <w:sz w:val="18"/>
        </w:rPr>
        <w:t>LA PRODUCCIÓN DE BOVINOS DE DOBLE PROPÓSITO EN EL TRÓPICO SECO</w:t>
      </w:r>
    </w:p>
    <w:p>
      <w:pPr>
        <w:spacing w:before="4"/>
        <w:ind w:left="2234" w:right="2503" w:firstLine="0"/>
        <w:jc w:val="left"/>
        <w:rPr>
          <w:sz w:val="18"/>
        </w:rPr>
      </w:pPr>
      <w:r>
        <w:rPr>
          <w:color w:val="231F20"/>
          <w:w w:val="105"/>
          <w:sz w:val="18"/>
        </w:rPr>
        <w:t>DEL CENTRO DE MÉXICO Y SU CONTRIBUCIÓN AL DESARROLLO RURAL    SUSTENTABLE</w:t>
      </w:r>
    </w:p>
    <w:p>
      <w:pPr>
        <w:spacing w:before="61"/>
        <w:ind w:left="2234" w:right="2503" w:firstLine="0"/>
        <w:jc w:val="left"/>
        <w:rPr>
          <w:rFonts w:ascii="Cambria" w:hAnsi="Cambria"/>
          <w:i/>
          <w:sz w:val="18"/>
        </w:rPr>
      </w:pPr>
      <w:r>
        <w:rPr>
          <w:rFonts w:ascii="Cambria" w:hAnsi="Cambria"/>
          <w:i/>
          <w:color w:val="231F20"/>
          <w:sz w:val="18"/>
        </w:rPr>
        <w:t>Benito Albarrán Portillo, Francisca Avilés Nova, Anastacio García Martínez,</w:t>
      </w:r>
    </w:p>
    <w:p>
      <w:pPr>
        <w:tabs>
          <w:tab w:pos="10266" w:val="right" w:leader="dot"/>
        </w:tabs>
        <w:spacing w:before="12"/>
        <w:ind w:left="2234" w:right="0" w:firstLine="0"/>
        <w:jc w:val="left"/>
        <w:rPr>
          <w:sz w:val="18"/>
        </w:rPr>
      </w:pPr>
      <w:r>
        <w:rPr>
          <w:rFonts w:ascii="Cambria"/>
          <w:i/>
          <w:color w:val="231F20"/>
          <w:sz w:val="18"/>
        </w:rPr>
        <w:t>Samuel Rebollar Rebollar, Arturo Ortiz Rodea e Isela G.  </w:t>
      </w:r>
      <w:r>
        <w:rPr>
          <w:rFonts w:ascii="Cambria"/>
          <w:i/>
          <w:color w:val="231F20"/>
          <w:spacing w:val="32"/>
          <w:sz w:val="18"/>
        </w:rPr>
        <w:t> </w:t>
      </w:r>
      <w:r>
        <w:rPr>
          <w:rFonts w:ascii="Cambria"/>
          <w:i/>
          <w:color w:val="231F20"/>
          <w:sz w:val="18"/>
        </w:rPr>
        <w:t>Salas</w:t>
      </w:r>
      <w:r>
        <w:rPr>
          <w:rFonts w:ascii="Cambria"/>
          <w:i/>
          <w:color w:val="231F20"/>
          <w:spacing w:val="12"/>
          <w:sz w:val="18"/>
        </w:rPr>
        <w:t> </w:t>
      </w:r>
      <w:r>
        <w:rPr>
          <w:rFonts w:ascii="Cambria"/>
          <w:i/>
          <w:color w:val="231F20"/>
          <w:sz w:val="18"/>
        </w:rPr>
        <w:t>Reyes</w:t>
      </w:r>
      <w:r>
        <w:rPr>
          <w:color w:val="231F20"/>
          <w:sz w:val="18"/>
        </w:rPr>
        <w:tab/>
      </w:r>
      <w:r>
        <w:rPr>
          <w:color w:val="231F20"/>
          <w:spacing w:val="-8"/>
          <w:sz w:val="18"/>
        </w:rPr>
        <w:t>101</w:t>
      </w:r>
    </w:p>
    <w:p>
      <w:pPr>
        <w:pStyle w:val="ListParagraph"/>
        <w:numPr>
          <w:ilvl w:val="0"/>
          <w:numId w:val="2"/>
        </w:numPr>
        <w:tabs>
          <w:tab w:pos="2115" w:val="left" w:leader="none"/>
          <w:tab w:pos="10273" w:val="right" w:leader="dot"/>
        </w:tabs>
        <w:spacing w:line="240" w:lineRule="auto" w:before="118" w:after="0"/>
        <w:ind w:left="2114" w:right="0" w:hanging="220"/>
        <w:jc w:val="left"/>
        <w:rPr>
          <w:sz w:val="18"/>
        </w:rPr>
      </w:pPr>
      <w:r>
        <w:rPr>
          <w:color w:val="6D6E71"/>
          <w:w w:val="120"/>
          <w:sz w:val="20"/>
        </w:rPr>
        <w:t>S</w:t>
      </w:r>
      <w:r>
        <w:rPr>
          <w:color w:val="6D6E71"/>
          <w:w w:val="120"/>
          <w:sz w:val="14"/>
        </w:rPr>
        <w:t>iStemAS de BovinoS productoreS  </w:t>
      </w:r>
      <w:r>
        <w:rPr>
          <w:color w:val="6D6E71"/>
          <w:spacing w:val="6"/>
          <w:w w:val="120"/>
          <w:sz w:val="14"/>
        </w:rPr>
        <w:t> </w:t>
      </w:r>
      <w:r>
        <w:rPr>
          <w:color w:val="6D6E71"/>
          <w:w w:val="120"/>
          <w:sz w:val="14"/>
        </w:rPr>
        <w:t>de</w:t>
      </w:r>
      <w:r>
        <w:rPr>
          <w:color w:val="6D6E71"/>
          <w:spacing w:val="20"/>
          <w:w w:val="120"/>
          <w:sz w:val="14"/>
        </w:rPr>
        <w:t> </w:t>
      </w:r>
      <w:r>
        <w:rPr>
          <w:color w:val="6D6E71"/>
          <w:w w:val="120"/>
          <w:sz w:val="14"/>
        </w:rPr>
        <w:t>cArne</w:t>
      </w:r>
      <w:r>
        <w:rPr>
          <w:color w:val="231F20"/>
          <w:w w:val="120"/>
          <w:sz w:val="18"/>
        </w:rPr>
        <w:tab/>
      </w:r>
      <w:r>
        <w:rPr>
          <w:color w:val="231F20"/>
          <w:spacing w:val="-6"/>
          <w:w w:val="120"/>
          <w:sz w:val="18"/>
        </w:rPr>
        <w:t>119</w:t>
      </w:r>
    </w:p>
    <w:p>
      <w:pPr>
        <w:spacing w:before="168"/>
        <w:ind w:left="2234" w:right="2503" w:firstLine="0"/>
        <w:jc w:val="left"/>
        <w:rPr>
          <w:sz w:val="18"/>
        </w:rPr>
      </w:pPr>
      <w:r>
        <w:rPr>
          <w:color w:val="231F20"/>
          <w:w w:val="110"/>
          <w:sz w:val="18"/>
        </w:rPr>
        <w:t>CAPÍTULO 8</w:t>
      </w:r>
    </w:p>
    <w:p>
      <w:pPr>
        <w:spacing w:line="244" w:lineRule="auto" w:before="60"/>
        <w:ind w:left="2234" w:right="2503" w:firstLine="0"/>
        <w:jc w:val="left"/>
        <w:rPr>
          <w:sz w:val="18"/>
        </w:rPr>
      </w:pPr>
      <w:r>
        <w:rPr>
          <w:color w:val="231F20"/>
          <w:w w:val="105"/>
          <w:sz w:val="18"/>
        </w:rPr>
        <w:t>LA PRODUCCIÓN DE BOVINOS PARA CARNE Y SU IMPORTANCIA EN EL DESARROLLO RURAL EN EL TRÓPICO SECO DEL ESTADO  DE  MÉXICO</w:t>
      </w:r>
    </w:p>
    <w:p>
      <w:pPr>
        <w:spacing w:before="56"/>
        <w:ind w:left="2234" w:right="2503" w:firstLine="0"/>
        <w:jc w:val="left"/>
        <w:rPr>
          <w:rFonts w:ascii="Cambria" w:hAnsi="Cambria"/>
          <w:i/>
          <w:sz w:val="18"/>
        </w:rPr>
      </w:pPr>
      <w:r>
        <w:rPr>
          <w:rFonts w:ascii="Cambria" w:hAnsi="Cambria"/>
          <w:i/>
          <w:color w:val="231F20"/>
          <w:sz w:val="18"/>
        </w:rPr>
        <w:t>Anastacio García Martínez, Benito Albarrán Portillo, Samuel Rebollar Rebollar</w:t>
      </w:r>
    </w:p>
    <w:p>
      <w:pPr>
        <w:tabs>
          <w:tab w:pos="9973" w:val="left" w:leader="dot"/>
        </w:tabs>
        <w:spacing w:before="12"/>
        <w:ind w:left="2234" w:right="0" w:firstLine="0"/>
        <w:jc w:val="left"/>
        <w:rPr>
          <w:sz w:val="18"/>
        </w:rPr>
      </w:pPr>
      <w:r>
        <w:rPr>
          <w:rFonts w:ascii="Cambria"/>
          <w:i/>
          <w:color w:val="231F20"/>
          <w:w w:val="105"/>
          <w:sz w:val="18"/>
        </w:rPr>
        <w:t>y Cristina Campuzano</w:t>
      </w:r>
      <w:r>
        <w:rPr>
          <w:rFonts w:ascii="Cambria"/>
          <w:i/>
          <w:color w:val="231F20"/>
          <w:spacing w:val="-12"/>
          <w:w w:val="105"/>
          <w:sz w:val="18"/>
        </w:rPr>
        <w:t> </w:t>
      </w:r>
      <w:r>
        <w:rPr>
          <w:rFonts w:ascii="Cambria"/>
          <w:i/>
          <w:color w:val="231F20"/>
          <w:w w:val="105"/>
          <w:sz w:val="18"/>
        </w:rPr>
        <w:t>de</w:t>
      </w:r>
      <w:r>
        <w:rPr>
          <w:rFonts w:ascii="Cambria"/>
          <w:i/>
          <w:color w:val="231F20"/>
          <w:spacing w:val="-4"/>
          <w:w w:val="105"/>
          <w:sz w:val="18"/>
        </w:rPr>
        <w:t> </w:t>
      </w:r>
      <w:r>
        <w:rPr>
          <w:rFonts w:ascii="Cambria"/>
          <w:i/>
          <w:color w:val="231F20"/>
          <w:w w:val="105"/>
          <w:sz w:val="18"/>
        </w:rPr>
        <w:t>Nova</w:t>
      </w:r>
      <w:r>
        <w:rPr>
          <w:color w:val="231F20"/>
          <w:w w:val="105"/>
          <w:sz w:val="18"/>
        </w:rPr>
        <w:tab/>
      </w:r>
      <w:r>
        <w:rPr>
          <w:color w:val="231F20"/>
          <w:spacing w:val="-8"/>
          <w:w w:val="105"/>
          <w:sz w:val="18"/>
        </w:rPr>
        <w:t>119</w:t>
      </w:r>
    </w:p>
    <w:p>
      <w:pPr>
        <w:pStyle w:val="BodyText"/>
        <w:spacing w:before="6"/>
        <w:rPr>
          <w:sz w:val="23"/>
        </w:rPr>
      </w:pPr>
    </w:p>
    <w:p>
      <w:pPr>
        <w:spacing w:before="0"/>
        <w:ind w:left="1553" w:right="2503" w:firstLine="0"/>
        <w:jc w:val="left"/>
        <w:rPr>
          <w:sz w:val="18"/>
        </w:rPr>
      </w:pPr>
      <w:r>
        <w:rPr>
          <w:color w:val="231F20"/>
          <w:w w:val="115"/>
          <w:sz w:val="18"/>
        </w:rPr>
        <w:t>SECCIÓN 3</w:t>
      </w:r>
    </w:p>
    <w:p>
      <w:pPr>
        <w:tabs>
          <w:tab w:pos="9969" w:val="left" w:leader="dot"/>
        </w:tabs>
        <w:spacing w:before="4"/>
        <w:ind w:left="1553" w:right="0" w:firstLine="0"/>
        <w:jc w:val="left"/>
        <w:rPr>
          <w:sz w:val="18"/>
        </w:rPr>
      </w:pPr>
      <w:r>
        <w:rPr>
          <w:color w:val="231F20"/>
          <w:sz w:val="18"/>
        </w:rPr>
        <w:t>Producción</w:t>
      </w:r>
      <w:r>
        <w:rPr>
          <w:color w:val="231F20"/>
          <w:spacing w:val="14"/>
          <w:sz w:val="18"/>
        </w:rPr>
        <w:t> </w:t>
      </w:r>
      <w:r>
        <w:rPr>
          <w:color w:val="231F20"/>
          <w:sz w:val="18"/>
        </w:rPr>
        <w:t>de</w:t>
      </w:r>
      <w:r>
        <w:rPr>
          <w:color w:val="231F20"/>
          <w:spacing w:val="14"/>
          <w:sz w:val="18"/>
        </w:rPr>
        <w:t> </w:t>
      </w:r>
      <w:r>
        <w:rPr>
          <w:color w:val="231F20"/>
          <w:sz w:val="18"/>
        </w:rPr>
        <w:t>pequeños</w:t>
      </w:r>
      <w:r>
        <w:rPr>
          <w:color w:val="231F20"/>
          <w:spacing w:val="14"/>
          <w:sz w:val="18"/>
        </w:rPr>
        <w:t> </w:t>
      </w:r>
      <w:r>
        <w:rPr>
          <w:color w:val="231F20"/>
          <w:sz w:val="18"/>
        </w:rPr>
        <w:t>rumiantes</w:t>
      </w:r>
      <w:r>
        <w:rPr>
          <w:color w:val="231F20"/>
          <w:spacing w:val="14"/>
          <w:sz w:val="18"/>
        </w:rPr>
        <w:t> </w:t>
      </w:r>
      <w:r>
        <w:rPr>
          <w:color w:val="231F20"/>
          <w:sz w:val="18"/>
        </w:rPr>
        <w:t>en</w:t>
      </w:r>
      <w:r>
        <w:rPr>
          <w:color w:val="231F20"/>
          <w:spacing w:val="14"/>
          <w:sz w:val="18"/>
        </w:rPr>
        <w:t> </w:t>
      </w:r>
      <w:r>
        <w:rPr>
          <w:color w:val="231F20"/>
          <w:sz w:val="18"/>
        </w:rPr>
        <w:t>pequeña</w:t>
      </w:r>
      <w:r>
        <w:rPr>
          <w:color w:val="231F20"/>
          <w:spacing w:val="14"/>
          <w:sz w:val="18"/>
        </w:rPr>
        <w:t> </w:t>
      </w:r>
      <w:r>
        <w:rPr>
          <w:color w:val="231F20"/>
          <w:sz w:val="18"/>
        </w:rPr>
        <w:t>escala</w:t>
      </w:r>
      <w:r>
        <w:rPr>
          <w:color w:val="231F20"/>
          <w:spacing w:val="14"/>
          <w:sz w:val="18"/>
        </w:rPr>
        <w:t> </w:t>
      </w:r>
      <w:r>
        <w:rPr>
          <w:color w:val="231F20"/>
          <w:sz w:val="18"/>
        </w:rPr>
        <w:t>y</w:t>
      </w:r>
      <w:r>
        <w:rPr>
          <w:color w:val="231F20"/>
          <w:spacing w:val="14"/>
          <w:sz w:val="18"/>
        </w:rPr>
        <w:t> </w:t>
      </w:r>
      <w:r>
        <w:rPr>
          <w:color w:val="231F20"/>
          <w:sz w:val="18"/>
        </w:rPr>
        <w:t>su</w:t>
      </w:r>
      <w:r>
        <w:rPr>
          <w:color w:val="231F20"/>
          <w:spacing w:val="14"/>
          <w:sz w:val="18"/>
        </w:rPr>
        <w:t> </w:t>
      </w:r>
      <w:r>
        <w:rPr>
          <w:color w:val="231F20"/>
          <w:sz w:val="18"/>
        </w:rPr>
        <w:t>contribución</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desarrollo</w:t>
      </w:r>
      <w:r>
        <w:rPr>
          <w:color w:val="231F20"/>
          <w:spacing w:val="14"/>
          <w:sz w:val="18"/>
        </w:rPr>
        <w:t> </w:t>
      </w:r>
      <w:r>
        <w:rPr>
          <w:color w:val="231F20"/>
          <w:sz w:val="18"/>
        </w:rPr>
        <w:t>rural</w:t>
        <w:tab/>
      </w:r>
      <w:r>
        <w:rPr>
          <w:color w:val="231F20"/>
          <w:spacing w:val="-4"/>
          <w:sz w:val="18"/>
        </w:rPr>
        <w:t>139</w:t>
      </w:r>
    </w:p>
    <w:p>
      <w:pPr>
        <w:pStyle w:val="ListParagraph"/>
        <w:numPr>
          <w:ilvl w:val="1"/>
          <w:numId w:val="2"/>
        </w:numPr>
        <w:tabs>
          <w:tab w:pos="2107" w:val="left" w:leader="none"/>
          <w:tab w:pos="9973" w:val="left" w:leader="dot"/>
        </w:tabs>
        <w:spacing w:line="240" w:lineRule="auto" w:before="118" w:after="0"/>
        <w:ind w:left="2106" w:right="0" w:hanging="212"/>
        <w:jc w:val="left"/>
        <w:rPr>
          <w:sz w:val="18"/>
        </w:rPr>
      </w:pPr>
      <w:r>
        <w:rPr>
          <w:color w:val="6D6E71"/>
          <w:w w:val="120"/>
          <w:sz w:val="20"/>
        </w:rPr>
        <w:t>S</w:t>
      </w:r>
      <w:r>
        <w:rPr>
          <w:color w:val="6D6E71"/>
          <w:w w:val="120"/>
          <w:sz w:val="14"/>
        </w:rPr>
        <w:t>iStemAS  productoreS</w:t>
      </w:r>
      <w:r>
        <w:rPr>
          <w:color w:val="6D6E71"/>
          <w:spacing w:val="21"/>
          <w:w w:val="120"/>
          <w:sz w:val="14"/>
        </w:rPr>
        <w:t> </w:t>
      </w:r>
      <w:r>
        <w:rPr>
          <w:color w:val="6D6E71"/>
          <w:w w:val="120"/>
          <w:sz w:val="14"/>
        </w:rPr>
        <w:t>de</w:t>
      </w:r>
      <w:r>
        <w:rPr>
          <w:color w:val="6D6E71"/>
          <w:spacing w:val="29"/>
          <w:w w:val="120"/>
          <w:sz w:val="14"/>
        </w:rPr>
        <w:t> </w:t>
      </w:r>
      <w:r>
        <w:rPr>
          <w:color w:val="6D6E71"/>
          <w:w w:val="120"/>
          <w:sz w:val="14"/>
        </w:rPr>
        <w:t>ovinoS</w:t>
      </w:r>
      <w:r>
        <w:rPr>
          <w:color w:val="231F20"/>
          <w:w w:val="120"/>
          <w:sz w:val="18"/>
        </w:rPr>
        <w:tab/>
      </w:r>
      <w:r>
        <w:rPr>
          <w:color w:val="231F20"/>
          <w:spacing w:val="-6"/>
          <w:w w:val="120"/>
          <w:sz w:val="18"/>
        </w:rPr>
        <w:t>141</w:t>
      </w:r>
    </w:p>
    <w:p>
      <w:pPr>
        <w:spacing w:before="168"/>
        <w:ind w:left="2234" w:right="2503" w:firstLine="0"/>
        <w:jc w:val="left"/>
        <w:rPr>
          <w:sz w:val="18"/>
        </w:rPr>
      </w:pPr>
      <w:r>
        <w:rPr>
          <w:color w:val="231F20"/>
          <w:w w:val="110"/>
          <w:sz w:val="18"/>
        </w:rPr>
        <w:t>CAPÍTULO 9</w:t>
      </w:r>
    </w:p>
    <w:p>
      <w:pPr>
        <w:spacing w:line="244" w:lineRule="auto" w:before="60"/>
        <w:ind w:left="2234" w:right="3664" w:firstLine="0"/>
        <w:jc w:val="left"/>
        <w:rPr>
          <w:sz w:val="18"/>
        </w:rPr>
      </w:pPr>
      <w:r>
        <w:rPr>
          <w:color w:val="231F20"/>
          <w:w w:val="105"/>
          <w:sz w:val="18"/>
        </w:rPr>
        <w:t>LA PRODUCCIÓN DE OVINOS EN EL PARQUE NACIONAL NEVADO DE TOLUCA. EL CASO DE AGUA BLANCA, ZINACANTEPEC, ESTADO DE  MÉXICO</w:t>
      </w:r>
    </w:p>
    <w:p>
      <w:pPr>
        <w:tabs>
          <w:tab w:pos="9973" w:val="left" w:leader="dot"/>
        </w:tabs>
        <w:spacing w:before="56"/>
        <w:ind w:left="2234" w:right="0" w:firstLine="0"/>
        <w:jc w:val="left"/>
        <w:rPr>
          <w:sz w:val="18"/>
        </w:rPr>
      </w:pPr>
      <w:r>
        <w:rPr>
          <w:rFonts w:ascii="Cambria" w:hAnsi="Cambria"/>
          <w:i/>
          <w:color w:val="231F20"/>
          <w:sz w:val="18"/>
        </w:rPr>
        <w:t>Ana Laura Esquivel Domínguez y Julieta Gertrudis</w:t>
      </w:r>
      <w:r>
        <w:rPr>
          <w:rFonts w:ascii="Cambria" w:hAnsi="Cambria"/>
          <w:i/>
          <w:color w:val="231F20"/>
          <w:spacing w:val="24"/>
          <w:sz w:val="18"/>
        </w:rPr>
        <w:t> </w:t>
      </w:r>
      <w:r>
        <w:rPr>
          <w:rFonts w:ascii="Cambria" w:hAnsi="Cambria"/>
          <w:i/>
          <w:color w:val="231F20"/>
          <w:sz w:val="18"/>
        </w:rPr>
        <w:t>Estrada</w:t>
      </w:r>
      <w:r>
        <w:rPr>
          <w:rFonts w:ascii="Cambria" w:hAnsi="Cambria"/>
          <w:i/>
          <w:color w:val="231F20"/>
          <w:spacing w:val="3"/>
          <w:sz w:val="18"/>
        </w:rPr>
        <w:t> </w:t>
      </w:r>
      <w:r>
        <w:rPr>
          <w:rFonts w:ascii="Cambria" w:hAnsi="Cambria"/>
          <w:i/>
          <w:color w:val="231F20"/>
          <w:sz w:val="18"/>
        </w:rPr>
        <w:t>Flores</w:t>
      </w:r>
      <w:r>
        <w:rPr>
          <w:color w:val="231F20"/>
          <w:sz w:val="18"/>
        </w:rPr>
        <w:tab/>
      </w:r>
      <w:r>
        <w:rPr>
          <w:color w:val="231F20"/>
          <w:spacing w:val="-8"/>
          <w:sz w:val="18"/>
        </w:rPr>
        <w:t>141</w:t>
      </w:r>
    </w:p>
    <w:p>
      <w:pPr>
        <w:pStyle w:val="BodyText"/>
        <w:spacing w:before="3"/>
        <w:rPr>
          <w:sz w:val="14"/>
        </w:rPr>
      </w:pPr>
    </w:p>
    <w:p>
      <w:pPr>
        <w:spacing w:before="0"/>
        <w:ind w:left="2234" w:right="2503" w:firstLine="0"/>
        <w:jc w:val="left"/>
        <w:rPr>
          <w:sz w:val="18"/>
        </w:rPr>
      </w:pPr>
      <w:r>
        <w:rPr>
          <w:color w:val="231F20"/>
          <w:w w:val="110"/>
          <w:sz w:val="18"/>
        </w:rPr>
        <w:t>CAPÍTULO 10</w:t>
      </w:r>
    </w:p>
    <w:p>
      <w:pPr>
        <w:spacing w:before="60"/>
        <w:ind w:left="2234" w:right="2503" w:firstLine="0"/>
        <w:jc w:val="left"/>
        <w:rPr>
          <w:sz w:val="18"/>
        </w:rPr>
      </w:pPr>
      <w:r>
        <w:rPr>
          <w:color w:val="231F20"/>
          <w:w w:val="105"/>
          <w:sz w:val="18"/>
        </w:rPr>
        <w:t>LA OVINOCULTURA DEL NEVADO DE TOLUCA: FACTOR DE  DETERIORO</w:t>
      </w:r>
    </w:p>
    <w:p>
      <w:pPr>
        <w:spacing w:before="4"/>
        <w:ind w:left="2234" w:right="2503" w:firstLine="0"/>
        <w:jc w:val="left"/>
        <w:rPr>
          <w:sz w:val="18"/>
        </w:rPr>
      </w:pPr>
      <w:r>
        <w:rPr>
          <w:color w:val="231F20"/>
          <w:w w:val="105"/>
          <w:sz w:val="18"/>
        </w:rPr>
        <w:t>O ELEMENTO DE DESARROLLO Y MANEJO AMBIENTAL EN ZONAS NATURALES PROTEGIDAS</w:t>
      </w:r>
    </w:p>
    <w:p>
      <w:pPr>
        <w:tabs>
          <w:tab w:pos="9973" w:val="left" w:leader="dot"/>
        </w:tabs>
        <w:spacing w:before="60"/>
        <w:ind w:left="2234" w:right="0" w:firstLine="0"/>
        <w:jc w:val="left"/>
        <w:rPr>
          <w:sz w:val="18"/>
        </w:rPr>
      </w:pPr>
      <w:r>
        <w:rPr>
          <w:rFonts w:ascii="Cambria" w:hAnsi="Cambria"/>
          <w:i/>
          <w:color w:val="231F20"/>
          <w:spacing w:val="-4"/>
          <w:sz w:val="18"/>
        </w:rPr>
        <w:t>Gustavo Maldonado-Ferrucho, Sergio Franco-Maass, Gabino Nava-Bernal </w:t>
      </w:r>
      <w:r>
        <w:rPr>
          <w:rFonts w:ascii="Cambria" w:hAnsi="Cambria"/>
          <w:i/>
          <w:color w:val="231F20"/>
          <w:sz w:val="18"/>
        </w:rPr>
        <w:t>y </w:t>
      </w:r>
      <w:r>
        <w:rPr>
          <w:rFonts w:ascii="Cambria" w:hAnsi="Cambria"/>
          <w:i/>
          <w:color w:val="231F20"/>
          <w:spacing w:val="11"/>
          <w:sz w:val="18"/>
        </w:rPr>
        <w:t> </w:t>
      </w:r>
      <w:r>
        <w:rPr>
          <w:rFonts w:ascii="Cambria" w:hAnsi="Cambria"/>
          <w:i/>
          <w:color w:val="231F20"/>
          <w:sz w:val="18"/>
        </w:rPr>
        <w:t>Anastacio</w:t>
      </w:r>
      <w:r>
        <w:rPr>
          <w:rFonts w:ascii="Cambria" w:hAnsi="Cambria"/>
          <w:i/>
          <w:color w:val="231F20"/>
          <w:spacing w:val="7"/>
          <w:sz w:val="18"/>
        </w:rPr>
        <w:t> </w:t>
      </w:r>
      <w:r>
        <w:rPr>
          <w:rFonts w:ascii="Cambria" w:hAnsi="Cambria"/>
          <w:i/>
          <w:color w:val="231F20"/>
          <w:spacing w:val="-4"/>
          <w:sz w:val="18"/>
        </w:rPr>
        <w:t>García-Martínez</w:t>
      </w:r>
      <w:r>
        <w:rPr>
          <w:color w:val="231F20"/>
          <w:spacing w:val="-4"/>
          <w:sz w:val="18"/>
        </w:rPr>
        <w:tab/>
      </w:r>
      <w:r>
        <w:rPr>
          <w:color w:val="231F20"/>
          <w:spacing w:val="-5"/>
          <w:sz w:val="18"/>
        </w:rPr>
        <w:t>149</w:t>
      </w:r>
    </w:p>
    <w:p>
      <w:pPr>
        <w:pStyle w:val="BodyText"/>
        <w:spacing w:before="3"/>
        <w:rPr>
          <w:sz w:val="14"/>
        </w:rPr>
      </w:pPr>
    </w:p>
    <w:p>
      <w:pPr>
        <w:spacing w:before="0"/>
        <w:ind w:left="2234" w:right="2503" w:firstLine="0"/>
        <w:jc w:val="left"/>
        <w:rPr>
          <w:sz w:val="18"/>
        </w:rPr>
      </w:pPr>
      <w:r>
        <w:rPr>
          <w:color w:val="231F20"/>
          <w:w w:val="110"/>
          <w:sz w:val="18"/>
        </w:rPr>
        <w:t>CAPÍTULO 11</w:t>
      </w:r>
    </w:p>
    <w:p>
      <w:pPr>
        <w:spacing w:line="244" w:lineRule="auto" w:before="60"/>
        <w:ind w:left="2234" w:right="4490" w:firstLine="0"/>
        <w:jc w:val="left"/>
        <w:rPr>
          <w:sz w:val="18"/>
        </w:rPr>
      </w:pPr>
      <w:r>
        <w:rPr>
          <w:color w:val="231F20"/>
          <w:w w:val="105"/>
          <w:sz w:val="18"/>
        </w:rPr>
        <w:t>CARACTERIZACIÓN DE LAS ZONAS BORREGUERAS DE MICHOACÁN Y SUS IMPLICACIONES </w:t>
      </w:r>
      <w:r>
        <w:rPr>
          <w:color w:val="231F20"/>
          <w:spacing w:val="-3"/>
          <w:w w:val="105"/>
          <w:sz w:val="18"/>
        </w:rPr>
        <w:t>PARA </w:t>
      </w:r>
      <w:r>
        <w:rPr>
          <w:color w:val="231F20"/>
          <w:w w:val="105"/>
          <w:sz w:val="18"/>
        </w:rPr>
        <w:t>EL DESARROLLO </w:t>
      </w:r>
      <w:r>
        <w:rPr>
          <w:color w:val="231F20"/>
          <w:spacing w:val="38"/>
          <w:w w:val="105"/>
          <w:sz w:val="18"/>
        </w:rPr>
        <w:t> </w:t>
      </w:r>
      <w:r>
        <w:rPr>
          <w:color w:val="231F20"/>
          <w:w w:val="105"/>
          <w:sz w:val="18"/>
        </w:rPr>
        <w:t>RURAL</w:t>
      </w:r>
    </w:p>
    <w:p>
      <w:pPr>
        <w:spacing w:before="56"/>
        <w:ind w:left="2234" w:right="2503" w:firstLine="0"/>
        <w:jc w:val="left"/>
        <w:rPr>
          <w:rFonts w:ascii="Cambria" w:hAnsi="Cambria"/>
          <w:i/>
          <w:sz w:val="18"/>
        </w:rPr>
      </w:pPr>
      <w:r>
        <w:rPr>
          <w:rFonts w:ascii="Cambria" w:hAnsi="Cambria"/>
          <w:i/>
          <w:color w:val="231F20"/>
          <w:w w:val="105"/>
          <w:sz w:val="18"/>
        </w:rPr>
        <w:t>María Guadalupe Josefina Nuncio Ochoa, José Nahed Toral, José Herrera Camacho,</w:t>
      </w:r>
    </w:p>
    <w:p>
      <w:pPr>
        <w:tabs>
          <w:tab w:pos="9969" w:val="left" w:leader="dot"/>
        </w:tabs>
        <w:spacing w:before="12"/>
        <w:ind w:left="2234" w:right="0" w:firstLine="0"/>
        <w:jc w:val="left"/>
        <w:rPr>
          <w:sz w:val="18"/>
        </w:rPr>
      </w:pPr>
      <w:r>
        <w:rPr>
          <w:rFonts w:ascii="Cambria" w:hAnsi="Cambria"/>
          <w:i/>
          <w:color w:val="231F20"/>
          <w:sz w:val="18"/>
        </w:rPr>
        <w:t>Vicente Salinas Melgoza, Carlos Manuel Arriaga Jordán y Ernesto  </w:t>
      </w:r>
      <w:r>
        <w:rPr>
          <w:rFonts w:ascii="Cambria" w:hAnsi="Cambria"/>
          <w:i/>
          <w:color w:val="231F20"/>
          <w:spacing w:val="3"/>
          <w:sz w:val="18"/>
        </w:rPr>
        <w:t> </w:t>
      </w:r>
      <w:r>
        <w:rPr>
          <w:rFonts w:ascii="Cambria" w:hAnsi="Cambria"/>
          <w:i/>
          <w:color w:val="231F20"/>
          <w:sz w:val="18"/>
        </w:rPr>
        <w:t>Sánchez</w:t>
      </w:r>
      <w:r>
        <w:rPr>
          <w:rFonts w:ascii="Cambria" w:hAnsi="Cambria"/>
          <w:i/>
          <w:color w:val="231F20"/>
          <w:spacing w:val="9"/>
          <w:sz w:val="18"/>
        </w:rPr>
        <w:t> </w:t>
      </w:r>
      <w:r>
        <w:rPr>
          <w:rFonts w:ascii="Cambria" w:hAnsi="Cambria"/>
          <w:i/>
          <w:color w:val="231F20"/>
          <w:sz w:val="18"/>
        </w:rPr>
        <w:t>Vera</w:t>
      </w:r>
      <w:r>
        <w:rPr>
          <w:color w:val="231F20"/>
          <w:sz w:val="18"/>
        </w:rPr>
        <w:tab/>
      </w:r>
      <w:r>
        <w:rPr>
          <w:color w:val="231F20"/>
          <w:spacing w:val="-4"/>
          <w:sz w:val="18"/>
        </w:rPr>
        <w:t>167</w:t>
      </w:r>
    </w:p>
    <w:p>
      <w:pPr>
        <w:pStyle w:val="BodyText"/>
        <w:spacing w:before="3"/>
        <w:rPr>
          <w:sz w:val="14"/>
        </w:rPr>
      </w:pPr>
    </w:p>
    <w:p>
      <w:pPr>
        <w:spacing w:before="0"/>
        <w:ind w:left="2234" w:right="2503" w:firstLine="0"/>
        <w:jc w:val="left"/>
        <w:rPr>
          <w:sz w:val="18"/>
        </w:rPr>
      </w:pPr>
      <w:r>
        <w:rPr>
          <w:color w:val="231F20"/>
          <w:w w:val="110"/>
          <w:sz w:val="18"/>
        </w:rPr>
        <w:t>CAPÍTULO 12</w:t>
      </w:r>
    </w:p>
    <w:p>
      <w:pPr>
        <w:spacing w:line="244" w:lineRule="auto" w:before="60"/>
        <w:ind w:left="2234" w:right="3345" w:firstLine="0"/>
        <w:jc w:val="left"/>
        <w:rPr>
          <w:sz w:val="18"/>
        </w:rPr>
      </w:pPr>
      <w:r>
        <w:rPr>
          <w:color w:val="231F20"/>
          <w:w w:val="105"/>
          <w:sz w:val="18"/>
        </w:rPr>
        <w:t>INNOVACIÓN TECNOLÓGICA EN SISTEMAS CAMPESINOS DE PRODUCCIÓN OVINA EN EL ESTADO DE MICHOACÁN Y SU CONTRIBUCIÓN AL DESARROLLO    RURAL</w:t>
      </w:r>
    </w:p>
    <w:p>
      <w:pPr>
        <w:tabs>
          <w:tab w:pos="9973" w:val="left" w:leader="dot"/>
        </w:tabs>
        <w:spacing w:before="56"/>
        <w:ind w:left="2234" w:right="0" w:firstLine="0"/>
        <w:jc w:val="left"/>
        <w:rPr>
          <w:sz w:val="18"/>
        </w:rPr>
      </w:pPr>
      <w:r>
        <w:rPr>
          <w:rFonts w:ascii="Cambria" w:hAnsi="Cambria"/>
          <w:i/>
          <w:color w:val="231F20"/>
          <w:sz w:val="18"/>
        </w:rPr>
        <w:t>Mauricio Perea Peña, Angélica Espinoza Ortega y Ernesto </w:t>
      </w:r>
      <w:r>
        <w:rPr>
          <w:rFonts w:ascii="Cambria" w:hAnsi="Cambria"/>
          <w:i/>
          <w:color w:val="231F20"/>
          <w:spacing w:val="36"/>
          <w:sz w:val="18"/>
        </w:rPr>
        <w:t> </w:t>
      </w:r>
      <w:r>
        <w:rPr>
          <w:rFonts w:ascii="Cambria" w:hAnsi="Cambria"/>
          <w:i/>
          <w:color w:val="231F20"/>
          <w:sz w:val="18"/>
        </w:rPr>
        <w:t>Sánchez</w:t>
      </w:r>
      <w:r>
        <w:rPr>
          <w:rFonts w:ascii="Cambria" w:hAnsi="Cambria"/>
          <w:i/>
          <w:color w:val="231F20"/>
          <w:spacing w:val="9"/>
          <w:sz w:val="18"/>
        </w:rPr>
        <w:t> </w:t>
      </w:r>
      <w:r>
        <w:rPr>
          <w:rFonts w:ascii="Cambria" w:hAnsi="Cambria"/>
          <w:i/>
          <w:color w:val="231F20"/>
          <w:sz w:val="18"/>
        </w:rPr>
        <w:t>Vera</w:t>
      </w:r>
      <w:r>
        <w:rPr>
          <w:color w:val="231F20"/>
          <w:sz w:val="18"/>
        </w:rPr>
        <w:tab/>
      </w:r>
      <w:r>
        <w:rPr>
          <w:color w:val="231F20"/>
          <w:spacing w:val="-8"/>
          <w:sz w:val="18"/>
        </w:rPr>
        <w:t>181</w:t>
      </w:r>
    </w:p>
    <w:p>
      <w:pPr>
        <w:pStyle w:val="ListParagraph"/>
        <w:numPr>
          <w:ilvl w:val="1"/>
          <w:numId w:val="2"/>
        </w:numPr>
        <w:tabs>
          <w:tab w:pos="2111" w:val="left" w:leader="none"/>
          <w:tab w:pos="9969" w:val="left" w:leader="dot"/>
        </w:tabs>
        <w:spacing w:line="240" w:lineRule="auto" w:before="118" w:after="0"/>
        <w:ind w:left="2110" w:right="0" w:hanging="216"/>
        <w:jc w:val="left"/>
        <w:rPr>
          <w:sz w:val="18"/>
        </w:rPr>
      </w:pPr>
      <w:r>
        <w:rPr>
          <w:color w:val="6D6E71"/>
          <w:w w:val="120"/>
          <w:sz w:val="20"/>
        </w:rPr>
        <w:t>S</w:t>
      </w:r>
      <w:r>
        <w:rPr>
          <w:color w:val="6D6E71"/>
          <w:w w:val="120"/>
          <w:sz w:val="14"/>
        </w:rPr>
        <w:t>iStemAS  productoreS</w:t>
      </w:r>
      <w:r>
        <w:rPr>
          <w:color w:val="6D6E71"/>
          <w:spacing w:val="24"/>
          <w:w w:val="120"/>
          <w:sz w:val="14"/>
        </w:rPr>
        <w:t> </w:t>
      </w:r>
      <w:r>
        <w:rPr>
          <w:color w:val="6D6E71"/>
          <w:w w:val="120"/>
          <w:sz w:val="14"/>
        </w:rPr>
        <w:t>de</w:t>
      </w:r>
      <w:r>
        <w:rPr>
          <w:color w:val="6D6E71"/>
          <w:spacing w:val="31"/>
          <w:w w:val="120"/>
          <w:sz w:val="14"/>
        </w:rPr>
        <w:t> </w:t>
      </w:r>
      <w:r>
        <w:rPr>
          <w:color w:val="6D6E71"/>
          <w:w w:val="120"/>
          <w:sz w:val="14"/>
        </w:rPr>
        <w:t>cAprinoS</w:t>
      </w:r>
      <w:r>
        <w:rPr>
          <w:color w:val="231F20"/>
          <w:w w:val="120"/>
          <w:sz w:val="18"/>
        </w:rPr>
        <w:tab/>
      </w:r>
      <w:r>
        <w:rPr>
          <w:color w:val="231F20"/>
          <w:spacing w:val="-4"/>
          <w:w w:val="120"/>
          <w:sz w:val="18"/>
        </w:rPr>
        <w:t>201</w:t>
      </w:r>
    </w:p>
    <w:p>
      <w:pPr>
        <w:spacing w:before="168"/>
        <w:ind w:left="2234" w:right="2503" w:firstLine="0"/>
        <w:jc w:val="left"/>
        <w:rPr>
          <w:sz w:val="18"/>
        </w:rPr>
      </w:pPr>
      <w:r>
        <w:rPr>
          <w:color w:val="231F20"/>
          <w:w w:val="110"/>
          <w:sz w:val="18"/>
        </w:rPr>
        <w:t>CAPÍTULO 13</w:t>
      </w:r>
    </w:p>
    <w:p>
      <w:pPr>
        <w:spacing w:line="244" w:lineRule="auto" w:before="60"/>
        <w:ind w:left="2234" w:right="3175" w:firstLine="0"/>
        <w:jc w:val="left"/>
        <w:rPr>
          <w:sz w:val="18"/>
        </w:rPr>
      </w:pPr>
      <w:r>
        <w:rPr>
          <w:color w:val="231F20"/>
          <w:w w:val="105"/>
          <w:sz w:val="18"/>
        </w:rPr>
        <w:t>SOCIOECONOMÍA DE LA PRODUCCIÓN CAPRINA EN EL SUR DEL </w:t>
      </w:r>
      <w:r>
        <w:rPr>
          <w:color w:val="231F20"/>
          <w:spacing w:val="-4"/>
          <w:w w:val="105"/>
          <w:sz w:val="18"/>
        </w:rPr>
        <w:t>ESTADO </w:t>
      </w:r>
      <w:r>
        <w:rPr>
          <w:color w:val="231F20"/>
          <w:w w:val="105"/>
          <w:sz w:val="18"/>
        </w:rPr>
        <w:t>DE MÉXICO   Y SU CONTRIBUCIÓN AL DESARROLLO </w:t>
      </w:r>
      <w:r>
        <w:rPr>
          <w:color w:val="231F20"/>
          <w:spacing w:val="39"/>
          <w:w w:val="105"/>
          <w:sz w:val="18"/>
        </w:rPr>
        <w:t> </w:t>
      </w:r>
      <w:r>
        <w:rPr>
          <w:color w:val="231F20"/>
          <w:w w:val="105"/>
          <w:sz w:val="18"/>
        </w:rPr>
        <w:t>RURAL</w:t>
      </w:r>
    </w:p>
    <w:p>
      <w:pPr>
        <w:tabs>
          <w:tab w:pos="9969" w:val="left" w:leader="dot"/>
        </w:tabs>
        <w:spacing w:before="56"/>
        <w:ind w:left="2234" w:right="0" w:firstLine="0"/>
        <w:jc w:val="left"/>
        <w:rPr>
          <w:sz w:val="18"/>
        </w:rPr>
      </w:pPr>
      <w:r>
        <w:rPr>
          <w:rFonts w:ascii="Cambria" w:hAnsi="Cambria"/>
          <w:i/>
          <w:color w:val="231F20"/>
          <w:sz w:val="18"/>
        </w:rPr>
        <w:t>Samuel</w:t>
      </w:r>
      <w:r>
        <w:rPr>
          <w:rFonts w:ascii="Cambria" w:hAnsi="Cambria"/>
          <w:i/>
          <w:color w:val="231F20"/>
          <w:spacing w:val="-5"/>
          <w:sz w:val="18"/>
        </w:rPr>
        <w:t> </w:t>
      </w:r>
      <w:r>
        <w:rPr>
          <w:rFonts w:ascii="Cambria" w:hAnsi="Cambria"/>
          <w:i/>
          <w:color w:val="231F20"/>
          <w:sz w:val="18"/>
        </w:rPr>
        <w:t>Rebollar-Rebollar,</w:t>
      </w:r>
      <w:r>
        <w:rPr>
          <w:rFonts w:ascii="Cambria" w:hAnsi="Cambria"/>
          <w:i/>
          <w:color w:val="231F20"/>
          <w:spacing w:val="-5"/>
          <w:sz w:val="18"/>
        </w:rPr>
        <w:t> </w:t>
      </w:r>
      <w:r>
        <w:rPr>
          <w:rFonts w:ascii="Cambria" w:hAnsi="Cambria"/>
          <w:i/>
          <w:color w:val="231F20"/>
          <w:sz w:val="18"/>
        </w:rPr>
        <w:t>Benito</w:t>
      </w:r>
      <w:r>
        <w:rPr>
          <w:rFonts w:ascii="Cambria" w:hAnsi="Cambria"/>
          <w:i/>
          <w:color w:val="231F20"/>
          <w:spacing w:val="-5"/>
          <w:sz w:val="18"/>
        </w:rPr>
        <w:t> </w:t>
      </w:r>
      <w:r>
        <w:rPr>
          <w:rFonts w:ascii="Cambria" w:hAnsi="Cambria"/>
          <w:i/>
          <w:color w:val="231F20"/>
          <w:sz w:val="18"/>
        </w:rPr>
        <w:t>Albarrán</w:t>
      </w:r>
      <w:r>
        <w:rPr>
          <w:rFonts w:ascii="Cambria" w:hAnsi="Cambria"/>
          <w:i/>
          <w:color w:val="231F20"/>
          <w:spacing w:val="-5"/>
          <w:sz w:val="18"/>
        </w:rPr>
        <w:t> </w:t>
      </w:r>
      <w:r>
        <w:rPr>
          <w:rFonts w:ascii="Cambria" w:hAnsi="Cambria"/>
          <w:i/>
          <w:color w:val="231F20"/>
          <w:sz w:val="18"/>
        </w:rPr>
        <w:t>Portillo</w:t>
      </w:r>
      <w:r>
        <w:rPr>
          <w:rFonts w:ascii="Cambria" w:hAnsi="Cambria"/>
          <w:i/>
          <w:color w:val="231F20"/>
          <w:spacing w:val="-5"/>
          <w:sz w:val="18"/>
        </w:rPr>
        <w:t> </w:t>
      </w:r>
      <w:r>
        <w:rPr>
          <w:rFonts w:ascii="Cambria" w:hAnsi="Cambria"/>
          <w:i/>
          <w:color w:val="231F20"/>
          <w:sz w:val="18"/>
        </w:rPr>
        <w:t>y</w:t>
      </w:r>
      <w:r>
        <w:rPr>
          <w:rFonts w:ascii="Cambria" w:hAnsi="Cambria"/>
          <w:i/>
          <w:color w:val="231F20"/>
          <w:spacing w:val="-5"/>
          <w:sz w:val="18"/>
        </w:rPr>
        <w:t> </w:t>
      </w:r>
      <w:r>
        <w:rPr>
          <w:rFonts w:ascii="Cambria" w:hAnsi="Cambria"/>
          <w:i/>
          <w:color w:val="231F20"/>
          <w:sz w:val="18"/>
        </w:rPr>
        <w:t>Anastacio</w:t>
      </w:r>
      <w:r>
        <w:rPr>
          <w:rFonts w:ascii="Cambria" w:hAnsi="Cambria"/>
          <w:i/>
          <w:color w:val="231F20"/>
          <w:spacing w:val="-5"/>
          <w:sz w:val="18"/>
        </w:rPr>
        <w:t> </w:t>
      </w:r>
      <w:r>
        <w:rPr>
          <w:rFonts w:ascii="Cambria" w:hAnsi="Cambria"/>
          <w:i/>
          <w:color w:val="231F20"/>
          <w:sz w:val="18"/>
        </w:rPr>
        <w:t>García</w:t>
      </w:r>
      <w:r>
        <w:rPr>
          <w:rFonts w:ascii="Cambria" w:hAnsi="Cambria"/>
          <w:i/>
          <w:color w:val="231F20"/>
          <w:spacing w:val="-5"/>
          <w:sz w:val="18"/>
        </w:rPr>
        <w:t> </w:t>
      </w:r>
      <w:r>
        <w:rPr>
          <w:rFonts w:ascii="Cambria" w:hAnsi="Cambria"/>
          <w:i/>
          <w:color w:val="231F20"/>
          <w:sz w:val="18"/>
        </w:rPr>
        <w:t>Martínez</w:t>
      </w:r>
      <w:r>
        <w:rPr>
          <w:color w:val="231F20"/>
          <w:sz w:val="18"/>
        </w:rPr>
        <w:tab/>
      </w:r>
      <w:r>
        <w:rPr>
          <w:color w:val="231F20"/>
          <w:spacing w:val="-7"/>
          <w:sz w:val="18"/>
        </w:rPr>
        <w:t>201</w:t>
      </w:r>
    </w:p>
    <w:p>
      <w:pPr>
        <w:spacing w:after="0"/>
        <w:jc w:val="left"/>
        <w:rPr>
          <w:sz w:val="18"/>
        </w:rPr>
        <w:sectPr>
          <w:pgSz w:w="11900" w:h="14450"/>
          <w:pgMar w:header="0" w:footer="222" w:top="420" w:bottom="420" w:left="0" w:right="0"/>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índice</w:t>
      </w:r>
      <w:r>
        <w:rPr>
          <w:color w:val="231F20"/>
          <w:spacing w:val="10"/>
          <w:sz w:val="18"/>
        </w:rPr>
        <w:t> </w:t>
      </w:r>
      <w:r>
        <w:rPr>
          <w:color w:val="231F20"/>
          <w:sz w:val="18"/>
        </w:rPr>
        <w:t>general</w:t>
      </w:r>
      <w:r>
        <w:rPr>
          <w:color w:val="231F20"/>
          <w:sz w:val="22"/>
        </w:rPr>
        <w:tab/>
        <w:t>vii</w:t>
      </w:r>
    </w:p>
    <w:p>
      <w:pPr>
        <w:pStyle w:val="BodyText"/>
        <w:spacing w:before="3"/>
        <w:rPr>
          <w:sz w:val="29"/>
        </w:rPr>
      </w:pPr>
    </w:p>
    <w:p>
      <w:pPr>
        <w:spacing w:before="0"/>
        <w:ind w:left="2234" w:right="2503" w:firstLine="0"/>
        <w:jc w:val="left"/>
        <w:rPr>
          <w:sz w:val="18"/>
        </w:rPr>
      </w:pPr>
      <w:r>
        <w:rPr>
          <w:color w:val="231F20"/>
          <w:w w:val="110"/>
          <w:sz w:val="18"/>
        </w:rPr>
        <w:t>CAPÍTULO 14</w:t>
      </w:r>
    </w:p>
    <w:p>
      <w:pPr>
        <w:spacing w:before="57"/>
        <w:ind w:left="2234" w:right="2778" w:firstLine="0"/>
        <w:jc w:val="left"/>
        <w:rPr>
          <w:sz w:val="18"/>
        </w:rPr>
      </w:pPr>
      <w:r>
        <w:rPr>
          <w:color w:val="231F20"/>
          <w:w w:val="105"/>
          <w:sz w:val="18"/>
        </w:rPr>
        <w:t>CONTRIBUCIÓN DE LA CAPRINOCULTURA AL DESARROLLO RURAL EN EL TRÓPICO SECO DEL BAJO BALSAS</w:t>
      </w:r>
    </w:p>
    <w:p>
      <w:pPr>
        <w:spacing w:before="57"/>
        <w:ind w:left="2234" w:right="2503" w:firstLine="0"/>
        <w:jc w:val="left"/>
        <w:rPr>
          <w:rFonts w:ascii="Cambria" w:hAnsi="Cambria"/>
          <w:i/>
          <w:sz w:val="18"/>
        </w:rPr>
      </w:pPr>
      <w:r>
        <w:rPr>
          <w:rFonts w:ascii="Cambria" w:hAnsi="Cambria"/>
          <w:i/>
          <w:color w:val="231F20"/>
          <w:sz w:val="18"/>
        </w:rPr>
        <w:t>Daniel Val-Arreola, Adelina Alanís-Solís, Rafael A. González-Rodríguez,</w:t>
      </w:r>
    </w:p>
    <w:p>
      <w:pPr>
        <w:spacing w:before="9"/>
        <w:ind w:left="2234" w:right="2503" w:firstLine="0"/>
        <w:jc w:val="left"/>
        <w:rPr>
          <w:rFonts w:ascii="Cambria" w:hAnsi="Cambria"/>
          <w:i/>
          <w:sz w:val="18"/>
        </w:rPr>
      </w:pPr>
      <w:r>
        <w:rPr>
          <w:rFonts w:ascii="Cambria" w:hAnsi="Cambria"/>
          <w:i/>
          <w:color w:val="231F20"/>
          <w:sz w:val="18"/>
        </w:rPr>
        <w:t>M. Dario Méndez-Cazarín, Beatriz Salas-García, M. Jaime  Tena-Martínez,</w:t>
      </w:r>
    </w:p>
    <w:p>
      <w:pPr>
        <w:tabs>
          <w:tab w:pos="9969" w:val="left" w:leader="dot"/>
        </w:tabs>
        <w:spacing w:before="8"/>
        <w:ind w:left="2234" w:right="0" w:firstLine="0"/>
        <w:jc w:val="left"/>
        <w:rPr>
          <w:sz w:val="18"/>
        </w:rPr>
      </w:pPr>
      <w:r>
        <w:rPr>
          <w:rFonts w:ascii="Cambria" w:hAnsi="Cambria"/>
          <w:i/>
          <w:color w:val="231F20"/>
          <w:sz w:val="18"/>
        </w:rPr>
        <w:t>Isidoro Martínez-Beiza, Jesús J. Conejo-Nava y</w:t>
      </w:r>
      <w:r>
        <w:rPr>
          <w:rFonts w:ascii="Cambria" w:hAnsi="Cambria"/>
          <w:i/>
          <w:color w:val="231F20"/>
          <w:spacing w:val="36"/>
          <w:sz w:val="18"/>
        </w:rPr>
        <w:t> </w:t>
      </w:r>
      <w:r>
        <w:rPr>
          <w:rFonts w:ascii="Cambria" w:hAnsi="Cambria"/>
          <w:i/>
          <w:color w:val="231F20"/>
          <w:sz w:val="18"/>
        </w:rPr>
        <w:t>Rafael</w:t>
      </w:r>
      <w:r>
        <w:rPr>
          <w:rFonts w:ascii="Cambria" w:hAnsi="Cambria"/>
          <w:i/>
          <w:color w:val="231F20"/>
          <w:spacing w:val="6"/>
          <w:sz w:val="18"/>
        </w:rPr>
        <w:t> </w:t>
      </w:r>
      <w:r>
        <w:rPr>
          <w:rFonts w:ascii="Cambria" w:hAnsi="Cambria"/>
          <w:i/>
          <w:color w:val="231F20"/>
          <w:sz w:val="18"/>
        </w:rPr>
        <w:t>Tzintzun-Rascón</w:t>
      </w:r>
      <w:r>
        <w:rPr>
          <w:color w:val="231F20"/>
          <w:sz w:val="18"/>
        </w:rPr>
        <w:tab/>
      </w:r>
      <w:r>
        <w:rPr>
          <w:color w:val="231F20"/>
          <w:spacing w:val="-7"/>
          <w:sz w:val="18"/>
        </w:rPr>
        <w:t>211</w:t>
      </w:r>
    </w:p>
    <w:p>
      <w:pPr>
        <w:pStyle w:val="BodyText"/>
        <w:spacing w:before="2"/>
        <w:rPr>
          <w:sz w:val="23"/>
        </w:rPr>
      </w:pPr>
    </w:p>
    <w:p>
      <w:pPr>
        <w:spacing w:before="1"/>
        <w:ind w:left="1553" w:right="2503" w:firstLine="0"/>
        <w:jc w:val="left"/>
        <w:rPr>
          <w:sz w:val="18"/>
        </w:rPr>
      </w:pPr>
      <w:r>
        <w:rPr>
          <w:color w:val="231F20"/>
          <w:w w:val="115"/>
          <w:sz w:val="18"/>
        </w:rPr>
        <w:t>SECCIÓN 4</w:t>
      </w:r>
    </w:p>
    <w:p>
      <w:pPr>
        <w:tabs>
          <w:tab w:pos="9966" w:val="left" w:leader="dot"/>
        </w:tabs>
        <w:spacing w:before="0"/>
        <w:ind w:left="1553" w:right="0" w:firstLine="0"/>
        <w:jc w:val="left"/>
        <w:rPr>
          <w:sz w:val="18"/>
        </w:rPr>
      </w:pPr>
      <w:r>
        <w:rPr>
          <w:color w:val="231F20"/>
          <w:sz w:val="18"/>
        </w:rPr>
        <w:t>Producción de otras especies y su contribución al </w:t>
      </w:r>
      <w:r>
        <w:rPr>
          <w:color w:val="231F20"/>
          <w:spacing w:val="39"/>
          <w:sz w:val="18"/>
        </w:rPr>
        <w:t> </w:t>
      </w:r>
      <w:r>
        <w:rPr>
          <w:color w:val="231F20"/>
          <w:sz w:val="18"/>
        </w:rPr>
        <w:t>desarrollo</w:t>
      </w:r>
      <w:r>
        <w:rPr>
          <w:color w:val="231F20"/>
          <w:spacing w:val="10"/>
          <w:sz w:val="18"/>
        </w:rPr>
        <w:t> </w:t>
      </w:r>
      <w:r>
        <w:rPr>
          <w:color w:val="231F20"/>
          <w:sz w:val="18"/>
        </w:rPr>
        <w:t>rural</w:t>
        <w:tab/>
      </w:r>
      <w:r>
        <w:rPr>
          <w:color w:val="231F20"/>
          <w:spacing w:val="-4"/>
          <w:sz w:val="18"/>
        </w:rPr>
        <w:t>221</w:t>
      </w:r>
    </w:p>
    <w:p>
      <w:pPr>
        <w:pStyle w:val="BodyText"/>
        <w:spacing w:before="11"/>
        <w:rPr>
          <w:sz w:val="13"/>
        </w:rPr>
      </w:pPr>
    </w:p>
    <w:p>
      <w:pPr>
        <w:spacing w:before="0"/>
        <w:ind w:left="2234" w:right="2503" w:firstLine="0"/>
        <w:jc w:val="left"/>
        <w:rPr>
          <w:sz w:val="18"/>
        </w:rPr>
      </w:pPr>
      <w:r>
        <w:rPr>
          <w:color w:val="231F20"/>
          <w:w w:val="110"/>
          <w:sz w:val="18"/>
        </w:rPr>
        <w:t>CAPÍTULO 15</w:t>
      </w:r>
    </w:p>
    <w:p>
      <w:pPr>
        <w:spacing w:before="57"/>
        <w:ind w:left="2234" w:right="3345" w:firstLine="0"/>
        <w:jc w:val="left"/>
        <w:rPr>
          <w:sz w:val="18"/>
        </w:rPr>
      </w:pPr>
      <w:r>
        <w:rPr>
          <w:color w:val="231F20"/>
          <w:w w:val="105"/>
          <w:sz w:val="18"/>
        </w:rPr>
        <w:t>CONTRIBUCIÓN DE LA PRODUCCIÓN PORCINA DE PEQUEÑA Y MEDIANA ESCALA AL DESARROLLO RURAL EN MÉXICO</w:t>
      </w:r>
    </w:p>
    <w:p>
      <w:pPr>
        <w:spacing w:before="57"/>
        <w:ind w:left="2234" w:right="2503" w:firstLine="0"/>
        <w:jc w:val="left"/>
        <w:rPr>
          <w:rFonts w:ascii="Cambria" w:hAnsi="Cambria"/>
          <w:i/>
          <w:sz w:val="18"/>
        </w:rPr>
      </w:pPr>
      <w:r>
        <w:rPr>
          <w:rFonts w:ascii="Cambria" w:hAnsi="Cambria"/>
          <w:i/>
          <w:color w:val="231F20"/>
          <w:sz w:val="18"/>
        </w:rPr>
        <w:t>Mónica Elizama Ruiz-Torres, Mauricio Perea-Peña, Ernesto Sánchez-Vera</w:t>
      </w:r>
    </w:p>
    <w:p>
      <w:pPr>
        <w:tabs>
          <w:tab w:pos="9966" w:val="left" w:leader="dot"/>
        </w:tabs>
        <w:spacing w:before="8"/>
        <w:ind w:left="2234" w:right="0" w:firstLine="0"/>
        <w:jc w:val="left"/>
        <w:rPr>
          <w:sz w:val="18"/>
        </w:rPr>
      </w:pPr>
      <w:r>
        <w:rPr>
          <w:rFonts w:ascii="Cambria" w:hAnsi="Cambria"/>
          <w:i/>
          <w:color w:val="231F20"/>
          <w:sz w:val="18"/>
        </w:rPr>
        <w:t>y Francisco</w:t>
      </w:r>
      <w:r>
        <w:rPr>
          <w:rFonts w:ascii="Cambria" w:hAnsi="Cambria"/>
          <w:i/>
          <w:color w:val="231F20"/>
          <w:spacing w:val="9"/>
          <w:sz w:val="18"/>
        </w:rPr>
        <w:t> </w:t>
      </w:r>
      <w:r>
        <w:rPr>
          <w:rFonts w:ascii="Cambria" w:hAnsi="Cambria"/>
          <w:i/>
          <w:color w:val="231F20"/>
          <w:sz w:val="18"/>
        </w:rPr>
        <w:t>Ernesto</w:t>
      </w:r>
      <w:r>
        <w:rPr>
          <w:rFonts w:ascii="Cambria" w:hAnsi="Cambria"/>
          <w:i/>
          <w:color w:val="231F20"/>
          <w:spacing w:val="4"/>
          <w:sz w:val="18"/>
        </w:rPr>
        <w:t> </w:t>
      </w:r>
      <w:r>
        <w:rPr>
          <w:rFonts w:ascii="Cambria" w:hAnsi="Cambria"/>
          <w:i/>
          <w:color w:val="231F20"/>
          <w:sz w:val="18"/>
        </w:rPr>
        <w:t>Martínez-Castañeda</w:t>
      </w:r>
      <w:r>
        <w:rPr>
          <w:color w:val="231F20"/>
          <w:sz w:val="18"/>
        </w:rPr>
        <w:tab/>
      </w:r>
      <w:r>
        <w:rPr>
          <w:color w:val="231F20"/>
          <w:spacing w:val="-4"/>
          <w:sz w:val="18"/>
        </w:rPr>
        <w:t>223</w:t>
      </w:r>
    </w:p>
    <w:p>
      <w:pPr>
        <w:pStyle w:val="BodyText"/>
        <w:spacing w:before="11"/>
        <w:rPr>
          <w:sz w:val="13"/>
        </w:rPr>
      </w:pPr>
    </w:p>
    <w:p>
      <w:pPr>
        <w:spacing w:before="0"/>
        <w:ind w:left="2234" w:right="2503" w:firstLine="0"/>
        <w:jc w:val="left"/>
        <w:rPr>
          <w:sz w:val="18"/>
        </w:rPr>
      </w:pPr>
      <w:r>
        <w:rPr>
          <w:color w:val="231F20"/>
          <w:w w:val="110"/>
          <w:sz w:val="18"/>
        </w:rPr>
        <w:t>CAPÍTULO 16</w:t>
      </w:r>
    </w:p>
    <w:p>
      <w:pPr>
        <w:spacing w:before="57"/>
        <w:ind w:left="2234" w:right="2503" w:firstLine="0"/>
        <w:jc w:val="left"/>
        <w:rPr>
          <w:sz w:val="18"/>
        </w:rPr>
      </w:pPr>
      <w:r>
        <w:rPr>
          <w:color w:val="231F20"/>
          <w:w w:val="105"/>
          <w:sz w:val="18"/>
        </w:rPr>
        <w:t>LA CUNICULTURA FAMILIAR, UNA OPCIÓN </w:t>
      </w:r>
      <w:r>
        <w:rPr>
          <w:color w:val="231F20"/>
          <w:spacing w:val="-3"/>
          <w:w w:val="105"/>
          <w:sz w:val="18"/>
        </w:rPr>
        <w:t>PARA </w:t>
      </w:r>
      <w:r>
        <w:rPr>
          <w:color w:val="231F20"/>
          <w:w w:val="105"/>
          <w:sz w:val="18"/>
        </w:rPr>
        <w:t>LA OBTENCIÓN DE INGRESOS ECONÓMICOS Y BIENES ALIMENTARIOS. EL CASO DE LA ZONA SURORIENTE DEL </w:t>
      </w:r>
      <w:r>
        <w:rPr>
          <w:color w:val="231F20"/>
          <w:spacing w:val="-4"/>
          <w:w w:val="105"/>
          <w:sz w:val="18"/>
        </w:rPr>
        <w:t>ESTADO </w:t>
      </w:r>
      <w:r>
        <w:rPr>
          <w:color w:val="231F20"/>
          <w:w w:val="105"/>
          <w:sz w:val="18"/>
        </w:rPr>
        <w:t>DE   </w:t>
      </w:r>
      <w:r>
        <w:rPr>
          <w:color w:val="231F20"/>
          <w:spacing w:val="6"/>
          <w:w w:val="105"/>
          <w:sz w:val="18"/>
        </w:rPr>
        <w:t> </w:t>
      </w:r>
      <w:r>
        <w:rPr>
          <w:color w:val="231F20"/>
          <w:w w:val="105"/>
          <w:sz w:val="18"/>
        </w:rPr>
        <w:t>MÉXICO</w:t>
      </w:r>
    </w:p>
    <w:p>
      <w:pPr>
        <w:spacing w:before="57"/>
        <w:ind w:left="2234" w:right="2503" w:firstLine="0"/>
        <w:jc w:val="left"/>
        <w:rPr>
          <w:rFonts w:ascii="Cambria" w:hAnsi="Cambria"/>
          <w:i/>
          <w:sz w:val="18"/>
        </w:rPr>
      </w:pPr>
      <w:r>
        <w:rPr>
          <w:rFonts w:ascii="Cambria" w:hAnsi="Cambria"/>
          <w:i/>
          <w:color w:val="231F20"/>
          <w:sz w:val="18"/>
        </w:rPr>
        <w:t>Enrique Espinosa Ayala, Gabriela Isabel Rodríguez Aguilar, Reynaldo Jiménez  Mendoza,</w:t>
      </w:r>
    </w:p>
    <w:p>
      <w:pPr>
        <w:tabs>
          <w:tab w:pos="9966" w:val="left" w:leader="dot"/>
        </w:tabs>
        <w:spacing w:before="8"/>
        <w:ind w:left="2234" w:right="0" w:firstLine="0"/>
        <w:jc w:val="left"/>
        <w:rPr>
          <w:sz w:val="18"/>
        </w:rPr>
      </w:pPr>
      <w:r>
        <w:rPr>
          <w:rFonts w:ascii="Cambria" w:hAnsi="Cambria"/>
          <w:i/>
          <w:color w:val="231F20"/>
          <w:sz w:val="18"/>
        </w:rPr>
        <w:t>Luis Brunett Pérez, Ofelia Márquez Molina y Omar Ernesto  </w:t>
      </w:r>
      <w:r>
        <w:rPr>
          <w:rFonts w:ascii="Cambria" w:hAnsi="Cambria"/>
          <w:i/>
          <w:color w:val="231F20"/>
          <w:spacing w:val="-4"/>
          <w:sz w:val="18"/>
        </w:rPr>
        <w:t>Terán</w:t>
      </w:r>
      <w:r>
        <w:rPr>
          <w:rFonts w:ascii="Cambria" w:hAnsi="Cambria"/>
          <w:i/>
          <w:color w:val="231F20"/>
          <w:spacing w:val="4"/>
          <w:sz w:val="18"/>
        </w:rPr>
        <w:t> </w:t>
      </w:r>
      <w:r>
        <w:rPr>
          <w:rFonts w:ascii="Cambria" w:hAnsi="Cambria"/>
          <w:i/>
          <w:color w:val="231F20"/>
          <w:sz w:val="18"/>
        </w:rPr>
        <w:t>Varela</w:t>
      </w:r>
      <w:r>
        <w:rPr>
          <w:color w:val="231F20"/>
          <w:sz w:val="18"/>
        </w:rPr>
        <w:tab/>
      </w:r>
      <w:r>
        <w:rPr>
          <w:color w:val="231F20"/>
          <w:spacing w:val="-4"/>
          <w:sz w:val="18"/>
        </w:rPr>
        <w:t>231</w:t>
      </w:r>
    </w:p>
    <w:p>
      <w:pPr>
        <w:pStyle w:val="BodyText"/>
        <w:spacing w:before="11"/>
        <w:rPr>
          <w:sz w:val="13"/>
        </w:rPr>
      </w:pPr>
    </w:p>
    <w:p>
      <w:pPr>
        <w:spacing w:before="0"/>
        <w:ind w:left="2234" w:right="2503" w:firstLine="0"/>
        <w:jc w:val="left"/>
        <w:rPr>
          <w:sz w:val="18"/>
        </w:rPr>
      </w:pPr>
      <w:r>
        <w:rPr>
          <w:color w:val="231F20"/>
          <w:w w:val="110"/>
          <w:sz w:val="18"/>
        </w:rPr>
        <w:t>CAPÍTULO 17</w:t>
      </w:r>
    </w:p>
    <w:p>
      <w:pPr>
        <w:spacing w:before="57"/>
        <w:ind w:left="2234" w:right="2984" w:firstLine="0"/>
        <w:jc w:val="left"/>
        <w:rPr>
          <w:sz w:val="18"/>
        </w:rPr>
      </w:pPr>
      <w:r>
        <w:rPr>
          <w:color w:val="231F20"/>
          <w:w w:val="105"/>
          <w:sz w:val="18"/>
        </w:rPr>
        <w:t>DESARROLLO DE LA PRODUCCIÓN DE TRUCHA ARCOÍRIS (</w:t>
      </w:r>
      <w:r>
        <w:rPr>
          <w:rFonts w:ascii="Cambria" w:hAnsi="Cambria"/>
          <w:i/>
          <w:color w:val="231F20"/>
          <w:w w:val="105"/>
          <w:sz w:val="18"/>
        </w:rPr>
        <w:t>ONCORHYNCHUS MYKISS</w:t>
      </w:r>
      <w:r>
        <w:rPr>
          <w:color w:val="231F20"/>
          <w:w w:val="105"/>
          <w:sz w:val="18"/>
        </w:rPr>
        <w:t>) EN COMUNIDADES RURALES DEL ESTADO DE MÉXICO: UN CASO DE    ÉXITO</w:t>
      </w:r>
    </w:p>
    <w:p>
      <w:pPr>
        <w:spacing w:before="57"/>
        <w:ind w:left="2234" w:right="2503" w:firstLine="0"/>
        <w:jc w:val="left"/>
        <w:rPr>
          <w:rFonts w:ascii="Cambria" w:hAnsi="Cambria"/>
          <w:i/>
          <w:sz w:val="18"/>
        </w:rPr>
      </w:pPr>
      <w:r>
        <w:rPr>
          <w:rFonts w:ascii="Cambria" w:hAnsi="Cambria"/>
          <w:i/>
          <w:color w:val="231F20"/>
          <w:sz w:val="18"/>
        </w:rPr>
        <w:t>David García-Mondragón, Iván Gallego-Alarcón, Angélica  Espinoza-Ortega,</w:t>
      </w:r>
    </w:p>
    <w:p>
      <w:pPr>
        <w:tabs>
          <w:tab w:pos="9962" w:val="left" w:leader="dot"/>
        </w:tabs>
        <w:spacing w:before="8"/>
        <w:ind w:left="2234" w:right="0" w:firstLine="0"/>
        <w:jc w:val="left"/>
        <w:rPr>
          <w:sz w:val="18"/>
        </w:rPr>
      </w:pPr>
      <w:r>
        <w:rPr>
          <w:rFonts w:ascii="Cambria" w:hAnsi="Cambria"/>
          <w:i/>
          <w:color w:val="231F20"/>
          <w:sz w:val="18"/>
        </w:rPr>
        <w:t>Anastacio García-Martínez y Carlos</w:t>
      </w:r>
      <w:r>
        <w:rPr>
          <w:rFonts w:ascii="Cambria" w:hAnsi="Cambria"/>
          <w:i/>
          <w:color w:val="231F20"/>
          <w:spacing w:val="-2"/>
          <w:sz w:val="18"/>
        </w:rPr>
        <w:t> </w:t>
      </w:r>
      <w:r>
        <w:rPr>
          <w:rFonts w:ascii="Cambria" w:hAnsi="Cambria"/>
          <w:i/>
          <w:color w:val="231F20"/>
          <w:sz w:val="18"/>
        </w:rPr>
        <w:t>M.</w:t>
      </w:r>
      <w:r>
        <w:rPr>
          <w:rFonts w:ascii="Cambria" w:hAnsi="Cambria"/>
          <w:i/>
          <w:color w:val="231F20"/>
          <w:spacing w:val="-1"/>
          <w:sz w:val="18"/>
        </w:rPr>
        <w:t> </w:t>
      </w:r>
      <w:r>
        <w:rPr>
          <w:rFonts w:ascii="Cambria" w:hAnsi="Cambria"/>
          <w:i/>
          <w:color w:val="231F20"/>
          <w:sz w:val="18"/>
        </w:rPr>
        <w:t>Arriaga-Jordán</w:t>
      </w:r>
      <w:r>
        <w:rPr>
          <w:color w:val="231F20"/>
          <w:sz w:val="18"/>
        </w:rPr>
        <w:tab/>
        <w:t>245</w:t>
      </w:r>
    </w:p>
    <w:p>
      <w:pPr>
        <w:spacing w:after="0"/>
        <w:jc w:val="left"/>
        <w:rPr>
          <w:sz w:val="18"/>
        </w:rPr>
        <w:sectPr>
          <w:footerReference w:type="default" r:id="rId24"/>
          <w:pgSz w:w="11900" w:h="14450"/>
          <w:pgMar w:footer="222" w:header="0" w:top="420" w:bottom="420" w:left="0" w:right="0"/>
        </w:sectPr>
      </w:pPr>
    </w:p>
    <w:p>
      <w:pPr>
        <w:pStyle w:val="BodyText"/>
      </w:pPr>
    </w:p>
    <w:p>
      <w:pPr>
        <w:pStyle w:val="BodyText"/>
      </w:pPr>
    </w:p>
    <w:p>
      <w:pPr>
        <w:pStyle w:val="BodyText"/>
      </w:pPr>
    </w:p>
    <w:p>
      <w:pPr>
        <w:pStyle w:val="BodyText"/>
      </w:pPr>
    </w:p>
    <w:p>
      <w:pPr>
        <w:pStyle w:val="BodyText"/>
        <w:spacing w:before="8"/>
        <w:rPr>
          <w:sz w:val="27"/>
        </w:rPr>
      </w:pPr>
    </w:p>
    <w:p>
      <w:pPr>
        <w:pStyle w:val="Heading3"/>
        <w:spacing w:before="43"/>
        <w:ind w:right="2503"/>
        <w:jc w:val="left"/>
      </w:pPr>
      <w:r>
        <w:rPr>
          <w:color w:val="231F20"/>
          <w:w w:val="110"/>
        </w:rPr>
        <w:t>ÍNDICE  DE CUADROS</w:t>
      </w:r>
    </w:p>
    <w:p>
      <w:pPr>
        <w:pStyle w:val="BodyText"/>
        <w:rPr>
          <w:sz w:val="36"/>
        </w:rPr>
      </w:pPr>
    </w:p>
    <w:p>
      <w:pPr>
        <w:pStyle w:val="BodyText"/>
        <w:spacing w:before="5"/>
        <w:rPr>
          <w:sz w:val="39"/>
        </w:rPr>
      </w:pPr>
    </w:p>
    <w:p>
      <w:pPr>
        <w:spacing w:before="0"/>
        <w:ind w:left="1553" w:right="2503" w:firstLine="0"/>
        <w:jc w:val="left"/>
        <w:rPr>
          <w:sz w:val="18"/>
        </w:rPr>
      </w:pPr>
      <w:r>
        <w:rPr>
          <w:color w:val="231F20"/>
          <w:w w:val="110"/>
          <w:sz w:val="18"/>
        </w:rPr>
        <w:t>CAPÍTULO 1</w:t>
      </w:r>
    </w:p>
    <w:p>
      <w:pPr>
        <w:tabs>
          <w:tab w:pos="10273" w:val="right" w:leader="dot"/>
        </w:tabs>
        <w:spacing w:before="5"/>
        <w:ind w:left="1553" w:right="0" w:firstLine="0"/>
        <w:jc w:val="left"/>
        <w:rPr>
          <w:sz w:val="18"/>
        </w:rPr>
      </w:pPr>
      <w:r>
        <w:rPr>
          <w:color w:val="231F20"/>
          <w:w w:val="105"/>
          <w:sz w:val="18"/>
        </w:rPr>
        <w:t>Cuadro 1.   Atributos de los activos y</w:t>
      </w:r>
      <w:r>
        <w:rPr>
          <w:color w:val="231F20"/>
          <w:spacing w:val="28"/>
          <w:w w:val="105"/>
          <w:sz w:val="18"/>
        </w:rPr>
        <w:t> </w:t>
      </w:r>
      <w:r>
        <w:rPr>
          <w:color w:val="231F20"/>
          <w:w w:val="105"/>
          <w:sz w:val="18"/>
        </w:rPr>
        <w:t>sus</w:t>
      </w:r>
      <w:r>
        <w:rPr>
          <w:color w:val="231F20"/>
          <w:spacing w:val="7"/>
          <w:w w:val="105"/>
          <w:sz w:val="18"/>
        </w:rPr>
        <w:t> </w:t>
      </w:r>
      <w:r>
        <w:rPr>
          <w:color w:val="231F20"/>
          <w:w w:val="105"/>
          <w:sz w:val="18"/>
        </w:rPr>
        <w:t>componentes</w:t>
        <w:tab/>
        <w:t>9</w:t>
      </w:r>
    </w:p>
    <w:p>
      <w:pPr>
        <w:spacing w:before="175"/>
        <w:ind w:left="1553" w:right="2503" w:firstLine="0"/>
        <w:jc w:val="left"/>
        <w:rPr>
          <w:sz w:val="18"/>
        </w:rPr>
      </w:pPr>
      <w:r>
        <w:rPr>
          <w:color w:val="231F20"/>
          <w:w w:val="110"/>
          <w:sz w:val="18"/>
        </w:rPr>
        <w:t>CAPÍTULO 2</w:t>
      </w:r>
    </w:p>
    <w:p>
      <w:pPr>
        <w:tabs>
          <w:tab w:pos="10270" w:val="right" w:leader="dot"/>
        </w:tabs>
        <w:spacing w:before="5"/>
        <w:ind w:left="1553" w:right="0" w:firstLine="0"/>
        <w:jc w:val="left"/>
        <w:rPr>
          <w:sz w:val="18"/>
        </w:rPr>
      </w:pPr>
      <w:r>
        <w:rPr>
          <w:color w:val="231F20"/>
          <w:sz w:val="18"/>
        </w:rPr>
        <w:t>Cuadro 1.   Registro de actividades con sala y sin sala  </w:t>
      </w:r>
      <w:r>
        <w:rPr>
          <w:color w:val="231F20"/>
          <w:spacing w:val="19"/>
          <w:sz w:val="18"/>
        </w:rPr>
        <w:t> </w:t>
      </w:r>
      <w:r>
        <w:rPr>
          <w:color w:val="231F20"/>
          <w:sz w:val="18"/>
        </w:rPr>
        <w:t>de</w:t>
      </w:r>
      <w:r>
        <w:rPr>
          <w:color w:val="231F20"/>
          <w:spacing w:val="11"/>
          <w:sz w:val="18"/>
        </w:rPr>
        <w:t> </w:t>
      </w:r>
      <w:r>
        <w:rPr>
          <w:color w:val="231F20"/>
          <w:sz w:val="18"/>
        </w:rPr>
        <w:t>ordeño</w:t>
        <w:tab/>
      </w:r>
      <w:r>
        <w:rPr>
          <w:color w:val="231F20"/>
          <w:spacing w:val="-4"/>
          <w:sz w:val="18"/>
        </w:rPr>
        <w:t>35</w:t>
      </w:r>
    </w:p>
    <w:p>
      <w:pPr>
        <w:tabs>
          <w:tab w:pos="10268" w:val="right" w:leader="dot"/>
        </w:tabs>
        <w:spacing w:before="5"/>
        <w:ind w:left="1553" w:right="0" w:firstLine="0"/>
        <w:jc w:val="left"/>
        <w:rPr>
          <w:sz w:val="18"/>
        </w:rPr>
      </w:pPr>
      <w:r>
        <w:rPr>
          <w:color w:val="231F20"/>
          <w:sz w:val="18"/>
        </w:rPr>
        <w:t>Cuadro 2.      </w:t>
      </w:r>
      <w:r>
        <w:rPr>
          <w:color w:val="231F20"/>
          <w:spacing w:val="21"/>
          <w:sz w:val="18"/>
        </w:rPr>
        <w:t> </w:t>
      </w:r>
      <w:r>
        <w:rPr>
          <w:color w:val="231F20"/>
          <w:sz w:val="18"/>
        </w:rPr>
        <w:t>Control de la producción de leche y de la condición de la ubre, en vacas entre 7 y 40 días en</w:t>
      </w:r>
      <w:r>
        <w:rPr>
          <w:color w:val="231F20"/>
          <w:spacing w:val="8"/>
          <w:sz w:val="18"/>
        </w:rPr>
        <w:t> </w:t>
      </w:r>
      <w:r>
        <w:rPr>
          <w:color w:val="231F20"/>
          <w:sz w:val="18"/>
        </w:rPr>
        <w:t>leche</w:t>
        <w:tab/>
      </w:r>
      <w:r>
        <w:rPr>
          <w:color w:val="231F20"/>
          <w:spacing w:val="-6"/>
          <w:sz w:val="18"/>
        </w:rPr>
        <w:t>37</w:t>
      </w:r>
    </w:p>
    <w:p>
      <w:pPr>
        <w:tabs>
          <w:tab w:pos="10270" w:val="right" w:leader="dot"/>
        </w:tabs>
        <w:spacing w:before="5"/>
        <w:ind w:left="1553" w:right="0" w:firstLine="0"/>
        <w:jc w:val="left"/>
        <w:rPr>
          <w:sz w:val="18"/>
        </w:rPr>
      </w:pPr>
      <w:r>
        <w:rPr>
          <w:color w:val="231F20"/>
          <w:sz w:val="18"/>
        </w:rPr>
        <w:t>Cuadro 3.   Distribución de vacas por número de </w:t>
      </w:r>
      <w:r>
        <w:rPr>
          <w:color w:val="231F20"/>
          <w:spacing w:val="39"/>
          <w:sz w:val="18"/>
        </w:rPr>
        <w:t> </w:t>
      </w:r>
      <w:r>
        <w:rPr>
          <w:color w:val="231F20"/>
          <w:sz w:val="18"/>
        </w:rPr>
        <w:t>células</w:t>
      </w:r>
      <w:r>
        <w:rPr>
          <w:color w:val="231F20"/>
          <w:spacing w:val="12"/>
          <w:sz w:val="18"/>
        </w:rPr>
        <w:t> </w:t>
      </w:r>
      <w:r>
        <w:rPr>
          <w:color w:val="231F20"/>
          <w:sz w:val="18"/>
        </w:rPr>
        <w:t>somáticas</w:t>
        <w:tab/>
      </w:r>
      <w:r>
        <w:rPr>
          <w:color w:val="231F20"/>
          <w:spacing w:val="-4"/>
          <w:sz w:val="18"/>
        </w:rPr>
        <w:t>38</w:t>
      </w:r>
    </w:p>
    <w:p>
      <w:pPr>
        <w:tabs>
          <w:tab w:pos="10270" w:val="right" w:leader="dot"/>
        </w:tabs>
        <w:spacing w:before="5"/>
        <w:ind w:left="1553" w:right="0" w:firstLine="0"/>
        <w:jc w:val="left"/>
        <w:rPr>
          <w:sz w:val="18"/>
        </w:rPr>
      </w:pPr>
      <w:r>
        <w:rPr>
          <w:color w:val="231F20"/>
          <w:sz w:val="18"/>
        </w:rPr>
        <w:t>Cuadro 4.   Frecuencia de</w:t>
      </w:r>
      <w:r>
        <w:rPr>
          <w:color w:val="231F20"/>
          <w:spacing w:val="27"/>
          <w:sz w:val="18"/>
        </w:rPr>
        <w:t> </w:t>
      </w:r>
      <w:r>
        <w:rPr>
          <w:color w:val="231F20"/>
          <w:sz w:val="18"/>
        </w:rPr>
        <w:t>mastitis</w:t>
      </w:r>
      <w:r>
        <w:rPr>
          <w:color w:val="231F20"/>
          <w:spacing w:val="11"/>
          <w:sz w:val="18"/>
        </w:rPr>
        <w:t> </w:t>
      </w:r>
      <w:r>
        <w:rPr>
          <w:color w:val="231F20"/>
          <w:sz w:val="18"/>
        </w:rPr>
        <w:t>clínica</w:t>
        <w:tab/>
      </w:r>
      <w:r>
        <w:rPr>
          <w:color w:val="231F20"/>
          <w:spacing w:val="-4"/>
          <w:sz w:val="18"/>
        </w:rPr>
        <w:t>38</w:t>
      </w:r>
    </w:p>
    <w:p>
      <w:pPr>
        <w:tabs>
          <w:tab w:pos="10270" w:val="right" w:leader="dot"/>
        </w:tabs>
        <w:spacing w:before="5"/>
        <w:ind w:left="1553" w:right="0" w:firstLine="0"/>
        <w:jc w:val="left"/>
        <w:rPr>
          <w:sz w:val="18"/>
        </w:rPr>
      </w:pPr>
      <w:r>
        <w:rPr>
          <w:color w:val="231F20"/>
          <w:sz w:val="18"/>
        </w:rPr>
        <w:t>Cuadro 5.   Tratamiento de las vacas con </w:t>
      </w:r>
      <w:r>
        <w:rPr>
          <w:color w:val="231F20"/>
          <w:spacing w:val="19"/>
          <w:sz w:val="18"/>
        </w:rPr>
        <w:t> </w:t>
      </w:r>
      <w:r>
        <w:rPr>
          <w:color w:val="231F20"/>
          <w:sz w:val="18"/>
        </w:rPr>
        <w:t>mastitis</w:t>
      </w:r>
      <w:r>
        <w:rPr>
          <w:color w:val="231F20"/>
          <w:spacing w:val="11"/>
          <w:sz w:val="18"/>
        </w:rPr>
        <w:t> </w:t>
      </w:r>
      <w:r>
        <w:rPr>
          <w:color w:val="231F20"/>
          <w:sz w:val="18"/>
        </w:rPr>
        <w:t>clínica</w:t>
        <w:tab/>
      </w:r>
      <w:r>
        <w:rPr>
          <w:color w:val="231F20"/>
          <w:spacing w:val="-4"/>
          <w:sz w:val="18"/>
        </w:rPr>
        <w:t>38</w:t>
      </w:r>
    </w:p>
    <w:p>
      <w:pPr>
        <w:tabs>
          <w:tab w:pos="10273" w:val="right" w:leader="dot"/>
        </w:tabs>
        <w:spacing w:before="5"/>
        <w:ind w:left="1553" w:right="0" w:firstLine="0"/>
        <w:jc w:val="left"/>
        <w:rPr>
          <w:sz w:val="18"/>
        </w:rPr>
      </w:pPr>
      <w:r>
        <w:rPr>
          <w:color w:val="231F20"/>
          <w:sz w:val="18"/>
        </w:rPr>
        <w:t>Cuadro 6.   Bacteriológicos</w:t>
      </w:r>
      <w:r>
        <w:rPr>
          <w:color w:val="231F20"/>
          <w:spacing w:val="16"/>
          <w:sz w:val="18"/>
        </w:rPr>
        <w:t> </w:t>
      </w:r>
      <w:r>
        <w:rPr>
          <w:color w:val="231F20"/>
          <w:sz w:val="18"/>
        </w:rPr>
        <w:t>y</w:t>
      </w:r>
      <w:r>
        <w:rPr>
          <w:color w:val="231F20"/>
          <w:spacing w:val="11"/>
          <w:sz w:val="18"/>
        </w:rPr>
        <w:t> </w:t>
      </w:r>
      <w:r>
        <w:rPr>
          <w:color w:val="231F20"/>
          <w:sz w:val="18"/>
        </w:rPr>
        <w:t>sensibilidad</w:t>
        <w:tab/>
        <w:t>40</w:t>
      </w:r>
    </w:p>
    <w:p>
      <w:pPr>
        <w:tabs>
          <w:tab w:pos="10266" w:val="right" w:leader="dot"/>
        </w:tabs>
        <w:spacing w:before="5"/>
        <w:ind w:left="1553" w:right="0" w:firstLine="0"/>
        <w:jc w:val="left"/>
        <w:rPr>
          <w:sz w:val="18"/>
        </w:rPr>
      </w:pPr>
      <w:r>
        <w:rPr>
          <w:color w:val="231F20"/>
          <w:sz w:val="18"/>
        </w:rPr>
        <w:t>Cuadro </w:t>
      </w:r>
      <w:r>
        <w:rPr>
          <w:color w:val="231F20"/>
          <w:spacing w:val="-12"/>
          <w:sz w:val="18"/>
        </w:rPr>
        <w:t>7.     </w:t>
      </w:r>
      <w:r>
        <w:rPr>
          <w:color w:val="231F20"/>
          <w:sz w:val="18"/>
        </w:rPr>
        <w:t>Resistencia de las pezoneras y recuperación </w:t>
      </w:r>
      <w:r>
        <w:rPr>
          <w:color w:val="231F20"/>
          <w:spacing w:val="38"/>
          <w:sz w:val="18"/>
        </w:rPr>
        <w:t> </w:t>
      </w:r>
      <w:r>
        <w:rPr>
          <w:color w:val="231F20"/>
          <w:sz w:val="18"/>
        </w:rPr>
        <w:t>del</w:t>
      </w:r>
      <w:r>
        <w:rPr>
          <w:color w:val="231F20"/>
          <w:spacing w:val="11"/>
          <w:sz w:val="18"/>
        </w:rPr>
        <w:t> </w:t>
      </w:r>
      <w:r>
        <w:rPr>
          <w:color w:val="231F20"/>
          <w:sz w:val="18"/>
        </w:rPr>
        <w:t>vacío</w:t>
        <w:tab/>
      </w:r>
      <w:r>
        <w:rPr>
          <w:color w:val="231F20"/>
          <w:spacing w:val="-8"/>
          <w:sz w:val="18"/>
        </w:rPr>
        <w:t>41</w:t>
      </w:r>
    </w:p>
    <w:p>
      <w:pPr>
        <w:tabs>
          <w:tab w:pos="10266" w:val="right" w:leader="dot"/>
        </w:tabs>
        <w:spacing w:before="5"/>
        <w:ind w:left="1553" w:right="0" w:firstLine="0"/>
        <w:jc w:val="left"/>
        <w:rPr>
          <w:sz w:val="18"/>
        </w:rPr>
      </w:pPr>
      <w:r>
        <w:rPr>
          <w:color w:val="231F20"/>
          <w:sz w:val="18"/>
        </w:rPr>
        <w:t>Cuadro 8.   Comportamiento de las unidades para </w:t>
      </w:r>
      <w:r>
        <w:rPr>
          <w:color w:val="231F20"/>
          <w:spacing w:val="26"/>
          <w:sz w:val="18"/>
        </w:rPr>
        <w:t> </w:t>
      </w:r>
      <w:r>
        <w:rPr>
          <w:color w:val="231F20"/>
          <w:sz w:val="18"/>
        </w:rPr>
        <w:t>el</w:t>
      </w:r>
      <w:r>
        <w:rPr>
          <w:color w:val="231F20"/>
          <w:spacing w:val="11"/>
          <w:sz w:val="18"/>
        </w:rPr>
        <w:t> </w:t>
      </w:r>
      <w:r>
        <w:rPr>
          <w:color w:val="231F20"/>
          <w:sz w:val="18"/>
        </w:rPr>
        <w:t>ordeño</w:t>
        <w:tab/>
      </w:r>
      <w:r>
        <w:rPr>
          <w:color w:val="231F20"/>
          <w:spacing w:val="-8"/>
          <w:sz w:val="18"/>
        </w:rPr>
        <w:t>41</w:t>
      </w:r>
    </w:p>
    <w:p>
      <w:pPr>
        <w:spacing w:before="175"/>
        <w:ind w:left="1553" w:right="2503" w:firstLine="0"/>
        <w:jc w:val="left"/>
        <w:rPr>
          <w:sz w:val="18"/>
        </w:rPr>
      </w:pPr>
      <w:r>
        <w:rPr>
          <w:color w:val="231F20"/>
          <w:w w:val="110"/>
          <w:sz w:val="18"/>
        </w:rPr>
        <w:t>CAPÍTULO 3</w:t>
      </w:r>
    </w:p>
    <w:p>
      <w:pPr>
        <w:spacing w:line="247" w:lineRule="auto" w:before="5"/>
        <w:ind w:left="2404" w:right="3175" w:hanging="851"/>
        <w:jc w:val="left"/>
        <w:rPr>
          <w:sz w:val="18"/>
        </w:rPr>
      </w:pPr>
      <w:r>
        <w:rPr>
          <w:color w:val="231F20"/>
          <w:sz w:val="18"/>
        </w:rPr>
        <w:t>Cuadro 1.   Calidad fisicoquímica de la leche del agroecosistema de los Municipios de Amecameca     y</w:t>
      </w:r>
      <w:r>
        <w:rPr>
          <w:color w:val="231F20"/>
          <w:spacing w:val="16"/>
          <w:sz w:val="18"/>
        </w:rPr>
        <w:t> </w:t>
      </w:r>
      <w:r>
        <w:rPr>
          <w:color w:val="231F20"/>
          <w:sz w:val="18"/>
        </w:rPr>
        <w:t>de</w:t>
      </w:r>
      <w:r>
        <w:rPr>
          <w:color w:val="231F20"/>
          <w:spacing w:val="16"/>
          <w:sz w:val="18"/>
        </w:rPr>
        <w:t> </w:t>
      </w:r>
      <w:r>
        <w:rPr>
          <w:color w:val="231F20"/>
          <w:sz w:val="18"/>
        </w:rPr>
        <w:t>Ayapango</w:t>
      </w:r>
      <w:r>
        <w:rPr>
          <w:color w:val="231F20"/>
          <w:spacing w:val="16"/>
          <w:sz w:val="18"/>
        </w:rPr>
        <w:t> </w:t>
      </w:r>
      <w:r>
        <w:rPr>
          <w:color w:val="231F20"/>
          <w:sz w:val="18"/>
        </w:rPr>
        <w:t>comparada</w:t>
      </w:r>
      <w:r>
        <w:rPr>
          <w:color w:val="231F20"/>
          <w:spacing w:val="16"/>
          <w:sz w:val="18"/>
        </w:rPr>
        <w:t> </w:t>
      </w:r>
      <w:r>
        <w:rPr>
          <w:color w:val="231F20"/>
          <w:sz w:val="18"/>
        </w:rPr>
        <w:t>con</w:t>
      </w:r>
      <w:r>
        <w:rPr>
          <w:color w:val="231F20"/>
          <w:spacing w:val="16"/>
          <w:sz w:val="18"/>
        </w:rPr>
        <w:t> </w:t>
      </w:r>
      <w:r>
        <w:rPr>
          <w:color w:val="231F20"/>
          <w:sz w:val="18"/>
        </w:rPr>
        <w:t>las</w:t>
      </w:r>
      <w:r>
        <w:rPr>
          <w:color w:val="231F20"/>
          <w:spacing w:val="16"/>
          <w:sz w:val="18"/>
        </w:rPr>
        <w:t> </w:t>
      </w:r>
      <w:r>
        <w:rPr>
          <w:color w:val="231F20"/>
          <w:sz w:val="18"/>
        </w:rPr>
        <w:t>especificaciones</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Norma</w:t>
      </w:r>
      <w:r>
        <w:rPr>
          <w:color w:val="231F20"/>
          <w:spacing w:val="16"/>
          <w:sz w:val="18"/>
        </w:rPr>
        <w:t> </w:t>
      </w:r>
      <w:r>
        <w:rPr>
          <w:color w:val="231F20"/>
          <w:sz w:val="18"/>
        </w:rPr>
        <w:t>Mexicana</w:t>
      </w:r>
    </w:p>
    <w:p>
      <w:pPr>
        <w:tabs>
          <w:tab w:pos="10270" w:val="right" w:leader="dot"/>
        </w:tabs>
        <w:spacing w:line="219" w:lineRule="exact" w:before="0"/>
        <w:ind w:left="2404" w:right="0" w:firstLine="0"/>
        <w:jc w:val="left"/>
        <w:rPr>
          <w:sz w:val="18"/>
        </w:rPr>
      </w:pPr>
      <w:r>
        <w:rPr>
          <w:color w:val="231F20"/>
          <w:w w:val="110"/>
          <w:sz w:val="18"/>
        </w:rPr>
        <w:t>NMX-F-700-COFOCALEC-2004</w:t>
        <w:tab/>
      </w:r>
      <w:r>
        <w:rPr>
          <w:color w:val="231F20"/>
          <w:spacing w:val="-4"/>
          <w:w w:val="110"/>
          <w:sz w:val="18"/>
        </w:rPr>
        <w:t>51</w:t>
      </w:r>
    </w:p>
    <w:p>
      <w:pPr>
        <w:tabs>
          <w:tab w:pos="10270" w:val="right" w:leader="dot"/>
        </w:tabs>
        <w:spacing w:before="5"/>
        <w:ind w:left="1553" w:right="0" w:firstLine="0"/>
        <w:jc w:val="left"/>
        <w:rPr>
          <w:sz w:val="18"/>
        </w:rPr>
      </w:pPr>
      <w:r>
        <w:rPr>
          <w:color w:val="231F20"/>
          <w:w w:val="105"/>
          <w:sz w:val="18"/>
        </w:rPr>
        <w:t>Cuadro 2.   Especificaciones sanitarias</w:t>
      </w:r>
      <w:r>
        <w:rPr>
          <w:color w:val="231F20"/>
          <w:spacing w:val="9"/>
          <w:w w:val="105"/>
          <w:sz w:val="18"/>
        </w:rPr>
        <w:t> </w:t>
      </w:r>
      <w:r>
        <w:rPr>
          <w:color w:val="231F20"/>
          <w:w w:val="105"/>
          <w:sz w:val="18"/>
        </w:rPr>
        <w:t>según</w:t>
      </w:r>
      <w:r>
        <w:rPr>
          <w:color w:val="231F20"/>
          <w:spacing w:val="8"/>
          <w:w w:val="105"/>
          <w:sz w:val="18"/>
        </w:rPr>
        <w:t> </w:t>
      </w:r>
      <w:r>
        <w:rPr>
          <w:color w:val="231F20"/>
          <w:w w:val="105"/>
          <w:sz w:val="18"/>
        </w:rPr>
        <w:t>NMX-F-700-COFOCALEC-2004</w:t>
        <w:tab/>
      </w:r>
      <w:r>
        <w:rPr>
          <w:color w:val="231F20"/>
          <w:spacing w:val="-4"/>
          <w:w w:val="105"/>
          <w:sz w:val="18"/>
        </w:rPr>
        <w:t>52</w:t>
      </w:r>
    </w:p>
    <w:p>
      <w:pPr>
        <w:tabs>
          <w:tab w:pos="10270" w:val="right" w:leader="dot"/>
        </w:tabs>
        <w:spacing w:before="5"/>
        <w:ind w:left="1553" w:right="0" w:firstLine="0"/>
        <w:jc w:val="left"/>
        <w:rPr>
          <w:sz w:val="18"/>
        </w:rPr>
      </w:pPr>
      <w:r>
        <w:rPr>
          <w:color w:val="231F20"/>
          <w:sz w:val="18"/>
        </w:rPr>
        <w:t>Cuadro 3.   Clasificación fisicoquímica y bacteriológica de </w:t>
      </w:r>
      <w:r>
        <w:rPr>
          <w:color w:val="231F20"/>
          <w:spacing w:val="24"/>
          <w:sz w:val="18"/>
        </w:rPr>
        <w:t> </w:t>
      </w:r>
      <w:r>
        <w:rPr>
          <w:color w:val="231F20"/>
          <w:sz w:val="18"/>
        </w:rPr>
        <w:t>la</w:t>
      </w:r>
      <w:r>
        <w:rPr>
          <w:color w:val="231F20"/>
          <w:spacing w:val="11"/>
          <w:sz w:val="18"/>
        </w:rPr>
        <w:t> </w:t>
      </w:r>
      <w:r>
        <w:rPr>
          <w:color w:val="231F20"/>
          <w:sz w:val="18"/>
        </w:rPr>
        <w:t>leche</w:t>
        <w:tab/>
      </w:r>
      <w:r>
        <w:rPr>
          <w:color w:val="231F20"/>
          <w:spacing w:val="-4"/>
          <w:sz w:val="18"/>
        </w:rPr>
        <w:t>53</w:t>
      </w:r>
    </w:p>
    <w:p>
      <w:pPr>
        <w:spacing w:line="213" w:lineRule="exact" w:before="175"/>
        <w:ind w:left="1553" w:right="2503" w:firstLine="0"/>
        <w:jc w:val="left"/>
        <w:rPr>
          <w:sz w:val="18"/>
        </w:rPr>
      </w:pPr>
      <w:r>
        <w:rPr>
          <w:color w:val="231F20"/>
          <w:w w:val="110"/>
          <w:sz w:val="18"/>
        </w:rPr>
        <w:t>CAPÍTULO 4</w:t>
      </w:r>
    </w:p>
    <w:p>
      <w:pPr>
        <w:tabs>
          <w:tab w:pos="10273" w:val="right" w:leader="dot"/>
        </w:tabs>
        <w:spacing w:line="228" w:lineRule="exact" w:before="0"/>
        <w:ind w:left="1553" w:right="0" w:firstLine="0"/>
        <w:jc w:val="left"/>
        <w:rPr>
          <w:sz w:val="20"/>
        </w:rPr>
      </w:pPr>
      <w:r>
        <w:rPr>
          <w:color w:val="231F20"/>
          <w:sz w:val="18"/>
        </w:rPr>
        <w:t>Cuadro 1.   Estructura de la producción lechera especializada </w:t>
      </w:r>
      <w:r>
        <w:rPr>
          <w:color w:val="231F20"/>
          <w:spacing w:val="23"/>
          <w:sz w:val="18"/>
        </w:rPr>
        <w:t> </w:t>
      </w:r>
      <w:r>
        <w:rPr>
          <w:color w:val="231F20"/>
          <w:sz w:val="18"/>
        </w:rPr>
        <w:t>en</w:t>
      </w:r>
      <w:r>
        <w:rPr>
          <w:color w:val="231F20"/>
          <w:spacing w:val="11"/>
          <w:sz w:val="18"/>
        </w:rPr>
        <w:t> </w:t>
      </w:r>
      <w:r>
        <w:rPr>
          <w:color w:val="231F20"/>
          <w:sz w:val="18"/>
        </w:rPr>
        <w:t>México.</w:t>
      </w:r>
      <w:r>
        <w:rPr>
          <w:color w:val="231F20"/>
          <w:sz w:val="20"/>
        </w:rPr>
        <w:tab/>
        <w:t>60</w:t>
      </w:r>
    </w:p>
    <w:p>
      <w:pPr>
        <w:tabs>
          <w:tab w:pos="10273" w:val="right" w:leader="dot"/>
        </w:tabs>
        <w:spacing w:line="225" w:lineRule="exact" w:before="0"/>
        <w:ind w:left="1553" w:right="0" w:firstLine="0"/>
        <w:jc w:val="left"/>
        <w:rPr>
          <w:sz w:val="20"/>
        </w:rPr>
      </w:pPr>
      <w:r>
        <w:rPr>
          <w:color w:val="231F20"/>
          <w:sz w:val="18"/>
        </w:rPr>
        <w:t>Cuadro 2.   Los </w:t>
      </w:r>
      <w:r>
        <w:rPr>
          <w:color w:val="231F20"/>
          <w:spacing w:val="-4"/>
          <w:sz w:val="18"/>
        </w:rPr>
        <w:t>16 </w:t>
      </w:r>
      <w:r>
        <w:rPr>
          <w:color w:val="231F20"/>
          <w:sz w:val="18"/>
        </w:rPr>
        <w:t>objetivos del </w:t>
      </w:r>
      <w:r>
        <w:rPr>
          <w:color w:val="231F20"/>
          <w:spacing w:val="7"/>
          <w:sz w:val="18"/>
        </w:rPr>
        <w:t> </w:t>
      </w:r>
      <w:r>
        <w:rPr>
          <w:color w:val="231F20"/>
          <w:sz w:val="18"/>
        </w:rPr>
        <w:t>método</w:t>
      </w:r>
      <w:r>
        <w:rPr>
          <w:color w:val="231F20"/>
          <w:spacing w:val="11"/>
          <w:sz w:val="18"/>
        </w:rPr>
        <w:t> </w:t>
      </w:r>
      <w:r>
        <w:rPr>
          <w:color w:val="231F20"/>
          <w:sz w:val="18"/>
        </w:rPr>
        <w:t>IDEA.</w:t>
      </w:r>
      <w:r>
        <w:rPr>
          <w:color w:val="231F20"/>
          <w:sz w:val="20"/>
        </w:rPr>
        <w:tab/>
        <w:t>64</w:t>
      </w:r>
    </w:p>
    <w:p>
      <w:pPr>
        <w:tabs>
          <w:tab w:pos="10273" w:val="right" w:leader="dot"/>
        </w:tabs>
        <w:spacing w:line="225" w:lineRule="exact" w:before="0"/>
        <w:ind w:left="1553" w:right="0" w:firstLine="0"/>
        <w:jc w:val="left"/>
        <w:rPr>
          <w:sz w:val="20"/>
        </w:rPr>
      </w:pPr>
      <w:r>
        <w:rPr>
          <w:color w:val="231F20"/>
          <w:sz w:val="18"/>
        </w:rPr>
        <w:t>Cuadro 3.   Características medias de las </w:t>
      </w:r>
      <w:r>
        <w:rPr>
          <w:color w:val="231F20"/>
          <w:spacing w:val="2"/>
          <w:sz w:val="18"/>
        </w:rPr>
        <w:t> </w:t>
      </w:r>
      <w:r>
        <w:rPr>
          <w:color w:val="231F20"/>
          <w:sz w:val="18"/>
        </w:rPr>
        <w:t>UPL</w:t>
      </w:r>
      <w:r>
        <w:rPr>
          <w:color w:val="231F20"/>
          <w:spacing w:val="11"/>
          <w:sz w:val="18"/>
        </w:rPr>
        <w:t> </w:t>
      </w:r>
      <w:r>
        <w:rPr>
          <w:color w:val="231F20"/>
          <w:sz w:val="18"/>
        </w:rPr>
        <w:t>evaluadas.</w:t>
      </w:r>
      <w:r>
        <w:rPr>
          <w:color w:val="231F20"/>
          <w:sz w:val="20"/>
        </w:rPr>
        <w:tab/>
        <w:t>66</w:t>
      </w:r>
    </w:p>
    <w:p>
      <w:pPr>
        <w:tabs>
          <w:tab w:pos="10273" w:val="right" w:leader="dot"/>
        </w:tabs>
        <w:spacing w:line="225" w:lineRule="exact" w:before="0"/>
        <w:ind w:left="1553" w:right="0" w:firstLine="0"/>
        <w:jc w:val="left"/>
        <w:rPr>
          <w:sz w:val="20"/>
        </w:rPr>
      </w:pPr>
      <w:r>
        <w:rPr>
          <w:color w:val="231F20"/>
          <w:sz w:val="18"/>
        </w:rPr>
        <w:t>Cuadro 4.   Indicadores utilizados para evaluar</w:t>
      </w:r>
      <w:r>
        <w:rPr>
          <w:color w:val="231F20"/>
          <w:spacing w:val="38"/>
          <w:sz w:val="18"/>
        </w:rPr>
        <w:t> </w:t>
      </w:r>
      <w:r>
        <w:rPr>
          <w:color w:val="231F20"/>
          <w:sz w:val="18"/>
        </w:rPr>
        <w:t>la</w:t>
      </w:r>
      <w:r>
        <w:rPr>
          <w:color w:val="231F20"/>
          <w:spacing w:val="11"/>
          <w:sz w:val="18"/>
        </w:rPr>
        <w:t> </w:t>
      </w:r>
      <w:r>
        <w:rPr>
          <w:color w:val="231F20"/>
          <w:sz w:val="18"/>
        </w:rPr>
        <w:t>sustentabilidad.</w:t>
      </w:r>
      <w:r>
        <w:rPr>
          <w:color w:val="231F20"/>
          <w:sz w:val="20"/>
        </w:rPr>
        <w:tab/>
        <w:t>66</w:t>
      </w:r>
    </w:p>
    <w:p>
      <w:pPr>
        <w:tabs>
          <w:tab w:pos="10273" w:val="right" w:leader="dot"/>
        </w:tabs>
        <w:spacing w:line="235" w:lineRule="exact" w:before="0"/>
        <w:ind w:left="1553" w:right="0" w:firstLine="0"/>
        <w:jc w:val="left"/>
        <w:rPr>
          <w:sz w:val="20"/>
        </w:rPr>
      </w:pPr>
      <w:r>
        <w:rPr>
          <w:color w:val="231F20"/>
          <w:sz w:val="18"/>
        </w:rPr>
        <w:t>Cuadro 5.   Características de las seis </w:t>
      </w:r>
      <w:r>
        <w:rPr>
          <w:color w:val="231F20"/>
          <w:spacing w:val="1"/>
          <w:sz w:val="18"/>
        </w:rPr>
        <w:t> </w:t>
      </w:r>
      <w:r>
        <w:rPr>
          <w:color w:val="231F20"/>
          <w:sz w:val="18"/>
        </w:rPr>
        <w:t>UPL</w:t>
      </w:r>
      <w:r>
        <w:rPr>
          <w:color w:val="231F20"/>
          <w:spacing w:val="11"/>
          <w:sz w:val="18"/>
        </w:rPr>
        <w:t> </w:t>
      </w:r>
      <w:r>
        <w:rPr>
          <w:color w:val="231F20"/>
          <w:sz w:val="18"/>
        </w:rPr>
        <w:t>evaluadas.</w:t>
      </w:r>
      <w:r>
        <w:rPr>
          <w:color w:val="231F20"/>
          <w:sz w:val="20"/>
        </w:rPr>
        <w:tab/>
        <w:t>68</w:t>
      </w:r>
    </w:p>
    <w:p>
      <w:pPr>
        <w:spacing w:line="213" w:lineRule="exact" w:before="170"/>
        <w:ind w:left="1553" w:right="2503" w:firstLine="0"/>
        <w:jc w:val="left"/>
        <w:rPr>
          <w:sz w:val="18"/>
        </w:rPr>
      </w:pPr>
      <w:r>
        <w:rPr>
          <w:color w:val="231F20"/>
          <w:w w:val="110"/>
          <w:sz w:val="18"/>
        </w:rPr>
        <w:t>CAPÍTULO 5</w:t>
      </w:r>
    </w:p>
    <w:p>
      <w:pPr>
        <w:tabs>
          <w:tab w:pos="10265" w:val="right" w:leader="dot"/>
        </w:tabs>
        <w:spacing w:line="228" w:lineRule="exact" w:before="0"/>
        <w:ind w:left="1553" w:right="0" w:firstLine="0"/>
        <w:jc w:val="left"/>
        <w:rPr>
          <w:sz w:val="20"/>
        </w:rPr>
      </w:pPr>
      <w:r>
        <w:rPr>
          <w:color w:val="231F20"/>
          <w:sz w:val="18"/>
        </w:rPr>
        <w:t>Cuadro 1.   Características de los cuatro</w:t>
      </w:r>
      <w:r>
        <w:rPr>
          <w:color w:val="231F20"/>
          <w:spacing w:val="38"/>
          <w:sz w:val="18"/>
        </w:rPr>
        <w:t> </w:t>
      </w:r>
      <w:r>
        <w:rPr>
          <w:color w:val="231F20"/>
          <w:sz w:val="18"/>
        </w:rPr>
        <w:t>grupos</w:t>
      </w:r>
      <w:r>
        <w:rPr>
          <w:color w:val="231F20"/>
          <w:spacing w:val="11"/>
          <w:sz w:val="18"/>
        </w:rPr>
        <w:t> </w:t>
      </w:r>
      <w:r>
        <w:rPr>
          <w:color w:val="231F20"/>
          <w:sz w:val="18"/>
        </w:rPr>
        <w:t>identificados.</w:t>
      </w:r>
      <w:r>
        <w:rPr>
          <w:color w:val="231F20"/>
          <w:sz w:val="20"/>
        </w:rPr>
        <w:tab/>
      </w:r>
      <w:r>
        <w:rPr>
          <w:color w:val="231F20"/>
          <w:spacing w:val="-9"/>
          <w:sz w:val="20"/>
        </w:rPr>
        <w:t>78</w:t>
      </w:r>
    </w:p>
    <w:p>
      <w:pPr>
        <w:tabs>
          <w:tab w:pos="10273" w:val="right" w:leader="dot"/>
        </w:tabs>
        <w:spacing w:line="235" w:lineRule="exact" w:before="0"/>
        <w:ind w:left="1553" w:right="0" w:firstLine="0"/>
        <w:jc w:val="left"/>
        <w:rPr>
          <w:sz w:val="20"/>
        </w:rPr>
      </w:pPr>
      <w:r>
        <w:rPr>
          <w:color w:val="231F20"/>
          <w:sz w:val="18"/>
        </w:rPr>
        <w:t>Cuadro 2.   Tecnologías agrícolas y pecuarias apropiadas para </w:t>
      </w:r>
      <w:r>
        <w:rPr>
          <w:color w:val="231F20"/>
          <w:spacing w:val="23"/>
          <w:sz w:val="18"/>
        </w:rPr>
        <w:t> </w:t>
      </w:r>
      <w:r>
        <w:rPr>
          <w:color w:val="231F20"/>
          <w:sz w:val="18"/>
        </w:rPr>
        <w:t>cada</w:t>
      </w:r>
      <w:r>
        <w:rPr>
          <w:color w:val="231F20"/>
          <w:spacing w:val="11"/>
          <w:sz w:val="18"/>
        </w:rPr>
        <w:t> </w:t>
      </w:r>
      <w:r>
        <w:rPr>
          <w:color w:val="231F20"/>
          <w:sz w:val="18"/>
        </w:rPr>
        <w:t>grupo.</w:t>
      </w:r>
      <w:r>
        <w:rPr>
          <w:color w:val="231F20"/>
          <w:sz w:val="20"/>
        </w:rPr>
        <w:tab/>
        <w:t>84</w:t>
      </w:r>
    </w:p>
    <w:p>
      <w:pPr>
        <w:spacing w:before="170"/>
        <w:ind w:left="1553" w:right="2503" w:firstLine="0"/>
        <w:jc w:val="left"/>
        <w:rPr>
          <w:sz w:val="18"/>
        </w:rPr>
      </w:pPr>
      <w:r>
        <w:rPr>
          <w:color w:val="231F20"/>
          <w:w w:val="110"/>
          <w:sz w:val="18"/>
        </w:rPr>
        <w:t>CAPÍTULO 6</w:t>
      </w:r>
    </w:p>
    <w:p>
      <w:pPr>
        <w:spacing w:line="213" w:lineRule="exact" w:before="5"/>
        <w:ind w:left="1553" w:right="2503" w:firstLine="0"/>
        <w:jc w:val="left"/>
        <w:rPr>
          <w:sz w:val="18"/>
        </w:rPr>
      </w:pPr>
      <w:r>
        <w:rPr>
          <w:color w:val="231F20"/>
          <w:sz w:val="18"/>
        </w:rPr>
        <w:t>Cuadro 1.         Indicadores e índice de aproximación al modelo de producción orgánica (%) en unidades</w:t>
      </w:r>
    </w:p>
    <w:p>
      <w:pPr>
        <w:tabs>
          <w:tab w:pos="10273" w:val="right" w:leader="dot"/>
        </w:tabs>
        <w:spacing w:line="237" w:lineRule="exact" w:before="0"/>
        <w:ind w:left="2404" w:right="0" w:firstLine="0"/>
        <w:jc w:val="left"/>
        <w:rPr>
          <w:sz w:val="20"/>
        </w:rPr>
      </w:pPr>
      <w:r>
        <w:rPr>
          <w:color w:val="231F20"/>
          <w:sz w:val="18"/>
        </w:rPr>
        <w:t>de producción bovina de tres sociedades de producción rural de   </w:t>
      </w:r>
      <w:r>
        <w:rPr>
          <w:color w:val="231F20"/>
          <w:spacing w:val="10"/>
          <w:sz w:val="18"/>
        </w:rPr>
        <w:t> </w:t>
      </w:r>
      <w:r>
        <w:rPr>
          <w:color w:val="231F20"/>
          <w:spacing w:val="-3"/>
          <w:sz w:val="18"/>
        </w:rPr>
        <w:t>Tecpatán,</w:t>
      </w:r>
      <w:r>
        <w:rPr>
          <w:color w:val="231F20"/>
          <w:spacing w:val="13"/>
          <w:sz w:val="18"/>
        </w:rPr>
        <w:t> </w:t>
      </w:r>
      <w:r>
        <w:rPr>
          <w:color w:val="231F20"/>
          <w:sz w:val="18"/>
        </w:rPr>
        <w:t>Chiapas.</w:t>
      </w:r>
      <w:r>
        <w:rPr>
          <w:color w:val="231F20"/>
          <w:sz w:val="20"/>
        </w:rPr>
        <w:tab/>
        <w:t>93</w:t>
      </w:r>
    </w:p>
    <w:p>
      <w:pPr>
        <w:spacing w:line="213" w:lineRule="exact" w:before="170"/>
        <w:ind w:left="1553" w:right="2503" w:firstLine="0"/>
        <w:jc w:val="left"/>
        <w:rPr>
          <w:sz w:val="18"/>
        </w:rPr>
      </w:pPr>
      <w:r>
        <w:rPr>
          <w:color w:val="231F20"/>
          <w:w w:val="110"/>
          <w:sz w:val="18"/>
        </w:rPr>
        <w:t>CAPÍTULO 7</w:t>
      </w:r>
    </w:p>
    <w:p>
      <w:pPr>
        <w:tabs>
          <w:tab w:pos="10273" w:val="right" w:leader="dot"/>
        </w:tabs>
        <w:spacing w:line="228" w:lineRule="exact" w:before="0"/>
        <w:ind w:left="1553" w:right="0" w:firstLine="0"/>
        <w:jc w:val="left"/>
        <w:rPr>
          <w:sz w:val="20"/>
        </w:rPr>
      </w:pPr>
      <w:r>
        <w:rPr>
          <w:color w:val="231F20"/>
          <w:w w:val="105"/>
          <w:sz w:val="18"/>
        </w:rPr>
        <w:t>Cuadro 1.  Variables socioeconómicas de los productores de doble propósito de Zacazonapan</w:t>
      </w:r>
      <w:r>
        <w:rPr>
          <w:color w:val="231F20"/>
          <w:spacing w:val="31"/>
          <w:w w:val="105"/>
          <w:sz w:val="18"/>
        </w:rPr>
        <w:t> </w:t>
      </w:r>
      <w:r>
        <w:rPr>
          <w:color w:val="231F20"/>
          <w:w w:val="105"/>
          <w:sz w:val="18"/>
        </w:rPr>
        <w:t>(n=26</w:t>
      </w:r>
      <w:r>
        <w:rPr>
          <w:color w:val="231F20"/>
          <w:spacing w:val="2"/>
          <w:w w:val="105"/>
          <w:sz w:val="18"/>
        </w:rPr>
        <w:t> </w:t>
      </w:r>
      <w:r>
        <w:rPr>
          <w:color w:val="231F20"/>
          <w:w w:val="105"/>
          <w:sz w:val="18"/>
        </w:rPr>
        <w:t>UP).</w:t>
      </w:r>
      <w:r>
        <w:rPr>
          <w:color w:val="231F20"/>
          <w:w w:val="105"/>
          <w:sz w:val="20"/>
        </w:rPr>
        <w:tab/>
      </w:r>
      <w:r>
        <w:rPr>
          <w:color w:val="231F20"/>
          <w:spacing w:val="-3"/>
          <w:w w:val="105"/>
          <w:sz w:val="20"/>
        </w:rPr>
        <w:t>103</w:t>
      </w:r>
    </w:p>
    <w:p>
      <w:pPr>
        <w:tabs>
          <w:tab w:pos="10273" w:val="right" w:leader="dot"/>
        </w:tabs>
        <w:spacing w:line="235" w:lineRule="exact" w:before="0"/>
        <w:ind w:left="1553" w:right="0" w:firstLine="0"/>
        <w:jc w:val="left"/>
        <w:rPr>
          <w:sz w:val="20"/>
        </w:rPr>
      </w:pPr>
      <w:r>
        <w:rPr>
          <w:color w:val="231F20"/>
          <w:sz w:val="18"/>
        </w:rPr>
        <w:t>Cuadro 2.     </w:t>
      </w:r>
      <w:r>
        <w:rPr>
          <w:color w:val="231F20"/>
          <w:spacing w:val="29"/>
          <w:sz w:val="18"/>
        </w:rPr>
        <w:t> </w:t>
      </w:r>
      <w:r>
        <w:rPr>
          <w:color w:val="231F20"/>
          <w:sz w:val="18"/>
        </w:rPr>
        <w:t>Recursos forrajeros de las unidades de producción de doble propósito de</w:t>
      </w:r>
      <w:r>
        <w:rPr>
          <w:color w:val="231F20"/>
          <w:spacing w:val="14"/>
          <w:sz w:val="18"/>
        </w:rPr>
        <w:t> </w:t>
      </w:r>
      <w:r>
        <w:rPr>
          <w:color w:val="231F20"/>
          <w:sz w:val="18"/>
        </w:rPr>
        <w:t>Zacazonapan.</w:t>
      </w:r>
      <w:r>
        <w:rPr>
          <w:color w:val="231F20"/>
          <w:sz w:val="20"/>
        </w:rPr>
        <w:tab/>
      </w:r>
      <w:r>
        <w:rPr>
          <w:color w:val="231F20"/>
          <w:spacing w:val="-3"/>
          <w:sz w:val="20"/>
        </w:rPr>
        <w:t>105</w:t>
      </w:r>
    </w:p>
    <w:p>
      <w:pPr>
        <w:spacing w:line="213" w:lineRule="exact" w:before="0"/>
        <w:ind w:left="1553" w:right="2503" w:firstLine="0"/>
        <w:jc w:val="left"/>
        <w:rPr>
          <w:sz w:val="18"/>
        </w:rPr>
      </w:pPr>
      <w:r>
        <w:rPr>
          <w:color w:val="231F20"/>
          <w:sz w:val="18"/>
        </w:rPr>
        <w:t>Cuadro 3.       Acumulación neta de forraje (ANF) en kilos de materia seca por hectárea en las praderas</w:t>
      </w:r>
    </w:p>
    <w:p>
      <w:pPr>
        <w:tabs>
          <w:tab w:pos="10273" w:val="right" w:leader="dot"/>
        </w:tabs>
        <w:spacing w:line="237" w:lineRule="exact" w:before="0"/>
        <w:ind w:left="2404" w:right="0" w:firstLine="0"/>
        <w:jc w:val="left"/>
        <w:rPr>
          <w:sz w:val="20"/>
        </w:rPr>
      </w:pPr>
      <w:r>
        <w:rPr>
          <w:color w:val="231F20"/>
          <w:w w:val="105"/>
          <w:sz w:val="18"/>
        </w:rPr>
        <w:t>de Zacazonapan en los años 2008 y 2009, durante la época de lluvias (de junio </w:t>
      </w:r>
      <w:r>
        <w:rPr>
          <w:color w:val="231F20"/>
          <w:spacing w:val="42"/>
          <w:w w:val="105"/>
          <w:sz w:val="18"/>
        </w:rPr>
        <w:t> </w:t>
      </w:r>
      <w:r>
        <w:rPr>
          <w:color w:val="231F20"/>
          <w:w w:val="105"/>
          <w:sz w:val="18"/>
        </w:rPr>
        <w:t>a</w:t>
      </w:r>
      <w:r>
        <w:rPr>
          <w:color w:val="231F20"/>
          <w:spacing w:val="5"/>
          <w:w w:val="105"/>
          <w:sz w:val="18"/>
        </w:rPr>
        <w:t> </w:t>
      </w:r>
      <w:r>
        <w:rPr>
          <w:color w:val="231F20"/>
          <w:w w:val="105"/>
          <w:sz w:val="18"/>
        </w:rPr>
        <w:t>octubre).</w:t>
      </w:r>
      <w:r>
        <w:rPr>
          <w:color w:val="231F20"/>
          <w:w w:val="105"/>
          <w:sz w:val="20"/>
        </w:rPr>
        <w:tab/>
      </w:r>
      <w:r>
        <w:rPr>
          <w:color w:val="231F20"/>
          <w:spacing w:val="-3"/>
          <w:w w:val="105"/>
          <w:sz w:val="20"/>
        </w:rPr>
        <w:t>106</w:t>
      </w:r>
    </w:p>
    <w:p>
      <w:pPr>
        <w:spacing w:line="213" w:lineRule="exact" w:before="0"/>
        <w:ind w:left="1553" w:right="2503" w:firstLine="0"/>
        <w:jc w:val="left"/>
        <w:rPr>
          <w:sz w:val="18"/>
        </w:rPr>
      </w:pPr>
      <w:r>
        <w:rPr>
          <w:color w:val="231F20"/>
          <w:w w:val="105"/>
          <w:sz w:val="18"/>
        </w:rPr>
        <w:t>Cuadro 4. Composición química (g/kg/MS) de praderas dominadas por pasto Estrella de África</w:t>
      </w:r>
    </w:p>
    <w:p>
      <w:pPr>
        <w:tabs>
          <w:tab w:pos="10265" w:val="right" w:leader="dot"/>
        </w:tabs>
        <w:spacing w:line="237" w:lineRule="exact" w:before="0"/>
        <w:ind w:left="2404" w:right="0" w:firstLine="0"/>
        <w:jc w:val="left"/>
        <w:rPr>
          <w:sz w:val="20"/>
        </w:rPr>
      </w:pPr>
      <w:r>
        <w:rPr>
          <w:rFonts w:ascii="Cambria"/>
          <w:i/>
          <w:color w:val="231F20"/>
          <w:sz w:val="18"/>
        </w:rPr>
        <w:t>(Cyndon plechtostachyous)</w:t>
      </w:r>
      <w:r>
        <w:rPr>
          <w:color w:val="231F20"/>
          <w:sz w:val="18"/>
        </w:rPr>
        <w:t>, a partir de </w:t>
      </w:r>
      <w:r>
        <w:rPr>
          <w:color w:val="231F20"/>
          <w:spacing w:val="19"/>
          <w:sz w:val="18"/>
        </w:rPr>
        <w:t> </w:t>
      </w:r>
      <w:r>
        <w:rPr>
          <w:color w:val="231F20"/>
          <w:sz w:val="18"/>
        </w:rPr>
        <w:t>pastoreo</w:t>
      </w:r>
      <w:r>
        <w:rPr>
          <w:color w:val="231F20"/>
          <w:spacing w:val="11"/>
          <w:sz w:val="18"/>
        </w:rPr>
        <w:t> </w:t>
      </w:r>
      <w:r>
        <w:rPr>
          <w:color w:val="231F20"/>
          <w:sz w:val="18"/>
        </w:rPr>
        <w:t>simulado.</w:t>
      </w:r>
      <w:r>
        <w:rPr>
          <w:color w:val="231F20"/>
          <w:sz w:val="20"/>
        </w:rPr>
        <w:tab/>
      </w:r>
      <w:r>
        <w:rPr>
          <w:color w:val="231F20"/>
          <w:spacing w:val="-9"/>
          <w:sz w:val="20"/>
        </w:rPr>
        <w:t>107</w:t>
      </w:r>
    </w:p>
    <w:p>
      <w:pPr>
        <w:spacing w:line="213" w:lineRule="exact" w:before="0"/>
        <w:ind w:left="1553" w:right="2503" w:firstLine="0"/>
        <w:jc w:val="left"/>
        <w:rPr>
          <w:sz w:val="18"/>
        </w:rPr>
      </w:pPr>
      <w:r>
        <w:rPr>
          <w:color w:val="231F20"/>
          <w:sz w:val="18"/>
        </w:rPr>
        <w:t>Cuadro 5.        Promedio de cuadrados mínimos de la respuesta animal al uso de concentrados</w:t>
      </w:r>
    </w:p>
    <w:p>
      <w:pPr>
        <w:tabs>
          <w:tab w:pos="10273" w:val="right" w:leader="dot"/>
        </w:tabs>
        <w:spacing w:line="228" w:lineRule="exact" w:before="0"/>
        <w:ind w:left="2404" w:right="0" w:firstLine="0"/>
        <w:jc w:val="left"/>
        <w:rPr>
          <w:sz w:val="20"/>
        </w:rPr>
      </w:pPr>
      <w:r>
        <w:rPr>
          <w:color w:val="231F20"/>
          <w:sz w:val="18"/>
        </w:rPr>
        <w:t>con diferente nivel de </w:t>
      </w:r>
      <w:r>
        <w:rPr>
          <w:color w:val="231F20"/>
          <w:spacing w:val="4"/>
          <w:sz w:val="18"/>
        </w:rPr>
        <w:t> </w:t>
      </w:r>
      <w:r>
        <w:rPr>
          <w:color w:val="231F20"/>
          <w:sz w:val="18"/>
        </w:rPr>
        <w:t>proteína</w:t>
      </w:r>
      <w:r>
        <w:rPr>
          <w:color w:val="231F20"/>
          <w:spacing w:val="11"/>
          <w:sz w:val="18"/>
        </w:rPr>
        <w:t> </w:t>
      </w:r>
      <w:r>
        <w:rPr>
          <w:color w:val="231F20"/>
          <w:sz w:val="18"/>
        </w:rPr>
        <w:t>cruda.</w:t>
      </w:r>
      <w:r>
        <w:rPr>
          <w:color w:val="231F20"/>
          <w:sz w:val="20"/>
        </w:rPr>
        <w:tab/>
      </w:r>
      <w:r>
        <w:rPr>
          <w:color w:val="231F20"/>
          <w:spacing w:val="-3"/>
          <w:sz w:val="20"/>
        </w:rPr>
        <w:t>108</w:t>
      </w:r>
    </w:p>
    <w:p>
      <w:pPr>
        <w:tabs>
          <w:tab w:pos="10273" w:val="right" w:leader="dot"/>
        </w:tabs>
        <w:spacing w:line="235" w:lineRule="exact" w:before="0"/>
        <w:ind w:left="1553" w:right="0" w:firstLine="0"/>
        <w:jc w:val="left"/>
        <w:rPr>
          <w:sz w:val="20"/>
        </w:rPr>
      </w:pPr>
      <w:r>
        <w:rPr>
          <w:color w:val="231F20"/>
          <w:sz w:val="18"/>
        </w:rPr>
        <w:t>Cuadro 6.   Costo por kilo de leche debido al uso  </w:t>
      </w:r>
      <w:r>
        <w:rPr>
          <w:color w:val="231F20"/>
          <w:spacing w:val="14"/>
          <w:sz w:val="18"/>
        </w:rPr>
        <w:t> </w:t>
      </w:r>
      <w:r>
        <w:rPr>
          <w:color w:val="231F20"/>
          <w:sz w:val="18"/>
        </w:rPr>
        <w:t>de</w:t>
      </w:r>
      <w:r>
        <w:rPr>
          <w:color w:val="231F20"/>
          <w:spacing w:val="12"/>
          <w:sz w:val="18"/>
        </w:rPr>
        <w:t> </w:t>
      </w:r>
      <w:r>
        <w:rPr>
          <w:color w:val="231F20"/>
          <w:sz w:val="18"/>
        </w:rPr>
        <w:t>concentrados.</w:t>
      </w:r>
      <w:r>
        <w:rPr>
          <w:color w:val="231F20"/>
          <w:sz w:val="20"/>
        </w:rPr>
        <w:tab/>
      </w:r>
      <w:r>
        <w:rPr>
          <w:color w:val="231F20"/>
          <w:spacing w:val="-3"/>
          <w:sz w:val="20"/>
        </w:rPr>
        <w:t>108</w:t>
      </w:r>
    </w:p>
    <w:p>
      <w:pPr>
        <w:pStyle w:val="Heading5"/>
        <w:spacing w:before="118"/>
        <w:ind w:left="1553" w:right="2503"/>
        <w:jc w:val="left"/>
      </w:pPr>
      <w:r>
        <w:rPr>
          <w:color w:val="231F20"/>
        </w:rPr>
        <w:t>viii</w:t>
      </w:r>
    </w:p>
    <w:p>
      <w:pPr>
        <w:spacing w:after="0"/>
        <w:jc w:val="left"/>
        <w:sectPr>
          <w:pgSz w:w="11900" w:h="14450"/>
          <w:pgMar w:header="0" w:footer="222" w:top="420" w:bottom="420" w:left="0" w:right="0"/>
        </w:sectPr>
      </w:pPr>
    </w:p>
    <w:p>
      <w:pPr>
        <w:tabs>
          <w:tab w:pos="10208" w:val="left" w:leader="none"/>
        </w:tabs>
        <w:spacing w:before="760"/>
        <w:ind w:left="1553" w:right="0" w:firstLine="0"/>
        <w:jc w:val="left"/>
        <w:rPr>
          <w:sz w:val="22"/>
        </w:rPr>
      </w:pPr>
      <w:r>
        <w:rPr>
          <w:color w:val="231F20"/>
          <w:sz w:val="18"/>
        </w:rPr>
        <w:t>índice</w:t>
      </w:r>
      <w:r>
        <w:rPr>
          <w:color w:val="231F20"/>
          <w:spacing w:val="14"/>
          <w:sz w:val="18"/>
        </w:rPr>
        <w:t> </w:t>
      </w:r>
      <w:r>
        <w:rPr>
          <w:color w:val="231F20"/>
          <w:sz w:val="18"/>
        </w:rPr>
        <w:t>de</w:t>
      </w:r>
      <w:r>
        <w:rPr>
          <w:color w:val="231F20"/>
          <w:spacing w:val="14"/>
          <w:sz w:val="18"/>
        </w:rPr>
        <w:t> </w:t>
      </w:r>
      <w:r>
        <w:rPr>
          <w:color w:val="231F20"/>
          <w:sz w:val="18"/>
        </w:rPr>
        <w:t>cuadros</w:t>
      </w:r>
      <w:r>
        <w:rPr>
          <w:color w:val="231F20"/>
          <w:sz w:val="22"/>
        </w:rPr>
        <w:tab/>
        <w:t>ix</w:t>
      </w:r>
    </w:p>
    <w:p>
      <w:pPr>
        <w:tabs>
          <w:tab w:pos="2517" w:val="left" w:leader="none"/>
        </w:tabs>
        <w:spacing w:line="212" w:lineRule="exact" w:before="349"/>
        <w:ind w:left="1553" w:right="2503" w:firstLine="0"/>
        <w:jc w:val="left"/>
        <w:rPr>
          <w:sz w:val="18"/>
        </w:rPr>
      </w:pPr>
      <w:r>
        <w:rPr>
          <w:color w:val="231F20"/>
          <w:sz w:val="18"/>
        </w:rPr>
        <w:t>Cuadro</w:t>
      </w:r>
      <w:r>
        <w:rPr>
          <w:color w:val="231F20"/>
          <w:spacing w:val="16"/>
          <w:sz w:val="18"/>
        </w:rPr>
        <w:t> </w:t>
      </w:r>
      <w:r>
        <w:rPr>
          <w:color w:val="231F20"/>
          <w:spacing w:val="-12"/>
          <w:sz w:val="18"/>
        </w:rPr>
        <w:t>7.</w:t>
        <w:tab/>
      </w:r>
      <w:r>
        <w:rPr>
          <w:color w:val="231F20"/>
          <w:sz w:val="18"/>
        </w:rPr>
        <w:t>Concentrado</w:t>
      </w:r>
      <w:r>
        <w:rPr>
          <w:color w:val="231F20"/>
          <w:spacing w:val="21"/>
          <w:sz w:val="18"/>
        </w:rPr>
        <w:t> </w:t>
      </w:r>
      <w:r>
        <w:rPr>
          <w:color w:val="231F20"/>
          <w:sz w:val="18"/>
        </w:rPr>
        <w:t>de</w:t>
      </w:r>
      <w:r>
        <w:rPr>
          <w:color w:val="231F20"/>
          <w:spacing w:val="21"/>
          <w:sz w:val="18"/>
        </w:rPr>
        <w:t> </w:t>
      </w:r>
      <w:r>
        <w:rPr>
          <w:color w:val="231F20"/>
          <w:sz w:val="18"/>
        </w:rPr>
        <w:t>análisis</w:t>
      </w:r>
      <w:r>
        <w:rPr>
          <w:color w:val="231F20"/>
          <w:spacing w:val="21"/>
          <w:sz w:val="18"/>
        </w:rPr>
        <w:t> </w:t>
      </w:r>
      <w:r>
        <w:rPr>
          <w:color w:val="231F20"/>
          <w:sz w:val="18"/>
        </w:rPr>
        <w:t>económico</w:t>
      </w:r>
      <w:r>
        <w:rPr>
          <w:color w:val="231F20"/>
          <w:spacing w:val="21"/>
          <w:sz w:val="18"/>
        </w:rPr>
        <w:t> </w:t>
      </w:r>
      <w:r>
        <w:rPr>
          <w:color w:val="231F20"/>
          <w:sz w:val="18"/>
        </w:rPr>
        <w:t>de</w:t>
      </w:r>
      <w:r>
        <w:rPr>
          <w:color w:val="231F20"/>
          <w:spacing w:val="21"/>
          <w:sz w:val="18"/>
        </w:rPr>
        <w:t> </w:t>
      </w:r>
      <w:r>
        <w:rPr>
          <w:color w:val="231F20"/>
          <w:sz w:val="18"/>
        </w:rPr>
        <w:t>diez</w:t>
      </w:r>
      <w:r>
        <w:rPr>
          <w:color w:val="231F20"/>
          <w:spacing w:val="21"/>
          <w:sz w:val="18"/>
        </w:rPr>
        <w:t> </w:t>
      </w:r>
      <w:r>
        <w:rPr>
          <w:color w:val="231F20"/>
          <w:sz w:val="18"/>
        </w:rPr>
        <w:t>unidades</w:t>
      </w:r>
      <w:r>
        <w:rPr>
          <w:color w:val="231F20"/>
          <w:spacing w:val="21"/>
          <w:sz w:val="18"/>
        </w:rPr>
        <w:t> </w:t>
      </w:r>
      <w:r>
        <w:rPr>
          <w:color w:val="231F20"/>
          <w:sz w:val="18"/>
        </w:rPr>
        <w:t>de</w:t>
      </w:r>
      <w:r>
        <w:rPr>
          <w:color w:val="231F20"/>
          <w:spacing w:val="21"/>
          <w:sz w:val="18"/>
        </w:rPr>
        <w:t> </w:t>
      </w:r>
      <w:r>
        <w:rPr>
          <w:color w:val="231F20"/>
          <w:sz w:val="18"/>
        </w:rPr>
        <w:t>producción</w:t>
      </w:r>
      <w:r>
        <w:rPr>
          <w:color w:val="231F20"/>
          <w:spacing w:val="21"/>
          <w:sz w:val="18"/>
        </w:rPr>
        <w:t> </w:t>
      </w:r>
      <w:r>
        <w:rPr>
          <w:color w:val="231F20"/>
          <w:sz w:val="18"/>
        </w:rPr>
        <w:t>de</w:t>
      </w:r>
      <w:r>
        <w:rPr>
          <w:color w:val="231F20"/>
          <w:spacing w:val="21"/>
          <w:sz w:val="18"/>
        </w:rPr>
        <w:t> </w:t>
      </w:r>
      <w:r>
        <w:rPr>
          <w:color w:val="231F20"/>
          <w:sz w:val="18"/>
        </w:rPr>
        <w:t>doble</w:t>
      </w:r>
    </w:p>
    <w:p>
      <w:pPr>
        <w:tabs>
          <w:tab w:pos="9940" w:val="left" w:leader="dot"/>
        </w:tabs>
        <w:spacing w:line="225" w:lineRule="exact" w:before="0"/>
        <w:ind w:left="2517" w:right="0" w:firstLine="0"/>
        <w:jc w:val="left"/>
        <w:rPr>
          <w:sz w:val="20"/>
        </w:rPr>
      </w:pPr>
      <w:r>
        <w:rPr>
          <w:color w:val="231F20"/>
          <w:w w:val="105"/>
          <w:sz w:val="18"/>
        </w:rPr>
        <w:t>propósito de</w:t>
      </w:r>
      <w:r>
        <w:rPr>
          <w:color w:val="231F20"/>
          <w:spacing w:val="11"/>
          <w:w w:val="105"/>
          <w:sz w:val="18"/>
        </w:rPr>
        <w:t> </w:t>
      </w:r>
      <w:r>
        <w:rPr>
          <w:color w:val="231F20"/>
          <w:w w:val="105"/>
          <w:sz w:val="18"/>
        </w:rPr>
        <w:t>Zacazonapan</w:t>
      </w:r>
      <w:r>
        <w:rPr>
          <w:color w:val="231F20"/>
          <w:spacing w:val="5"/>
          <w:w w:val="105"/>
          <w:sz w:val="18"/>
        </w:rPr>
        <w:t> </w:t>
      </w:r>
      <w:r>
        <w:rPr>
          <w:color w:val="231F20"/>
          <w:w w:val="105"/>
          <w:sz w:val="18"/>
        </w:rPr>
        <w:t>(2008).</w:t>
      </w:r>
      <w:r>
        <w:rPr>
          <w:color w:val="231F20"/>
          <w:w w:val="105"/>
          <w:sz w:val="20"/>
        </w:rPr>
        <w:tab/>
      </w:r>
      <w:r>
        <w:rPr>
          <w:color w:val="231F20"/>
          <w:spacing w:val="-9"/>
          <w:w w:val="105"/>
          <w:sz w:val="20"/>
        </w:rPr>
        <w:t>110</w:t>
      </w:r>
    </w:p>
    <w:p>
      <w:pPr>
        <w:tabs>
          <w:tab w:pos="2517" w:val="left" w:leader="none"/>
          <w:tab w:pos="9940" w:val="left" w:leader="dot"/>
        </w:tabs>
        <w:spacing w:line="232" w:lineRule="exact" w:before="0"/>
        <w:ind w:left="1553" w:right="0" w:firstLine="0"/>
        <w:jc w:val="left"/>
        <w:rPr>
          <w:sz w:val="20"/>
        </w:rPr>
      </w:pPr>
      <w:r>
        <w:rPr>
          <w:color w:val="231F20"/>
          <w:sz w:val="18"/>
        </w:rPr>
        <w:t>Cuadro</w:t>
      </w:r>
      <w:r>
        <w:rPr>
          <w:color w:val="231F20"/>
          <w:spacing w:val="16"/>
          <w:sz w:val="18"/>
        </w:rPr>
        <w:t> </w:t>
      </w:r>
      <w:r>
        <w:rPr>
          <w:color w:val="231F20"/>
          <w:sz w:val="18"/>
        </w:rPr>
        <w:t>8.</w:t>
        <w:tab/>
        <w:t>Proporción del costo de producción de litro de leche  </w:t>
      </w:r>
      <w:r>
        <w:rPr>
          <w:color w:val="231F20"/>
          <w:spacing w:val="10"/>
          <w:sz w:val="18"/>
        </w:rPr>
        <w:t> </w:t>
      </w:r>
      <w:r>
        <w:rPr>
          <w:color w:val="231F20"/>
          <w:sz w:val="18"/>
        </w:rPr>
        <w:t>por</w:t>
      </w:r>
      <w:r>
        <w:rPr>
          <w:color w:val="231F20"/>
          <w:spacing w:val="10"/>
          <w:sz w:val="18"/>
        </w:rPr>
        <w:t> </w:t>
      </w:r>
      <w:r>
        <w:rPr>
          <w:color w:val="231F20"/>
          <w:sz w:val="18"/>
        </w:rPr>
        <w:t>rubro.</w:t>
      </w:r>
      <w:r>
        <w:rPr>
          <w:color w:val="231F20"/>
          <w:sz w:val="20"/>
        </w:rPr>
        <w:tab/>
      </w:r>
      <w:r>
        <w:rPr>
          <w:color w:val="231F20"/>
          <w:spacing w:val="-9"/>
          <w:sz w:val="20"/>
        </w:rPr>
        <w:t>111</w:t>
      </w:r>
    </w:p>
    <w:p>
      <w:pPr>
        <w:tabs>
          <w:tab w:pos="2517" w:val="left" w:leader="none"/>
        </w:tabs>
        <w:spacing w:line="210" w:lineRule="exact" w:before="0"/>
        <w:ind w:left="1553" w:right="2503" w:firstLine="0"/>
        <w:jc w:val="left"/>
        <w:rPr>
          <w:sz w:val="18"/>
        </w:rPr>
      </w:pPr>
      <w:r>
        <w:rPr>
          <w:color w:val="231F20"/>
          <w:sz w:val="18"/>
        </w:rPr>
        <w:t>Cuadro</w:t>
      </w:r>
      <w:r>
        <w:rPr>
          <w:color w:val="231F20"/>
          <w:spacing w:val="16"/>
          <w:sz w:val="18"/>
        </w:rPr>
        <w:t> </w:t>
      </w:r>
      <w:r>
        <w:rPr>
          <w:color w:val="231F20"/>
          <w:sz w:val="18"/>
        </w:rPr>
        <w:t>9.</w:t>
        <w:tab/>
        <w:t>Conocimiento</w:t>
      </w:r>
      <w:r>
        <w:rPr>
          <w:color w:val="231F20"/>
          <w:spacing w:val="15"/>
          <w:sz w:val="18"/>
        </w:rPr>
        <w:t> </w:t>
      </w:r>
      <w:r>
        <w:rPr>
          <w:color w:val="231F20"/>
          <w:sz w:val="18"/>
        </w:rPr>
        <w:t>de</w:t>
      </w:r>
      <w:r>
        <w:rPr>
          <w:color w:val="231F20"/>
          <w:spacing w:val="15"/>
          <w:sz w:val="18"/>
        </w:rPr>
        <w:t> </w:t>
      </w:r>
      <w:r>
        <w:rPr>
          <w:color w:val="231F20"/>
          <w:sz w:val="18"/>
        </w:rPr>
        <w:t>las</w:t>
      </w:r>
      <w:r>
        <w:rPr>
          <w:color w:val="231F20"/>
          <w:spacing w:val="15"/>
          <w:sz w:val="18"/>
        </w:rPr>
        <w:t> </w:t>
      </w:r>
      <w:r>
        <w:rPr>
          <w:color w:val="231F20"/>
          <w:sz w:val="18"/>
        </w:rPr>
        <w:t>especies</w:t>
      </w:r>
      <w:r>
        <w:rPr>
          <w:color w:val="231F20"/>
          <w:spacing w:val="15"/>
          <w:sz w:val="18"/>
        </w:rPr>
        <w:t> </w:t>
      </w:r>
      <w:r>
        <w:rPr>
          <w:color w:val="231F20"/>
          <w:sz w:val="18"/>
        </w:rPr>
        <w:t>vegetales</w:t>
      </w:r>
      <w:r>
        <w:rPr>
          <w:color w:val="231F20"/>
          <w:spacing w:val="15"/>
          <w:sz w:val="18"/>
        </w:rPr>
        <w:t> </w:t>
      </w:r>
      <w:r>
        <w:rPr>
          <w:color w:val="231F20"/>
          <w:sz w:val="18"/>
        </w:rPr>
        <w:t>reportadas</w:t>
      </w:r>
      <w:r>
        <w:rPr>
          <w:color w:val="231F20"/>
          <w:spacing w:val="15"/>
          <w:sz w:val="18"/>
        </w:rPr>
        <w:t> </w:t>
      </w:r>
      <w:r>
        <w:rPr>
          <w:color w:val="231F20"/>
          <w:sz w:val="18"/>
        </w:rPr>
        <w:t>por</w:t>
      </w:r>
      <w:r>
        <w:rPr>
          <w:color w:val="231F20"/>
          <w:spacing w:val="15"/>
          <w:sz w:val="18"/>
        </w:rPr>
        <w:t> </w:t>
      </w:r>
      <w:r>
        <w:rPr>
          <w:color w:val="231F20"/>
          <w:sz w:val="18"/>
        </w:rPr>
        <w:t>los</w:t>
      </w:r>
      <w:r>
        <w:rPr>
          <w:color w:val="231F20"/>
          <w:spacing w:val="15"/>
          <w:sz w:val="18"/>
        </w:rPr>
        <w:t> </w:t>
      </w:r>
      <w:r>
        <w:rPr>
          <w:color w:val="231F20"/>
          <w:sz w:val="18"/>
        </w:rPr>
        <w:t>productores</w:t>
      </w:r>
      <w:r>
        <w:rPr>
          <w:color w:val="231F20"/>
          <w:spacing w:val="15"/>
          <w:sz w:val="18"/>
        </w:rPr>
        <w:t> </w:t>
      </w:r>
      <w:r>
        <w:rPr>
          <w:color w:val="231F20"/>
          <w:sz w:val="18"/>
        </w:rPr>
        <w:t>y</w:t>
      </w:r>
      <w:r>
        <w:rPr>
          <w:color w:val="231F20"/>
          <w:spacing w:val="15"/>
          <w:sz w:val="18"/>
        </w:rPr>
        <w:t> </w:t>
      </w:r>
      <w:r>
        <w:rPr>
          <w:color w:val="231F20"/>
          <w:sz w:val="18"/>
        </w:rPr>
        <w:t>que</w:t>
      </w:r>
    </w:p>
    <w:p>
      <w:pPr>
        <w:tabs>
          <w:tab w:pos="9940" w:val="left" w:leader="dot"/>
        </w:tabs>
        <w:spacing w:line="225" w:lineRule="exact" w:before="0"/>
        <w:ind w:left="2517" w:right="0" w:firstLine="0"/>
        <w:jc w:val="left"/>
        <w:rPr>
          <w:sz w:val="20"/>
        </w:rPr>
      </w:pPr>
      <w:r>
        <w:rPr>
          <w:color w:val="231F20"/>
          <w:sz w:val="18"/>
        </w:rPr>
        <w:t>se encuentran en sus unidades  </w:t>
      </w:r>
      <w:r>
        <w:rPr>
          <w:color w:val="231F20"/>
          <w:spacing w:val="6"/>
          <w:sz w:val="18"/>
        </w:rPr>
        <w:t> </w:t>
      </w:r>
      <w:r>
        <w:rPr>
          <w:color w:val="231F20"/>
          <w:sz w:val="18"/>
        </w:rPr>
        <w:t>de</w:t>
      </w:r>
      <w:r>
        <w:rPr>
          <w:color w:val="231F20"/>
          <w:spacing w:val="17"/>
          <w:sz w:val="18"/>
        </w:rPr>
        <w:t> </w:t>
      </w:r>
      <w:r>
        <w:rPr>
          <w:color w:val="231F20"/>
          <w:sz w:val="18"/>
        </w:rPr>
        <w:t>producción.</w:t>
      </w:r>
      <w:r>
        <w:rPr>
          <w:color w:val="231F20"/>
          <w:sz w:val="20"/>
        </w:rPr>
        <w:tab/>
      </w:r>
      <w:r>
        <w:rPr>
          <w:color w:val="231F20"/>
          <w:spacing w:val="-9"/>
          <w:sz w:val="20"/>
        </w:rPr>
        <w:t>113</w:t>
      </w:r>
    </w:p>
    <w:p>
      <w:pPr>
        <w:tabs>
          <w:tab w:pos="9940" w:val="left" w:leader="dot"/>
        </w:tabs>
        <w:spacing w:line="232" w:lineRule="exact" w:before="0"/>
        <w:ind w:left="1553" w:right="0" w:firstLine="0"/>
        <w:jc w:val="left"/>
        <w:rPr>
          <w:sz w:val="20"/>
        </w:rPr>
      </w:pPr>
      <w:r>
        <w:rPr>
          <w:color w:val="231F20"/>
          <w:sz w:val="18"/>
        </w:rPr>
        <w:t>Cuadro </w:t>
      </w:r>
      <w:r>
        <w:rPr>
          <w:color w:val="231F20"/>
          <w:spacing w:val="-3"/>
          <w:sz w:val="18"/>
        </w:rPr>
        <w:t>10.   </w:t>
      </w:r>
      <w:r>
        <w:rPr>
          <w:color w:val="231F20"/>
          <w:sz w:val="18"/>
        </w:rPr>
        <w:t>Árboles encontrados en las unidades de producción que no fueron reportados por </w:t>
      </w:r>
      <w:r>
        <w:rPr>
          <w:color w:val="231F20"/>
          <w:spacing w:val="15"/>
          <w:sz w:val="18"/>
        </w:rPr>
        <w:t> </w:t>
      </w:r>
      <w:r>
        <w:rPr>
          <w:color w:val="231F20"/>
          <w:sz w:val="18"/>
        </w:rPr>
        <w:t>los</w:t>
      </w:r>
      <w:r>
        <w:rPr>
          <w:color w:val="231F20"/>
          <w:spacing w:val="5"/>
          <w:sz w:val="18"/>
        </w:rPr>
        <w:t> </w:t>
      </w:r>
      <w:r>
        <w:rPr>
          <w:color w:val="231F20"/>
          <w:spacing w:val="-2"/>
          <w:sz w:val="18"/>
        </w:rPr>
        <w:t>productores.</w:t>
      </w:r>
      <w:r>
        <w:rPr>
          <w:color w:val="231F20"/>
          <w:spacing w:val="-2"/>
          <w:sz w:val="20"/>
        </w:rPr>
        <w:tab/>
      </w:r>
      <w:r>
        <w:rPr>
          <w:color w:val="231F20"/>
          <w:spacing w:val="-9"/>
          <w:sz w:val="20"/>
        </w:rPr>
        <w:t>114</w:t>
      </w:r>
    </w:p>
    <w:p>
      <w:pPr>
        <w:spacing w:line="210" w:lineRule="exact" w:before="0"/>
        <w:ind w:left="1553" w:right="2503" w:firstLine="0"/>
        <w:jc w:val="left"/>
        <w:rPr>
          <w:sz w:val="18"/>
        </w:rPr>
      </w:pPr>
      <w:r>
        <w:rPr>
          <w:color w:val="231F20"/>
          <w:sz w:val="18"/>
        </w:rPr>
        <w:t>Cuadro 11.       Especies vegetales del estrato basal, encontradas en las unidades de producción,</w:t>
      </w:r>
    </w:p>
    <w:p>
      <w:pPr>
        <w:tabs>
          <w:tab w:pos="9940" w:val="left" w:leader="dot"/>
        </w:tabs>
        <w:spacing w:line="225" w:lineRule="exact" w:before="0"/>
        <w:ind w:left="2517" w:right="0" w:firstLine="0"/>
        <w:jc w:val="left"/>
        <w:rPr>
          <w:sz w:val="20"/>
        </w:rPr>
      </w:pPr>
      <w:r>
        <w:rPr>
          <w:color w:val="231F20"/>
          <w:w w:val="105"/>
          <w:sz w:val="18"/>
        </w:rPr>
        <w:t>consumidas por</w:t>
      </w:r>
      <w:r>
        <w:rPr>
          <w:color w:val="231F20"/>
          <w:spacing w:val="-7"/>
          <w:w w:val="105"/>
          <w:sz w:val="18"/>
        </w:rPr>
        <w:t> </w:t>
      </w:r>
      <w:r>
        <w:rPr>
          <w:color w:val="231F20"/>
          <w:w w:val="105"/>
          <w:sz w:val="18"/>
        </w:rPr>
        <w:t>el</w:t>
      </w:r>
      <w:r>
        <w:rPr>
          <w:color w:val="231F20"/>
          <w:spacing w:val="-3"/>
          <w:w w:val="105"/>
          <w:sz w:val="18"/>
        </w:rPr>
        <w:t> </w:t>
      </w:r>
      <w:r>
        <w:rPr>
          <w:color w:val="231F20"/>
          <w:w w:val="105"/>
          <w:sz w:val="18"/>
        </w:rPr>
        <w:t>ganado.</w:t>
      </w:r>
      <w:r>
        <w:rPr>
          <w:color w:val="231F20"/>
          <w:w w:val="105"/>
          <w:sz w:val="20"/>
        </w:rPr>
        <w:tab/>
      </w:r>
      <w:r>
        <w:rPr>
          <w:color w:val="231F20"/>
          <w:spacing w:val="-9"/>
          <w:w w:val="105"/>
          <w:sz w:val="20"/>
        </w:rPr>
        <w:t>114</w:t>
      </w:r>
    </w:p>
    <w:p>
      <w:pPr>
        <w:tabs>
          <w:tab w:pos="9940" w:val="left" w:leader="dot"/>
        </w:tabs>
        <w:spacing w:line="223" w:lineRule="exact" w:before="0"/>
        <w:ind w:left="1553" w:right="0" w:firstLine="0"/>
        <w:jc w:val="left"/>
        <w:rPr>
          <w:sz w:val="20"/>
        </w:rPr>
      </w:pPr>
      <w:r>
        <w:rPr>
          <w:color w:val="231F20"/>
          <w:sz w:val="18"/>
        </w:rPr>
        <w:t>Cuadro </w:t>
      </w:r>
      <w:r>
        <w:rPr>
          <w:color w:val="231F20"/>
          <w:spacing w:val="-3"/>
          <w:sz w:val="18"/>
        </w:rPr>
        <w:t>12.     </w:t>
      </w:r>
      <w:r>
        <w:rPr>
          <w:color w:val="231F20"/>
          <w:spacing w:val="34"/>
          <w:sz w:val="18"/>
        </w:rPr>
        <w:t> </w:t>
      </w:r>
      <w:r>
        <w:rPr>
          <w:color w:val="231F20"/>
          <w:sz w:val="18"/>
        </w:rPr>
        <w:t>Especies vegetales con mayor índice de valor de importancia</w:t>
      </w:r>
      <w:r>
        <w:rPr>
          <w:color w:val="231F20"/>
          <w:spacing w:val="16"/>
          <w:sz w:val="18"/>
        </w:rPr>
        <w:t> </w:t>
      </w:r>
      <w:r>
        <w:rPr>
          <w:color w:val="231F20"/>
          <w:sz w:val="18"/>
        </w:rPr>
        <w:t>(IVI).</w:t>
      </w:r>
      <w:r>
        <w:rPr>
          <w:color w:val="231F20"/>
          <w:sz w:val="20"/>
        </w:rPr>
        <w:tab/>
      </w:r>
      <w:r>
        <w:rPr>
          <w:color w:val="231F20"/>
          <w:spacing w:val="-9"/>
          <w:sz w:val="20"/>
        </w:rPr>
        <w:t>115</w:t>
      </w:r>
    </w:p>
    <w:p>
      <w:pPr>
        <w:tabs>
          <w:tab w:pos="9940" w:val="left" w:leader="dot"/>
        </w:tabs>
        <w:spacing w:line="233" w:lineRule="exact" w:before="0"/>
        <w:ind w:left="1553" w:right="0" w:firstLine="0"/>
        <w:jc w:val="left"/>
        <w:rPr>
          <w:sz w:val="20"/>
        </w:rPr>
      </w:pPr>
      <w:r>
        <w:rPr>
          <w:color w:val="231F20"/>
          <w:sz w:val="18"/>
        </w:rPr>
        <w:t>Cuadro </w:t>
      </w:r>
      <w:r>
        <w:rPr>
          <w:color w:val="231F20"/>
          <w:spacing w:val="-3"/>
          <w:sz w:val="18"/>
        </w:rPr>
        <w:t>13.   </w:t>
      </w:r>
      <w:r>
        <w:rPr>
          <w:color w:val="231F20"/>
          <w:sz w:val="18"/>
        </w:rPr>
        <w:t>Índices de diversidad y riqueza vegetal por grupos  </w:t>
      </w:r>
      <w:r>
        <w:rPr>
          <w:color w:val="231F20"/>
          <w:spacing w:val="29"/>
          <w:sz w:val="18"/>
        </w:rPr>
        <w:t> </w:t>
      </w:r>
      <w:r>
        <w:rPr>
          <w:color w:val="231F20"/>
          <w:sz w:val="18"/>
        </w:rPr>
        <w:t>de</w:t>
      </w:r>
      <w:r>
        <w:rPr>
          <w:color w:val="231F20"/>
          <w:spacing w:val="12"/>
          <w:sz w:val="18"/>
        </w:rPr>
        <w:t> </w:t>
      </w:r>
      <w:r>
        <w:rPr>
          <w:color w:val="231F20"/>
          <w:sz w:val="18"/>
        </w:rPr>
        <w:t>productores.</w:t>
      </w:r>
      <w:r>
        <w:rPr>
          <w:color w:val="231F20"/>
          <w:sz w:val="20"/>
        </w:rPr>
        <w:tab/>
      </w:r>
      <w:r>
        <w:rPr>
          <w:color w:val="231F20"/>
          <w:spacing w:val="-9"/>
          <w:sz w:val="20"/>
        </w:rPr>
        <w:t>116</w:t>
      </w:r>
    </w:p>
    <w:p>
      <w:pPr>
        <w:spacing w:line="212" w:lineRule="exact" w:before="167"/>
        <w:ind w:left="1553" w:right="2503" w:firstLine="0"/>
        <w:jc w:val="left"/>
        <w:rPr>
          <w:sz w:val="18"/>
        </w:rPr>
      </w:pPr>
      <w:r>
        <w:rPr>
          <w:color w:val="231F20"/>
          <w:w w:val="110"/>
          <w:sz w:val="18"/>
        </w:rPr>
        <w:t>CAPÍTULO 8</w:t>
      </w:r>
    </w:p>
    <w:p>
      <w:pPr>
        <w:tabs>
          <w:tab w:pos="2517" w:val="left" w:leader="none"/>
          <w:tab w:pos="9936" w:val="left" w:leader="dot"/>
        </w:tabs>
        <w:spacing w:line="225" w:lineRule="exact" w:before="0"/>
        <w:ind w:left="1553" w:right="0" w:firstLine="0"/>
        <w:jc w:val="left"/>
        <w:rPr>
          <w:sz w:val="20"/>
        </w:rPr>
      </w:pPr>
      <w:r>
        <w:rPr>
          <w:color w:val="231F20"/>
          <w:sz w:val="18"/>
        </w:rPr>
        <w:t>Cuadro</w:t>
      </w:r>
      <w:r>
        <w:rPr>
          <w:color w:val="231F20"/>
          <w:spacing w:val="16"/>
          <w:sz w:val="18"/>
        </w:rPr>
        <w:t> </w:t>
      </w:r>
      <w:r>
        <w:rPr>
          <w:color w:val="231F20"/>
          <w:sz w:val="18"/>
        </w:rPr>
        <w:t>1.</w:t>
        <w:tab/>
        <w:t>Uso y aprovechamiento </w:t>
      </w:r>
      <w:r>
        <w:rPr>
          <w:color w:val="231F20"/>
          <w:spacing w:val="2"/>
          <w:sz w:val="18"/>
        </w:rPr>
        <w:t> </w:t>
      </w:r>
      <w:r>
        <w:rPr>
          <w:color w:val="231F20"/>
          <w:sz w:val="18"/>
        </w:rPr>
        <w:t>del</w:t>
      </w:r>
      <w:r>
        <w:rPr>
          <w:color w:val="231F20"/>
          <w:spacing w:val="14"/>
          <w:sz w:val="18"/>
        </w:rPr>
        <w:t> </w:t>
      </w:r>
      <w:r>
        <w:rPr>
          <w:color w:val="231F20"/>
          <w:sz w:val="18"/>
        </w:rPr>
        <w:t>suelo.</w:t>
      </w:r>
      <w:r>
        <w:rPr>
          <w:color w:val="231F20"/>
          <w:sz w:val="20"/>
        </w:rPr>
        <w:tab/>
      </w:r>
      <w:r>
        <w:rPr>
          <w:color w:val="231F20"/>
          <w:spacing w:val="-5"/>
          <w:sz w:val="20"/>
        </w:rPr>
        <w:t>124</w:t>
      </w:r>
    </w:p>
    <w:p>
      <w:pPr>
        <w:tabs>
          <w:tab w:pos="2517" w:val="left" w:leader="none"/>
          <w:tab w:pos="9936"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z w:val="18"/>
        </w:rPr>
        <w:t>2.</w:t>
        <w:tab/>
        <w:t>Estructura ganadera en la zona </w:t>
      </w:r>
      <w:r>
        <w:rPr>
          <w:color w:val="231F20"/>
          <w:spacing w:val="9"/>
          <w:sz w:val="18"/>
        </w:rPr>
        <w:t> </w:t>
      </w:r>
      <w:r>
        <w:rPr>
          <w:color w:val="231F20"/>
          <w:sz w:val="18"/>
        </w:rPr>
        <w:t>de</w:t>
      </w:r>
      <w:r>
        <w:rPr>
          <w:color w:val="231F20"/>
          <w:spacing w:val="10"/>
          <w:sz w:val="18"/>
        </w:rPr>
        <w:t> </w:t>
      </w:r>
      <w:r>
        <w:rPr>
          <w:color w:val="231F20"/>
          <w:sz w:val="18"/>
        </w:rPr>
        <w:t>estudio.</w:t>
      </w:r>
      <w:r>
        <w:rPr>
          <w:color w:val="231F20"/>
          <w:sz w:val="20"/>
        </w:rPr>
        <w:tab/>
      </w:r>
      <w:r>
        <w:rPr>
          <w:color w:val="231F20"/>
          <w:spacing w:val="-5"/>
          <w:sz w:val="20"/>
        </w:rPr>
        <w:t>124</w:t>
      </w:r>
    </w:p>
    <w:p>
      <w:pPr>
        <w:tabs>
          <w:tab w:pos="2517" w:val="left" w:leader="none"/>
          <w:tab w:pos="9936"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z w:val="18"/>
        </w:rPr>
        <w:t>3.</w:t>
        <w:tab/>
        <w:t>Estructura</w:t>
      </w:r>
      <w:r>
        <w:rPr>
          <w:color w:val="231F20"/>
          <w:spacing w:val="12"/>
          <w:sz w:val="18"/>
        </w:rPr>
        <w:t> </w:t>
      </w:r>
      <w:r>
        <w:rPr>
          <w:color w:val="231F20"/>
          <w:sz w:val="18"/>
        </w:rPr>
        <w:t>para</w:t>
      </w:r>
      <w:r>
        <w:rPr>
          <w:color w:val="231F20"/>
          <w:spacing w:val="12"/>
          <w:sz w:val="18"/>
        </w:rPr>
        <w:t> </w:t>
      </w:r>
      <w:r>
        <w:rPr>
          <w:color w:val="231F20"/>
          <w:sz w:val="18"/>
        </w:rPr>
        <w:t>la</w:t>
      </w:r>
      <w:r>
        <w:rPr>
          <w:color w:val="231F20"/>
          <w:spacing w:val="12"/>
          <w:sz w:val="18"/>
        </w:rPr>
        <w:t> </w:t>
      </w:r>
      <w:r>
        <w:rPr>
          <w:color w:val="231F20"/>
          <w:sz w:val="18"/>
        </w:rPr>
        <w:t>descripción</w:t>
      </w:r>
      <w:r>
        <w:rPr>
          <w:color w:val="231F20"/>
          <w:spacing w:val="12"/>
          <w:sz w:val="18"/>
        </w:rPr>
        <w:t> </w:t>
      </w:r>
      <w:r>
        <w:rPr>
          <w:color w:val="231F20"/>
          <w:sz w:val="18"/>
        </w:rPr>
        <w:t>de</w:t>
      </w:r>
      <w:r>
        <w:rPr>
          <w:color w:val="231F20"/>
          <w:spacing w:val="12"/>
          <w:sz w:val="18"/>
        </w:rPr>
        <w:t> </w:t>
      </w:r>
      <w:r>
        <w:rPr>
          <w:color w:val="231F20"/>
          <w:sz w:val="18"/>
        </w:rPr>
        <w:t>las</w:t>
      </w:r>
      <w:r>
        <w:rPr>
          <w:color w:val="231F20"/>
          <w:spacing w:val="12"/>
          <w:sz w:val="18"/>
        </w:rPr>
        <w:t> </w:t>
      </w:r>
      <w:r>
        <w:rPr>
          <w:color w:val="231F20"/>
          <w:sz w:val="18"/>
        </w:rPr>
        <w:t>unidades</w:t>
      </w:r>
      <w:r>
        <w:rPr>
          <w:color w:val="231F20"/>
          <w:spacing w:val="12"/>
          <w:sz w:val="18"/>
        </w:rPr>
        <w:t> </w:t>
      </w:r>
      <w:r>
        <w:rPr>
          <w:color w:val="231F20"/>
          <w:sz w:val="18"/>
        </w:rPr>
        <w:t>de</w:t>
      </w:r>
      <w:r>
        <w:rPr>
          <w:color w:val="231F20"/>
          <w:spacing w:val="12"/>
          <w:sz w:val="18"/>
        </w:rPr>
        <w:t> </w:t>
      </w:r>
      <w:r>
        <w:rPr>
          <w:color w:val="231F20"/>
          <w:sz w:val="18"/>
        </w:rPr>
        <w:t>producción</w:t>
      </w:r>
      <w:r>
        <w:rPr>
          <w:color w:val="231F20"/>
          <w:spacing w:val="12"/>
          <w:sz w:val="18"/>
        </w:rPr>
        <w:t> </w:t>
      </w:r>
      <w:r>
        <w:rPr>
          <w:color w:val="231F20"/>
          <w:sz w:val="18"/>
        </w:rPr>
        <w:t>en</w:t>
      </w:r>
      <w:r>
        <w:rPr>
          <w:color w:val="231F20"/>
          <w:spacing w:val="12"/>
          <w:sz w:val="18"/>
        </w:rPr>
        <w:t> </w:t>
      </w:r>
      <w:r>
        <w:rPr>
          <w:color w:val="231F20"/>
          <w:sz w:val="18"/>
        </w:rPr>
        <w:t>la</w:t>
      </w:r>
      <w:r>
        <w:rPr>
          <w:color w:val="231F20"/>
          <w:spacing w:val="12"/>
          <w:sz w:val="18"/>
        </w:rPr>
        <w:t> </w:t>
      </w:r>
      <w:r>
        <w:rPr>
          <w:color w:val="231F20"/>
          <w:sz w:val="18"/>
        </w:rPr>
        <w:t>zona</w:t>
      </w:r>
      <w:r>
        <w:rPr>
          <w:color w:val="231F20"/>
          <w:spacing w:val="12"/>
          <w:sz w:val="18"/>
        </w:rPr>
        <w:t> </w:t>
      </w:r>
      <w:r>
        <w:rPr>
          <w:color w:val="231F20"/>
          <w:sz w:val="18"/>
        </w:rPr>
        <w:t>de</w:t>
      </w:r>
      <w:r>
        <w:rPr>
          <w:color w:val="231F20"/>
          <w:spacing w:val="12"/>
          <w:sz w:val="18"/>
        </w:rPr>
        <w:t> </w:t>
      </w:r>
      <w:r>
        <w:rPr>
          <w:color w:val="231F20"/>
          <w:sz w:val="18"/>
        </w:rPr>
        <w:t>estudio.</w:t>
      </w:r>
      <w:r>
        <w:rPr>
          <w:color w:val="231F20"/>
          <w:sz w:val="20"/>
        </w:rPr>
        <w:tab/>
      </w:r>
      <w:r>
        <w:rPr>
          <w:color w:val="231F20"/>
          <w:spacing w:val="-5"/>
          <w:sz w:val="20"/>
        </w:rPr>
        <w:t>125</w:t>
      </w:r>
    </w:p>
    <w:p>
      <w:pPr>
        <w:tabs>
          <w:tab w:pos="2517" w:val="left" w:leader="none"/>
          <w:tab w:pos="9936"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z w:val="18"/>
        </w:rPr>
        <w:t>4.</w:t>
        <w:tab/>
        <w:t>Uso y aprovechamiento de la superficie </w:t>
      </w:r>
      <w:r>
        <w:rPr>
          <w:color w:val="231F20"/>
          <w:spacing w:val="15"/>
          <w:sz w:val="18"/>
        </w:rPr>
        <w:t> </w:t>
      </w:r>
      <w:r>
        <w:rPr>
          <w:color w:val="231F20"/>
          <w:sz w:val="18"/>
        </w:rPr>
        <w:t>agrícola</w:t>
      </w:r>
      <w:r>
        <w:rPr>
          <w:color w:val="231F20"/>
          <w:spacing w:val="9"/>
          <w:sz w:val="18"/>
        </w:rPr>
        <w:t> </w:t>
      </w:r>
      <w:r>
        <w:rPr>
          <w:color w:val="231F20"/>
          <w:sz w:val="18"/>
        </w:rPr>
        <w:t>útil.</w:t>
      </w:r>
      <w:r>
        <w:rPr>
          <w:color w:val="231F20"/>
          <w:sz w:val="20"/>
        </w:rPr>
        <w:tab/>
      </w:r>
      <w:r>
        <w:rPr>
          <w:color w:val="231F20"/>
          <w:spacing w:val="-5"/>
          <w:sz w:val="20"/>
        </w:rPr>
        <w:t>126</w:t>
      </w:r>
    </w:p>
    <w:p>
      <w:pPr>
        <w:tabs>
          <w:tab w:pos="2517" w:val="left" w:leader="none"/>
          <w:tab w:pos="9936" w:val="left" w:leader="dot"/>
        </w:tabs>
        <w:spacing w:line="223" w:lineRule="exact" w:before="0"/>
        <w:ind w:left="1553" w:right="0" w:firstLine="0"/>
        <w:jc w:val="left"/>
        <w:rPr>
          <w:sz w:val="20"/>
        </w:rPr>
      </w:pPr>
      <w:r>
        <w:rPr>
          <w:color w:val="231F20"/>
          <w:w w:val="105"/>
          <w:sz w:val="18"/>
        </w:rPr>
        <w:t>Cuadro</w:t>
      </w:r>
      <w:r>
        <w:rPr>
          <w:color w:val="231F20"/>
          <w:spacing w:val="4"/>
          <w:w w:val="105"/>
          <w:sz w:val="18"/>
        </w:rPr>
        <w:t> </w:t>
      </w:r>
      <w:r>
        <w:rPr>
          <w:color w:val="231F20"/>
          <w:w w:val="105"/>
          <w:sz w:val="18"/>
        </w:rPr>
        <w:t>5.</w:t>
        <w:tab/>
        <w:t>Estructura</w:t>
      </w:r>
      <w:r>
        <w:rPr>
          <w:color w:val="231F20"/>
          <w:spacing w:val="-24"/>
          <w:w w:val="105"/>
          <w:sz w:val="18"/>
        </w:rPr>
        <w:t> </w:t>
      </w:r>
      <w:r>
        <w:rPr>
          <w:color w:val="231F20"/>
          <w:w w:val="105"/>
          <w:sz w:val="18"/>
        </w:rPr>
        <w:t>familiar</w:t>
      </w:r>
      <w:r>
        <w:rPr>
          <w:color w:val="231F20"/>
          <w:w w:val="105"/>
          <w:sz w:val="20"/>
        </w:rPr>
        <w:tab/>
      </w:r>
      <w:r>
        <w:rPr>
          <w:color w:val="231F20"/>
          <w:spacing w:val="-5"/>
          <w:w w:val="105"/>
          <w:sz w:val="20"/>
        </w:rPr>
        <w:t>127</w:t>
      </w:r>
    </w:p>
    <w:p>
      <w:pPr>
        <w:tabs>
          <w:tab w:pos="2517" w:val="left" w:leader="none"/>
          <w:tab w:pos="9936"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z w:val="18"/>
        </w:rPr>
        <w:t>6.</w:t>
        <w:tab/>
        <w:t>Disponibilidad de mano de obra en las unidades   </w:t>
      </w:r>
      <w:r>
        <w:rPr>
          <w:color w:val="231F20"/>
          <w:spacing w:val="18"/>
          <w:sz w:val="18"/>
        </w:rPr>
        <w:t> </w:t>
      </w:r>
      <w:r>
        <w:rPr>
          <w:color w:val="231F20"/>
          <w:sz w:val="18"/>
        </w:rPr>
        <w:t>de</w:t>
      </w:r>
      <w:r>
        <w:rPr>
          <w:color w:val="231F20"/>
          <w:spacing w:val="17"/>
          <w:sz w:val="18"/>
        </w:rPr>
        <w:t> </w:t>
      </w:r>
      <w:r>
        <w:rPr>
          <w:color w:val="231F20"/>
          <w:sz w:val="18"/>
        </w:rPr>
        <w:t>producción.</w:t>
      </w:r>
      <w:r>
        <w:rPr>
          <w:color w:val="231F20"/>
          <w:sz w:val="20"/>
        </w:rPr>
        <w:tab/>
      </w:r>
      <w:r>
        <w:rPr>
          <w:color w:val="231F20"/>
          <w:spacing w:val="-5"/>
          <w:sz w:val="20"/>
        </w:rPr>
        <w:t>127</w:t>
      </w:r>
    </w:p>
    <w:p>
      <w:pPr>
        <w:tabs>
          <w:tab w:pos="2517" w:val="left" w:leader="none"/>
          <w:tab w:pos="9936"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pacing w:val="-12"/>
          <w:sz w:val="18"/>
        </w:rPr>
        <w:t>7.</w:t>
        <w:tab/>
      </w:r>
      <w:r>
        <w:rPr>
          <w:color w:val="231F20"/>
          <w:spacing w:val="-4"/>
          <w:sz w:val="18"/>
        </w:rPr>
        <w:t>Tamaño </w:t>
      </w:r>
      <w:r>
        <w:rPr>
          <w:color w:val="231F20"/>
          <w:sz w:val="18"/>
        </w:rPr>
        <w:t>y estructura</w:t>
      </w:r>
      <w:r>
        <w:rPr>
          <w:color w:val="231F20"/>
          <w:spacing w:val="29"/>
          <w:sz w:val="18"/>
        </w:rPr>
        <w:t> </w:t>
      </w:r>
      <w:r>
        <w:rPr>
          <w:color w:val="231F20"/>
          <w:sz w:val="18"/>
        </w:rPr>
        <w:t>del</w:t>
      </w:r>
      <w:r>
        <w:rPr>
          <w:color w:val="231F20"/>
          <w:spacing w:val="8"/>
          <w:sz w:val="18"/>
        </w:rPr>
        <w:t> </w:t>
      </w:r>
      <w:r>
        <w:rPr>
          <w:color w:val="231F20"/>
          <w:sz w:val="18"/>
        </w:rPr>
        <w:t>hato.</w:t>
      </w:r>
      <w:r>
        <w:rPr>
          <w:color w:val="231F20"/>
          <w:sz w:val="20"/>
        </w:rPr>
        <w:tab/>
      </w:r>
      <w:r>
        <w:rPr>
          <w:color w:val="231F20"/>
          <w:spacing w:val="-5"/>
          <w:sz w:val="20"/>
        </w:rPr>
        <w:t>128</w:t>
      </w:r>
    </w:p>
    <w:p>
      <w:pPr>
        <w:tabs>
          <w:tab w:pos="2517" w:val="left" w:leader="none"/>
          <w:tab w:pos="9936"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z w:val="18"/>
        </w:rPr>
        <w:t>8.</w:t>
        <w:tab/>
        <w:t>Número de animales vendidos en las unidades   </w:t>
      </w:r>
      <w:r>
        <w:rPr>
          <w:color w:val="231F20"/>
          <w:spacing w:val="12"/>
          <w:sz w:val="18"/>
        </w:rPr>
        <w:t> </w:t>
      </w:r>
      <w:r>
        <w:rPr>
          <w:color w:val="231F20"/>
          <w:sz w:val="18"/>
        </w:rPr>
        <w:t>de</w:t>
      </w:r>
      <w:r>
        <w:rPr>
          <w:color w:val="231F20"/>
          <w:spacing w:val="19"/>
          <w:sz w:val="18"/>
        </w:rPr>
        <w:t> </w:t>
      </w:r>
      <w:r>
        <w:rPr>
          <w:color w:val="231F20"/>
          <w:sz w:val="18"/>
        </w:rPr>
        <w:t>producción.</w:t>
      </w:r>
      <w:r>
        <w:rPr>
          <w:color w:val="231F20"/>
          <w:sz w:val="20"/>
        </w:rPr>
        <w:tab/>
      </w:r>
      <w:r>
        <w:rPr>
          <w:color w:val="231F20"/>
          <w:spacing w:val="-5"/>
          <w:sz w:val="20"/>
        </w:rPr>
        <w:t>128</w:t>
      </w:r>
    </w:p>
    <w:p>
      <w:pPr>
        <w:tabs>
          <w:tab w:pos="2517" w:val="left" w:leader="none"/>
          <w:tab w:pos="9936"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z w:val="18"/>
        </w:rPr>
        <w:t>9.</w:t>
        <w:tab/>
        <w:t>Otras fuentes de ingresos en las unidades  </w:t>
      </w:r>
      <w:r>
        <w:rPr>
          <w:color w:val="231F20"/>
          <w:spacing w:val="26"/>
          <w:sz w:val="18"/>
        </w:rPr>
        <w:t> </w:t>
      </w:r>
      <w:r>
        <w:rPr>
          <w:color w:val="231F20"/>
          <w:sz w:val="18"/>
        </w:rPr>
        <w:t>de</w:t>
      </w:r>
      <w:r>
        <w:rPr>
          <w:color w:val="231F20"/>
          <w:spacing w:val="15"/>
          <w:sz w:val="18"/>
        </w:rPr>
        <w:t> </w:t>
      </w:r>
      <w:r>
        <w:rPr>
          <w:color w:val="231F20"/>
          <w:sz w:val="18"/>
        </w:rPr>
        <w:t>producción.</w:t>
      </w:r>
      <w:r>
        <w:rPr>
          <w:color w:val="231F20"/>
          <w:sz w:val="20"/>
        </w:rPr>
        <w:tab/>
      </w:r>
      <w:r>
        <w:rPr>
          <w:color w:val="231F20"/>
          <w:spacing w:val="-5"/>
          <w:sz w:val="20"/>
        </w:rPr>
        <w:t>128</w:t>
      </w:r>
    </w:p>
    <w:p>
      <w:pPr>
        <w:tabs>
          <w:tab w:pos="9936" w:val="left" w:leader="dot"/>
        </w:tabs>
        <w:spacing w:line="223" w:lineRule="exact" w:before="0"/>
        <w:ind w:left="1553" w:right="0" w:firstLine="0"/>
        <w:jc w:val="left"/>
        <w:rPr>
          <w:sz w:val="20"/>
        </w:rPr>
      </w:pPr>
      <w:r>
        <w:rPr>
          <w:color w:val="231F20"/>
          <w:sz w:val="18"/>
        </w:rPr>
        <w:t>Cuadro </w:t>
      </w:r>
      <w:r>
        <w:rPr>
          <w:color w:val="231F20"/>
          <w:spacing w:val="-3"/>
          <w:sz w:val="18"/>
        </w:rPr>
        <w:t>10.      </w:t>
      </w:r>
      <w:r>
        <w:rPr>
          <w:color w:val="231F20"/>
          <w:spacing w:val="27"/>
          <w:sz w:val="18"/>
        </w:rPr>
        <w:t> </w:t>
      </w:r>
      <w:r>
        <w:rPr>
          <w:color w:val="231F20"/>
          <w:sz w:val="18"/>
        </w:rPr>
        <w:t>Precios unitarios de venta de animales y productos en las unidades de</w:t>
      </w:r>
      <w:r>
        <w:rPr>
          <w:color w:val="231F20"/>
          <w:spacing w:val="15"/>
          <w:sz w:val="18"/>
        </w:rPr>
        <w:t> </w:t>
      </w:r>
      <w:r>
        <w:rPr>
          <w:color w:val="231F20"/>
          <w:sz w:val="18"/>
        </w:rPr>
        <w:t>producción.</w:t>
      </w:r>
      <w:r>
        <w:rPr>
          <w:color w:val="231F20"/>
          <w:sz w:val="20"/>
        </w:rPr>
        <w:tab/>
      </w:r>
      <w:r>
        <w:rPr>
          <w:color w:val="231F20"/>
          <w:spacing w:val="-5"/>
          <w:sz w:val="20"/>
        </w:rPr>
        <w:t>129</w:t>
      </w:r>
    </w:p>
    <w:p>
      <w:pPr>
        <w:tabs>
          <w:tab w:pos="9936" w:val="left" w:leader="dot"/>
        </w:tabs>
        <w:spacing w:line="223" w:lineRule="exact" w:before="0"/>
        <w:ind w:left="1553" w:right="0" w:firstLine="0"/>
        <w:jc w:val="left"/>
        <w:rPr>
          <w:sz w:val="20"/>
        </w:rPr>
      </w:pPr>
      <w:r>
        <w:rPr>
          <w:color w:val="231F20"/>
          <w:sz w:val="18"/>
        </w:rPr>
        <w:t>Cuadro </w:t>
      </w:r>
      <w:r>
        <w:rPr>
          <w:color w:val="231F20"/>
          <w:spacing w:val="-3"/>
          <w:sz w:val="18"/>
        </w:rPr>
        <w:t>11.      </w:t>
      </w:r>
      <w:r>
        <w:rPr>
          <w:color w:val="231F20"/>
          <w:spacing w:val="21"/>
          <w:sz w:val="18"/>
        </w:rPr>
        <w:t> </w:t>
      </w:r>
      <w:r>
        <w:rPr>
          <w:color w:val="231F20"/>
          <w:sz w:val="18"/>
        </w:rPr>
        <w:t>Precio (por kilo o litro) de los insumos utilizados en la producción</w:t>
      </w:r>
      <w:r>
        <w:rPr>
          <w:color w:val="231F20"/>
          <w:spacing w:val="14"/>
          <w:sz w:val="18"/>
        </w:rPr>
        <w:t> </w:t>
      </w:r>
      <w:r>
        <w:rPr>
          <w:color w:val="231F20"/>
          <w:sz w:val="18"/>
        </w:rPr>
        <w:t>animal.</w:t>
      </w:r>
      <w:r>
        <w:rPr>
          <w:color w:val="231F20"/>
          <w:sz w:val="20"/>
        </w:rPr>
        <w:tab/>
      </w:r>
      <w:r>
        <w:rPr>
          <w:color w:val="231F20"/>
          <w:spacing w:val="-5"/>
          <w:sz w:val="20"/>
        </w:rPr>
        <w:t>129</w:t>
      </w:r>
    </w:p>
    <w:p>
      <w:pPr>
        <w:tabs>
          <w:tab w:pos="9936" w:val="left" w:leader="dot"/>
        </w:tabs>
        <w:spacing w:line="223" w:lineRule="exact" w:before="0"/>
        <w:ind w:left="1553" w:right="0" w:firstLine="0"/>
        <w:jc w:val="left"/>
        <w:rPr>
          <w:sz w:val="20"/>
        </w:rPr>
      </w:pPr>
      <w:r>
        <w:rPr>
          <w:color w:val="231F20"/>
          <w:sz w:val="18"/>
        </w:rPr>
        <w:t>Cuadro </w:t>
      </w:r>
      <w:r>
        <w:rPr>
          <w:color w:val="231F20"/>
          <w:spacing w:val="-3"/>
          <w:sz w:val="18"/>
        </w:rPr>
        <w:t>12.      </w:t>
      </w:r>
      <w:r>
        <w:rPr>
          <w:color w:val="231F20"/>
          <w:spacing w:val="23"/>
          <w:sz w:val="18"/>
        </w:rPr>
        <w:t> </w:t>
      </w:r>
      <w:r>
        <w:rPr>
          <w:color w:val="231F20"/>
          <w:sz w:val="18"/>
        </w:rPr>
        <w:t>Principales costos ($) de producción en las unidades de</w:t>
      </w:r>
      <w:r>
        <w:rPr>
          <w:color w:val="231F20"/>
          <w:spacing w:val="18"/>
          <w:sz w:val="18"/>
        </w:rPr>
        <w:t> </w:t>
      </w:r>
      <w:r>
        <w:rPr>
          <w:color w:val="231F20"/>
          <w:sz w:val="18"/>
        </w:rPr>
        <w:t>producción.</w:t>
      </w:r>
      <w:r>
        <w:rPr>
          <w:color w:val="231F20"/>
          <w:sz w:val="20"/>
        </w:rPr>
        <w:tab/>
      </w:r>
      <w:r>
        <w:rPr>
          <w:color w:val="231F20"/>
          <w:spacing w:val="-5"/>
          <w:sz w:val="20"/>
        </w:rPr>
        <w:t>129</w:t>
      </w:r>
    </w:p>
    <w:p>
      <w:pPr>
        <w:tabs>
          <w:tab w:pos="9936" w:val="left" w:leader="dot"/>
        </w:tabs>
        <w:spacing w:line="223" w:lineRule="exact" w:before="0"/>
        <w:ind w:left="1553" w:right="0" w:firstLine="0"/>
        <w:jc w:val="left"/>
        <w:rPr>
          <w:sz w:val="20"/>
        </w:rPr>
      </w:pPr>
      <w:r>
        <w:rPr>
          <w:color w:val="231F20"/>
          <w:sz w:val="18"/>
        </w:rPr>
        <w:t>Cuadro </w:t>
      </w:r>
      <w:r>
        <w:rPr>
          <w:color w:val="231F20"/>
          <w:spacing w:val="-3"/>
          <w:sz w:val="18"/>
        </w:rPr>
        <w:t>13.   </w:t>
      </w:r>
      <w:r>
        <w:rPr>
          <w:color w:val="231F20"/>
          <w:sz w:val="18"/>
        </w:rPr>
        <w:t>Uso y costos ($) por concepto de   </w:t>
      </w:r>
      <w:r>
        <w:rPr>
          <w:color w:val="231F20"/>
          <w:spacing w:val="31"/>
          <w:sz w:val="18"/>
        </w:rPr>
        <w:t> </w:t>
      </w:r>
      <w:r>
        <w:rPr>
          <w:color w:val="231F20"/>
          <w:sz w:val="18"/>
        </w:rPr>
        <w:t>concentrados</w:t>
      </w:r>
      <w:r>
        <w:rPr>
          <w:color w:val="231F20"/>
          <w:spacing w:val="18"/>
          <w:sz w:val="18"/>
        </w:rPr>
        <w:t> </w:t>
      </w:r>
      <w:r>
        <w:rPr>
          <w:color w:val="231F20"/>
          <w:sz w:val="18"/>
        </w:rPr>
        <w:t>comerciales.</w:t>
      </w:r>
      <w:r>
        <w:rPr>
          <w:color w:val="231F20"/>
          <w:sz w:val="20"/>
        </w:rPr>
        <w:tab/>
      </w:r>
      <w:r>
        <w:rPr>
          <w:color w:val="231F20"/>
          <w:spacing w:val="-5"/>
          <w:sz w:val="20"/>
        </w:rPr>
        <w:t>130</w:t>
      </w:r>
    </w:p>
    <w:p>
      <w:pPr>
        <w:tabs>
          <w:tab w:pos="9936" w:val="left" w:leader="dot"/>
        </w:tabs>
        <w:spacing w:line="223" w:lineRule="exact" w:before="0"/>
        <w:ind w:left="1553" w:right="0" w:firstLine="0"/>
        <w:jc w:val="left"/>
        <w:rPr>
          <w:sz w:val="20"/>
        </w:rPr>
      </w:pPr>
      <w:r>
        <w:rPr>
          <w:color w:val="231F20"/>
          <w:sz w:val="18"/>
        </w:rPr>
        <w:t>Cuadro </w:t>
      </w:r>
      <w:r>
        <w:rPr>
          <w:color w:val="231F20"/>
          <w:spacing w:val="-3"/>
          <w:sz w:val="18"/>
        </w:rPr>
        <w:t>14.   </w:t>
      </w:r>
      <w:r>
        <w:rPr>
          <w:color w:val="231F20"/>
          <w:sz w:val="18"/>
        </w:rPr>
        <w:t>Ingresos ($) en las unidades de   </w:t>
      </w:r>
      <w:r>
        <w:rPr>
          <w:color w:val="231F20"/>
          <w:spacing w:val="25"/>
          <w:sz w:val="18"/>
        </w:rPr>
        <w:t> </w:t>
      </w:r>
      <w:r>
        <w:rPr>
          <w:color w:val="231F20"/>
          <w:sz w:val="18"/>
        </w:rPr>
        <w:t>producción</w:t>
      </w:r>
      <w:r>
        <w:rPr>
          <w:color w:val="231F20"/>
          <w:spacing w:val="19"/>
          <w:sz w:val="18"/>
        </w:rPr>
        <w:t> </w:t>
      </w:r>
      <w:r>
        <w:rPr>
          <w:color w:val="231F20"/>
          <w:sz w:val="18"/>
        </w:rPr>
        <w:t>analizadas.</w:t>
      </w:r>
      <w:r>
        <w:rPr>
          <w:color w:val="231F20"/>
          <w:sz w:val="20"/>
        </w:rPr>
        <w:tab/>
      </w:r>
      <w:r>
        <w:rPr>
          <w:color w:val="231F20"/>
          <w:spacing w:val="-5"/>
          <w:sz w:val="20"/>
        </w:rPr>
        <w:t>131</w:t>
      </w:r>
    </w:p>
    <w:p>
      <w:pPr>
        <w:tabs>
          <w:tab w:pos="9936" w:val="left" w:leader="dot"/>
        </w:tabs>
        <w:spacing w:line="233" w:lineRule="exact" w:before="0"/>
        <w:ind w:left="1553" w:right="0" w:firstLine="0"/>
        <w:jc w:val="left"/>
        <w:rPr>
          <w:sz w:val="20"/>
        </w:rPr>
      </w:pPr>
      <w:r>
        <w:rPr>
          <w:color w:val="231F20"/>
          <w:w w:val="105"/>
          <w:sz w:val="18"/>
        </w:rPr>
        <w:t>Cuadro </w:t>
      </w:r>
      <w:r>
        <w:rPr>
          <w:color w:val="231F20"/>
          <w:spacing w:val="-3"/>
          <w:w w:val="105"/>
          <w:sz w:val="18"/>
        </w:rPr>
        <w:t>15.  </w:t>
      </w:r>
      <w:r>
        <w:rPr>
          <w:color w:val="231F20"/>
          <w:w w:val="105"/>
          <w:sz w:val="18"/>
        </w:rPr>
        <w:t>Indicadores económicos ($) de las unidades</w:t>
      </w:r>
      <w:r>
        <w:rPr>
          <w:color w:val="231F20"/>
          <w:spacing w:val="7"/>
          <w:w w:val="105"/>
          <w:sz w:val="18"/>
        </w:rPr>
        <w:t> </w:t>
      </w:r>
      <w:r>
        <w:rPr>
          <w:color w:val="231F20"/>
          <w:w w:val="105"/>
          <w:sz w:val="18"/>
        </w:rPr>
        <w:t>de producción.</w:t>
      </w:r>
      <w:r>
        <w:rPr>
          <w:color w:val="231F20"/>
          <w:w w:val="105"/>
          <w:sz w:val="20"/>
        </w:rPr>
        <w:tab/>
      </w:r>
      <w:r>
        <w:rPr>
          <w:color w:val="231F20"/>
          <w:spacing w:val="-5"/>
          <w:w w:val="105"/>
          <w:sz w:val="20"/>
        </w:rPr>
        <w:t>132</w:t>
      </w:r>
    </w:p>
    <w:p>
      <w:pPr>
        <w:spacing w:before="167"/>
        <w:ind w:left="1553" w:right="2503" w:firstLine="0"/>
        <w:jc w:val="left"/>
        <w:rPr>
          <w:sz w:val="18"/>
        </w:rPr>
      </w:pPr>
      <w:r>
        <w:rPr>
          <w:color w:val="231F20"/>
          <w:w w:val="110"/>
          <w:sz w:val="18"/>
        </w:rPr>
        <w:t>CAPÍTULO 9</w:t>
      </w:r>
    </w:p>
    <w:p>
      <w:pPr>
        <w:tabs>
          <w:tab w:pos="2517" w:val="left" w:leader="none"/>
        </w:tabs>
        <w:spacing w:line="212" w:lineRule="exact" w:before="3"/>
        <w:ind w:left="1553" w:right="2503" w:firstLine="0"/>
        <w:jc w:val="left"/>
        <w:rPr>
          <w:sz w:val="18"/>
        </w:rPr>
      </w:pPr>
      <w:r>
        <w:rPr>
          <w:color w:val="231F20"/>
          <w:sz w:val="18"/>
        </w:rPr>
        <w:t>Cuadro</w:t>
      </w:r>
      <w:r>
        <w:rPr>
          <w:color w:val="231F20"/>
          <w:spacing w:val="16"/>
          <w:sz w:val="18"/>
        </w:rPr>
        <w:t> </w:t>
      </w:r>
      <w:r>
        <w:rPr>
          <w:color w:val="231F20"/>
          <w:sz w:val="18"/>
        </w:rPr>
        <w:t>1.</w:t>
        <w:tab/>
        <w:t>Especies</w:t>
      </w:r>
      <w:r>
        <w:rPr>
          <w:color w:val="231F20"/>
          <w:spacing w:val="17"/>
          <w:sz w:val="18"/>
        </w:rPr>
        <w:t> </w:t>
      </w:r>
      <w:r>
        <w:rPr>
          <w:color w:val="231F20"/>
          <w:sz w:val="18"/>
        </w:rPr>
        <w:t>que</w:t>
      </w:r>
      <w:r>
        <w:rPr>
          <w:color w:val="231F20"/>
          <w:spacing w:val="17"/>
          <w:sz w:val="18"/>
        </w:rPr>
        <w:t> </w:t>
      </w:r>
      <w:r>
        <w:rPr>
          <w:color w:val="231F20"/>
          <w:sz w:val="18"/>
        </w:rPr>
        <w:t>seleccionan</w:t>
      </w:r>
      <w:r>
        <w:rPr>
          <w:color w:val="231F20"/>
          <w:spacing w:val="17"/>
          <w:sz w:val="18"/>
        </w:rPr>
        <w:t> </w:t>
      </w:r>
      <w:r>
        <w:rPr>
          <w:color w:val="231F20"/>
          <w:sz w:val="18"/>
        </w:rPr>
        <w:t>los</w:t>
      </w:r>
      <w:r>
        <w:rPr>
          <w:color w:val="231F20"/>
          <w:spacing w:val="17"/>
          <w:sz w:val="18"/>
        </w:rPr>
        <w:t> </w:t>
      </w:r>
      <w:r>
        <w:rPr>
          <w:color w:val="231F20"/>
          <w:sz w:val="18"/>
        </w:rPr>
        <w:t>animales</w:t>
      </w:r>
      <w:r>
        <w:rPr>
          <w:color w:val="231F20"/>
          <w:spacing w:val="17"/>
          <w:sz w:val="18"/>
        </w:rPr>
        <w:t> </w:t>
      </w:r>
      <w:r>
        <w:rPr>
          <w:color w:val="231F20"/>
          <w:sz w:val="18"/>
        </w:rPr>
        <w:t>durante</w:t>
      </w:r>
      <w:r>
        <w:rPr>
          <w:color w:val="231F20"/>
          <w:spacing w:val="17"/>
          <w:sz w:val="18"/>
        </w:rPr>
        <w:t> </w:t>
      </w:r>
      <w:r>
        <w:rPr>
          <w:color w:val="231F20"/>
          <w:sz w:val="18"/>
        </w:rPr>
        <w:t>el</w:t>
      </w:r>
      <w:r>
        <w:rPr>
          <w:color w:val="231F20"/>
          <w:spacing w:val="17"/>
          <w:sz w:val="18"/>
        </w:rPr>
        <w:t> </w:t>
      </w:r>
      <w:r>
        <w:rPr>
          <w:color w:val="231F20"/>
          <w:sz w:val="18"/>
        </w:rPr>
        <w:t>recorrido</w:t>
      </w:r>
      <w:r>
        <w:rPr>
          <w:color w:val="231F20"/>
          <w:spacing w:val="17"/>
          <w:sz w:val="18"/>
        </w:rPr>
        <w:t> </w:t>
      </w:r>
      <w:r>
        <w:rPr>
          <w:color w:val="231F20"/>
          <w:sz w:val="18"/>
        </w:rPr>
        <w:t>hacia</w:t>
      </w:r>
      <w:r>
        <w:rPr>
          <w:color w:val="231F20"/>
          <w:spacing w:val="17"/>
          <w:sz w:val="18"/>
        </w:rPr>
        <w:t> </w:t>
      </w:r>
      <w:r>
        <w:rPr>
          <w:color w:val="231F20"/>
          <w:sz w:val="18"/>
        </w:rPr>
        <w:t>las</w:t>
      </w:r>
      <w:r>
        <w:rPr>
          <w:color w:val="231F20"/>
          <w:spacing w:val="17"/>
          <w:sz w:val="18"/>
        </w:rPr>
        <w:t> </w:t>
      </w:r>
      <w:r>
        <w:rPr>
          <w:color w:val="231F20"/>
          <w:sz w:val="18"/>
        </w:rPr>
        <w:t>zonas</w:t>
      </w:r>
    </w:p>
    <w:p>
      <w:pPr>
        <w:tabs>
          <w:tab w:pos="9932" w:val="left" w:leader="dot"/>
        </w:tabs>
        <w:spacing w:line="225" w:lineRule="exact" w:before="0"/>
        <w:ind w:left="2517" w:right="0" w:firstLine="0"/>
        <w:jc w:val="left"/>
        <w:rPr>
          <w:sz w:val="20"/>
        </w:rPr>
      </w:pPr>
      <w:r>
        <w:rPr>
          <w:color w:val="231F20"/>
          <w:sz w:val="18"/>
        </w:rPr>
        <w:t>de pastoreo en el Parque Nacional Nevado  </w:t>
      </w:r>
      <w:r>
        <w:rPr>
          <w:color w:val="231F20"/>
          <w:spacing w:val="24"/>
          <w:sz w:val="18"/>
        </w:rPr>
        <w:t> </w:t>
      </w:r>
      <w:r>
        <w:rPr>
          <w:color w:val="231F20"/>
          <w:sz w:val="18"/>
        </w:rPr>
        <w:t>de</w:t>
      </w:r>
      <w:r>
        <w:rPr>
          <w:color w:val="231F20"/>
          <w:spacing w:val="15"/>
          <w:sz w:val="18"/>
        </w:rPr>
        <w:t> </w:t>
      </w:r>
      <w:r>
        <w:rPr>
          <w:color w:val="231F20"/>
          <w:spacing w:val="-3"/>
          <w:sz w:val="18"/>
        </w:rPr>
        <w:t>Toluca.</w:t>
      </w:r>
      <w:r>
        <w:rPr>
          <w:color w:val="231F20"/>
          <w:spacing w:val="-3"/>
          <w:sz w:val="20"/>
        </w:rPr>
        <w:tab/>
        <w:t>145</w:t>
      </w:r>
    </w:p>
    <w:p>
      <w:pPr>
        <w:tabs>
          <w:tab w:pos="2517" w:val="left" w:leader="none"/>
          <w:tab w:pos="9932"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z w:val="18"/>
        </w:rPr>
        <w:t>2.</w:t>
        <w:tab/>
        <w:t>Especies</w:t>
      </w:r>
      <w:r>
        <w:rPr>
          <w:color w:val="231F20"/>
          <w:spacing w:val="17"/>
          <w:sz w:val="18"/>
        </w:rPr>
        <w:t> </w:t>
      </w:r>
      <w:r>
        <w:rPr>
          <w:color w:val="231F20"/>
          <w:sz w:val="18"/>
        </w:rPr>
        <w:t>presentes</w:t>
      </w:r>
      <w:r>
        <w:rPr>
          <w:color w:val="231F20"/>
          <w:spacing w:val="17"/>
          <w:sz w:val="18"/>
        </w:rPr>
        <w:t> </w:t>
      </w:r>
      <w:r>
        <w:rPr>
          <w:color w:val="231F20"/>
          <w:sz w:val="18"/>
        </w:rPr>
        <w:t>en</w:t>
      </w:r>
      <w:r>
        <w:rPr>
          <w:color w:val="231F20"/>
          <w:spacing w:val="17"/>
          <w:sz w:val="18"/>
        </w:rPr>
        <w:t> </w:t>
      </w:r>
      <w:r>
        <w:rPr>
          <w:color w:val="231F20"/>
          <w:sz w:val="18"/>
        </w:rPr>
        <w:t>las</w:t>
      </w:r>
      <w:r>
        <w:rPr>
          <w:color w:val="231F20"/>
          <w:spacing w:val="17"/>
          <w:sz w:val="18"/>
        </w:rPr>
        <w:t> </w:t>
      </w:r>
      <w:r>
        <w:rPr>
          <w:color w:val="231F20"/>
          <w:sz w:val="18"/>
        </w:rPr>
        <w:t>zonas</w:t>
      </w:r>
      <w:r>
        <w:rPr>
          <w:color w:val="231F20"/>
          <w:spacing w:val="17"/>
          <w:sz w:val="18"/>
        </w:rPr>
        <w:t> </w:t>
      </w:r>
      <w:r>
        <w:rPr>
          <w:color w:val="231F20"/>
          <w:sz w:val="18"/>
        </w:rPr>
        <w:t>de</w:t>
      </w:r>
      <w:r>
        <w:rPr>
          <w:color w:val="231F20"/>
          <w:spacing w:val="17"/>
          <w:sz w:val="18"/>
        </w:rPr>
        <w:t> </w:t>
      </w:r>
      <w:r>
        <w:rPr>
          <w:color w:val="231F20"/>
          <w:sz w:val="18"/>
        </w:rPr>
        <w:t>pastoreo</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Parque</w:t>
      </w:r>
      <w:r>
        <w:rPr>
          <w:color w:val="231F20"/>
          <w:spacing w:val="17"/>
          <w:sz w:val="18"/>
        </w:rPr>
        <w:t> </w:t>
      </w:r>
      <w:r>
        <w:rPr>
          <w:color w:val="231F20"/>
          <w:sz w:val="18"/>
        </w:rPr>
        <w:t>Nacional</w:t>
      </w:r>
      <w:r>
        <w:rPr>
          <w:color w:val="231F20"/>
          <w:spacing w:val="17"/>
          <w:sz w:val="18"/>
        </w:rPr>
        <w:t> </w:t>
      </w:r>
      <w:r>
        <w:rPr>
          <w:color w:val="231F20"/>
          <w:sz w:val="18"/>
        </w:rPr>
        <w:t>Nevado</w:t>
      </w:r>
      <w:r>
        <w:rPr>
          <w:color w:val="231F20"/>
          <w:spacing w:val="17"/>
          <w:sz w:val="18"/>
        </w:rPr>
        <w:t> </w:t>
      </w:r>
      <w:r>
        <w:rPr>
          <w:color w:val="231F20"/>
          <w:sz w:val="18"/>
        </w:rPr>
        <w:t>de</w:t>
      </w:r>
      <w:r>
        <w:rPr>
          <w:color w:val="231F20"/>
          <w:spacing w:val="17"/>
          <w:sz w:val="18"/>
        </w:rPr>
        <w:t> </w:t>
      </w:r>
      <w:r>
        <w:rPr>
          <w:color w:val="231F20"/>
          <w:spacing w:val="-3"/>
          <w:sz w:val="18"/>
        </w:rPr>
        <w:t>Toluca.</w:t>
      </w:r>
      <w:r>
        <w:rPr>
          <w:color w:val="231F20"/>
          <w:spacing w:val="-3"/>
          <w:sz w:val="20"/>
        </w:rPr>
        <w:tab/>
        <w:t>145</w:t>
      </w:r>
    </w:p>
    <w:p>
      <w:pPr>
        <w:tabs>
          <w:tab w:pos="2517" w:val="left" w:leader="none"/>
          <w:tab w:pos="9932"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z w:val="18"/>
        </w:rPr>
        <w:t>3.</w:t>
        <w:tab/>
      </w:r>
      <w:r>
        <w:rPr>
          <w:color w:val="231F20"/>
          <w:spacing w:val="-4"/>
          <w:sz w:val="18"/>
        </w:rPr>
        <w:t>Análisis</w:t>
      </w:r>
      <w:r>
        <w:rPr>
          <w:color w:val="231F20"/>
          <w:spacing w:val="7"/>
          <w:sz w:val="18"/>
        </w:rPr>
        <w:t> </w:t>
      </w:r>
      <w:r>
        <w:rPr>
          <w:color w:val="231F20"/>
          <w:spacing w:val="-4"/>
          <w:sz w:val="18"/>
        </w:rPr>
        <w:t>químico</w:t>
      </w:r>
      <w:r>
        <w:rPr>
          <w:color w:val="231F20"/>
          <w:spacing w:val="7"/>
          <w:sz w:val="18"/>
        </w:rPr>
        <w:t> </w:t>
      </w:r>
      <w:r>
        <w:rPr>
          <w:color w:val="231F20"/>
          <w:spacing w:val="-4"/>
          <w:sz w:val="18"/>
        </w:rPr>
        <w:t>proximal</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pacing w:val="-4"/>
          <w:sz w:val="18"/>
        </w:rPr>
        <w:t>pradera</w:t>
      </w:r>
      <w:r>
        <w:rPr>
          <w:color w:val="231F20"/>
          <w:spacing w:val="7"/>
          <w:sz w:val="18"/>
        </w:rPr>
        <w:t> </w:t>
      </w:r>
      <w:r>
        <w:rPr>
          <w:color w:val="231F20"/>
          <w:sz w:val="18"/>
        </w:rPr>
        <w:t>en</w:t>
      </w:r>
      <w:r>
        <w:rPr>
          <w:color w:val="231F20"/>
          <w:spacing w:val="7"/>
          <w:sz w:val="18"/>
        </w:rPr>
        <w:t> </w:t>
      </w:r>
      <w:r>
        <w:rPr>
          <w:color w:val="231F20"/>
          <w:spacing w:val="-3"/>
          <w:sz w:val="18"/>
        </w:rPr>
        <w:t>las</w:t>
      </w:r>
      <w:r>
        <w:rPr>
          <w:color w:val="231F20"/>
          <w:spacing w:val="7"/>
          <w:sz w:val="18"/>
        </w:rPr>
        <w:t> </w:t>
      </w:r>
      <w:r>
        <w:rPr>
          <w:color w:val="231F20"/>
          <w:spacing w:val="-4"/>
          <w:sz w:val="18"/>
        </w:rPr>
        <w:t>zonas</w:t>
      </w:r>
      <w:r>
        <w:rPr>
          <w:color w:val="231F20"/>
          <w:spacing w:val="7"/>
          <w:sz w:val="18"/>
        </w:rPr>
        <w:t> </w:t>
      </w:r>
      <w:r>
        <w:rPr>
          <w:color w:val="231F20"/>
          <w:spacing w:val="-3"/>
          <w:sz w:val="18"/>
        </w:rPr>
        <w:t>abiertas</w:t>
      </w:r>
      <w:r>
        <w:rPr>
          <w:color w:val="231F20"/>
          <w:spacing w:val="7"/>
          <w:sz w:val="18"/>
        </w:rPr>
        <w:t> </w:t>
      </w:r>
      <w:r>
        <w:rPr>
          <w:color w:val="231F20"/>
          <w:spacing w:val="-3"/>
          <w:sz w:val="18"/>
        </w:rPr>
        <w:t>del</w:t>
      </w:r>
      <w:r>
        <w:rPr>
          <w:color w:val="231F20"/>
          <w:spacing w:val="7"/>
          <w:sz w:val="18"/>
        </w:rPr>
        <w:t> </w:t>
      </w:r>
      <w:r>
        <w:rPr>
          <w:color w:val="231F20"/>
          <w:spacing w:val="-4"/>
          <w:sz w:val="18"/>
        </w:rPr>
        <w:t>Parque</w:t>
      </w:r>
      <w:r>
        <w:rPr>
          <w:color w:val="231F20"/>
          <w:spacing w:val="7"/>
          <w:sz w:val="18"/>
        </w:rPr>
        <w:t> </w:t>
      </w:r>
      <w:r>
        <w:rPr>
          <w:color w:val="231F20"/>
          <w:spacing w:val="-4"/>
          <w:sz w:val="18"/>
        </w:rPr>
        <w:t>Nacional</w:t>
      </w:r>
      <w:r>
        <w:rPr>
          <w:color w:val="231F20"/>
          <w:spacing w:val="7"/>
          <w:sz w:val="18"/>
        </w:rPr>
        <w:t> </w:t>
      </w:r>
      <w:r>
        <w:rPr>
          <w:color w:val="231F20"/>
          <w:spacing w:val="-4"/>
          <w:sz w:val="18"/>
        </w:rPr>
        <w:t>Nevado</w:t>
      </w:r>
      <w:r>
        <w:rPr>
          <w:color w:val="231F20"/>
          <w:spacing w:val="7"/>
          <w:sz w:val="18"/>
        </w:rPr>
        <w:t> </w:t>
      </w:r>
      <w:r>
        <w:rPr>
          <w:color w:val="231F20"/>
          <w:sz w:val="18"/>
        </w:rPr>
        <w:t>de</w:t>
      </w:r>
      <w:r>
        <w:rPr>
          <w:color w:val="231F20"/>
          <w:spacing w:val="7"/>
          <w:sz w:val="18"/>
        </w:rPr>
        <w:t> </w:t>
      </w:r>
      <w:r>
        <w:rPr>
          <w:color w:val="231F20"/>
          <w:spacing w:val="-7"/>
          <w:sz w:val="18"/>
        </w:rPr>
        <w:t>Toluca.</w:t>
      </w:r>
      <w:r>
        <w:rPr>
          <w:color w:val="231F20"/>
          <w:spacing w:val="-7"/>
          <w:sz w:val="20"/>
        </w:rPr>
        <w:tab/>
      </w:r>
      <w:r>
        <w:rPr>
          <w:color w:val="231F20"/>
          <w:spacing w:val="-3"/>
          <w:sz w:val="20"/>
        </w:rPr>
        <w:t>145</w:t>
      </w:r>
    </w:p>
    <w:p>
      <w:pPr>
        <w:tabs>
          <w:tab w:pos="2517" w:val="left" w:leader="none"/>
          <w:tab w:pos="9932" w:val="left" w:leader="dot"/>
        </w:tabs>
        <w:spacing w:line="233" w:lineRule="exact" w:before="0"/>
        <w:ind w:left="1553" w:right="0" w:firstLine="0"/>
        <w:jc w:val="left"/>
        <w:rPr>
          <w:sz w:val="20"/>
        </w:rPr>
      </w:pPr>
      <w:r>
        <w:rPr>
          <w:color w:val="231F20"/>
          <w:sz w:val="18"/>
        </w:rPr>
        <w:t>Cuadro</w:t>
      </w:r>
      <w:r>
        <w:rPr>
          <w:color w:val="231F20"/>
          <w:spacing w:val="16"/>
          <w:sz w:val="18"/>
        </w:rPr>
        <w:t> </w:t>
      </w:r>
      <w:r>
        <w:rPr>
          <w:color w:val="231F20"/>
          <w:sz w:val="18"/>
        </w:rPr>
        <w:t>4.</w:t>
        <w:tab/>
        <w:t>Número</w:t>
      </w:r>
      <w:r>
        <w:rPr>
          <w:color w:val="231F20"/>
          <w:spacing w:val="18"/>
          <w:sz w:val="18"/>
        </w:rPr>
        <w:t> </w:t>
      </w:r>
      <w:r>
        <w:rPr>
          <w:color w:val="231F20"/>
          <w:sz w:val="18"/>
        </w:rPr>
        <w:t>de</w:t>
      </w:r>
      <w:r>
        <w:rPr>
          <w:color w:val="231F20"/>
          <w:spacing w:val="18"/>
          <w:sz w:val="18"/>
        </w:rPr>
        <w:t> </w:t>
      </w:r>
      <w:r>
        <w:rPr>
          <w:color w:val="231F20"/>
          <w:sz w:val="18"/>
        </w:rPr>
        <w:t>renuevos</w:t>
      </w:r>
      <w:r>
        <w:rPr>
          <w:color w:val="231F20"/>
          <w:spacing w:val="18"/>
          <w:sz w:val="18"/>
        </w:rPr>
        <w:t> </w:t>
      </w:r>
      <w:r>
        <w:rPr>
          <w:color w:val="231F20"/>
          <w:sz w:val="18"/>
        </w:rPr>
        <w:t>presentes</w:t>
      </w:r>
      <w:r>
        <w:rPr>
          <w:color w:val="231F20"/>
          <w:spacing w:val="18"/>
          <w:sz w:val="18"/>
        </w:rPr>
        <w:t> </w:t>
      </w:r>
      <w:r>
        <w:rPr>
          <w:color w:val="231F20"/>
          <w:sz w:val="18"/>
        </w:rPr>
        <w:t>en</w:t>
      </w:r>
      <w:r>
        <w:rPr>
          <w:color w:val="231F20"/>
          <w:spacing w:val="18"/>
          <w:sz w:val="18"/>
        </w:rPr>
        <w:t> </w:t>
      </w:r>
      <w:r>
        <w:rPr>
          <w:color w:val="231F20"/>
          <w:sz w:val="18"/>
        </w:rPr>
        <w:t>los</w:t>
      </w:r>
      <w:r>
        <w:rPr>
          <w:color w:val="231F20"/>
          <w:spacing w:val="18"/>
          <w:sz w:val="18"/>
        </w:rPr>
        <w:t> </w:t>
      </w:r>
      <w:r>
        <w:rPr>
          <w:color w:val="231F20"/>
          <w:sz w:val="18"/>
        </w:rPr>
        <w:t>bosques</w:t>
      </w:r>
      <w:r>
        <w:rPr>
          <w:color w:val="231F20"/>
          <w:spacing w:val="18"/>
          <w:sz w:val="18"/>
        </w:rPr>
        <w:t> </w:t>
      </w:r>
      <w:r>
        <w:rPr>
          <w:color w:val="231F20"/>
          <w:sz w:val="18"/>
        </w:rPr>
        <w:t>de</w:t>
      </w:r>
      <w:r>
        <w:rPr>
          <w:color w:val="231F20"/>
          <w:spacing w:val="18"/>
          <w:sz w:val="18"/>
        </w:rPr>
        <w:t> </w:t>
      </w:r>
      <w:r>
        <w:rPr>
          <w:color w:val="231F20"/>
          <w:sz w:val="18"/>
        </w:rPr>
        <w:t>Agua</w:t>
      </w:r>
      <w:r>
        <w:rPr>
          <w:color w:val="231F20"/>
          <w:spacing w:val="18"/>
          <w:sz w:val="18"/>
        </w:rPr>
        <w:t> </w:t>
      </w:r>
      <w:r>
        <w:rPr>
          <w:color w:val="231F20"/>
          <w:sz w:val="18"/>
        </w:rPr>
        <w:t>Blanca</w:t>
      </w:r>
      <w:r>
        <w:rPr>
          <w:color w:val="231F20"/>
          <w:spacing w:val="18"/>
          <w:sz w:val="18"/>
        </w:rPr>
        <w:t> </w:t>
      </w:r>
      <w:r>
        <w:rPr>
          <w:color w:val="231F20"/>
          <w:sz w:val="18"/>
        </w:rPr>
        <w:t>y</w:t>
      </w:r>
      <w:r>
        <w:rPr>
          <w:color w:val="231F20"/>
          <w:spacing w:val="18"/>
          <w:sz w:val="18"/>
        </w:rPr>
        <w:t> </w:t>
      </w:r>
      <w:r>
        <w:rPr>
          <w:color w:val="231F20"/>
          <w:sz w:val="18"/>
        </w:rPr>
        <w:t>de</w:t>
      </w:r>
      <w:r>
        <w:rPr>
          <w:color w:val="231F20"/>
          <w:spacing w:val="18"/>
          <w:sz w:val="18"/>
        </w:rPr>
        <w:t> </w:t>
      </w:r>
      <w:r>
        <w:rPr>
          <w:color w:val="231F20"/>
          <w:sz w:val="18"/>
        </w:rPr>
        <w:t>Las</w:t>
      </w:r>
      <w:r>
        <w:rPr>
          <w:color w:val="231F20"/>
          <w:spacing w:val="18"/>
          <w:sz w:val="18"/>
        </w:rPr>
        <w:t> </w:t>
      </w:r>
      <w:r>
        <w:rPr>
          <w:color w:val="231F20"/>
          <w:sz w:val="18"/>
        </w:rPr>
        <w:t>Lágrimas.</w:t>
      </w:r>
      <w:r>
        <w:rPr>
          <w:color w:val="231F20"/>
          <w:sz w:val="20"/>
        </w:rPr>
        <w:tab/>
      </w:r>
      <w:r>
        <w:rPr>
          <w:color w:val="231F20"/>
          <w:spacing w:val="-3"/>
          <w:sz w:val="20"/>
        </w:rPr>
        <w:t>146</w:t>
      </w:r>
    </w:p>
    <w:p>
      <w:pPr>
        <w:spacing w:before="167"/>
        <w:ind w:left="1553" w:right="2503" w:firstLine="0"/>
        <w:jc w:val="left"/>
        <w:rPr>
          <w:sz w:val="18"/>
        </w:rPr>
      </w:pPr>
      <w:r>
        <w:rPr>
          <w:color w:val="231F20"/>
          <w:w w:val="110"/>
          <w:sz w:val="18"/>
        </w:rPr>
        <w:t>CAPÍTULO 10</w:t>
      </w:r>
    </w:p>
    <w:p>
      <w:pPr>
        <w:tabs>
          <w:tab w:pos="2517" w:val="left" w:leader="none"/>
        </w:tabs>
        <w:spacing w:line="212" w:lineRule="exact" w:before="3"/>
        <w:ind w:left="1553" w:right="2503" w:firstLine="0"/>
        <w:jc w:val="left"/>
        <w:rPr>
          <w:sz w:val="18"/>
        </w:rPr>
      </w:pPr>
      <w:r>
        <w:rPr>
          <w:color w:val="231F20"/>
          <w:sz w:val="18"/>
        </w:rPr>
        <w:t>Cuadro</w:t>
      </w:r>
      <w:r>
        <w:rPr>
          <w:color w:val="231F20"/>
          <w:spacing w:val="16"/>
          <w:sz w:val="18"/>
        </w:rPr>
        <w:t> </w:t>
      </w:r>
      <w:r>
        <w:rPr>
          <w:color w:val="231F20"/>
          <w:sz w:val="18"/>
        </w:rPr>
        <w:t>1.</w:t>
        <w:tab/>
      </w:r>
      <w:r>
        <w:rPr>
          <w:color w:val="231F20"/>
          <w:spacing w:val="-4"/>
          <w:sz w:val="18"/>
        </w:rPr>
        <w:t>Tamaño  </w:t>
      </w:r>
      <w:r>
        <w:rPr>
          <w:color w:val="231F20"/>
          <w:sz w:val="18"/>
        </w:rPr>
        <w:t>y composición promedio de los rebaños en cuatro localidades   </w:t>
      </w:r>
      <w:r>
        <w:rPr>
          <w:color w:val="231F20"/>
          <w:spacing w:val="36"/>
          <w:sz w:val="18"/>
        </w:rPr>
        <w:t> </w:t>
      </w:r>
      <w:r>
        <w:rPr>
          <w:color w:val="231F20"/>
          <w:sz w:val="18"/>
        </w:rPr>
        <w:t>del</w:t>
      </w:r>
    </w:p>
    <w:p>
      <w:pPr>
        <w:tabs>
          <w:tab w:pos="9936" w:val="left" w:leader="dot"/>
        </w:tabs>
        <w:spacing w:line="235" w:lineRule="exact" w:before="0"/>
        <w:ind w:left="2517" w:right="0" w:firstLine="0"/>
        <w:jc w:val="left"/>
        <w:rPr>
          <w:sz w:val="20"/>
        </w:rPr>
      </w:pPr>
      <w:r>
        <w:rPr>
          <w:color w:val="231F20"/>
          <w:sz w:val="18"/>
        </w:rPr>
        <w:t>Parque Nacional Nevado </w:t>
      </w:r>
      <w:r>
        <w:rPr>
          <w:color w:val="231F20"/>
          <w:spacing w:val="7"/>
          <w:sz w:val="18"/>
        </w:rPr>
        <w:t> </w:t>
      </w:r>
      <w:r>
        <w:rPr>
          <w:color w:val="231F20"/>
          <w:sz w:val="18"/>
        </w:rPr>
        <w:t>de</w:t>
      </w:r>
      <w:r>
        <w:rPr>
          <w:color w:val="231F20"/>
          <w:spacing w:val="16"/>
          <w:sz w:val="18"/>
        </w:rPr>
        <w:t> </w:t>
      </w:r>
      <w:r>
        <w:rPr>
          <w:color w:val="231F20"/>
          <w:spacing w:val="-3"/>
          <w:sz w:val="18"/>
        </w:rPr>
        <w:t>Toluca.</w:t>
      </w:r>
      <w:r>
        <w:rPr>
          <w:color w:val="231F20"/>
          <w:spacing w:val="-3"/>
          <w:sz w:val="20"/>
        </w:rPr>
        <w:tab/>
      </w:r>
      <w:r>
        <w:rPr>
          <w:color w:val="231F20"/>
          <w:spacing w:val="-5"/>
          <w:sz w:val="20"/>
        </w:rPr>
        <w:t>157</w:t>
      </w:r>
    </w:p>
    <w:p>
      <w:pPr>
        <w:tabs>
          <w:tab w:pos="2517" w:val="left" w:leader="none"/>
        </w:tabs>
        <w:spacing w:line="210" w:lineRule="exact" w:before="0"/>
        <w:ind w:left="1553" w:right="2503" w:firstLine="0"/>
        <w:jc w:val="left"/>
        <w:rPr>
          <w:sz w:val="18"/>
        </w:rPr>
      </w:pPr>
      <w:r>
        <w:rPr>
          <w:color w:val="231F20"/>
          <w:sz w:val="18"/>
        </w:rPr>
        <w:t>Cuadro</w:t>
      </w:r>
      <w:r>
        <w:rPr>
          <w:color w:val="231F20"/>
          <w:spacing w:val="16"/>
          <w:sz w:val="18"/>
        </w:rPr>
        <w:t> </w:t>
      </w:r>
      <w:r>
        <w:rPr>
          <w:color w:val="231F20"/>
          <w:sz w:val="18"/>
        </w:rPr>
        <w:t>2.</w:t>
        <w:tab/>
        <w:t>Componentes de costo identificados por productores de ovinos en   </w:t>
      </w:r>
      <w:r>
        <w:rPr>
          <w:color w:val="231F20"/>
          <w:spacing w:val="14"/>
          <w:sz w:val="18"/>
        </w:rPr>
        <w:t> </w:t>
      </w:r>
      <w:r>
        <w:rPr>
          <w:color w:val="231F20"/>
          <w:sz w:val="18"/>
        </w:rPr>
        <w:t>cuatro</w:t>
      </w:r>
    </w:p>
    <w:p>
      <w:pPr>
        <w:tabs>
          <w:tab w:pos="9936" w:val="left" w:leader="dot"/>
        </w:tabs>
        <w:spacing w:line="235" w:lineRule="exact" w:before="0"/>
        <w:ind w:left="2517" w:right="0" w:firstLine="0"/>
        <w:jc w:val="left"/>
        <w:rPr>
          <w:sz w:val="20"/>
        </w:rPr>
      </w:pPr>
      <w:r>
        <w:rPr>
          <w:color w:val="231F20"/>
          <w:sz w:val="18"/>
        </w:rPr>
        <w:t>localidades del Parque Nacional Nevado de   </w:t>
      </w:r>
      <w:r>
        <w:rPr>
          <w:color w:val="231F20"/>
          <w:spacing w:val="31"/>
          <w:sz w:val="18"/>
        </w:rPr>
        <w:t> </w:t>
      </w:r>
      <w:r>
        <w:rPr>
          <w:color w:val="231F20"/>
          <w:spacing w:val="-4"/>
          <w:sz w:val="18"/>
        </w:rPr>
        <w:t>Toluca</w:t>
      </w:r>
      <w:r>
        <w:rPr>
          <w:color w:val="231F20"/>
          <w:spacing w:val="25"/>
          <w:sz w:val="18"/>
        </w:rPr>
        <w:t> </w:t>
      </w:r>
      <w:r>
        <w:rPr>
          <w:color w:val="231F20"/>
          <w:spacing w:val="-3"/>
          <w:sz w:val="18"/>
        </w:rPr>
        <w:t>(2010).</w:t>
      </w:r>
      <w:r>
        <w:rPr>
          <w:color w:val="231F20"/>
          <w:spacing w:val="-3"/>
          <w:sz w:val="20"/>
        </w:rPr>
        <w:tab/>
      </w:r>
      <w:r>
        <w:rPr>
          <w:color w:val="231F20"/>
          <w:spacing w:val="-5"/>
          <w:sz w:val="20"/>
        </w:rPr>
        <w:t>157</w:t>
      </w:r>
    </w:p>
    <w:p>
      <w:pPr>
        <w:tabs>
          <w:tab w:pos="2517" w:val="left" w:leader="none"/>
        </w:tabs>
        <w:spacing w:line="210" w:lineRule="exact" w:before="0"/>
        <w:ind w:left="1553" w:right="2503" w:firstLine="0"/>
        <w:jc w:val="left"/>
        <w:rPr>
          <w:sz w:val="18"/>
        </w:rPr>
      </w:pPr>
      <w:r>
        <w:rPr>
          <w:color w:val="231F20"/>
          <w:sz w:val="18"/>
        </w:rPr>
        <w:t>Cuadro</w:t>
      </w:r>
      <w:r>
        <w:rPr>
          <w:color w:val="231F20"/>
          <w:spacing w:val="16"/>
          <w:sz w:val="18"/>
        </w:rPr>
        <w:t> </w:t>
      </w:r>
      <w:r>
        <w:rPr>
          <w:color w:val="231F20"/>
          <w:sz w:val="18"/>
        </w:rPr>
        <w:t>3.</w:t>
        <w:tab/>
        <w:t>Costos</w:t>
      </w:r>
      <w:r>
        <w:rPr>
          <w:color w:val="231F20"/>
          <w:spacing w:val="19"/>
          <w:sz w:val="18"/>
        </w:rPr>
        <w:t> </w:t>
      </w:r>
      <w:r>
        <w:rPr>
          <w:color w:val="231F20"/>
          <w:sz w:val="18"/>
        </w:rPr>
        <w:t>e</w:t>
      </w:r>
      <w:r>
        <w:rPr>
          <w:color w:val="231F20"/>
          <w:spacing w:val="19"/>
          <w:sz w:val="18"/>
        </w:rPr>
        <w:t> </w:t>
      </w:r>
      <w:r>
        <w:rPr>
          <w:color w:val="231F20"/>
          <w:sz w:val="18"/>
        </w:rPr>
        <w:t>ingresos</w:t>
      </w:r>
      <w:r>
        <w:rPr>
          <w:color w:val="231F20"/>
          <w:spacing w:val="19"/>
          <w:sz w:val="18"/>
        </w:rPr>
        <w:t> </w:t>
      </w:r>
      <w:r>
        <w:rPr>
          <w:color w:val="231F20"/>
          <w:sz w:val="18"/>
        </w:rPr>
        <w:t>($)</w:t>
      </w:r>
      <w:r>
        <w:rPr>
          <w:color w:val="231F20"/>
          <w:spacing w:val="19"/>
          <w:sz w:val="18"/>
        </w:rPr>
        <w:t> </w:t>
      </w:r>
      <w:r>
        <w:rPr>
          <w:color w:val="231F20"/>
          <w:sz w:val="18"/>
        </w:rPr>
        <w:t>para</w:t>
      </w:r>
      <w:r>
        <w:rPr>
          <w:color w:val="231F20"/>
          <w:spacing w:val="19"/>
          <w:sz w:val="18"/>
        </w:rPr>
        <w:t> </w:t>
      </w:r>
      <w:r>
        <w:rPr>
          <w:color w:val="231F20"/>
          <w:sz w:val="18"/>
        </w:rPr>
        <w:t>un</w:t>
      </w:r>
      <w:r>
        <w:rPr>
          <w:color w:val="231F20"/>
          <w:spacing w:val="19"/>
          <w:sz w:val="18"/>
        </w:rPr>
        <w:t> </w:t>
      </w:r>
      <w:r>
        <w:rPr>
          <w:color w:val="231F20"/>
          <w:sz w:val="18"/>
        </w:rPr>
        <w:t>rebaño</w:t>
      </w:r>
      <w:r>
        <w:rPr>
          <w:color w:val="231F20"/>
          <w:spacing w:val="19"/>
          <w:sz w:val="18"/>
        </w:rPr>
        <w:t> </w:t>
      </w:r>
      <w:r>
        <w:rPr>
          <w:color w:val="231F20"/>
          <w:sz w:val="18"/>
        </w:rPr>
        <w:t>de</w:t>
      </w:r>
      <w:r>
        <w:rPr>
          <w:color w:val="231F20"/>
          <w:spacing w:val="19"/>
          <w:sz w:val="18"/>
        </w:rPr>
        <w:t> </w:t>
      </w:r>
      <w:r>
        <w:rPr>
          <w:color w:val="231F20"/>
          <w:sz w:val="18"/>
        </w:rPr>
        <w:t>35</w:t>
      </w:r>
      <w:r>
        <w:rPr>
          <w:color w:val="231F20"/>
          <w:spacing w:val="19"/>
          <w:sz w:val="18"/>
        </w:rPr>
        <w:t> </w:t>
      </w:r>
      <w:r>
        <w:rPr>
          <w:color w:val="231F20"/>
          <w:sz w:val="18"/>
        </w:rPr>
        <w:t>animales</w:t>
      </w:r>
      <w:r>
        <w:rPr>
          <w:color w:val="231F20"/>
          <w:spacing w:val="19"/>
          <w:sz w:val="18"/>
        </w:rPr>
        <w:t> </w:t>
      </w:r>
      <w:r>
        <w:rPr>
          <w:color w:val="231F20"/>
          <w:sz w:val="18"/>
        </w:rPr>
        <w:t>según</w:t>
      </w:r>
      <w:r>
        <w:rPr>
          <w:color w:val="231F20"/>
          <w:spacing w:val="19"/>
          <w:sz w:val="18"/>
        </w:rPr>
        <w:t> </w:t>
      </w:r>
      <w:r>
        <w:rPr>
          <w:color w:val="231F20"/>
          <w:sz w:val="18"/>
        </w:rPr>
        <w:t>la</w:t>
      </w:r>
      <w:r>
        <w:rPr>
          <w:color w:val="231F20"/>
          <w:spacing w:val="19"/>
          <w:sz w:val="18"/>
        </w:rPr>
        <w:t> </w:t>
      </w:r>
      <w:r>
        <w:rPr>
          <w:color w:val="231F20"/>
          <w:sz w:val="18"/>
        </w:rPr>
        <w:t>variación</w:t>
      </w:r>
    </w:p>
    <w:p>
      <w:pPr>
        <w:tabs>
          <w:tab w:pos="9936" w:val="left" w:leader="dot"/>
        </w:tabs>
        <w:spacing w:line="235" w:lineRule="exact" w:before="0"/>
        <w:ind w:left="2517" w:right="0" w:firstLine="0"/>
        <w:jc w:val="left"/>
        <w:rPr>
          <w:sz w:val="20"/>
        </w:rPr>
      </w:pPr>
      <w:r>
        <w:rPr>
          <w:color w:val="231F20"/>
          <w:w w:val="105"/>
          <w:sz w:val="18"/>
        </w:rPr>
        <w:t>de tamaño del rebaño y el valor promedio para cada</w:t>
      </w:r>
      <w:r>
        <w:rPr>
          <w:color w:val="231F20"/>
          <w:spacing w:val="-8"/>
          <w:w w:val="105"/>
          <w:sz w:val="18"/>
        </w:rPr>
        <w:t> </w:t>
      </w:r>
      <w:r>
        <w:rPr>
          <w:color w:val="231F20"/>
          <w:w w:val="105"/>
          <w:sz w:val="18"/>
        </w:rPr>
        <w:t>componente</w:t>
      </w:r>
      <w:r>
        <w:rPr>
          <w:color w:val="231F20"/>
          <w:spacing w:val="-1"/>
          <w:w w:val="105"/>
          <w:sz w:val="18"/>
        </w:rPr>
        <w:t> </w:t>
      </w:r>
      <w:r>
        <w:rPr>
          <w:color w:val="231F20"/>
          <w:spacing w:val="-3"/>
          <w:w w:val="105"/>
          <w:sz w:val="18"/>
        </w:rPr>
        <w:t>(2010).</w:t>
      </w:r>
      <w:r>
        <w:rPr>
          <w:color w:val="231F20"/>
          <w:spacing w:val="-3"/>
          <w:w w:val="105"/>
          <w:sz w:val="20"/>
        </w:rPr>
        <w:tab/>
      </w:r>
      <w:r>
        <w:rPr>
          <w:color w:val="231F20"/>
          <w:spacing w:val="-5"/>
          <w:w w:val="105"/>
          <w:sz w:val="20"/>
        </w:rPr>
        <w:t>158</w:t>
      </w:r>
    </w:p>
    <w:p>
      <w:pPr>
        <w:tabs>
          <w:tab w:pos="2517" w:val="left" w:leader="none"/>
        </w:tabs>
        <w:spacing w:line="210" w:lineRule="exact" w:before="0"/>
        <w:ind w:left="1553" w:right="2503" w:firstLine="0"/>
        <w:jc w:val="left"/>
        <w:rPr>
          <w:sz w:val="18"/>
        </w:rPr>
      </w:pPr>
      <w:r>
        <w:rPr>
          <w:color w:val="231F20"/>
          <w:sz w:val="18"/>
        </w:rPr>
        <w:t>Cuadro</w:t>
      </w:r>
      <w:r>
        <w:rPr>
          <w:color w:val="231F20"/>
          <w:spacing w:val="16"/>
          <w:sz w:val="18"/>
        </w:rPr>
        <w:t> </w:t>
      </w:r>
      <w:r>
        <w:rPr>
          <w:color w:val="231F20"/>
          <w:sz w:val="18"/>
        </w:rPr>
        <w:t>4.</w:t>
        <w:tab/>
        <w:t>Percepción</w:t>
      </w:r>
      <w:r>
        <w:rPr>
          <w:color w:val="231F20"/>
          <w:spacing w:val="15"/>
          <w:sz w:val="18"/>
        </w:rPr>
        <w:t> </w:t>
      </w:r>
      <w:r>
        <w:rPr>
          <w:color w:val="231F20"/>
          <w:sz w:val="18"/>
        </w:rPr>
        <w:t>del</w:t>
      </w:r>
      <w:r>
        <w:rPr>
          <w:color w:val="231F20"/>
          <w:spacing w:val="15"/>
          <w:sz w:val="18"/>
        </w:rPr>
        <w:t> </w:t>
      </w:r>
      <w:r>
        <w:rPr>
          <w:color w:val="231F20"/>
          <w:sz w:val="18"/>
        </w:rPr>
        <w:t>uso</w:t>
      </w:r>
      <w:r>
        <w:rPr>
          <w:color w:val="231F20"/>
          <w:spacing w:val="15"/>
          <w:sz w:val="18"/>
        </w:rPr>
        <w:t> </w:t>
      </w:r>
      <w:r>
        <w:rPr>
          <w:color w:val="231F20"/>
          <w:sz w:val="18"/>
        </w:rPr>
        <w:t>de</w:t>
      </w:r>
      <w:r>
        <w:rPr>
          <w:color w:val="231F20"/>
          <w:spacing w:val="15"/>
          <w:sz w:val="18"/>
        </w:rPr>
        <w:t> </w:t>
      </w:r>
      <w:r>
        <w:rPr>
          <w:color w:val="231F20"/>
          <w:sz w:val="18"/>
        </w:rPr>
        <w:t>elementos</w:t>
      </w:r>
      <w:r>
        <w:rPr>
          <w:color w:val="231F20"/>
          <w:spacing w:val="15"/>
          <w:sz w:val="18"/>
        </w:rPr>
        <w:t> </w:t>
      </w:r>
      <w:r>
        <w:rPr>
          <w:color w:val="231F20"/>
          <w:sz w:val="18"/>
        </w:rPr>
        <w:t>del</w:t>
      </w:r>
      <w:r>
        <w:rPr>
          <w:color w:val="231F20"/>
          <w:spacing w:val="15"/>
          <w:sz w:val="18"/>
        </w:rPr>
        <w:t> </w:t>
      </w:r>
      <w:r>
        <w:rPr>
          <w:color w:val="231F20"/>
          <w:sz w:val="18"/>
        </w:rPr>
        <w:t>medio</w:t>
      </w:r>
      <w:r>
        <w:rPr>
          <w:color w:val="231F20"/>
          <w:spacing w:val="15"/>
          <w:sz w:val="18"/>
        </w:rPr>
        <w:t> </w:t>
      </w:r>
      <w:r>
        <w:rPr>
          <w:color w:val="231F20"/>
          <w:sz w:val="18"/>
        </w:rPr>
        <w:t>natural</w:t>
      </w:r>
      <w:r>
        <w:rPr>
          <w:color w:val="231F20"/>
          <w:spacing w:val="15"/>
          <w:sz w:val="18"/>
        </w:rPr>
        <w:t> </w:t>
      </w:r>
      <w:r>
        <w:rPr>
          <w:color w:val="231F20"/>
          <w:sz w:val="18"/>
        </w:rPr>
        <w:t>por</w:t>
      </w:r>
      <w:r>
        <w:rPr>
          <w:color w:val="231F20"/>
          <w:spacing w:val="15"/>
          <w:sz w:val="18"/>
        </w:rPr>
        <w:t> </w:t>
      </w:r>
      <w:r>
        <w:rPr>
          <w:color w:val="231F20"/>
          <w:sz w:val="18"/>
        </w:rPr>
        <w:t>pastores</w:t>
      </w:r>
      <w:r>
        <w:rPr>
          <w:color w:val="231F20"/>
          <w:spacing w:val="15"/>
          <w:sz w:val="18"/>
        </w:rPr>
        <w:t> </w:t>
      </w:r>
      <w:r>
        <w:rPr>
          <w:color w:val="231F20"/>
          <w:sz w:val="18"/>
        </w:rPr>
        <w:t>de</w:t>
      </w:r>
      <w:r>
        <w:rPr>
          <w:color w:val="231F20"/>
          <w:spacing w:val="15"/>
          <w:sz w:val="18"/>
        </w:rPr>
        <w:t> </w:t>
      </w:r>
      <w:r>
        <w:rPr>
          <w:color w:val="231F20"/>
          <w:sz w:val="18"/>
        </w:rPr>
        <w:t>ovinos</w:t>
      </w:r>
    </w:p>
    <w:p>
      <w:pPr>
        <w:tabs>
          <w:tab w:pos="9932" w:val="left" w:leader="dot"/>
        </w:tabs>
        <w:spacing w:line="236" w:lineRule="exact" w:before="0"/>
        <w:ind w:left="2517" w:right="0" w:firstLine="0"/>
        <w:jc w:val="left"/>
        <w:rPr>
          <w:sz w:val="20"/>
        </w:rPr>
      </w:pPr>
      <w:r>
        <w:rPr>
          <w:color w:val="231F20"/>
          <w:sz w:val="18"/>
        </w:rPr>
        <w:t>en cuatro localidades del Parque Nacional Nevado </w:t>
      </w:r>
      <w:r>
        <w:rPr>
          <w:color w:val="231F20"/>
          <w:spacing w:val="40"/>
          <w:sz w:val="18"/>
        </w:rPr>
        <w:t> </w:t>
      </w:r>
      <w:r>
        <w:rPr>
          <w:color w:val="231F20"/>
          <w:sz w:val="18"/>
        </w:rPr>
        <w:t>de</w:t>
      </w:r>
      <w:r>
        <w:rPr>
          <w:color w:val="231F20"/>
          <w:spacing w:val="11"/>
          <w:sz w:val="18"/>
        </w:rPr>
        <w:t> </w:t>
      </w:r>
      <w:r>
        <w:rPr>
          <w:color w:val="231F20"/>
          <w:sz w:val="18"/>
        </w:rPr>
        <w:t>Toluca-México.</w:t>
      </w:r>
      <w:r>
        <w:rPr>
          <w:color w:val="231F20"/>
          <w:sz w:val="20"/>
        </w:rPr>
        <w:tab/>
      </w:r>
      <w:r>
        <w:rPr>
          <w:color w:val="231F20"/>
          <w:spacing w:val="-3"/>
          <w:sz w:val="20"/>
        </w:rPr>
        <w:t>160</w:t>
      </w:r>
    </w:p>
    <w:p>
      <w:pPr>
        <w:spacing w:line="212" w:lineRule="exact" w:before="167"/>
        <w:ind w:left="1553" w:right="2503" w:firstLine="0"/>
        <w:jc w:val="left"/>
        <w:rPr>
          <w:sz w:val="18"/>
        </w:rPr>
      </w:pPr>
      <w:r>
        <w:rPr>
          <w:color w:val="231F20"/>
          <w:w w:val="110"/>
          <w:sz w:val="18"/>
        </w:rPr>
        <w:t>CAPÍTULO 11</w:t>
      </w:r>
    </w:p>
    <w:p>
      <w:pPr>
        <w:tabs>
          <w:tab w:pos="2517" w:val="left" w:leader="none"/>
          <w:tab w:pos="9940" w:val="left" w:leader="dot"/>
        </w:tabs>
        <w:spacing w:line="235" w:lineRule="exact" w:before="0"/>
        <w:ind w:left="1553" w:right="0" w:firstLine="0"/>
        <w:jc w:val="left"/>
        <w:rPr>
          <w:sz w:val="20"/>
        </w:rPr>
      </w:pPr>
      <w:r>
        <w:rPr>
          <w:color w:val="231F20"/>
          <w:sz w:val="18"/>
        </w:rPr>
        <w:t>Cuadro</w:t>
      </w:r>
      <w:r>
        <w:rPr>
          <w:color w:val="231F20"/>
          <w:spacing w:val="16"/>
          <w:sz w:val="18"/>
        </w:rPr>
        <w:t> </w:t>
      </w:r>
      <w:r>
        <w:rPr>
          <w:color w:val="231F20"/>
          <w:sz w:val="18"/>
        </w:rPr>
        <w:t>1.</w:t>
        <w:tab/>
        <w:t>Municipios y población de la zona borreguera del </w:t>
      </w:r>
      <w:r>
        <w:rPr>
          <w:color w:val="231F20"/>
          <w:spacing w:val="39"/>
          <w:sz w:val="18"/>
        </w:rPr>
        <w:t> </w:t>
      </w:r>
      <w:r>
        <w:rPr>
          <w:color w:val="231F20"/>
          <w:sz w:val="18"/>
        </w:rPr>
        <w:t>Altiplano</w:t>
      </w:r>
      <w:r>
        <w:rPr>
          <w:color w:val="231F20"/>
          <w:spacing w:val="10"/>
          <w:sz w:val="18"/>
        </w:rPr>
        <w:t> </w:t>
      </w:r>
      <w:r>
        <w:rPr>
          <w:color w:val="231F20"/>
          <w:sz w:val="18"/>
        </w:rPr>
        <w:t>Michoacano.</w:t>
      </w:r>
      <w:r>
        <w:rPr>
          <w:color w:val="231F20"/>
          <w:sz w:val="20"/>
        </w:rPr>
        <w:tab/>
      </w:r>
      <w:r>
        <w:rPr>
          <w:color w:val="231F20"/>
          <w:spacing w:val="-9"/>
          <w:sz w:val="20"/>
        </w:rPr>
        <w:t>172</w:t>
      </w:r>
    </w:p>
    <w:p>
      <w:pPr>
        <w:tabs>
          <w:tab w:pos="2517" w:val="left" w:leader="none"/>
        </w:tabs>
        <w:spacing w:line="210" w:lineRule="exact" w:before="0"/>
        <w:ind w:left="1553" w:right="2503" w:firstLine="0"/>
        <w:jc w:val="left"/>
        <w:rPr>
          <w:sz w:val="18"/>
        </w:rPr>
      </w:pPr>
      <w:r>
        <w:rPr>
          <w:color w:val="231F20"/>
          <w:sz w:val="18"/>
        </w:rPr>
        <w:t>Cuadro</w:t>
      </w:r>
      <w:r>
        <w:rPr>
          <w:color w:val="231F20"/>
          <w:spacing w:val="16"/>
          <w:sz w:val="18"/>
        </w:rPr>
        <w:t> </w:t>
      </w:r>
      <w:r>
        <w:rPr>
          <w:color w:val="231F20"/>
          <w:sz w:val="18"/>
        </w:rPr>
        <w:t>2.</w:t>
        <w:tab/>
        <w:t>Unidades de producción ovina por zona borreguera asociadas a otras   </w:t>
      </w:r>
      <w:r>
        <w:rPr>
          <w:color w:val="231F20"/>
          <w:spacing w:val="9"/>
          <w:sz w:val="18"/>
        </w:rPr>
        <w:t> </w:t>
      </w:r>
      <w:r>
        <w:rPr>
          <w:color w:val="231F20"/>
          <w:sz w:val="18"/>
        </w:rPr>
        <w:t>actividades</w:t>
      </w:r>
    </w:p>
    <w:p>
      <w:pPr>
        <w:tabs>
          <w:tab w:pos="9940" w:val="left" w:leader="dot"/>
        </w:tabs>
        <w:spacing w:line="225" w:lineRule="exact" w:before="0"/>
        <w:ind w:left="2517" w:right="0" w:firstLine="0"/>
        <w:jc w:val="left"/>
        <w:rPr>
          <w:sz w:val="20"/>
        </w:rPr>
      </w:pPr>
      <w:r>
        <w:rPr>
          <w:color w:val="231F20"/>
          <w:sz w:val="18"/>
        </w:rPr>
        <w:t>productivas, y contribución a la</w:t>
      </w:r>
      <w:r>
        <w:rPr>
          <w:color w:val="231F20"/>
          <w:spacing w:val="39"/>
          <w:sz w:val="18"/>
        </w:rPr>
        <w:t> </w:t>
      </w:r>
      <w:r>
        <w:rPr>
          <w:color w:val="231F20"/>
          <w:sz w:val="18"/>
        </w:rPr>
        <w:t>economía</w:t>
      </w:r>
      <w:r>
        <w:rPr>
          <w:color w:val="231F20"/>
          <w:spacing w:val="7"/>
          <w:sz w:val="18"/>
        </w:rPr>
        <w:t> </w:t>
      </w:r>
      <w:r>
        <w:rPr>
          <w:color w:val="231F20"/>
          <w:sz w:val="18"/>
        </w:rPr>
        <w:t>familiar</w:t>
      </w:r>
      <w:r>
        <w:rPr>
          <w:color w:val="231F20"/>
          <w:sz w:val="20"/>
        </w:rPr>
        <w:tab/>
      </w:r>
      <w:r>
        <w:rPr>
          <w:color w:val="231F20"/>
          <w:spacing w:val="-9"/>
          <w:sz w:val="20"/>
        </w:rPr>
        <w:t>173</w:t>
      </w:r>
    </w:p>
    <w:p>
      <w:pPr>
        <w:tabs>
          <w:tab w:pos="2517" w:val="left" w:leader="none"/>
          <w:tab w:pos="9940" w:val="left" w:leader="dot"/>
        </w:tabs>
        <w:spacing w:line="223" w:lineRule="exact" w:before="0"/>
        <w:ind w:left="1553" w:right="0" w:firstLine="0"/>
        <w:jc w:val="left"/>
        <w:rPr>
          <w:sz w:val="20"/>
        </w:rPr>
      </w:pPr>
      <w:r>
        <w:rPr>
          <w:color w:val="231F20"/>
          <w:sz w:val="18"/>
        </w:rPr>
        <w:t>Cuadro</w:t>
      </w:r>
      <w:r>
        <w:rPr>
          <w:color w:val="231F20"/>
          <w:spacing w:val="16"/>
          <w:sz w:val="18"/>
        </w:rPr>
        <w:t> </w:t>
      </w:r>
      <w:r>
        <w:rPr>
          <w:color w:val="231F20"/>
          <w:sz w:val="18"/>
        </w:rPr>
        <w:t>3.</w:t>
        <w:tab/>
        <w:t>Indicadores sociales de las unidades de producción ovina   </w:t>
      </w:r>
      <w:r>
        <w:rPr>
          <w:color w:val="231F20"/>
          <w:spacing w:val="9"/>
          <w:sz w:val="18"/>
        </w:rPr>
        <w:t> </w:t>
      </w:r>
      <w:r>
        <w:rPr>
          <w:color w:val="231F20"/>
          <w:sz w:val="18"/>
        </w:rPr>
        <w:t>por</w:t>
      </w:r>
      <w:r>
        <w:rPr>
          <w:color w:val="231F20"/>
          <w:spacing w:val="16"/>
          <w:sz w:val="18"/>
        </w:rPr>
        <w:t> </w:t>
      </w:r>
      <w:r>
        <w:rPr>
          <w:color w:val="231F20"/>
          <w:sz w:val="18"/>
        </w:rPr>
        <w:t>zona</w:t>
      </w:r>
      <w:r>
        <w:rPr>
          <w:color w:val="231F20"/>
          <w:sz w:val="20"/>
        </w:rPr>
        <w:tab/>
      </w:r>
      <w:r>
        <w:rPr>
          <w:color w:val="231F20"/>
          <w:spacing w:val="-9"/>
          <w:sz w:val="20"/>
        </w:rPr>
        <w:t>175</w:t>
      </w:r>
    </w:p>
    <w:p>
      <w:pPr>
        <w:tabs>
          <w:tab w:pos="2517" w:val="left" w:leader="none"/>
          <w:tab w:pos="9940" w:val="left" w:leader="dot"/>
        </w:tabs>
        <w:spacing w:line="233" w:lineRule="exact" w:before="0"/>
        <w:ind w:left="1553" w:right="0" w:firstLine="0"/>
        <w:jc w:val="left"/>
        <w:rPr>
          <w:sz w:val="20"/>
        </w:rPr>
      </w:pPr>
      <w:r>
        <w:rPr>
          <w:color w:val="231F20"/>
          <w:sz w:val="18"/>
        </w:rPr>
        <w:t>Cuadro</w:t>
      </w:r>
      <w:r>
        <w:rPr>
          <w:color w:val="231F20"/>
          <w:spacing w:val="16"/>
          <w:sz w:val="18"/>
        </w:rPr>
        <w:t> </w:t>
      </w:r>
      <w:r>
        <w:rPr>
          <w:color w:val="231F20"/>
          <w:sz w:val="18"/>
        </w:rPr>
        <w:t>4.</w:t>
        <w:tab/>
        <w:t>Indicadores productivos, por porcentaje de aplicación, de las unidades de   </w:t>
      </w:r>
      <w:r>
        <w:rPr>
          <w:color w:val="231F20"/>
          <w:spacing w:val="3"/>
          <w:sz w:val="18"/>
        </w:rPr>
        <w:t> </w:t>
      </w:r>
      <w:r>
        <w:rPr>
          <w:color w:val="231F20"/>
          <w:sz w:val="18"/>
        </w:rPr>
        <w:t>producción</w:t>
      </w:r>
      <w:r>
        <w:rPr>
          <w:color w:val="231F20"/>
          <w:spacing w:val="12"/>
          <w:sz w:val="18"/>
        </w:rPr>
        <w:t> </w:t>
      </w:r>
      <w:r>
        <w:rPr>
          <w:color w:val="231F20"/>
          <w:sz w:val="18"/>
        </w:rPr>
        <w:t>ovina</w:t>
      </w:r>
      <w:r>
        <w:rPr>
          <w:color w:val="231F20"/>
          <w:sz w:val="20"/>
        </w:rPr>
        <w:tab/>
      </w:r>
      <w:r>
        <w:rPr>
          <w:color w:val="231F20"/>
          <w:spacing w:val="-9"/>
          <w:sz w:val="20"/>
        </w:rPr>
        <w:t>176</w:t>
      </w:r>
    </w:p>
    <w:p>
      <w:pPr>
        <w:spacing w:after="0" w:line="233" w:lineRule="exact"/>
        <w:jc w:val="left"/>
        <w:rPr>
          <w:sz w:val="20"/>
        </w:rPr>
        <w:sectPr>
          <w:pgSz w:w="11900" w:h="14450"/>
          <w:pgMar w:header="0" w:footer="222" w:top="420" w:bottom="420" w:left="0" w:right="0"/>
        </w:sectPr>
      </w:pPr>
    </w:p>
    <w:p>
      <w:pPr>
        <w:pStyle w:val="BodyText"/>
        <w:rPr>
          <w:sz w:val="22"/>
        </w:rPr>
      </w:pPr>
    </w:p>
    <w:p>
      <w:pPr>
        <w:pStyle w:val="BodyText"/>
        <w:rPr>
          <w:sz w:val="22"/>
        </w:rPr>
      </w:pPr>
    </w:p>
    <w:p>
      <w:pPr>
        <w:pStyle w:val="BodyText"/>
        <w:spacing w:before="3"/>
        <w:rPr>
          <w:sz w:val="18"/>
        </w:rPr>
      </w:pPr>
    </w:p>
    <w:p>
      <w:pPr>
        <w:tabs>
          <w:tab w:pos="9014" w:val="left" w:leader="none"/>
        </w:tabs>
        <w:spacing w:before="0"/>
        <w:ind w:left="1551" w:right="0" w:firstLine="0"/>
        <w:jc w:val="left"/>
        <w:rPr>
          <w:sz w:val="18"/>
        </w:rPr>
      </w:pPr>
      <w:r>
        <w:rPr>
          <w:color w:val="231F20"/>
          <w:sz w:val="22"/>
        </w:rPr>
        <w:t>x</w:t>
        <w:tab/>
      </w:r>
      <w:r>
        <w:rPr>
          <w:color w:val="231F20"/>
          <w:sz w:val="18"/>
        </w:rPr>
        <w:t>índice de</w:t>
      </w:r>
      <w:r>
        <w:rPr>
          <w:color w:val="231F20"/>
          <w:spacing w:val="40"/>
          <w:sz w:val="18"/>
        </w:rPr>
        <w:t> </w:t>
      </w:r>
      <w:r>
        <w:rPr>
          <w:color w:val="231F20"/>
          <w:sz w:val="18"/>
        </w:rPr>
        <w:t>cuadros</w:t>
      </w:r>
    </w:p>
    <w:p>
      <w:pPr>
        <w:pStyle w:val="BodyText"/>
        <w:spacing w:before="3"/>
        <w:rPr>
          <w:sz w:val="29"/>
        </w:rPr>
      </w:pPr>
    </w:p>
    <w:p>
      <w:pPr>
        <w:spacing w:before="0"/>
        <w:ind w:left="1553" w:right="2503" w:firstLine="0"/>
        <w:jc w:val="left"/>
        <w:rPr>
          <w:sz w:val="18"/>
        </w:rPr>
      </w:pPr>
      <w:r>
        <w:rPr>
          <w:color w:val="231F20"/>
          <w:w w:val="110"/>
          <w:sz w:val="18"/>
        </w:rPr>
        <w:t>CAPÍTULO 12</w:t>
      </w:r>
    </w:p>
    <w:p>
      <w:pPr>
        <w:spacing w:line="210" w:lineRule="exact" w:before="0"/>
        <w:ind w:left="1553" w:right="2503" w:firstLine="0"/>
        <w:jc w:val="left"/>
        <w:rPr>
          <w:sz w:val="18"/>
        </w:rPr>
      </w:pPr>
      <w:r>
        <w:rPr>
          <w:color w:val="231F20"/>
          <w:w w:val="105"/>
          <w:sz w:val="18"/>
        </w:rPr>
        <w:t>Cuadro 1. Porcentaje de uso de innovaciones en los sistemas campesinos de producción</w:t>
      </w:r>
    </w:p>
    <w:p>
      <w:pPr>
        <w:tabs>
          <w:tab w:pos="9932" w:val="left" w:leader="dot"/>
        </w:tabs>
        <w:spacing w:line="223" w:lineRule="exact" w:before="0"/>
        <w:ind w:left="2404" w:right="0" w:firstLine="0"/>
        <w:jc w:val="left"/>
        <w:rPr>
          <w:sz w:val="20"/>
        </w:rPr>
      </w:pPr>
      <w:r>
        <w:rPr>
          <w:color w:val="231F20"/>
          <w:sz w:val="18"/>
        </w:rPr>
        <w:t>ovina operados por mujeres </w:t>
      </w:r>
      <w:r>
        <w:rPr>
          <w:color w:val="231F20"/>
          <w:spacing w:val="14"/>
          <w:sz w:val="18"/>
        </w:rPr>
        <w:t> </w:t>
      </w:r>
      <w:r>
        <w:rPr>
          <w:color w:val="231F20"/>
          <w:sz w:val="18"/>
        </w:rPr>
        <w:t>y</w:t>
      </w:r>
      <w:r>
        <w:rPr>
          <w:color w:val="231F20"/>
          <w:spacing w:val="13"/>
          <w:sz w:val="18"/>
        </w:rPr>
        <w:t> </w:t>
      </w:r>
      <w:r>
        <w:rPr>
          <w:color w:val="231F20"/>
          <w:sz w:val="18"/>
        </w:rPr>
        <w:t>hombres.</w:t>
      </w:r>
      <w:r>
        <w:rPr>
          <w:color w:val="231F20"/>
          <w:sz w:val="20"/>
        </w:rPr>
        <w:tab/>
      </w:r>
      <w:r>
        <w:rPr>
          <w:color w:val="231F20"/>
          <w:spacing w:val="-3"/>
          <w:sz w:val="20"/>
        </w:rPr>
        <w:t>184</w:t>
      </w:r>
    </w:p>
    <w:p>
      <w:pPr>
        <w:tabs>
          <w:tab w:pos="9940" w:val="left" w:leader="dot"/>
        </w:tabs>
        <w:spacing w:line="230" w:lineRule="exact" w:before="0"/>
        <w:ind w:left="1553" w:right="0" w:firstLine="0"/>
        <w:jc w:val="left"/>
        <w:rPr>
          <w:sz w:val="20"/>
        </w:rPr>
      </w:pPr>
      <w:r>
        <w:rPr>
          <w:color w:val="231F20"/>
          <w:sz w:val="18"/>
        </w:rPr>
        <w:t>Cuadro 2.   Descriptores de las variables </w:t>
      </w:r>
      <w:r>
        <w:rPr>
          <w:color w:val="231F20"/>
          <w:spacing w:val="4"/>
          <w:sz w:val="18"/>
        </w:rPr>
        <w:t> </w:t>
      </w:r>
      <w:r>
        <w:rPr>
          <w:color w:val="231F20"/>
          <w:sz w:val="18"/>
        </w:rPr>
        <w:t>por</w:t>
      </w:r>
      <w:r>
        <w:rPr>
          <w:color w:val="231F20"/>
          <w:spacing w:val="12"/>
          <w:sz w:val="18"/>
        </w:rPr>
        <w:t> </w:t>
      </w:r>
      <w:r>
        <w:rPr>
          <w:color w:val="231F20"/>
          <w:sz w:val="18"/>
        </w:rPr>
        <w:t>sexo.</w:t>
      </w:r>
      <w:r>
        <w:rPr>
          <w:color w:val="231F20"/>
          <w:sz w:val="20"/>
        </w:rPr>
        <w:tab/>
      </w:r>
      <w:r>
        <w:rPr>
          <w:color w:val="231F20"/>
          <w:spacing w:val="-9"/>
          <w:sz w:val="20"/>
        </w:rPr>
        <w:t>191</w:t>
      </w:r>
    </w:p>
    <w:p>
      <w:pPr>
        <w:spacing w:line="208" w:lineRule="exact" w:before="0"/>
        <w:ind w:left="1553" w:right="2503" w:firstLine="0"/>
        <w:jc w:val="left"/>
        <w:rPr>
          <w:sz w:val="18"/>
        </w:rPr>
      </w:pPr>
      <w:r>
        <w:rPr>
          <w:color w:val="231F20"/>
          <w:sz w:val="18"/>
        </w:rPr>
        <w:t>Cuadro 3.        La innovación tecnológica y los componentes del capital humano en los sistemas</w:t>
      </w:r>
    </w:p>
    <w:p>
      <w:pPr>
        <w:tabs>
          <w:tab w:pos="9932" w:val="left" w:leader="dot"/>
        </w:tabs>
        <w:spacing w:line="223" w:lineRule="exact" w:before="0"/>
        <w:ind w:left="2404" w:right="0" w:firstLine="0"/>
        <w:jc w:val="left"/>
        <w:rPr>
          <w:sz w:val="20"/>
        </w:rPr>
      </w:pPr>
      <w:r>
        <w:rPr>
          <w:color w:val="231F20"/>
          <w:w w:val="105"/>
          <w:sz w:val="18"/>
        </w:rPr>
        <w:t>campesinos de</w:t>
      </w:r>
      <w:r>
        <w:rPr>
          <w:color w:val="231F20"/>
          <w:spacing w:val="-12"/>
          <w:w w:val="105"/>
          <w:sz w:val="18"/>
        </w:rPr>
        <w:t> </w:t>
      </w:r>
      <w:r>
        <w:rPr>
          <w:color w:val="231F20"/>
          <w:w w:val="105"/>
          <w:sz w:val="18"/>
        </w:rPr>
        <w:t>producción</w:t>
      </w:r>
      <w:r>
        <w:rPr>
          <w:color w:val="231F20"/>
          <w:spacing w:val="-6"/>
          <w:w w:val="105"/>
          <w:sz w:val="18"/>
        </w:rPr>
        <w:t> </w:t>
      </w:r>
      <w:r>
        <w:rPr>
          <w:color w:val="231F20"/>
          <w:w w:val="105"/>
          <w:sz w:val="18"/>
        </w:rPr>
        <w:t>ovina.</w:t>
      </w:r>
      <w:r>
        <w:rPr>
          <w:color w:val="231F20"/>
          <w:w w:val="105"/>
          <w:sz w:val="20"/>
        </w:rPr>
        <w:tab/>
      </w:r>
      <w:r>
        <w:rPr>
          <w:color w:val="231F20"/>
          <w:spacing w:val="-3"/>
          <w:w w:val="105"/>
          <w:sz w:val="20"/>
        </w:rPr>
        <w:t>195</w:t>
      </w:r>
    </w:p>
    <w:p>
      <w:pPr>
        <w:tabs>
          <w:tab w:pos="9932" w:val="left" w:leader="dot"/>
        </w:tabs>
        <w:spacing w:line="232" w:lineRule="exact" w:before="0"/>
        <w:ind w:left="1553" w:right="0" w:firstLine="0"/>
        <w:jc w:val="left"/>
        <w:rPr>
          <w:sz w:val="20"/>
        </w:rPr>
      </w:pPr>
      <w:r>
        <w:rPr>
          <w:color w:val="231F20"/>
          <w:sz w:val="18"/>
        </w:rPr>
        <w:t>Cuadro 4.   Proporción de ingresos obtenidos de </w:t>
      </w:r>
      <w:r>
        <w:rPr>
          <w:color w:val="231F20"/>
          <w:spacing w:val="20"/>
          <w:sz w:val="18"/>
        </w:rPr>
        <w:t> </w:t>
      </w:r>
      <w:r>
        <w:rPr>
          <w:color w:val="231F20"/>
          <w:sz w:val="18"/>
        </w:rPr>
        <w:t>la</w:t>
      </w:r>
      <w:r>
        <w:rPr>
          <w:color w:val="231F20"/>
          <w:spacing w:val="12"/>
          <w:sz w:val="18"/>
        </w:rPr>
        <w:t> </w:t>
      </w:r>
      <w:r>
        <w:rPr>
          <w:color w:val="231F20"/>
          <w:sz w:val="18"/>
        </w:rPr>
        <w:t>ovinocultura.</w:t>
      </w:r>
      <w:r>
        <w:rPr>
          <w:color w:val="231F20"/>
          <w:sz w:val="20"/>
        </w:rPr>
        <w:tab/>
      </w:r>
      <w:r>
        <w:rPr>
          <w:color w:val="231F20"/>
          <w:spacing w:val="-3"/>
          <w:sz w:val="20"/>
        </w:rPr>
        <w:t>196</w:t>
      </w:r>
    </w:p>
    <w:p>
      <w:pPr>
        <w:spacing w:before="165"/>
        <w:ind w:left="1553" w:right="2503" w:firstLine="0"/>
        <w:jc w:val="left"/>
        <w:rPr>
          <w:sz w:val="18"/>
        </w:rPr>
      </w:pPr>
      <w:r>
        <w:rPr>
          <w:color w:val="231F20"/>
          <w:w w:val="110"/>
          <w:sz w:val="18"/>
        </w:rPr>
        <w:t>CAPÍTULO 13</w:t>
      </w:r>
    </w:p>
    <w:p>
      <w:pPr>
        <w:spacing w:line="210" w:lineRule="exact" w:before="0"/>
        <w:ind w:left="1553" w:right="2503" w:firstLine="0"/>
        <w:jc w:val="left"/>
        <w:rPr>
          <w:sz w:val="18"/>
        </w:rPr>
      </w:pPr>
      <w:r>
        <w:rPr>
          <w:color w:val="231F20"/>
          <w:sz w:val="18"/>
        </w:rPr>
        <w:t>Cuadro 1.        Producción (en toneladas) de ganado caprino en pie y de carne en canal</w:t>
      </w:r>
    </w:p>
    <w:p>
      <w:pPr>
        <w:tabs>
          <w:tab w:pos="9927" w:val="left" w:leader="dot"/>
        </w:tabs>
        <w:spacing w:line="223" w:lineRule="exact" w:before="0"/>
        <w:ind w:left="2404" w:right="0" w:firstLine="0"/>
        <w:jc w:val="left"/>
        <w:rPr>
          <w:sz w:val="20"/>
        </w:rPr>
      </w:pPr>
      <w:r>
        <w:rPr>
          <w:color w:val="231F20"/>
          <w:w w:val="110"/>
          <w:sz w:val="18"/>
        </w:rPr>
        <w:t>en </w:t>
      </w:r>
      <w:r>
        <w:rPr>
          <w:color w:val="231F20"/>
          <w:spacing w:val="-3"/>
          <w:w w:val="110"/>
          <w:sz w:val="18"/>
        </w:rPr>
        <w:t>Tejupilco </w:t>
      </w:r>
      <w:r>
        <w:rPr>
          <w:color w:val="231F20"/>
          <w:w w:val="110"/>
          <w:sz w:val="18"/>
        </w:rPr>
        <w:t>(DDR</w:t>
      </w:r>
      <w:r>
        <w:rPr>
          <w:color w:val="231F20"/>
          <w:spacing w:val="8"/>
          <w:w w:val="110"/>
          <w:sz w:val="18"/>
        </w:rPr>
        <w:t> </w:t>
      </w:r>
      <w:r>
        <w:rPr>
          <w:color w:val="231F20"/>
          <w:spacing w:val="-4"/>
          <w:w w:val="110"/>
          <w:sz w:val="18"/>
        </w:rPr>
        <w:t>076),</w:t>
      </w:r>
      <w:r>
        <w:rPr>
          <w:color w:val="231F20"/>
          <w:spacing w:val="1"/>
          <w:w w:val="110"/>
          <w:sz w:val="18"/>
        </w:rPr>
        <w:t> </w:t>
      </w:r>
      <w:r>
        <w:rPr>
          <w:color w:val="231F20"/>
          <w:spacing w:val="-4"/>
          <w:w w:val="110"/>
          <w:sz w:val="18"/>
        </w:rPr>
        <w:t>2010.</w:t>
      </w:r>
      <w:r>
        <w:rPr>
          <w:color w:val="231F20"/>
          <w:spacing w:val="-4"/>
          <w:w w:val="110"/>
          <w:sz w:val="20"/>
        </w:rPr>
        <w:tab/>
      </w:r>
      <w:r>
        <w:rPr>
          <w:color w:val="231F20"/>
          <w:w w:val="110"/>
          <w:sz w:val="20"/>
        </w:rPr>
        <w:t>203</w:t>
      </w:r>
    </w:p>
    <w:p>
      <w:pPr>
        <w:tabs>
          <w:tab w:pos="9927" w:val="left" w:leader="dot"/>
        </w:tabs>
        <w:spacing w:line="230" w:lineRule="exact" w:before="0"/>
        <w:ind w:left="1553" w:right="0" w:firstLine="0"/>
        <w:jc w:val="left"/>
        <w:rPr>
          <w:sz w:val="20"/>
        </w:rPr>
      </w:pPr>
      <w:r>
        <w:rPr>
          <w:color w:val="231F20"/>
          <w:sz w:val="18"/>
        </w:rPr>
        <w:t>Cuadro 2.   Activos productivos (vientres caprinos) otorgados en el sur del Estado  </w:t>
      </w:r>
      <w:r>
        <w:rPr>
          <w:color w:val="231F20"/>
          <w:spacing w:val="39"/>
          <w:sz w:val="18"/>
        </w:rPr>
        <w:t> </w:t>
      </w:r>
      <w:r>
        <w:rPr>
          <w:color w:val="231F20"/>
          <w:sz w:val="18"/>
        </w:rPr>
        <w:t>de</w:t>
      </w:r>
      <w:r>
        <w:rPr>
          <w:color w:val="231F20"/>
          <w:spacing w:val="12"/>
          <w:sz w:val="18"/>
        </w:rPr>
        <w:t> </w:t>
      </w:r>
      <w:r>
        <w:rPr>
          <w:color w:val="231F20"/>
          <w:sz w:val="18"/>
        </w:rPr>
        <w:t>México.</w:t>
      </w:r>
      <w:r>
        <w:rPr>
          <w:color w:val="231F20"/>
          <w:sz w:val="20"/>
        </w:rPr>
        <w:tab/>
        <w:t>205</w:t>
      </w:r>
    </w:p>
    <w:p>
      <w:pPr>
        <w:spacing w:line="208" w:lineRule="exact" w:before="0"/>
        <w:ind w:left="1553" w:right="2503" w:firstLine="0"/>
        <w:jc w:val="left"/>
        <w:rPr>
          <w:sz w:val="18"/>
        </w:rPr>
      </w:pPr>
      <w:r>
        <w:rPr>
          <w:color w:val="231F20"/>
          <w:sz w:val="18"/>
        </w:rPr>
        <w:t>Cuadro 3.      Características socio-técnicas de la producción de caprinos en las zonas del sur</w:t>
      </w:r>
    </w:p>
    <w:p>
      <w:pPr>
        <w:tabs>
          <w:tab w:pos="9936" w:val="left" w:leader="dot"/>
        </w:tabs>
        <w:spacing w:line="235" w:lineRule="exact" w:before="0"/>
        <w:ind w:left="2404" w:right="0" w:firstLine="0"/>
        <w:jc w:val="left"/>
        <w:rPr>
          <w:sz w:val="20"/>
        </w:rPr>
      </w:pPr>
      <w:r>
        <w:rPr>
          <w:color w:val="231F20"/>
          <w:sz w:val="18"/>
        </w:rPr>
        <w:t>del Estado de</w:t>
      </w:r>
      <w:r>
        <w:rPr>
          <w:color w:val="231F20"/>
          <w:spacing w:val="35"/>
          <w:sz w:val="18"/>
        </w:rPr>
        <w:t> </w:t>
      </w:r>
      <w:r>
        <w:rPr>
          <w:color w:val="231F20"/>
          <w:sz w:val="18"/>
        </w:rPr>
        <w:t>México</w:t>
      </w:r>
      <w:r>
        <w:rPr>
          <w:color w:val="231F20"/>
          <w:spacing w:val="11"/>
          <w:sz w:val="18"/>
        </w:rPr>
        <w:t> </w:t>
      </w:r>
      <w:r>
        <w:rPr>
          <w:color w:val="231F20"/>
          <w:sz w:val="18"/>
        </w:rPr>
        <w:t>estudiadas.</w:t>
      </w:r>
      <w:r>
        <w:rPr>
          <w:color w:val="231F20"/>
          <w:sz w:val="20"/>
        </w:rPr>
        <w:tab/>
      </w:r>
      <w:r>
        <w:rPr>
          <w:color w:val="231F20"/>
          <w:spacing w:val="-8"/>
          <w:sz w:val="20"/>
        </w:rPr>
        <w:t>207</w:t>
      </w:r>
    </w:p>
    <w:p>
      <w:pPr>
        <w:spacing w:before="165"/>
        <w:ind w:left="1553" w:right="2503" w:firstLine="0"/>
        <w:jc w:val="left"/>
        <w:rPr>
          <w:sz w:val="18"/>
        </w:rPr>
      </w:pPr>
      <w:r>
        <w:rPr>
          <w:color w:val="231F20"/>
          <w:w w:val="110"/>
          <w:sz w:val="18"/>
        </w:rPr>
        <w:t>CAPÍTULO 14</w:t>
      </w:r>
    </w:p>
    <w:p>
      <w:pPr>
        <w:spacing w:line="210" w:lineRule="exact" w:before="0"/>
        <w:ind w:left="1553" w:right="2503" w:firstLine="0"/>
        <w:jc w:val="left"/>
        <w:rPr>
          <w:sz w:val="18"/>
        </w:rPr>
      </w:pPr>
      <w:r>
        <w:rPr>
          <w:color w:val="231F20"/>
          <w:sz w:val="18"/>
        </w:rPr>
        <w:t>Cuadro 1.       Existencias de unidades de producción, número de cabezas y volumen</w:t>
      </w:r>
    </w:p>
    <w:p>
      <w:pPr>
        <w:tabs>
          <w:tab w:pos="9936" w:val="left" w:leader="dot"/>
        </w:tabs>
        <w:spacing w:line="232" w:lineRule="exact" w:before="0"/>
        <w:ind w:left="2404" w:right="0" w:firstLine="0"/>
        <w:jc w:val="left"/>
        <w:rPr>
          <w:sz w:val="20"/>
        </w:rPr>
      </w:pP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producción</w:t>
      </w:r>
      <w:r>
        <w:rPr>
          <w:color w:val="231F20"/>
          <w:spacing w:val="20"/>
          <w:sz w:val="18"/>
        </w:rPr>
        <w:t> </w:t>
      </w:r>
      <w:r>
        <w:rPr>
          <w:color w:val="231F20"/>
          <w:sz w:val="18"/>
        </w:rPr>
        <w:t>de</w:t>
      </w:r>
      <w:r>
        <w:rPr>
          <w:color w:val="231F20"/>
          <w:spacing w:val="20"/>
          <w:sz w:val="18"/>
        </w:rPr>
        <w:t> </w:t>
      </w:r>
      <w:r>
        <w:rPr>
          <w:color w:val="231F20"/>
          <w:sz w:val="18"/>
        </w:rPr>
        <w:t>ganado</w:t>
      </w:r>
      <w:r>
        <w:rPr>
          <w:color w:val="231F20"/>
          <w:spacing w:val="20"/>
          <w:sz w:val="18"/>
        </w:rPr>
        <w:t> </w:t>
      </w:r>
      <w:r>
        <w:rPr>
          <w:color w:val="231F20"/>
          <w:sz w:val="18"/>
        </w:rPr>
        <w:t>caprino</w:t>
      </w:r>
      <w:r>
        <w:rPr>
          <w:color w:val="231F20"/>
          <w:spacing w:val="20"/>
          <w:sz w:val="18"/>
        </w:rPr>
        <w:t> </w:t>
      </w:r>
      <w:r>
        <w:rPr>
          <w:color w:val="231F20"/>
          <w:sz w:val="18"/>
        </w:rPr>
        <w:t>en</w:t>
      </w:r>
      <w:r>
        <w:rPr>
          <w:color w:val="231F20"/>
          <w:spacing w:val="20"/>
          <w:sz w:val="18"/>
        </w:rPr>
        <w:t> </w:t>
      </w:r>
      <w:r>
        <w:rPr>
          <w:color w:val="231F20"/>
          <w:sz w:val="18"/>
        </w:rPr>
        <w:t>Michoacán</w:t>
      </w:r>
      <w:r>
        <w:rPr>
          <w:color w:val="231F20"/>
          <w:spacing w:val="20"/>
          <w:sz w:val="18"/>
        </w:rPr>
        <w:t> </w:t>
      </w:r>
      <w:r>
        <w:rPr>
          <w:color w:val="231F20"/>
          <w:sz w:val="18"/>
        </w:rPr>
        <w:t>por</w:t>
      </w:r>
      <w:r>
        <w:rPr>
          <w:color w:val="231F20"/>
          <w:spacing w:val="20"/>
          <w:sz w:val="18"/>
        </w:rPr>
        <w:t> </w:t>
      </w:r>
      <w:r>
        <w:rPr>
          <w:color w:val="231F20"/>
          <w:sz w:val="18"/>
        </w:rPr>
        <w:t>región</w:t>
      </w:r>
      <w:r>
        <w:rPr>
          <w:color w:val="231F20"/>
          <w:spacing w:val="20"/>
          <w:sz w:val="18"/>
        </w:rPr>
        <w:t> </w:t>
      </w:r>
      <w:r>
        <w:rPr>
          <w:color w:val="231F20"/>
          <w:sz w:val="18"/>
        </w:rPr>
        <w:t>(INEGI,</w:t>
      </w:r>
      <w:r>
        <w:rPr>
          <w:color w:val="231F20"/>
          <w:spacing w:val="20"/>
          <w:sz w:val="18"/>
        </w:rPr>
        <w:t> </w:t>
      </w:r>
      <w:r>
        <w:rPr>
          <w:color w:val="231F20"/>
          <w:spacing w:val="-2"/>
          <w:sz w:val="18"/>
        </w:rPr>
        <w:t>2007).</w:t>
      </w:r>
      <w:r>
        <w:rPr>
          <w:color w:val="231F20"/>
          <w:spacing w:val="-2"/>
          <w:sz w:val="20"/>
        </w:rPr>
        <w:tab/>
      </w:r>
      <w:r>
        <w:rPr>
          <w:color w:val="231F20"/>
          <w:spacing w:val="-8"/>
          <w:sz w:val="20"/>
        </w:rPr>
        <w:t>214</w:t>
      </w:r>
    </w:p>
    <w:p>
      <w:pPr>
        <w:spacing w:line="208" w:lineRule="exact" w:before="0"/>
        <w:ind w:left="1553" w:right="2503" w:firstLine="0"/>
        <w:jc w:val="left"/>
        <w:rPr>
          <w:sz w:val="18"/>
        </w:rPr>
      </w:pPr>
      <w:r>
        <w:rPr>
          <w:color w:val="231F20"/>
          <w:sz w:val="18"/>
        </w:rPr>
        <w:t>Cuadro 2.       Existencias de las unidades de producción, población y volúmenes de producción</w:t>
      </w:r>
    </w:p>
    <w:p>
      <w:pPr>
        <w:tabs>
          <w:tab w:pos="9936" w:val="left" w:leader="dot"/>
        </w:tabs>
        <w:spacing w:line="223" w:lineRule="exact" w:before="0"/>
        <w:ind w:left="2404" w:right="0" w:firstLine="0"/>
        <w:jc w:val="left"/>
        <w:rPr>
          <w:sz w:val="20"/>
        </w:rPr>
      </w:pPr>
      <w:r>
        <w:rPr>
          <w:color w:val="231F20"/>
          <w:w w:val="105"/>
          <w:sz w:val="18"/>
        </w:rPr>
        <w:t>del ganado caprino en la región Sierra-Costa de Michoacán</w:t>
      </w:r>
      <w:r>
        <w:rPr>
          <w:color w:val="231F20"/>
          <w:spacing w:val="-16"/>
          <w:w w:val="105"/>
          <w:sz w:val="18"/>
        </w:rPr>
        <w:t> </w:t>
      </w:r>
      <w:r>
        <w:rPr>
          <w:color w:val="231F20"/>
          <w:w w:val="105"/>
          <w:sz w:val="18"/>
        </w:rPr>
        <w:t>(INEGI,</w:t>
      </w:r>
      <w:r>
        <w:rPr>
          <w:color w:val="231F20"/>
          <w:spacing w:val="-2"/>
          <w:w w:val="105"/>
          <w:sz w:val="18"/>
        </w:rPr>
        <w:t> </w:t>
      </w:r>
      <w:r>
        <w:rPr>
          <w:color w:val="231F20"/>
          <w:w w:val="105"/>
          <w:sz w:val="18"/>
        </w:rPr>
        <w:t>2009).</w:t>
      </w:r>
      <w:r>
        <w:rPr>
          <w:color w:val="231F20"/>
          <w:w w:val="105"/>
          <w:sz w:val="20"/>
        </w:rPr>
        <w:tab/>
      </w:r>
      <w:r>
        <w:rPr>
          <w:color w:val="231F20"/>
          <w:spacing w:val="-8"/>
          <w:w w:val="105"/>
          <w:sz w:val="20"/>
        </w:rPr>
        <w:t>214</w:t>
      </w:r>
    </w:p>
    <w:p>
      <w:pPr>
        <w:tabs>
          <w:tab w:pos="9936" w:val="left" w:leader="dot"/>
        </w:tabs>
        <w:spacing w:line="230" w:lineRule="exact" w:before="0"/>
        <w:ind w:left="1553" w:right="0" w:firstLine="0"/>
        <w:jc w:val="left"/>
        <w:rPr>
          <w:sz w:val="20"/>
        </w:rPr>
      </w:pPr>
      <w:r>
        <w:rPr>
          <w:color w:val="231F20"/>
          <w:sz w:val="18"/>
        </w:rPr>
        <w:t>Cuadro 3.   Características principales de las unidades </w:t>
      </w:r>
      <w:r>
        <w:rPr>
          <w:color w:val="231F20"/>
          <w:spacing w:val="27"/>
          <w:sz w:val="18"/>
        </w:rPr>
        <w:t> </w:t>
      </w:r>
      <w:r>
        <w:rPr>
          <w:color w:val="231F20"/>
          <w:sz w:val="18"/>
        </w:rPr>
        <w:t>de</w:t>
      </w:r>
      <w:r>
        <w:rPr>
          <w:color w:val="231F20"/>
          <w:spacing w:val="13"/>
          <w:sz w:val="18"/>
        </w:rPr>
        <w:t> </w:t>
      </w:r>
      <w:r>
        <w:rPr>
          <w:color w:val="231F20"/>
          <w:sz w:val="18"/>
        </w:rPr>
        <w:t>producción.</w:t>
      </w:r>
      <w:r>
        <w:rPr>
          <w:color w:val="231F20"/>
          <w:sz w:val="20"/>
        </w:rPr>
        <w:tab/>
      </w:r>
      <w:r>
        <w:rPr>
          <w:color w:val="231F20"/>
          <w:spacing w:val="-8"/>
          <w:sz w:val="20"/>
        </w:rPr>
        <w:t>218</w:t>
      </w:r>
    </w:p>
    <w:p>
      <w:pPr>
        <w:spacing w:line="208" w:lineRule="exact" w:before="0"/>
        <w:ind w:left="1553" w:right="2503" w:firstLine="0"/>
        <w:jc w:val="left"/>
        <w:rPr>
          <w:sz w:val="18"/>
        </w:rPr>
      </w:pPr>
      <w:r>
        <w:rPr>
          <w:color w:val="231F20"/>
          <w:sz w:val="18"/>
        </w:rPr>
        <w:t>Cuadro 4.   Costos variables, retornos y margen bruto, tomando en cuenta mano de    obra</w:t>
      </w:r>
    </w:p>
    <w:p>
      <w:pPr>
        <w:tabs>
          <w:tab w:pos="9936" w:val="left" w:leader="dot"/>
        </w:tabs>
        <w:spacing w:line="232" w:lineRule="exact" w:before="0"/>
        <w:ind w:left="2404" w:right="0" w:firstLine="0"/>
        <w:jc w:val="left"/>
        <w:rPr>
          <w:sz w:val="20"/>
        </w:rPr>
      </w:pPr>
      <w:r>
        <w:rPr>
          <w:color w:val="231F20"/>
          <w:sz w:val="18"/>
        </w:rPr>
        <w:t>y reemplazo</w:t>
      </w:r>
      <w:r>
        <w:rPr>
          <w:color w:val="231F20"/>
          <w:spacing w:val="31"/>
          <w:sz w:val="18"/>
        </w:rPr>
        <w:t> </w:t>
      </w:r>
      <w:r>
        <w:rPr>
          <w:color w:val="231F20"/>
          <w:sz w:val="18"/>
        </w:rPr>
        <w:t>de</w:t>
      </w:r>
      <w:r>
        <w:rPr>
          <w:color w:val="231F20"/>
          <w:spacing w:val="15"/>
          <w:sz w:val="18"/>
        </w:rPr>
        <w:t> </w:t>
      </w:r>
      <w:r>
        <w:rPr>
          <w:color w:val="231F20"/>
          <w:sz w:val="18"/>
        </w:rPr>
        <w:t>animales.</w:t>
      </w:r>
      <w:r>
        <w:rPr>
          <w:color w:val="231F20"/>
          <w:sz w:val="20"/>
        </w:rPr>
        <w:tab/>
      </w:r>
      <w:r>
        <w:rPr>
          <w:color w:val="231F20"/>
          <w:spacing w:val="-8"/>
          <w:sz w:val="20"/>
        </w:rPr>
        <w:t>218</w:t>
      </w:r>
    </w:p>
    <w:p>
      <w:pPr>
        <w:spacing w:line="208" w:lineRule="exact" w:before="0"/>
        <w:ind w:left="1553" w:right="2503" w:firstLine="0"/>
        <w:jc w:val="left"/>
        <w:rPr>
          <w:sz w:val="18"/>
        </w:rPr>
      </w:pPr>
      <w:r>
        <w:rPr>
          <w:color w:val="231F20"/>
          <w:sz w:val="18"/>
        </w:rPr>
        <w:t>Cuadro 5.   Costos variables, retornos y margen bruto, sin tomar en cuenta mano de    obra</w:t>
      </w:r>
    </w:p>
    <w:p>
      <w:pPr>
        <w:tabs>
          <w:tab w:pos="9936" w:val="left" w:leader="dot"/>
        </w:tabs>
        <w:spacing w:line="235" w:lineRule="exact" w:before="0"/>
        <w:ind w:left="2404" w:right="0" w:firstLine="0"/>
        <w:jc w:val="left"/>
        <w:rPr>
          <w:sz w:val="20"/>
        </w:rPr>
      </w:pPr>
      <w:r>
        <w:rPr>
          <w:color w:val="231F20"/>
          <w:sz w:val="18"/>
        </w:rPr>
        <w:t>y reemplazo</w:t>
      </w:r>
      <w:r>
        <w:rPr>
          <w:color w:val="231F20"/>
          <w:spacing w:val="31"/>
          <w:sz w:val="18"/>
        </w:rPr>
        <w:t> </w:t>
      </w:r>
      <w:r>
        <w:rPr>
          <w:color w:val="231F20"/>
          <w:sz w:val="18"/>
        </w:rPr>
        <w:t>de</w:t>
      </w:r>
      <w:r>
        <w:rPr>
          <w:color w:val="231F20"/>
          <w:spacing w:val="15"/>
          <w:sz w:val="18"/>
        </w:rPr>
        <w:t> </w:t>
      </w:r>
      <w:r>
        <w:rPr>
          <w:color w:val="231F20"/>
          <w:sz w:val="18"/>
        </w:rPr>
        <w:t>animales.</w:t>
      </w:r>
      <w:r>
        <w:rPr>
          <w:color w:val="231F20"/>
          <w:sz w:val="20"/>
        </w:rPr>
        <w:tab/>
      </w:r>
      <w:r>
        <w:rPr>
          <w:color w:val="231F20"/>
          <w:spacing w:val="-8"/>
          <w:sz w:val="20"/>
        </w:rPr>
        <w:t>219</w:t>
      </w:r>
    </w:p>
    <w:p>
      <w:pPr>
        <w:spacing w:line="210" w:lineRule="exact" w:before="165"/>
        <w:ind w:left="1553" w:right="2503" w:firstLine="0"/>
        <w:jc w:val="left"/>
        <w:rPr>
          <w:sz w:val="18"/>
        </w:rPr>
      </w:pPr>
      <w:r>
        <w:rPr>
          <w:color w:val="231F20"/>
          <w:w w:val="110"/>
          <w:sz w:val="18"/>
        </w:rPr>
        <w:t>CAPÍTULO 15</w:t>
      </w:r>
    </w:p>
    <w:p>
      <w:pPr>
        <w:tabs>
          <w:tab w:pos="9931" w:val="left" w:leader="dot"/>
        </w:tabs>
        <w:spacing w:line="223" w:lineRule="exact" w:before="0"/>
        <w:ind w:left="1553" w:right="0" w:firstLine="0"/>
        <w:jc w:val="left"/>
        <w:rPr>
          <w:sz w:val="20"/>
        </w:rPr>
      </w:pPr>
      <w:r>
        <w:rPr>
          <w:color w:val="231F20"/>
          <w:w w:val="105"/>
          <w:sz w:val="18"/>
        </w:rPr>
        <w:t>Cuadro 1.  Destino final de los cerdos (N = </w:t>
      </w:r>
      <w:r>
        <w:rPr>
          <w:color w:val="231F20"/>
          <w:spacing w:val="4"/>
          <w:w w:val="105"/>
          <w:sz w:val="18"/>
        </w:rPr>
        <w:t> </w:t>
      </w:r>
      <w:r>
        <w:rPr>
          <w:color w:val="231F20"/>
          <w:w w:val="105"/>
          <w:sz w:val="18"/>
        </w:rPr>
        <w:t>56</w:t>
      </w:r>
      <w:r>
        <w:rPr>
          <w:color w:val="231F20"/>
          <w:spacing w:val="4"/>
          <w:w w:val="105"/>
          <w:sz w:val="18"/>
        </w:rPr>
        <w:t> </w:t>
      </w:r>
      <w:r>
        <w:rPr>
          <w:color w:val="231F20"/>
          <w:w w:val="105"/>
          <w:sz w:val="18"/>
        </w:rPr>
        <w:t>familias).</w:t>
      </w:r>
      <w:r>
        <w:rPr>
          <w:color w:val="231F20"/>
          <w:w w:val="105"/>
          <w:sz w:val="20"/>
        </w:rPr>
        <w:tab/>
      </w:r>
      <w:r>
        <w:rPr>
          <w:color w:val="231F20"/>
          <w:spacing w:val="-4"/>
          <w:w w:val="105"/>
          <w:sz w:val="20"/>
        </w:rPr>
        <w:t>226</w:t>
      </w:r>
    </w:p>
    <w:p>
      <w:pPr>
        <w:tabs>
          <w:tab w:pos="9931" w:val="left" w:leader="dot"/>
        </w:tabs>
        <w:spacing w:line="220" w:lineRule="exact" w:before="0"/>
        <w:ind w:left="1553" w:right="0" w:firstLine="0"/>
        <w:jc w:val="left"/>
        <w:rPr>
          <w:sz w:val="20"/>
        </w:rPr>
      </w:pPr>
      <w:r>
        <w:rPr>
          <w:color w:val="231F20"/>
          <w:sz w:val="18"/>
        </w:rPr>
        <w:t>Cuadro 2.   Número y porcentaje de transacciones entre actores del  </w:t>
      </w:r>
      <w:r>
        <w:rPr>
          <w:color w:val="231F20"/>
          <w:spacing w:val="13"/>
          <w:sz w:val="18"/>
        </w:rPr>
        <w:t> </w:t>
      </w:r>
      <w:r>
        <w:rPr>
          <w:color w:val="231F20"/>
          <w:sz w:val="18"/>
        </w:rPr>
        <w:t>sistema</w:t>
      </w:r>
      <w:r>
        <w:rPr>
          <w:color w:val="231F20"/>
          <w:spacing w:val="12"/>
          <w:sz w:val="18"/>
        </w:rPr>
        <w:t> </w:t>
      </w:r>
      <w:r>
        <w:rPr>
          <w:color w:val="231F20"/>
          <w:sz w:val="18"/>
        </w:rPr>
        <w:t>porcino.</w:t>
      </w:r>
      <w:r>
        <w:rPr>
          <w:color w:val="231F20"/>
          <w:sz w:val="20"/>
        </w:rPr>
        <w:tab/>
      </w:r>
      <w:r>
        <w:rPr>
          <w:color w:val="231F20"/>
          <w:spacing w:val="-4"/>
          <w:sz w:val="20"/>
        </w:rPr>
        <w:t>227</w:t>
      </w:r>
    </w:p>
    <w:p>
      <w:pPr>
        <w:tabs>
          <w:tab w:pos="9931" w:val="left" w:leader="dot"/>
        </w:tabs>
        <w:spacing w:line="232" w:lineRule="exact" w:before="0"/>
        <w:ind w:left="1553" w:right="0" w:firstLine="0"/>
        <w:jc w:val="left"/>
        <w:rPr>
          <w:sz w:val="20"/>
        </w:rPr>
      </w:pPr>
      <w:r>
        <w:rPr>
          <w:color w:val="231F20"/>
          <w:sz w:val="18"/>
        </w:rPr>
        <w:t>Cuadro 3.   Precios y porcentaje pagado en cada etapa de transacción del   </w:t>
      </w:r>
      <w:r>
        <w:rPr>
          <w:color w:val="231F20"/>
          <w:spacing w:val="7"/>
          <w:sz w:val="18"/>
        </w:rPr>
        <w:t> </w:t>
      </w:r>
      <w:r>
        <w:rPr>
          <w:color w:val="231F20"/>
          <w:sz w:val="18"/>
        </w:rPr>
        <w:t>sistema</w:t>
      </w:r>
      <w:r>
        <w:rPr>
          <w:color w:val="231F20"/>
          <w:spacing w:val="13"/>
          <w:sz w:val="18"/>
        </w:rPr>
        <w:t> </w:t>
      </w:r>
      <w:r>
        <w:rPr>
          <w:color w:val="231F20"/>
          <w:sz w:val="18"/>
        </w:rPr>
        <w:t>porcino.</w:t>
      </w:r>
      <w:r>
        <w:rPr>
          <w:color w:val="231F20"/>
          <w:sz w:val="20"/>
        </w:rPr>
        <w:tab/>
      </w:r>
      <w:r>
        <w:rPr>
          <w:color w:val="231F20"/>
          <w:spacing w:val="-4"/>
          <w:sz w:val="20"/>
        </w:rPr>
        <w:t>228</w:t>
      </w:r>
    </w:p>
    <w:p>
      <w:pPr>
        <w:spacing w:line="210" w:lineRule="exact" w:before="165"/>
        <w:ind w:left="1553" w:right="2503" w:firstLine="0"/>
        <w:jc w:val="left"/>
        <w:rPr>
          <w:sz w:val="18"/>
        </w:rPr>
      </w:pPr>
      <w:r>
        <w:rPr>
          <w:color w:val="231F20"/>
          <w:w w:val="110"/>
          <w:sz w:val="18"/>
        </w:rPr>
        <w:t>CAPÍTULO 16</w:t>
      </w:r>
    </w:p>
    <w:p>
      <w:pPr>
        <w:tabs>
          <w:tab w:pos="9931" w:val="left" w:leader="dot"/>
        </w:tabs>
        <w:spacing w:line="223" w:lineRule="exact" w:before="0"/>
        <w:ind w:left="1553" w:right="0" w:firstLine="0"/>
        <w:jc w:val="left"/>
        <w:rPr>
          <w:sz w:val="20"/>
        </w:rPr>
      </w:pPr>
      <w:r>
        <w:rPr>
          <w:color w:val="231F20"/>
          <w:w w:val="105"/>
          <w:sz w:val="18"/>
        </w:rPr>
        <w:t>Cuadro 1.  Producción de diversos tipos de carne en México (toneladas),</w:t>
      </w:r>
      <w:r>
        <w:rPr>
          <w:color w:val="231F20"/>
          <w:spacing w:val="-14"/>
          <w:w w:val="105"/>
          <w:sz w:val="18"/>
        </w:rPr>
        <w:t> </w:t>
      </w:r>
      <w:r>
        <w:rPr>
          <w:color w:val="231F20"/>
          <w:w w:val="105"/>
          <w:sz w:val="18"/>
        </w:rPr>
        <w:t>en</w:t>
      </w:r>
      <w:r>
        <w:rPr>
          <w:color w:val="231F20"/>
          <w:spacing w:val="-2"/>
          <w:w w:val="105"/>
          <w:sz w:val="18"/>
        </w:rPr>
        <w:t> </w:t>
      </w:r>
      <w:r>
        <w:rPr>
          <w:color w:val="231F20"/>
          <w:w w:val="105"/>
          <w:sz w:val="18"/>
        </w:rPr>
        <w:t>2008.</w:t>
      </w:r>
      <w:r>
        <w:rPr>
          <w:color w:val="231F20"/>
          <w:w w:val="105"/>
          <w:sz w:val="20"/>
        </w:rPr>
        <w:tab/>
      </w:r>
      <w:r>
        <w:rPr>
          <w:color w:val="231F20"/>
          <w:spacing w:val="-4"/>
          <w:w w:val="105"/>
          <w:sz w:val="20"/>
        </w:rPr>
        <w:t>234</w:t>
      </w:r>
    </w:p>
    <w:p>
      <w:pPr>
        <w:tabs>
          <w:tab w:pos="9931" w:val="left" w:leader="dot"/>
        </w:tabs>
        <w:spacing w:line="220" w:lineRule="exact" w:before="0"/>
        <w:ind w:left="1553" w:right="0" w:firstLine="0"/>
        <w:jc w:val="left"/>
        <w:rPr>
          <w:sz w:val="20"/>
        </w:rPr>
      </w:pPr>
      <w:r>
        <w:rPr>
          <w:color w:val="231F20"/>
          <w:sz w:val="18"/>
        </w:rPr>
        <w:t>Cuadro 2.   Estructura del conejar en las unidades </w:t>
      </w:r>
      <w:r>
        <w:rPr>
          <w:color w:val="231F20"/>
          <w:spacing w:val="36"/>
          <w:sz w:val="18"/>
        </w:rPr>
        <w:t> </w:t>
      </w:r>
      <w:r>
        <w:rPr>
          <w:color w:val="231F20"/>
          <w:sz w:val="18"/>
        </w:rPr>
        <w:t>de</w:t>
      </w:r>
      <w:r>
        <w:rPr>
          <w:color w:val="231F20"/>
          <w:spacing w:val="13"/>
          <w:sz w:val="18"/>
        </w:rPr>
        <w:t> </w:t>
      </w:r>
      <w:r>
        <w:rPr>
          <w:color w:val="231F20"/>
          <w:sz w:val="18"/>
        </w:rPr>
        <w:t>producción.</w:t>
      </w:r>
      <w:r>
        <w:rPr>
          <w:color w:val="231F20"/>
          <w:sz w:val="20"/>
        </w:rPr>
        <w:tab/>
      </w:r>
      <w:r>
        <w:rPr>
          <w:color w:val="231F20"/>
          <w:spacing w:val="-4"/>
          <w:sz w:val="20"/>
        </w:rPr>
        <w:t>237</w:t>
      </w:r>
    </w:p>
    <w:p>
      <w:pPr>
        <w:tabs>
          <w:tab w:pos="9927" w:val="left" w:leader="dot"/>
        </w:tabs>
        <w:spacing w:line="220" w:lineRule="exact" w:before="0"/>
        <w:ind w:left="1553" w:right="0" w:firstLine="0"/>
        <w:jc w:val="left"/>
        <w:rPr>
          <w:sz w:val="20"/>
        </w:rPr>
      </w:pPr>
      <w:r>
        <w:rPr>
          <w:color w:val="231F20"/>
          <w:sz w:val="18"/>
        </w:rPr>
        <w:t>Cuadro 3.   Precio del conejo según el destino  </w:t>
      </w:r>
      <w:r>
        <w:rPr>
          <w:color w:val="231F20"/>
          <w:spacing w:val="7"/>
          <w:sz w:val="18"/>
        </w:rPr>
        <w:t> </w:t>
      </w:r>
      <w:r>
        <w:rPr>
          <w:color w:val="231F20"/>
          <w:sz w:val="18"/>
        </w:rPr>
        <w:t>de</w:t>
      </w:r>
      <w:r>
        <w:rPr>
          <w:color w:val="231F20"/>
          <w:spacing w:val="14"/>
          <w:sz w:val="18"/>
        </w:rPr>
        <w:t> </w:t>
      </w:r>
      <w:r>
        <w:rPr>
          <w:color w:val="231F20"/>
          <w:sz w:val="18"/>
        </w:rPr>
        <w:t>venta.</w:t>
      </w:r>
      <w:r>
        <w:rPr>
          <w:color w:val="231F20"/>
          <w:sz w:val="20"/>
        </w:rPr>
        <w:tab/>
        <w:t>240</w:t>
      </w:r>
    </w:p>
    <w:p>
      <w:pPr>
        <w:tabs>
          <w:tab w:pos="9927" w:val="left" w:leader="dot"/>
        </w:tabs>
        <w:spacing w:line="232" w:lineRule="exact" w:before="0"/>
        <w:ind w:left="1553" w:right="0" w:firstLine="0"/>
        <w:jc w:val="left"/>
        <w:rPr>
          <w:sz w:val="20"/>
        </w:rPr>
      </w:pPr>
      <w:r>
        <w:rPr>
          <w:color w:val="231F20"/>
          <w:w w:val="105"/>
          <w:sz w:val="18"/>
        </w:rPr>
        <w:t>Cuadro 4. Indicadores económicos de las unidades de producción de carne</w:t>
      </w:r>
      <w:r>
        <w:rPr>
          <w:color w:val="231F20"/>
          <w:spacing w:val="11"/>
          <w:w w:val="105"/>
          <w:sz w:val="18"/>
        </w:rPr>
        <w:t> </w:t>
      </w:r>
      <w:r>
        <w:rPr>
          <w:color w:val="231F20"/>
          <w:w w:val="105"/>
          <w:sz w:val="18"/>
        </w:rPr>
        <w:t>de</w:t>
      </w:r>
      <w:r>
        <w:rPr>
          <w:color w:val="231F20"/>
          <w:spacing w:val="-3"/>
          <w:w w:val="105"/>
          <w:sz w:val="18"/>
        </w:rPr>
        <w:t> </w:t>
      </w:r>
      <w:r>
        <w:rPr>
          <w:color w:val="231F20"/>
          <w:w w:val="105"/>
          <w:sz w:val="18"/>
        </w:rPr>
        <w:t>conejo.</w:t>
      </w:r>
      <w:r>
        <w:rPr>
          <w:color w:val="231F20"/>
          <w:w w:val="105"/>
          <w:sz w:val="20"/>
        </w:rPr>
        <w:tab/>
        <w:t>243</w:t>
      </w:r>
    </w:p>
    <w:p>
      <w:pPr>
        <w:spacing w:line="210" w:lineRule="exact" w:before="165"/>
        <w:ind w:left="1553" w:right="2503" w:firstLine="0"/>
        <w:jc w:val="left"/>
        <w:rPr>
          <w:sz w:val="18"/>
        </w:rPr>
      </w:pPr>
      <w:r>
        <w:rPr>
          <w:color w:val="231F20"/>
          <w:w w:val="110"/>
          <w:sz w:val="18"/>
        </w:rPr>
        <w:t>CAPÍTULO 17</w:t>
      </w:r>
    </w:p>
    <w:p>
      <w:pPr>
        <w:tabs>
          <w:tab w:pos="9927" w:val="left" w:leader="dot"/>
        </w:tabs>
        <w:spacing w:line="235" w:lineRule="exact" w:before="0"/>
        <w:ind w:left="1553" w:right="0" w:firstLine="0"/>
        <w:jc w:val="left"/>
        <w:rPr>
          <w:sz w:val="20"/>
        </w:rPr>
      </w:pPr>
      <w:r>
        <w:rPr>
          <w:color w:val="231F20"/>
          <w:sz w:val="18"/>
        </w:rPr>
        <w:t>Cuadro 1.   Acciones gubernamentales y su impacto en la truticultura del Estado  </w:t>
      </w:r>
      <w:r>
        <w:rPr>
          <w:color w:val="231F20"/>
          <w:spacing w:val="24"/>
          <w:sz w:val="18"/>
        </w:rPr>
        <w:t> </w:t>
      </w:r>
      <w:r>
        <w:rPr>
          <w:color w:val="231F20"/>
          <w:sz w:val="18"/>
        </w:rPr>
        <w:t>de</w:t>
      </w:r>
      <w:r>
        <w:rPr>
          <w:color w:val="231F20"/>
          <w:spacing w:val="11"/>
          <w:sz w:val="18"/>
        </w:rPr>
        <w:t> </w:t>
      </w:r>
      <w:r>
        <w:rPr>
          <w:color w:val="231F20"/>
          <w:sz w:val="18"/>
        </w:rPr>
        <w:t>México.</w:t>
      </w:r>
      <w:r>
        <w:rPr>
          <w:color w:val="231F20"/>
          <w:sz w:val="20"/>
        </w:rPr>
        <w:tab/>
        <w:t>249</w:t>
      </w:r>
    </w:p>
    <w:p>
      <w:pPr>
        <w:spacing w:after="0" w:line="235" w:lineRule="exact"/>
        <w:jc w:val="left"/>
        <w:rPr>
          <w:sz w:val="20"/>
        </w:rPr>
        <w:sectPr>
          <w:pgSz w:w="11900" w:h="14450"/>
          <w:pgMar w:header="0" w:footer="222" w:top="420" w:bottom="420" w:left="0" w:right="0"/>
        </w:sectPr>
      </w:pPr>
    </w:p>
    <w:p>
      <w:pPr>
        <w:pStyle w:val="BodyText"/>
      </w:pPr>
    </w:p>
    <w:p>
      <w:pPr>
        <w:pStyle w:val="BodyText"/>
      </w:pPr>
    </w:p>
    <w:p>
      <w:pPr>
        <w:pStyle w:val="BodyText"/>
      </w:pPr>
    </w:p>
    <w:p>
      <w:pPr>
        <w:pStyle w:val="BodyText"/>
      </w:pPr>
    </w:p>
    <w:p>
      <w:pPr>
        <w:pStyle w:val="BodyText"/>
        <w:spacing w:before="8"/>
        <w:rPr>
          <w:sz w:val="27"/>
        </w:rPr>
      </w:pPr>
    </w:p>
    <w:p>
      <w:pPr>
        <w:pStyle w:val="Heading3"/>
        <w:spacing w:before="43"/>
        <w:ind w:right="2503"/>
        <w:jc w:val="left"/>
      </w:pPr>
      <w:r>
        <w:rPr>
          <w:color w:val="231F20"/>
          <w:w w:val="110"/>
        </w:rPr>
        <w:t>ÍNDICE DE</w:t>
      </w:r>
      <w:r>
        <w:rPr>
          <w:color w:val="231F20"/>
          <w:spacing w:val="55"/>
          <w:w w:val="110"/>
        </w:rPr>
        <w:t> </w:t>
      </w:r>
      <w:r>
        <w:rPr>
          <w:color w:val="231F20"/>
          <w:spacing w:val="3"/>
          <w:w w:val="110"/>
        </w:rPr>
        <w:t>FIGURAS</w:t>
      </w:r>
    </w:p>
    <w:p>
      <w:pPr>
        <w:pStyle w:val="BodyText"/>
        <w:rPr>
          <w:sz w:val="36"/>
        </w:rPr>
      </w:pPr>
    </w:p>
    <w:p>
      <w:pPr>
        <w:pStyle w:val="BodyText"/>
        <w:spacing w:before="8"/>
        <w:rPr>
          <w:sz w:val="29"/>
        </w:rPr>
      </w:pPr>
    </w:p>
    <w:p>
      <w:pPr>
        <w:spacing w:before="1"/>
        <w:ind w:left="1553" w:right="2503" w:firstLine="0"/>
        <w:jc w:val="left"/>
        <w:rPr>
          <w:sz w:val="18"/>
        </w:rPr>
      </w:pPr>
      <w:r>
        <w:rPr>
          <w:color w:val="231F20"/>
          <w:w w:val="110"/>
          <w:sz w:val="18"/>
        </w:rPr>
        <w:t>CAPÍTULO 2</w:t>
      </w:r>
    </w:p>
    <w:p>
      <w:pPr>
        <w:spacing w:after="0"/>
        <w:jc w:val="left"/>
        <w:rPr>
          <w:sz w:val="18"/>
        </w:rPr>
        <w:sectPr>
          <w:pgSz w:w="11900" w:h="14450"/>
          <w:pgMar w:header="0" w:footer="222" w:top="420" w:bottom="1092" w:left="0" w:right="0"/>
        </w:sectPr>
      </w:pPr>
    </w:p>
    <w:sdt>
      <w:sdtPr>
        <w:docPartObj>
          <w:docPartGallery w:val="Table of Contents"/>
          <w:docPartUnique/>
        </w:docPartObj>
      </w:sdtPr>
      <w:sdtEndPr/>
      <w:sdtContent>
        <w:p>
          <w:pPr>
            <w:pStyle w:val="TOC2"/>
            <w:tabs>
              <w:tab w:pos="2404" w:val="left" w:leader="none"/>
              <w:tab w:pos="10270" w:val="right" w:leader="dot"/>
            </w:tabs>
          </w:pPr>
          <w:r>
            <w:rPr>
              <w:color w:val="231F20"/>
            </w:rPr>
            <w:t>Figura</w:t>
          </w:r>
          <w:r>
            <w:rPr>
              <w:color w:val="231F20"/>
              <w:spacing w:val="9"/>
            </w:rPr>
            <w:t> </w:t>
          </w:r>
          <w:r>
            <w:rPr>
              <w:color w:val="231F20"/>
            </w:rPr>
            <w:t>1.</w:t>
            <w:tab/>
            <w:t>Glándula mamaria</w:t>
          </w:r>
          <w:r>
            <w:rPr>
              <w:color w:val="231F20"/>
              <w:spacing w:val="22"/>
            </w:rPr>
            <w:t> </w:t>
          </w:r>
          <w:r>
            <w:rPr>
              <w:color w:val="231F20"/>
            </w:rPr>
            <w:t>con</w:t>
          </w:r>
          <w:r>
            <w:rPr>
              <w:color w:val="231F20"/>
              <w:spacing w:val="11"/>
            </w:rPr>
            <w:t> </w:t>
          </w:r>
          <w:r>
            <w:rPr>
              <w:color w:val="231F20"/>
            </w:rPr>
            <w:t>mastitis</w:t>
            <w:tab/>
          </w:r>
          <w:r>
            <w:rPr>
              <w:color w:val="231F20"/>
              <w:spacing w:val="-4"/>
            </w:rPr>
            <w:t>24</w:t>
          </w:r>
        </w:p>
        <w:p>
          <w:pPr>
            <w:pStyle w:val="TOC2"/>
            <w:tabs>
              <w:tab w:pos="2404" w:val="left" w:leader="none"/>
              <w:tab w:pos="10270" w:val="right" w:leader="dot"/>
            </w:tabs>
          </w:pPr>
          <w:r>
            <w:rPr>
              <w:color w:val="231F20"/>
            </w:rPr>
            <w:t>Figura</w:t>
          </w:r>
          <w:r>
            <w:rPr>
              <w:color w:val="231F20"/>
              <w:spacing w:val="9"/>
            </w:rPr>
            <w:t> </w:t>
          </w:r>
          <w:r>
            <w:rPr>
              <w:color w:val="231F20"/>
            </w:rPr>
            <w:t>2.</w:t>
            <w:tab/>
            <w:t>Glándula mamaria</w:t>
          </w:r>
          <w:r>
            <w:rPr>
              <w:color w:val="231F20"/>
              <w:spacing w:val="22"/>
            </w:rPr>
            <w:t> </w:t>
          </w:r>
          <w:r>
            <w:rPr>
              <w:color w:val="231F20"/>
            </w:rPr>
            <w:t>con</w:t>
          </w:r>
          <w:r>
            <w:rPr>
              <w:color w:val="231F20"/>
              <w:spacing w:val="11"/>
            </w:rPr>
            <w:t> </w:t>
          </w:r>
          <w:r>
            <w:rPr>
              <w:color w:val="231F20"/>
            </w:rPr>
            <w:t>mastitis</w:t>
            <w:tab/>
          </w:r>
          <w:r>
            <w:rPr>
              <w:color w:val="231F20"/>
              <w:spacing w:val="-4"/>
            </w:rPr>
            <w:t>24</w:t>
          </w:r>
        </w:p>
        <w:p>
          <w:pPr>
            <w:pStyle w:val="TOC2"/>
            <w:tabs>
              <w:tab w:pos="2404" w:val="left" w:leader="none"/>
              <w:tab w:pos="10270" w:val="right" w:leader="dot"/>
            </w:tabs>
          </w:pPr>
          <w:r>
            <w:rPr>
              <w:color w:val="231F20"/>
            </w:rPr>
            <w:t>Figura</w:t>
          </w:r>
          <w:r>
            <w:rPr>
              <w:color w:val="231F20"/>
              <w:spacing w:val="9"/>
            </w:rPr>
            <w:t> </w:t>
          </w:r>
          <w:r>
            <w:rPr>
              <w:color w:val="231F20"/>
            </w:rPr>
            <w:t>3.</w:t>
            <w:tab/>
            <w:t>Epitelio glandular de una glándula mamaria </w:t>
          </w:r>
          <w:r>
            <w:rPr>
              <w:color w:val="231F20"/>
              <w:spacing w:val="27"/>
            </w:rPr>
            <w:t> </w:t>
          </w:r>
          <w:r>
            <w:rPr>
              <w:color w:val="231F20"/>
            </w:rPr>
            <w:t>con</w:t>
          </w:r>
          <w:r>
            <w:rPr>
              <w:color w:val="231F20"/>
              <w:spacing w:val="11"/>
            </w:rPr>
            <w:t> </w:t>
          </w:r>
          <w:r>
            <w:rPr>
              <w:color w:val="231F20"/>
            </w:rPr>
            <w:t>mastitis</w:t>
            <w:tab/>
          </w:r>
          <w:r>
            <w:rPr>
              <w:color w:val="231F20"/>
              <w:spacing w:val="-4"/>
            </w:rPr>
            <w:t>24</w:t>
          </w:r>
        </w:p>
        <w:p>
          <w:pPr>
            <w:pStyle w:val="TOC2"/>
            <w:tabs>
              <w:tab w:pos="2404" w:val="left" w:leader="none"/>
              <w:tab w:pos="10270" w:val="right" w:leader="dot"/>
            </w:tabs>
          </w:pPr>
          <w:r>
            <w:rPr>
              <w:color w:val="231F20"/>
            </w:rPr>
            <w:t>Figura</w:t>
          </w:r>
          <w:r>
            <w:rPr>
              <w:color w:val="231F20"/>
              <w:spacing w:val="9"/>
            </w:rPr>
            <w:t> </w:t>
          </w:r>
          <w:r>
            <w:rPr>
              <w:color w:val="231F20"/>
            </w:rPr>
            <w:t>4.</w:t>
            <w:tab/>
            <w:t>Cambios</w:t>
          </w:r>
          <w:r>
            <w:rPr>
              <w:color w:val="231F20"/>
              <w:spacing w:val="11"/>
            </w:rPr>
            <w:t> </w:t>
          </w:r>
          <w:r>
            <w:rPr>
              <w:color w:val="231F20"/>
            </w:rPr>
            <w:t>patológicos</w:t>
          </w:r>
          <w:r>
            <w:rPr>
              <w:color w:val="231F20"/>
              <w:spacing w:val="11"/>
            </w:rPr>
            <w:t> </w:t>
          </w:r>
          <w:r>
            <w:rPr>
              <w:color w:val="231F20"/>
            </w:rPr>
            <w:t>localizados</w:t>
            <w:tab/>
          </w:r>
          <w:r>
            <w:rPr>
              <w:color w:val="231F20"/>
              <w:spacing w:val="-4"/>
            </w:rPr>
            <w:t>24</w:t>
          </w:r>
        </w:p>
        <w:p>
          <w:pPr>
            <w:pStyle w:val="TOC2"/>
            <w:tabs>
              <w:tab w:pos="2404" w:val="left" w:leader="none"/>
              <w:tab w:pos="10270" w:val="right" w:leader="dot"/>
            </w:tabs>
          </w:pPr>
          <w:r>
            <w:rPr>
              <w:color w:val="231F20"/>
            </w:rPr>
            <w:t>Figura</w:t>
          </w:r>
          <w:r>
            <w:rPr>
              <w:color w:val="231F20"/>
              <w:spacing w:val="9"/>
            </w:rPr>
            <w:t> </w:t>
          </w:r>
          <w:r>
            <w:rPr>
              <w:color w:val="231F20"/>
            </w:rPr>
            <w:t>5.</w:t>
            <w:tab/>
            <w:t>Cambios</w:t>
          </w:r>
          <w:r>
            <w:rPr>
              <w:color w:val="231F20"/>
              <w:spacing w:val="11"/>
            </w:rPr>
            <w:t> </w:t>
          </w:r>
          <w:r>
            <w:rPr>
              <w:color w:val="231F20"/>
            </w:rPr>
            <w:t>patológicos</w:t>
          </w:r>
          <w:r>
            <w:rPr>
              <w:color w:val="231F20"/>
              <w:spacing w:val="11"/>
            </w:rPr>
            <w:t> </w:t>
          </w:r>
          <w:r>
            <w:rPr>
              <w:color w:val="231F20"/>
            </w:rPr>
            <w:t>localizados</w:t>
            <w:tab/>
          </w:r>
          <w:r>
            <w:rPr>
              <w:color w:val="231F20"/>
              <w:spacing w:val="-4"/>
            </w:rPr>
            <w:t>25</w:t>
          </w:r>
        </w:p>
        <w:p>
          <w:pPr>
            <w:pStyle w:val="TOC2"/>
            <w:tabs>
              <w:tab w:pos="2404" w:val="left" w:leader="none"/>
              <w:tab w:pos="10270" w:val="right" w:leader="dot"/>
            </w:tabs>
          </w:pPr>
          <w:r>
            <w:rPr>
              <w:color w:val="231F20"/>
            </w:rPr>
            <w:t>Figura</w:t>
          </w:r>
          <w:r>
            <w:rPr>
              <w:color w:val="231F20"/>
              <w:spacing w:val="9"/>
            </w:rPr>
            <w:t> </w:t>
          </w:r>
          <w:r>
            <w:rPr>
              <w:color w:val="231F20"/>
            </w:rPr>
            <w:t>6.</w:t>
            <w:tab/>
            <w:t>Factores ambientales que predisponen a </w:t>
          </w:r>
          <w:r>
            <w:rPr>
              <w:color w:val="231F20"/>
              <w:spacing w:val="17"/>
            </w:rPr>
            <w:t> </w:t>
          </w:r>
          <w:r>
            <w:rPr>
              <w:color w:val="231F20"/>
            </w:rPr>
            <w:t>padecer</w:t>
          </w:r>
          <w:r>
            <w:rPr>
              <w:color w:val="231F20"/>
              <w:spacing w:val="11"/>
            </w:rPr>
            <w:t> </w:t>
          </w:r>
          <w:r>
            <w:rPr>
              <w:color w:val="231F20"/>
            </w:rPr>
            <w:t>mastitis</w:t>
            <w:tab/>
          </w:r>
          <w:r>
            <w:rPr>
              <w:color w:val="231F20"/>
              <w:spacing w:val="-4"/>
            </w:rPr>
            <w:t>25</w:t>
          </w:r>
        </w:p>
        <w:p>
          <w:pPr>
            <w:pStyle w:val="TOC2"/>
            <w:tabs>
              <w:tab w:pos="2404" w:val="left" w:leader="none"/>
              <w:tab w:pos="10270" w:val="right" w:leader="dot"/>
            </w:tabs>
          </w:pPr>
          <w:r>
            <w:rPr>
              <w:color w:val="231F20"/>
            </w:rPr>
            <w:t>Figura</w:t>
          </w:r>
          <w:r>
            <w:rPr>
              <w:color w:val="231F20"/>
              <w:spacing w:val="10"/>
            </w:rPr>
            <w:t> </w:t>
          </w:r>
          <w:r>
            <w:rPr>
              <w:color w:val="231F20"/>
              <w:spacing w:val="-12"/>
            </w:rPr>
            <w:t>7.</w:t>
            <w:tab/>
          </w:r>
          <w:r>
            <w:rPr>
              <w:color w:val="231F20"/>
            </w:rPr>
            <w:t>Ordeño como factor predisponente </w:t>
          </w:r>
          <w:r>
            <w:rPr>
              <w:color w:val="231F20"/>
              <w:spacing w:val="5"/>
            </w:rPr>
            <w:t> </w:t>
          </w:r>
          <w:r>
            <w:rPr>
              <w:color w:val="231F20"/>
            </w:rPr>
            <w:t>de</w:t>
          </w:r>
          <w:r>
            <w:rPr>
              <w:color w:val="231F20"/>
              <w:spacing w:val="11"/>
            </w:rPr>
            <w:t> </w:t>
          </w:r>
          <w:r>
            <w:rPr>
              <w:color w:val="231F20"/>
            </w:rPr>
            <w:t>mastitis</w:t>
            <w:tab/>
          </w:r>
          <w:r>
            <w:rPr>
              <w:color w:val="231F20"/>
              <w:spacing w:val="-4"/>
            </w:rPr>
            <w:t>25</w:t>
          </w:r>
        </w:p>
        <w:p>
          <w:pPr>
            <w:pStyle w:val="TOC2"/>
            <w:tabs>
              <w:tab w:pos="2404" w:val="left" w:leader="none"/>
              <w:tab w:pos="10270" w:val="right" w:leader="dot"/>
            </w:tabs>
          </w:pPr>
          <w:r>
            <w:rPr>
              <w:color w:val="231F20"/>
            </w:rPr>
            <w:t>Figura</w:t>
          </w:r>
          <w:r>
            <w:rPr>
              <w:color w:val="231F20"/>
              <w:spacing w:val="9"/>
            </w:rPr>
            <w:t> </w:t>
          </w:r>
          <w:r>
            <w:rPr>
              <w:color w:val="231F20"/>
            </w:rPr>
            <w:t>8.</w:t>
            <w:tab/>
            <w:t>Glándula</w:t>
          </w:r>
          <w:r>
            <w:rPr>
              <w:color w:val="231F20"/>
              <w:spacing w:val="11"/>
            </w:rPr>
            <w:t> </w:t>
          </w:r>
          <w:r>
            <w:rPr>
              <w:color w:val="231F20"/>
            </w:rPr>
            <w:t>improductiva</w:t>
            <w:tab/>
          </w:r>
          <w:r>
            <w:rPr>
              <w:color w:val="231F20"/>
              <w:spacing w:val="-4"/>
            </w:rPr>
            <w:t>25</w:t>
          </w:r>
        </w:p>
        <w:p>
          <w:pPr>
            <w:pStyle w:val="TOC2"/>
            <w:tabs>
              <w:tab w:pos="2404" w:val="left" w:leader="none"/>
              <w:tab w:pos="10270" w:val="right" w:leader="dot"/>
            </w:tabs>
          </w:pPr>
          <w:r>
            <w:rPr>
              <w:color w:val="231F20"/>
              <w:w w:val="105"/>
            </w:rPr>
            <w:t>Figura</w:t>
          </w:r>
          <w:r>
            <w:rPr>
              <w:color w:val="231F20"/>
              <w:spacing w:val="-2"/>
              <w:w w:val="105"/>
            </w:rPr>
            <w:t> </w:t>
          </w:r>
          <w:r>
            <w:rPr>
              <w:color w:val="231F20"/>
              <w:w w:val="105"/>
            </w:rPr>
            <w:t>9.</w:t>
            <w:tab/>
            <w:t>Reemplazos</w:t>
            <w:tab/>
          </w:r>
          <w:r>
            <w:rPr>
              <w:color w:val="231F20"/>
              <w:spacing w:val="-4"/>
              <w:w w:val="105"/>
            </w:rPr>
            <w:t>26</w:t>
          </w:r>
        </w:p>
        <w:p>
          <w:pPr>
            <w:pStyle w:val="TOC2"/>
            <w:tabs>
              <w:tab w:pos="10270" w:val="right" w:leader="dot"/>
            </w:tabs>
          </w:pPr>
          <w:r>
            <w:rPr>
              <w:color w:val="231F20"/>
            </w:rPr>
            <w:t>Figura </w:t>
          </w:r>
          <w:r>
            <w:rPr>
              <w:color w:val="231F20"/>
              <w:spacing w:val="-3"/>
            </w:rPr>
            <w:t>10.  </w:t>
          </w:r>
          <w:r>
            <w:rPr>
              <w:color w:val="231F20"/>
              <w:spacing w:val="10"/>
            </w:rPr>
            <w:t> </w:t>
          </w:r>
          <w:r>
            <w:rPr>
              <w:color w:val="231F20"/>
            </w:rPr>
            <w:t>Mastitis</w:t>
          </w:r>
          <w:r>
            <w:rPr>
              <w:color w:val="231F20"/>
              <w:spacing w:val="11"/>
            </w:rPr>
            <w:t> </w:t>
          </w:r>
          <w:r>
            <w:rPr>
              <w:color w:val="231F20"/>
            </w:rPr>
            <w:t>subclínica</w:t>
            <w:tab/>
          </w:r>
          <w:r>
            <w:rPr>
              <w:color w:val="231F20"/>
              <w:spacing w:val="-4"/>
            </w:rPr>
            <w:t>26</w:t>
          </w:r>
        </w:p>
        <w:p>
          <w:pPr>
            <w:pStyle w:val="TOC2"/>
            <w:tabs>
              <w:tab w:pos="10270" w:val="right" w:leader="dot"/>
            </w:tabs>
          </w:pPr>
          <w:r>
            <w:rPr>
              <w:color w:val="231F20"/>
            </w:rPr>
            <w:t>Figura </w:t>
          </w:r>
          <w:r>
            <w:rPr>
              <w:color w:val="231F20"/>
              <w:spacing w:val="-3"/>
            </w:rPr>
            <w:t>11.   </w:t>
          </w:r>
          <w:r>
            <w:rPr>
              <w:color w:val="231F20"/>
            </w:rPr>
            <w:t>Lesión</w:t>
          </w:r>
          <w:r>
            <w:rPr>
              <w:color w:val="231F20"/>
              <w:spacing w:val="25"/>
            </w:rPr>
            <w:t> </w:t>
          </w:r>
          <w:r>
            <w:rPr>
              <w:color w:val="231F20"/>
            </w:rPr>
            <w:t>por</w:t>
          </w:r>
          <w:r>
            <w:rPr>
              <w:color w:val="231F20"/>
              <w:spacing w:val="11"/>
            </w:rPr>
            <w:t> </w:t>
          </w:r>
          <w:r>
            <w:rPr>
              <w:color w:val="231F20"/>
            </w:rPr>
            <w:t>tuberculosis</w:t>
            <w:tab/>
          </w:r>
          <w:r>
            <w:rPr>
              <w:color w:val="231F20"/>
              <w:spacing w:val="-4"/>
            </w:rPr>
            <w:t>27</w:t>
          </w:r>
        </w:p>
        <w:p>
          <w:pPr>
            <w:pStyle w:val="TOC2"/>
            <w:tabs>
              <w:tab w:pos="10270" w:val="right" w:leader="dot"/>
            </w:tabs>
          </w:pPr>
          <w:r>
            <w:rPr>
              <w:color w:val="231F20"/>
            </w:rPr>
            <w:t>Figura </w:t>
          </w:r>
          <w:r>
            <w:rPr>
              <w:color w:val="231F20"/>
              <w:spacing w:val="-3"/>
            </w:rPr>
            <w:t>12.     </w:t>
          </w:r>
          <w:r>
            <w:rPr>
              <w:color w:val="231F20"/>
              <w:spacing w:val="32"/>
            </w:rPr>
            <w:t> </w:t>
          </w:r>
          <w:r>
            <w:rPr>
              <w:color w:val="231F20"/>
            </w:rPr>
            <w:t>Frecuencia, gravedad y ambiente donde se presentan los casos clínicos de</w:t>
          </w:r>
          <w:r>
            <w:rPr>
              <w:color w:val="231F20"/>
              <w:spacing w:val="12"/>
            </w:rPr>
            <w:t> </w:t>
          </w:r>
          <w:r>
            <w:rPr>
              <w:color w:val="231F20"/>
            </w:rPr>
            <w:t>mastitis</w:t>
            <w:tab/>
          </w:r>
          <w:r>
            <w:rPr>
              <w:color w:val="231F20"/>
              <w:spacing w:val="-4"/>
            </w:rPr>
            <w:t>27</w:t>
          </w:r>
        </w:p>
        <w:p>
          <w:pPr>
            <w:pStyle w:val="TOC2"/>
            <w:tabs>
              <w:tab w:pos="10270" w:val="right" w:leader="dot"/>
            </w:tabs>
          </w:pPr>
          <w:r>
            <w:rPr>
              <w:color w:val="231F20"/>
            </w:rPr>
            <w:t>Figura </w:t>
          </w:r>
          <w:r>
            <w:rPr>
              <w:color w:val="231F20"/>
              <w:spacing w:val="-3"/>
            </w:rPr>
            <w:t>13.   </w:t>
          </w:r>
          <w:r>
            <w:rPr>
              <w:color w:val="231F20"/>
            </w:rPr>
            <w:t>Modelo de alojamiento: zona y práctica  </w:t>
          </w:r>
          <w:r>
            <w:rPr>
              <w:color w:val="231F20"/>
              <w:spacing w:val="2"/>
            </w:rPr>
            <w:t> </w:t>
          </w:r>
          <w:r>
            <w:rPr>
              <w:color w:val="231F20"/>
            </w:rPr>
            <w:t>de</w:t>
          </w:r>
          <w:r>
            <w:rPr>
              <w:color w:val="231F20"/>
              <w:spacing w:val="11"/>
            </w:rPr>
            <w:t> </w:t>
          </w:r>
          <w:r>
            <w:rPr>
              <w:color w:val="231F20"/>
            </w:rPr>
            <w:t>ordeño</w:t>
            <w:tab/>
          </w:r>
          <w:r>
            <w:rPr>
              <w:color w:val="231F20"/>
              <w:spacing w:val="-4"/>
            </w:rPr>
            <w:t>28</w:t>
          </w:r>
        </w:p>
        <w:p>
          <w:pPr>
            <w:pStyle w:val="TOC2"/>
            <w:tabs>
              <w:tab w:pos="10270" w:val="right" w:leader="dot"/>
            </w:tabs>
          </w:pPr>
          <w:r>
            <w:rPr>
              <w:color w:val="231F20"/>
            </w:rPr>
            <w:t>Figura </w:t>
          </w:r>
          <w:r>
            <w:rPr>
              <w:color w:val="231F20"/>
              <w:spacing w:val="-3"/>
            </w:rPr>
            <w:t>14.   </w:t>
          </w:r>
          <w:r>
            <w:rPr>
              <w:color w:val="231F20"/>
            </w:rPr>
            <w:t>Ejemplos de características del ápice </w:t>
          </w:r>
          <w:r>
            <w:rPr>
              <w:color w:val="231F20"/>
              <w:spacing w:val="33"/>
            </w:rPr>
            <w:t> </w:t>
          </w:r>
          <w:r>
            <w:rPr>
              <w:color w:val="231F20"/>
            </w:rPr>
            <w:t>del</w:t>
          </w:r>
          <w:r>
            <w:rPr>
              <w:color w:val="231F20"/>
              <w:spacing w:val="11"/>
            </w:rPr>
            <w:t> </w:t>
          </w:r>
          <w:r>
            <w:rPr>
              <w:color w:val="231F20"/>
            </w:rPr>
            <w:t>pezón</w:t>
            <w:tab/>
          </w:r>
          <w:r>
            <w:rPr>
              <w:color w:val="231F20"/>
              <w:spacing w:val="-4"/>
            </w:rPr>
            <w:t>29</w:t>
          </w:r>
        </w:p>
        <w:p>
          <w:pPr>
            <w:pStyle w:val="TOC2"/>
            <w:tabs>
              <w:tab w:pos="10270" w:val="right" w:leader="dot"/>
            </w:tabs>
          </w:pPr>
          <w:r>
            <w:rPr>
              <w:color w:val="231F20"/>
            </w:rPr>
            <w:t>Figura </w:t>
          </w:r>
          <w:r>
            <w:rPr>
              <w:color w:val="231F20"/>
              <w:spacing w:val="-3"/>
            </w:rPr>
            <w:t>15.   </w:t>
          </w:r>
          <w:r>
            <w:rPr>
              <w:color w:val="231F20"/>
            </w:rPr>
            <w:t>Procedimiento durante</w:t>
          </w:r>
          <w:r>
            <w:rPr>
              <w:color w:val="231F20"/>
              <w:spacing w:val="37"/>
            </w:rPr>
            <w:t> </w:t>
          </w:r>
          <w:r>
            <w:rPr>
              <w:color w:val="231F20"/>
            </w:rPr>
            <w:t>el</w:t>
          </w:r>
          <w:r>
            <w:rPr>
              <w:color w:val="231F20"/>
              <w:spacing w:val="11"/>
            </w:rPr>
            <w:t> </w:t>
          </w:r>
          <w:r>
            <w:rPr>
              <w:color w:val="231F20"/>
            </w:rPr>
            <w:t>ordeño</w:t>
            <w:tab/>
          </w:r>
          <w:r>
            <w:rPr>
              <w:color w:val="231F20"/>
              <w:spacing w:val="-4"/>
            </w:rPr>
            <w:t>30</w:t>
          </w:r>
        </w:p>
        <w:p>
          <w:pPr>
            <w:pStyle w:val="TOC2"/>
            <w:tabs>
              <w:tab w:pos="10270" w:val="right" w:leader="dot"/>
            </w:tabs>
          </w:pPr>
          <w:r>
            <w:rPr>
              <w:color w:val="231F20"/>
            </w:rPr>
            <w:t>Figura </w:t>
          </w:r>
          <w:r>
            <w:rPr>
              <w:color w:val="231F20"/>
              <w:spacing w:val="-3"/>
            </w:rPr>
            <w:t>16.   </w:t>
          </w:r>
          <w:r>
            <w:rPr>
              <w:color w:val="231F20"/>
            </w:rPr>
            <w:t>Condiciones inadecuadas para el ordeño y predisponentes  </w:t>
          </w:r>
          <w:r>
            <w:rPr>
              <w:color w:val="231F20"/>
              <w:spacing w:val="23"/>
            </w:rPr>
            <w:t> </w:t>
          </w:r>
          <w:r>
            <w:rPr>
              <w:color w:val="231F20"/>
            </w:rPr>
            <w:t>a</w:t>
          </w:r>
          <w:r>
            <w:rPr>
              <w:color w:val="231F20"/>
              <w:spacing w:val="12"/>
            </w:rPr>
            <w:t> </w:t>
          </w:r>
          <w:r>
            <w:rPr>
              <w:color w:val="231F20"/>
            </w:rPr>
            <w:t>mastitis</w:t>
            <w:tab/>
          </w:r>
          <w:r>
            <w:rPr>
              <w:color w:val="231F20"/>
              <w:spacing w:val="-4"/>
            </w:rPr>
            <w:t>31</w:t>
          </w:r>
        </w:p>
        <w:p>
          <w:pPr>
            <w:pStyle w:val="TOC2"/>
            <w:tabs>
              <w:tab w:pos="10270" w:val="right" w:leader="dot"/>
            </w:tabs>
          </w:pPr>
          <w:r>
            <w:rPr>
              <w:color w:val="231F20"/>
            </w:rPr>
            <w:t>Figura </w:t>
          </w:r>
          <w:r>
            <w:rPr>
              <w:color w:val="231F20"/>
              <w:spacing w:val="-11"/>
            </w:rPr>
            <w:t>17.     </w:t>
          </w:r>
          <w:r>
            <w:rPr>
              <w:color w:val="231F20"/>
            </w:rPr>
            <w:t>Contaminación del colector de la unidad </w:t>
          </w:r>
          <w:r>
            <w:rPr>
              <w:color w:val="231F20"/>
              <w:spacing w:val="33"/>
            </w:rPr>
            <w:t> </w:t>
          </w:r>
          <w:r>
            <w:rPr>
              <w:color w:val="231F20"/>
            </w:rPr>
            <w:t>de</w:t>
          </w:r>
          <w:r>
            <w:rPr>
              <w:color w:val="231F20"/>
              <w:spacing w:val="11"/>
            </w:rPr>
            <w:t> </w:t>
          </w:r>
          <w:r>
            <w:rPr>
              <w:color w:val="231F20"/>
            </w:rPr>
            <w:t>ordeño</w:t>
            <w:tab/>
          </w:r>
          <w:r>
            <w:rPr>
              <w:color w:val="231F20"/>
              <w:spacing w:val="-4"/>
            </w:rPr>
            <w:t>32</w:t>
          </w:r>
        </w:p>
        <w:p>
          <w:pPr>
            <w:pStyle w:val="TOC2"/>
            <w:tabs>
              <w:tab w:pos="10270" w:val="right" w:leader="dot"/>
            </w:tabs>
          </w:pPr>
          <w:r>
            <w:rPr>
              <w:color w:val="231F20"/>
            </w:rPr>
            <w:t>Figura </w:t>
          </w:r>
          <w:r>
            <w:rPr>
              <w:color w:val="231F20"/>
              <w:spacing w:val="-3"/>
            </w:rPr>
            <w:t>18.      </w:t>
          </w:r>
          <w:r>
            <w:rPr>
              <w:color w:val="231F20"/>
              <w:spacing w:val="25"/>
            </w:rPr>
            <w:t> </w:t>
          </w:r>
          <w:r>
            <w:rPr>
              <w:color w:val="231F20"/>
            </w:rPr>
            <w:t>Calificación de la condición de los alojamientos en una escala de 1 a</w:t>
          </w:r>
          <w:r>
            <w:rPr>
              <w:color w:val="231F20"/>
              <w:spacing w:val="13"/>
            </w:rPr>
            <w:t> </w:t>
          </w:r>
          <w:r>
            <w:rPr>
              <w:color w:val="231F20"/>
              <w:spacing w:val="-4"/>
            </w:rPr>
            <w:t>10</w:t>
            <w:tab/>
            <w:t>34</w:t>
          </w:r>
        </w:p>
        <w:p>
          <w:pPr>
            <w:pStyle w:val="TOC2"/>
            <w:tabs>
              <w:tab w:pos="10270" w:val="right" w:leader="dot"/>
            </w:tabs>
          </w:pPr>
          <w:r>
            <w:rPr>
              <w:color w:val="231F20"/>
            </w:rPr>
            <w:t>Figura </w:t>
          </w:r>
          <w:r>
            <w:rPr>
              <w:color w:val="231F20"/>
              <w:spacing w:val="-3"/>
            </w:rPr>
            <w:t>19.   </w:t>
          </w:r>
          <w:r>
            <w:rPr>
              <w:color w:val="231F20"/>
            </w:rPr>
            <w:t>Alojamiento en</w:t>
          </w:r>
          <w:r>
            <w:rPr>
              <w:color w:val="231F20"/>
              <w:spacing w:val="37"/>
            </w:rPr>
            <w:t> </w:t>
          </w:r>
          <w:r>
            <w:rPr>
              <w:color w:val="231F20"/>
            </w:rPr>
            <w:t>mala</w:t>
          </w:r>
          <w:r>
            <w:rPr>
              <w:color w:val="231F20"/>
              <w:spacing w:val="11"/>
            </w:rPr>
            <w:t> </w:t>
          </w:r>
          <w:r>
            <w:rPr>
              <w:color w:val="231F20"/>
            </w:rPr>
            <w:t>condición</w:t>
            <w:tab/>
          </w:r>
          <w:r>
            <w:rPr>
              <w:color w:val="231F20"/>
              <w:spacing w:val="-4"/>
            </w:rPr>
            <w:t>34</w:t>
          </w:r>
        </w:p>
        <w:p>
          <w:pPr>
            <w:pStyle w:val="TOC2"/>
            <w:tabs>
              <w:tab w:pos="10270" w:val="right" w:leader="dot"/>
            </w:tabs>
          </w:pPr>
          <w:r>
            <w:rPr>
              <w:color w:val="231F20"/>
            </w:rPr>
            <w:t>Figura 20.   Ubre limpia y seca </w:t>
          </w:r>
          <w:r>
            <w:rPr>
              <w:color w:val="231F20"/>
              <w:spacing w:val="9"/>
            </w:rPr>
            <w:t> </w:t>
          </w:r>
          <w:r>
            <w:rPr>
              <w:color w:val="231F20"/>
            </w:rPr>
            <w:t>(calificación</w:t>
          </w:r>
          <w:r>
            <w:rPr>
              <w:color w:val="231F20"/>
              <w:spacing w:val="11"/>
            </w:rPr>
            <w:t> </w:t>
          </w:r>
          <w:r>
            <w:rPr>
              <w:color w:val="231F20"/>
            </w:rPr>
            <w:t>buena)</w:t>
            <w:tab/>
          </w:r>
          <w:r>
            <w:rPr>
              <w:color w:val="231F20"/>
              <w:spacing w:val="-4"/>
            </w:rPr>
            <w:t>34</w:t>
          </w:r>
        </w:p>
        <w:p>
          <w:pPr>
            <w:pStyle w:val="TOC2"/>
            <w:tabs>
              <w:tab w:pos="10270" w:val="right" w:leader="dot"/>
            </w:tabs>
          </w:pPr>
          <w:r>
            <w:rPr>
              <w:color w:val="231F20"/>
            </w:rPr>
            <w:t>Figura 21.   Ubre sucia</w:t>
          </w:r>
          <w:r>
            <w:rPr>
              <w:color w:val="231F20"/>
              <w:spacing w:val="25"/>
            </w:rPr>
            <w:t> </w:t>
          </w:r>
          <w:r>
            <w:rPr>
              <w:color w:val="231F20"/>
            </w:rPr>
            <w:t>(calificación</w:t>
          </w:r>
          <w:r>
            <w:rPr>
              <w:color w:val="231F20"/>
              <w:spacing w:val="11"/>
            </w:rPr>
            <w:t> </w:t>
          </w:r>
          <w:r>
            <w:rPr>
              <w:color w:val="231F20"/>
            </w:rPr>
            <w:t>mala)</w:t>
            <w:tab/>
          </w:r>
          <w:r>
            <w:rPr>
              <w:color w:val="231F20"/>
              <w:spacing w:val="-4"/>
            </w:rPr>
            <w:t>35</w:t>
          </w:r>
        </w:p>
        <w:p>
          <w:pPr>
            <w:pStyle w:val="TOC2"/>
            <w:tabs>
              <w:tab w:pos="10270" w:val="right" w:leader="dot"/>
            </w:tabs>
          </w:pPr>
          <w:r>
            <w:rPr>
              <w:color w:val="231F20"/>
            </w:rPr>
            <w:t>Figura 22.   Eliminación de los primeros chorros </w:t>
          </w:r>
          <w:r>
            <w:rPr>
              <w:color w:val="231F20"/>
              <w:spacing w:val="20"/>
            </w:rPr>
            <w:t> </w:t>
          </w:r>
          <w:r>
            <w:rPr>
              <w:color w:val="231F20"/>
            </w:rPr>
            <w:t>de</w:t>
          </w:r>
          <w:r>
            <w:rPr>
              <w:color w:val="231F20"/>
              <w:spacing w:val="11"/>
            </w:rPr>
            <w:t> </w:t>
          </w:r>
          <w:r>
            <w:rPr>
              <w:color w:val="231F20"/>
            </w:rPr>
            <w:t>leche</w:t>
            <w:tab/>
          </w:r>
          <w:r>
            <w:rPr>
              <w:color w:val="231F20"/>
              <w:spacing w:val="-4"/>
            </w:rPr>
            <w:t>36</w:t>
          </w:r>
        </w:p>
        <w:p>
          <w:pPr>
            <w:pStyle w:val="TOC2"/>
            <w:tabs>
              <w:tab w:pos="10270" w:val="right" w:leader="dot"/>
            </w:tabs>
          </w:pPr>
          <w:r>
            <w:rPr>
              <w:color w:val="231F20"/>
            </w:rPr>
            <w:t>Figura 23.   Aplicación</w:t>
          </w:r>
          <w:r>
            <w:rPr>
              <w:color w:val="231F20"/>
              <w:spacing w:val="11"/>
            </w:rPr>
            <w:t> </w:t>
          </w:r>
          <w:r>
            <w:rPr>
              <w:color w:val="231F20"/>
            </w:rPr>
            <w:t>del</w:t>
          </w:r>
          <w:r>
            <w:rPr>
              <w:color w:val="231F20"/>
              <w:spacing w:val="11"/>
            </w:rPr>
            <w:t> </w:t>
          </w:r>
          <w:r>
            <w:rPr>
              <w:color w:val="231F20"/>
            </w:rPr>
            <w:t>antiséptico</w:t>
            <w:tab/>
          </w:r>
          <w:r>
            <w:rPr>
              <w:color w:val="231F20"/>
              <w:spacing w:val="-4"/>
            </w:rPr>
            <w:t>36</w:t>
          </w:r>
        </w:p>
        <w:p>
          <w:pPr>
            <w:pStyle w:val="TOC2"/>
            <w:tabs>
              <w:tab w:pos="10270" w:val="right" w:leader="dot"/>
            </w:tabs>
          </w:pPr>
          <w:r>
            <w:rPr>
              <w:color w:val="231F20"/>
            </w:rPr>
            <w:t>Figura 24.   Muestras para realizar</w:t>
          </w:r>
          <w:r>
            <w:rPr>
              <w:color w:val="231F20"/>
              <w:spacing w:val="32"/>
            </w:rPr>
            <w:t> </w:t>
          </w:r>
          <w:r>
            <w:rPr>
              <w:color w:val="231F20"/>
            </w:rPr>
            <w:t>la</w:t>
          </w:r>
          <w:r>
            <w:rPr>
              <w:color w:val="231F20"/>
              <w:spacing w:val="10"/>
            </w:rPr>
            <w:t> </w:t>
          </w:r>
          <w:r>
            <w:rPr>
              <w:color w:val="231F20"/>
            </w:rPr>
            <w:t>CMT</w:t>
            <w:tab/>
          </w:r>
          <w:r>
            <w:rPr>
              <w:color w:val="231F20"/>
              <w:spacing w:val="-4"/>
            </w:rPr>
            <w:t>37</w:t>
          </w:r>
        </w:p>
        <w:p>
          <w:pPr>
            <w:pStyle w:val="TOC2"/>
            <w:tabs>
              <w:tab w:pos="10273" w:val="right" w:leader="dot"/>
            </w:tabs>
          </w:pPr>
          <w:r>
            <w:rPr>
              <w:color w:val="231F20"/>
              <w:w w:val="105"/>
            </w:rPr>
            <w:t>Figura 25.   Vaca</w:t>
          </w:r>
          <w:r>
            <w:rPr>
              <w:color w:val="231F20"/>
              <w:spacing w:val="-3"/>
              <w:w w:val="105"/>
            </w:rPr>
            <w:t> </w:t>
          </w:r>
          <w:r>
            <w:rPr>
              <w:color w:val="231F20"/>
              <w:w w:val="105"/>
            </w:rPr>
            <w:t>recién</w:t>
          </w:r>
          <w:r>
            <w:rPr>
              <w:color w:val="231F20"/>
              <w:spacing w:val="8"/>
              <w:w w:val="105"/>
            </w:rPr>
            <w:t> </w:t>
          </w:r>
          <w:r>
            <w:rPr>
              <w:color w:val="231F20"/>
              <w:w w:val="105"/>
            </w:rPr>
            <w:t>parida</w:t>
            <w:tab/>
            <w:t>44</w:t>
          </w:r>
        </w:p>
        <w:p>
          <w:pPr>
            <w:pStyle w:val="TOC2"/>
            <w:spacing w:before="170"/>
            <w:ind w:right="2503"/>
          </w:pPr>
          <w:hyperlink w:history="true" w:anchor="_TOC_250011">
            <w:r>
              <w:rPr>
                <w:color w:val="231F20"/>
                <w:w w:val="110"/>
              </w:rPr>
              <w:t>CAPÍTULO 4</w:t>
            </w:r>
          </w:hyperlink>
        </w:p>
        <w:p>
          <w:pPr>
            <w:pStyle w:val="TOC2"/>
            <w:tabs>
              <w:tab w:pos="2404" w:val="left" w:leader="none"/>
              <w:tab w:pos="10273" w:val="right" w:leader="dot"/>
            </w:tabs>
          </w:pPr>
          <w:r>
            <w:rPr>
              <w:color w:val="231F20"/>
            </w:rPr>
            <w:t>Figura</w:t>
          </w:r>
          <w:r>
            <w:rPr>
              <w:color w:val="231F20"/>
              <w:spacing w:val="9"/>
            </w:rPr>
            <w:t> </w:t>
          </w:r>
          <w:r>
            <w:rPr>
              <w:color w:val="231F20"/>
            </w:rPr>
            <w:t>1.</w:t>
            <w:tab/>
            <w:t>Ubicación geográfica del municipio de Aculco, Estado  </w:t>
          </w:r>
          <w:r>
            <w:rPr>
              <w:color w:val="231F20"/>
              <w:spacing w:val="1"/>
            </w:rPr>
            <w:t> </w:t>
          </w:r>
          <w:r>
            <w:rPr>
              <w:color w:val="231F20"/>
            </w:rPr>
            <w:t>de</w:t>
          </w:r>
          <w:r>
            <w:rPr>
              <w:color w:val="231F20"/>
              <w:spacing w:val="11"/>
            </w:rPr>
            <w:t> </w:t>
          </w:r>
          <w:r>
            <w:rPr>
              <w:color w:val="231F20"/>
            </w:rPr>
            <w:t>México.</w:t>
            <w:tab/>
            <w:t>65</w:t>
          </w:r>
        </w:p>
        <w:p>
          <w:pPr>
            <w:pStyle w:val="TOC2"/>
            <w:spacing w:before="170"/>
            <w:ind w:right="2503"/>
          </w:pPr>
          <w:hyperlink w:history="true" w:anchor="_TOC_250010">
            <w:r>
              <w:rPr>
                <w:color w:val="231F20"/>
                <w:w w:val="110"/>
              </w:rPr>
              <w:t>CAPÍTULO 5</w:t>
            </w:r>
          </w:hyperlink>
        </w:p>
        <w:p>
          <w:pPr>
            <w:pStyle w:val="TOC2"/>
            <w:tabs>
              <w:tab w:pos="2404" w:val="left" w:leader="none"/>
              <w:tab w:pos="10273" w:val="right" w:leader="dot"/>
            </w:tabs>
          </w:pPr>
          <w:r>
            <w:rPr>
              <w:color w:val="231F20"/>
            </w:rPr>
            <w:t>Figura</w:t>
          </w:r>
          <w:r>
            <w:rPr>
              <w:color w:val="231F20"/>
              <w:spacing w:val="9"/>
            </w:rPr>
            <w:t> </w:t>
          </w:r>
          <w:r>
            <w:rPr>
              <w:color w:val="231F20"/>
            </w:rPr>
            <w:t>1.</w:t>
            <w:tab/>
            <w:t>Adopción de tecnologías agrícolas </w:t>
          </w:r>
          <w:r>
            <w:rPr>
              <w:color w:val="231F20"/>
              <w:spacing w:val="4"/>
            </w:rPr>
            <w:t> </w:t>
          </w:r>
          <w:r>
            <w:rPr>
              <w:color w:val="231F20"/>
            </w:rPr>
            <w:t>por</w:t>
          </w:r>
          <w:r>
            <w:rPr>
              <w:color w:val="231F20"/>
              <w:spacing w:val="11"/>
            </w:rPr>
            <w:t> </w:t>
          </w:r>
          <w:r>
            <w:rPr>
              <w:color w:val="231F20"/>
            </w:rPr>
            <w:t>grupo.</w:t>
            <w:tab/>
            <w:t>80</w:t>
          </w:r>
        </w:p>
        <w:p>
          <w:pPr>
            <w:pStyle w:val="TOC2"/>
            <w:tabs>
              <w:tab w:pos="2404" w:val="left" w:leader="none"/>
              <w:tab w:pos="10273" w:val="right" w:leader="dot"/>
            </w:tabs>
          </w:pPr>
          <w:r>
            <w:rPr>
              <w:color w:val="231F20"/>
            </w:rPr>
            <w:t>Figura</w:t>
          </w:r>
          <w:r>
            <w:rPr>
              <w:color w:val="231F20"/>
              <w:spacing w:val="9"/>
            </w:rPr>
            <w:t> </w:t>
          </w:r>
          <w:r>
            <w:rPr>
              <w:color w:val="231F20"/>
            </w:rPr>
            <w:t>2.</w:t>
            <w:tab/>
            <w:t>Adopción de tecnologías pecuarias </w:t>
          </w:r>
          <w:r>
            <w:rPr>
              <w:color w:val="231F20"/>
              <w:spacing w:val="5"/>
            </w:rPr>
            <w:t> </w:t>
          </w:r>
          <w:r>
            <w:rPr>
              <w:color w:val="231F20"/>
            </w:rPr>
            <w:t>por</w:t>
          </w:r>
          <w:r>
            <w:rPr>
              <w:color w:val="231F20"/>
              <w:spacing w:val="11"/>
            </w:rPr>
            <w:t> </w:t>
          </w:r>
          <w:r>
            <w:rPr>
              <w:color w:val="231F20"/>
            </w:rPr>
            <w:t>grupo.</w:t>
            <w:tab/>
            <w:t>82</w:t>
          </w:r>
        </w:p>
        <w:p>
          <w:pPr>
            <w:pStyle w:val="TOC2"/>
            <w:spacing w:before="170"/>
            <w:ind w:right="2503"/>
          </w:pPr>
          <w:hyperlink w:history="true" w:anchor="_TOC_250009">
            <w:r>
              <w:rPr>
                <w:color w:val="231F20"/>
                <w:w w:val="110"/>
              </w:rPr>
              <w:t>CAPÍTULO 6</w:t>
            </w:r>
          </w:hyperlink>
        </w:p>
        <w:p>
          <w:pPr>
            <w:pStyle w:val="TOC2"/>
            <w:tabs>
              <w:tab w:pos="2404" w:val="left" w:leader="none"/>
            </w:tabs>
            <w:ind w:right="2503"/>
          </w:pPr>
          <w:r>
            <w:rPr>
              <w:color w:val="231F20"/>
            </w:rPr>
            <w:t>Figura</w:t>
          </w:r>
          <w:r>
            <w:rPr>
              <w:color w:val="231F20"/>
              <w:spacing w:val="9"/>
            </w:rPr>
            <w:t> </w:t>
          </w:r>
          <w:r>
            <w:rPr>
              <w:color w:val="231F20"/>
            </w:rPr>
            <w:t>1.</w:t>
            <w:tab/>
            <w:t>Modelo sistémico general del proceso de innovación socioambiental   </w:t>
          </w:r>
          <w:r>
            <w:rPr>
              <w:color w:val="231F20"/>
              <w:spacing w:val="4"/>
            </w:rPr>
            <w:t> </w:t>
          </w:r>
          <w:r>
            <w:rPr>
              <w:color w:val="231F20"/>
            </w:rPr>
            <w:t>para</w:t>
          </w:r>
        </w:p>
        <w:p>
          <w:pPr>
            <w:pStyle w:val="TOC3"/>
            <w:tabs>
              <w:tab w:pos="10266" w:val="right" w:leader="dot"/>
            </w:tabs>
            <w:spacing w:before="0"/>
          </w:pPr>
          <w:r>
            <w:rPr>
              <w:color w:val="231F20"/>
            </w:rPr>
            <w:t>el desarrollo</w:t>
          </w:r>
          <w:r>
            <w:rPr>
              <w:color w:val="231F20"/>
              <w:spacing w:val="21"/>
            </w:rPr>
            <w:t> </w:t>
          </w:r>
          <w:r>
            <w:rPr>
              <w:color w:val="231F20"/>
            </w:rPr>
            <w:t>rural</w:t>
          </w:r>
          <w:r>
            <w:rPr>
              <w:color w:val="231F20"/>
              <w:spacing w:val="10"/>
            </w:rPr>
            <w:t> </w:t>
          </w:r>
          <w:r>
            <w:rPr>
              <w:color w:val="231F20"/>
            </w:rPr>
            <w:t>sustentable</w:t>
            <w:tab/>
          </w:r>
          <w:r>
            <w:rPr>
              <w:color w:val="231F20"/>
              <w:spacing w:val="-8"/>
            </w:rPr>
            <w:t>91</w:t>
          </w:r>
        </w:p>
        <w:p>
          <w:pPr>
            <w:pStyle w:val="TOC2"/>
            <w:spacing w:before="170"/>
            <w:ind w:right="2503"/>
          </w:pPr>
          <w:hyperlink w:history="true" w:anchor="_TOC_250008">
            <w:r>
              <w:rPr>
                <w:color w:val="231F20"/>
                <w:w w:val="110"/>
              </w:rPr>
              <w:t>CAPÍTULO 7</w:t>
            </w:r>
          </w:hyperlink>
        </w:p>
        <w:p>
          <w:pPr>
            <w:pStyle w:val="TOC2"/>
            <w:tabs>
              <w:tab w:pos="2404" w:val="left" w:leader="none"/>
              <w:tab w:pos="10273" w:val="right" w:leader="dot"/>
            </w:tabs>
          </w:pPr>
          <w:r>
            <w:rPr>
              <w:color w:val="231F20"/>
            </w:rPr>
            <w:t>Figura</w:t>
          </w:r>
          <w:r>
            <w:rPr>
              <w:color w:val="231F20"/>
              <w:spacing w:val="9"/>
            </w:rPr>
            <w:t> </w:t>
          </w:r>
          <w:r>
            <w:rPr>
              <w:color w:val="231F20"/>
            </w:rPr>
            <w:t>1.</w:t>
            <w:tab/>
            <w:t>Composición botánica de las praderas </w:t>
          </w:r>
          <w:r>
            <w:rPr>
              <w:color w:val="231F20"/>
              <w:spacing w:val="21"/>
            </w:rPr>
            <w:t> </w:t>
          </w:r>
          <w:r>
            <w:rPr>
              <w:color w:val="231F20"/>
            </w:rPr>
            <w:t>de</w:t>
          </w:r>
          <w:r>
            <w:rPr>
              <w:color w:val="231F20"/>
              <w:spacing w:val="12"/>
            </w:rPr>
            <w:t> </w:t>
          </w:r>
          <w:r>
            <w:rPr>
              <w:color w:val="231F20"/>
            </w:rPr>
            <w:t>Zacazonapan</w:t>
            <w:tab/>
          </w:r>
          <w:r>
            <w:rPr>
              <w:color w:val="231F20"/>
              <w:spacing w:val="-3"/>
            </w:rPr>
            <w:t>106</w:t>
          </w:r>
        </w:p>
        <w:p>
          <w:pPr>
            <w:pStyle w:val="TOC2"/>
            <w:spacing w:before="170"/>
            <w:ind w:right="2503"/>
          </w:pPr>
          <w:hyperlink w:history="true" w:anchor="_TOC_250007">
            <w:r>
              <w:rPr>
                <w:color w:val="231F20"/>
                <w:w w:val="110"/>
              </w:rPr>
              <w:t>CAPÍTULO 8</w:t>
            </w:r>
          </w:hyperlink>
        </w:p>
        <w:p>
          <w:pPr>
            <w:pStyle w:val="TOC2"/>
            <w:tabs>
              <w:tab w:pos="2404" w:val="left" w:leader="none"/>
              <w:tab w:pos="10273" w:val="right" w:leader="dot"/>
            </w:tabs>
          </w:pPr>
          <w:r>
            <w:rPr>
              <w:color w:val="231F20"/>
            </w:rPr>
            <w:t>Figura</w:t>
          </w:r>
          <w:r>
            <w:rPr>
              <w:color w:val="231F20"/>
              <w:spacing w:val="9"/>
            </w:rPr>
            <w:t> </w:t>
          </w:r>
          <w:r>
            <w:rPr>
              <w:color w:val="231F20"/>
            </w:rPr>
            <w:t>1.</w:t>
            <w:tab/>
            <w:t>Situación geográfica del municipio </w:t>
          </w:r>
          <w:r>
            <w:rPr>
              <w:color w:val="231F20"/>
              <w:spacing w:val="6"/>
            </w:rPr>
            <w:t> </w:t>
          </w:r>
          <w:r>
            <w:rPr>
              <w:color w:val="231F20"/>
            </w:rPr>
            <w:t>de</w:t>
          </w:r>
          <w:r>
            <w:rPr>
              <w:color w:val="231F20"/>
              <w:spacing w:val="11"/>
            </w:rPr>
            <w:t> </w:t>
          </w:r>
          <w:r>
            <w:rPr>
              <w:color w:val="231F20"/>
            </w:rPr>
            <w:t>Amatepec.</w:t>
            <w:tab/>
          </w:r>
          <w:r>
            <w:rPr>
              <w:color w:val="231F20"/>
              <w:spacing w:val="-4"/>
            </w:rPr>
            <w:t>123</w:t>
          </w:r>
        </w:p>
        <w:p>
          <w:pPr>
            <w:pStyle w:val="TOC2"/>
            <w:tabs>
              <w:tab w:pos="2404" w:val="left" w:leader="none"/>
              <w:tab w:pos="10273" w:val="right" w:leader="dot"/>
            </w:tabs>
          </w:pPr>
          <w:r>
            <w:rPr>
              <w:color w:val="231F20"/>
            </w:rPr>
            <w:t>Figura</w:t>
          </w:r>
          <w:r>
            <w:rPr>
              <w:color w:val="231F20"/>
              <w:spacing w:val="9"/>
            </w:rPr>
            <w:t> </w:t>
          </w:r>
          <w:r>
            <w:rPr>
              <w:color w:val="231F20"/>
            </w:rPr>
            <w:t>2.</w:t>
            <w:tab/>
            <w:t>Estructura de la superficie </w:t>
          </w:r>
          <w:r>
            <w:rPr>
              <w:color w:val="231F20"/>
              <w:spacing w:val="2"/>
            </w:rPr>
            <w:t> </w:t>
          </w:r>
          <w:r>
            <w:rPr>
              <w:color w:val="231F20"/>
            </w:rPr>
            <w:t>agrícola</w:t>
          </w:r>
          <w:r>
            <w:rPr>
              <w:color w:val="231F20"/>
              <w:spacing w:val="10"/>
            </w:rPr>
            <w:t> </w:t>
          </w:r>
          <w:r>
            <w:rPr>
              <w:color w:val="231F20"/>
            </w:rPr>
            <w:t>útil.</w:t>
            <w:tab/>
          </w:r>
          <w:r>
            <w:rPr>
              <w:color w:val="231F20"/>
              <w:spacing w:val="-4"/>
            </w:rPr>
            <w:t>126</w:t>
          </w:r>
        </w:p>
        <w:p>
          <w:pPr>
            <w:pStyle w:val="TOC2"/>
            <w:tabs>
              <w:tab w:pos="2404" w:val="left" w:leader="none"/>
              <w:tab w:pos="10273" w:val="right" w:leader="dot"/>
            </w:tabs>
          </w:pPr>
          <w:r>
            <w:rPr>
              <w:color w:val="231F20"/>
              <w:w w:val="105"/>
            </w:rPr>
            <w:t>Figura</w:t>
          </w:r>
          <w:r>
            <w:rPr>
              <w:color w:val="231F20"/>
              <w:spacing w:val="-2"/>
              <w:w w:val="105"/>
            </w:rPr>
            <w:t> </w:t>
          </w:r>
          <w:r>
            <w:rPr>
              <w:color w:val="231F20"/>
              <w:w w:val="105"/>
            </w:rPr>
            <w:t>3.</w:t>
            <w:tab/>
            <w:t>Composición de la</w:t>
          </w:r>
          <w:r>
            <w:rPr>
              <w:color w:val="231F20"/>
              <w:spacing w:val="23"/>
              <w:w w:val="105"/>
            </w:rPr>
            <w:t> </w:t>
          </w:r>
          <w:r>
            <w:rPr>
              <w:color w:val="231F20"/>
              <w:w w:val="105"/>
            </w:rPr>
            <w:t>superficie</w:t>
          </w:r>
          <w:r>
            <w:rPr>
              <w:color w:val="231F20"/>
              <w:spacing w:val="7"/>
              <w:w w:val="105"/>
            </w:rPr>
            <w:t> </w:t>
          </w:r>
          <w:r>
            <w:rPr>
              <w:color w:val="231F20"/>
              <w:w w:val="105"/>
            </w:rPr>
            <w:t>forrajera.</w:t>
            <w:tab/>
          </w:r>
          <w:r>
            <w:rPr>
              <w:color w:val="231F20"/>
              <w:spacing w:val="-4"/>
              <w:w w:val="105"/>
            </w:rPr>
            <w:t>126</w:t>
          </w:r>
        </w:p>
        <w:p>
          <w:pPr>
            <w:pStyle w:val="TOC2"/>
            <w:tabs>
              <w:tab w:pos="2404" w:val="left" w:leader="none"/>
              <w:tab w:pos="10273" w:val="right" w:leader="dot"/>
            </w:tabs>
          </w:pPr>
          <w:r>
            <w:rPr>
              <w:color w:val="231F20"/>
            </w:rPr>
            <w:t>Figura</w:t>
          </w:r>
          <w:r>
            <w:rPr>
              <w:color w:val="231F20"/>
              <w:spacing w:val="9"/>
            </w:rPr>
            <w:t> </w:t>
          </w:r>
          <w:r>
            <w:rPr>
              <w:color w:val="231F20"/>
            </w:rPr>
            <w:t>4.</w:t>
            <w:tab/>
            <w:t>Estructura de los costos </w:t>
          </w:r>
          <w:r>
            <w:rPr>
              <w:color w:val="231F20"/>
              <w:spacing w:val="5"/>
            </w:rPr>
            <w:t> </w:t>
          </w:r>
          <w:r>
            <w:rPr>
              <w:color w:val="231F20"/>
            </w:rPr>
            <w:t>de</w:t>
          </w:r>
          <w:r>
            <w:rPr>
              <w:color w:val="231F20"/>
              <w:spacing w:val="11"/>
            </w:rPr>
            <w:t> </w:t>
          </w:r>
          <w:r>
            <w:rPr>
              <w:color w:val="231F20"/>
            </w:rPr>
            <w:t>producción.</w:t>
            <w:tab/>
          </w:r>
          <w:r>
            <w:rPr>
              <w:color w:val="231F20"/>
              <w:spacing w:val="-4"/>
            </w:rPr>
            <w:t>130</w:t>
          </w:r>
        </w:p>
        <w:p>
          <w:pPr>
            <w:pStyle w:val="TOC1"/>
          </w:pPr>
          <w:r>
            <w:rPr>
              <w:color w:val="231F20"/>
              <w:w w:val="90"/>
            </w:rPr>
            <w:t>xi</w:t>
          </w:r>
        </w:p>
        <w:p>
          <w:pPr>
            <w:pStyle w:val="TOC2"/>
            <w:tabs>
              <w:tab w:pos="9116" w:val="left" w:leader="none"/>
            </w:tabs>
            <w:spacing w:before="760"/>
            <w:ind w:left="1551"/>
          </w:pPr>
          <w:r>
            <w:rPr>
              <w:color w:val="231F20"/>
              <w:sz w:val="22"/>
            </w:rPr>
            <w:t>xii</w:t>
            <w:tab/>
          </w:r>
          <w:r>
            <w:rPr>
              <w:color w:val="231F20"/>
            </w:rPr>
            <w:t>índice de</w:t>
          </w:r>
          <w:r>
            <w:rPr>
              <w:color w:val="231F20"/>
              <w:spacing w:val="23"/>
            </w:rPr>
            <w:t> </w:t>
          </w:r>
          <w:r>
            <w:rPr>
              <w:color w:val="231F20"/>
            </w:rPr>
            <w:t>figuras</w:t>
          </w:r>
        </w:p>
        <w:p>
          <w:pPr>
            <w:pStyle w:val="TOC2"/>
            <w:tabs>
              <w:tab w:pos="2404" w:val="left" w:leader="none"/>
              <w:tab w:pos="9969" w:val="left" w:leader="dot"/>
            </w:tabs>
            <w:spacing w:before="349"/>
          </w:pPr>
          <w:r>
            <w:rPr>
              <w:color w:val="231F20"/>
            </w:rPr>
            <w:t>Figura</w:t>
          </w:r>
          <w:r>
            <w:rPr>
              <w:color w:val="231F20"/>
              <w:spacing w:val="9"/>
            </w:rPr>
            <w:t> </w:t>
          </w:r>
          <w:r>
            <w:rPr>
              <w:color w:val="231F20"/>
            </w:rPr>
            <w:t>5.</w:t>
            <w:tab/>
            <w:t>Utilización y costos</w:t>
          </w:r>
          <w:r>
            <w:rPr>
              <w:color w:val="231F20"/>
              <w:spacing w:val="32"/>
            </w:rPr>
            <w:t> </w:t>
          </w:r>
          <w:r>
            <w:rPr>
              <w:color w:val="231F20"/>
            </w:rPr>
            <w:t>de</w:t>
          </w:r>
          <w:r>
            <w:rPr>
              <w:color w:val="231F20"/>
              <w:spacing w:val="10"/>
            </w:rPr>
            <w:t> </w:t>
          </w:r>
          <w:r>
            <w:rPr>
              <w:color w:val="231F20"/>
            </w:rPr>
            <w:t>concentrados.</w:t>
            <w:tab/>
          </w:r>
          <w:r>
            <w:rPr>
              <w:color w:val="231F20"/>
              <w:spacing w:val="-4"/>
            </w:rPr>
            <w:t>130</w:t>
          </w:r>
        </w:p>
        <w:p>
          <w:pPr>
            <w:pStyle w:val="TOC2"/>
            <w:tabs>
              <w:tab w:pos="2404" w:val="left" w:leader="none"/>
              <w:tab w:pos="9969" w:val="left" w:leader="dot"/>
            </w:tabs>
            <w:spacing w:before="1"/>
          </w:pPr>
          <w:r>
            <w:rPr>
              <w:color w:val="231F20"/>
            </w:rPr>
            <w:t>Figura</w:t>
          </w:r>
          <w:r>
            <w:rPr>
              <w:color w:val="231F20"/>
              <w:spacing w:val="9"/>
            </w:rPr>
            <w:t> </w:t>
          </w:r>
          <w:r>
            <w:rPr>
              <w:color w:val="231F20"/>
            </w:rPr>
            <w:t>6.</w:t>
            <w:tab/>
            <w:t>Distribución de los principales ingresos en las unidades de   </w:t>
          </w:r>
          <w:r>
            <w:rPr>
              <w:color w:val="231F20"/>
              <w:spacing w:val="19"/>
            </w:rPr>
            <w:t> </w:t>
          </w:r>
          <w:r>
            <w:rPr>
              <w:color w:val="231F20"/>
            </w:rPr>
            <w:t>producción</w:t>
          </w:r>
          <w:r>
            <w:rPr>
              <w:color w:val="231F20"/>
              <w:spacing w:val="15"/>
            </w:rPr>
            <w:t> </w:t>
          </w:r>
          <w:r>
            <w:rPr>
              <w:color w:val="231F20"/>
            </w:rPr>
            <w:t>analizadas.</w:t>
            <w:tab/>
          </w:r>
          <w:r>
            <w:rPr>
              <w:color w:val="231F20"/>
              <w:spacing w:val="-4"/>
            </w:rPr>
            <w:t>131</w:t>
          </w:r>
        </w:p>
        <w:p>
          <w:pPr>
            <w:pStyle w:val="TOC2"/>
            <w:tabs>
              <w:tab w:pos="2404" w:val="left" w:leader="none"/>
              <w:tab w:pos="9969" w:val="left" w:leader="dot"/>
            </w:tabs>
            <w:spacing w:before="1"/>
          </w:pPr>
          <w:r>
            <w:rPr>
              <w:color w:val="231F20"/>
            </w:rPr>
            <w:t>Figura</w:t>
          </w:r>
          <w:r>
            <w:rPr>
              <w:color w:val="231F20"/>
              <w:spacing w:val="10"/>
            </w:rPr>
            <w:t> </w:t>
          </w:r>
          <w:r>
            <w:rPr>
              <w:color w:val="231F20"/>
              <w:spacing w:val="-12"/>
            </w:rPr>
            <w:t>7.</w:t>
            <w:tab/>
          </w:r>
          <w:r>
            <w:rPr>
              <w:color w:val="231F20"/>
            </w:rPr>
            <w:t>Porcentaje de ingresos provenientes de la venta  </w:t>
          </w:r>
          <w:r>
            <w:rPr>
              <w:color w:val="231F20"/>
              <w:spacing w:val="4"/>
            </w:rPr>
            <w:t> </w:t>
          </w:r>
          <w:r>
            <w:rPr>
              <w:color w:val="231F20"/>
            </w:rPr>
            <w:t>de</w:t>
          </w:r>
          <w:r>
            <w:rPr>
              <w:color w:val="231F20"/>
              <w:spacing w:val="12"/>
            </w:rPr>
            <w:t> </w:t>
          </w:r>
          <w:r>
            <w:rPr>
              <w:color w:val="231F20"/>
            </w:rPr>
            <w:t>bovinos.</w:t>
            <w:tab/>
          </w:r>
          <w:r>
            <w:rPr>
              <w:color w:val="231F20"/>
              <w:spacing w:val="-4"/>
            </w:rPr>
            <w:t>131</w:t>
          </w:r>
        </w:p>
        <w:p>
          <w:pPr>
            <w:pStyle w:val="TOC2"/>
            <w:tabs>
              <w:tab w:pos="2404" w:val="left" w:leader="none"/>
              <w:tab w:pos="9969" w:val="left" w:leader="dot"/>
            </w:tabs>
            <w:spacing w:before="1"/>
          </w:pPr>
          <w:r>
            <w:rPr>
              <w:color w:val="231F20"/>
            </w:rPr>
            <w:t>Figura</w:t>
          </w:r>
          <w:r>
            <w:rPr>
              <w:color w:val="231F20"/>
              <w:spacing w:val="9"/>
            </w:rPr>
            <w:t> </w:t>
          </w:r>
          <w:r>
            <w:rPr>
              <w:color w:val="231F20"/>
            </w:rPr>
            <w:t>8.</w:t>
            <w:tab/>
            <w:t>Margen neto por unidad de trabajo </w:t>
          </w:r>
          <w:r>
            <w:rPr>
              <w:color w:val="231F20"/>
              <w:spacing w:val="7"/>
            </w:rPr>
            <w:t> </w:t>
          </w:r>
          <w:r>
            <w:rPr>
              <w:color w:val="231F20"/>
            </w:rPr>
            <w:t>y</w:t>
          </w:r>
          <w:r>
            <w:rPr>
              <w:color w:val="231F20"/>
              <w:spacing w:val="8"/>
            </w:rPr>
            <w:t> </w:t>
          </w:r>
          <w:r>
            <w:rPr>
              <w:color w:val="231F20"/>
            </w:rPr>
            <w:t>año.</w:t>
            <w:tab/>
          </w:r>
          <w:r>
            <w:rPr>
              <w:color w:val="231F20"/>
              <w:spacing w:val="-4"/>
            </w:rPr>
            <w:t>132</w:t>
          </w:r>
        </w:p>
        <w:p>
          <w:pPr>
            <w:pStyle w:val="TOC2"/>
            <w:tabs>
              <w:tab w:pos="2404" w:val="left" w:leader="none"/>
              <w:tab w:pos="9969" w:val="left" w:leader="dot"/>
            </w:tabs>
            <w:spacing w:before="1"/>
          </w:pPr>
          <w:r>
            <w:rPr>
              <w:color w:val="231F20"/>
            </w:rPr>
            <w:t>Figura</w:t>
          </w:r>
          <w:r>
            <w:rPr>
              <w:color w:val="231F20"/>
              <w:spacing w:val="9"/>
            </w:rPr>
            <w:t> </w:t>
          </w:r>
          <w:r>
            <w:rPr>
              <w:color w:val="231F20"/>
            </w:rPr>
            <w:t>9.</w:t>
            <w:tab/>
            <w:t>Margen neto por vaca</w:t>
          </w:r>
          <w:r>
            <w:rPr>
              <w:color w:val="231F20"/>
              <w:spacing w:val="32"/>
            </w:rPr>
            <w:t> </w:t>
          </w:r>
          <w:r>
            <w:rPr>
              <w:color w:val="231F20"/>
            </w:rPr>
            <w:t>y</w:t>
          </w:r>
          <w:r>
            <w:rPr>
              <w:color w:val="231F20"/>
              <w:spacing w:val="8"/>
            </w:rPr>
            <w:t> </w:t>
          </w:r>
          <w:r>
            <w:rPr>
              <w:color w:val="231F20"/>
            </w:rPr>
            <w:t>año.</w:t>
            <w:tab/>
          </w:r>
          <w:r>
            <w:rPr>
              <w:color w:val="231F20"/>
              <w:spacing w:val="-4"/>
            </w:rPr>
            <w:t>132</w:t>
          </w:r>
        </w:p>
        <w:p>
          <w:pPr>
            <w:pStyle w:val="TOC2"/>
            <w:tabs>
              <w:tab w:pos="9969" w:val="left" w:leader="dot"/>
            </w:tabs>
            <w:spacing w:before="1"/>
          </w:pPr>
          <w:r>
            <w:rPr>
              <w:color w:val="231F20"/>
            </w:rPr>
            <w:t>Figura </w:t>
          </w:r>
          <w:r>
            <w:rPr>
              <w:color w:val="231F20"/>
              <w:spacing w:val="-3"/>
            </w:rPr>
            <w:t>10.   </w:t>
          </w:r>
          <w:r>
            <w:rPr>
              <w:color w:val="231F20"/>
            </w:rPr>
            <w:t>Margen neto por hectárea de superficie forrajera </w:t>
          </w:r>
          <w:r>
            <w:rPr>
              <w:color w:val="231F20"/>
              <w:spacing w:val="1"/>
            </w:rPr>
            <w:t> </w:t>
          </w:r>
          <w:r>
            <w:rPr>
              <w:color w:val="231F20"/>
            </w:rPr>
            <w:t>y</w:t>
          </w:r>
          <w:r>
            <w:rPr>
              <w:color w:val="231F20"/>
              <w:spacing w:val="7"/>
            </w:rPr>
            <w:t> </w:t>
          </w:r>
          <w:r>
            <w:rPr>
              <w:color w:val="231F20"/>
            </w:rPr>
            <w:t>año.</w:t>
            <w:tab/>
          </w:r>
          <w:r>
            <w:rPr>
              <w:color w:val="231F20"/>
              <w:spacing w:val="-4"/>
            </w:rPr>
            <w:t>133</w:t>
          </w:r>
        </w:p>
        <w:p>
          <w:pPr>
            <w:pStyle w:val="TOC2"/>
            <w:tabs>
              <w:tab w:pos="9969" w:val="left" w:leader="dot"/>
            </w:tabs>
            <w:spacing w:before="1"/>
          </w:pPr>
          <w:r>
            <w:rPr>
              <w:color w:val="231F20"/>
            </w:rPr>
            <w:t>Figura </w:t>
          </w:r>
          <w:r>
            <w:rPr>
              <w:color w:val="231F20"/>
              <w:spacing w:val="-3"/>
            </w:rPr>
            <w:t>12.   </w:t>
          </w:r>
          <w:r>
            <w:rPr>
              <w:color w:val="231F20"/>
            </w:rPr>
            <w:t>Costo total por hectárea de superficie forrajera  y</w:t>
          </w:r>
          <w:r>
            <w:rPr>
              <w:color w:val="231F20"/>
              <w:spacing w:val="7"/>
            </w:rPr>
            <w:t> </w:t>
          </w:r>
          <w:r>
            <w:rPr>
              <w:color w:val="231F20"/>
            </w:rPr>
            <w:t>año.</w:t>
            <w:tab/>
          </w:r>
          <w:r>
            <w:rPr>
              <w:color w:val="231F20"/>
              <w:spacing w:val="-4"/>
            </w:rPr>
            <w:t>133</w:t>
          </w:r>
        </w:p>
        <w:p>
          <w:pPr>
            <w:pStyle w:val="TOC2"/>
            <w:tabs>
              <w:tab w:pos="9969" w:val="left" w:leader="dot"/>
            </w:tabs>
            <w:spacing w:before="1"/>
          </w:pPr>
          <w:r>
            <w:rPr>
              <w:color w:val="231F20"/>
            </w:rPr>
            <w:t>Figura </w:t>
          </w:r>
          <w:r>
            <w:rPr>
              <w:color w:val="231F20"/>
              <w:spacing w:val="-3"/>
            </w:rPr>
            <w:t>11.   </w:t>
          </w:r>
          <w:r>
            <w:rPr>
              <w:color w:val="231F20"/>
            </w:rPr>
            <w:t>Costo total por vaca</w:t>
          </w:r>
          <w:r>
            <w:rPr>
              <w:color w:val="231F20"/>
              <w:spacing w:val="37"/>
            </w:rPr>
            <w:t> </w:t>
          </w:r>
          <w:r>
            <w:rPr>
              <w:color w:val="231F20"/>
            </w:rPr>
            <w:t>y</w:t>
          </w:r>
          <w:r>
            <w:rPr>
              <w:color w:val="231F20"/>
              <w:spacing w:val="9"/>
            </w:rPr>
            <w:t> </w:t>
          </w:r>
          <w:r>
            <w:rPr>
              <w:color w:val="231F20"/>
            </w:rPr>
            <w:t>año.</w:t>
            <w:tab/>
          </w:r>
          <w:r>
            <w:rPr>
              <w:color w:val="231F20"/>
              <w:spacing w:val="-4"/>
            </w:rPr>
            <w:t>133</w:t>
          </w:r>
        </w:p>
        <w:p>
          <w:pPr>
            <w:pStyle w:val="TOC2"/>
            <w:spacing w:before="171"/>
            <w:ind w:right="2503"/>
          </w:pPr>
          <w:hyperlink w:history="true" w:anchor="_TOC_250006">
            <w:r>
              <w:rPr>
                <w:color w:val="231F20"/>
                <w:w w:val="110"/>
              </w:rPr>
              <w:t>CAPÍTULO 9</w:t>
            </w:r>
          </w:hyperlink>
        </w:p>
        <w:p>
          <w:pPr>
            <w:pStyle w:val="TOC2"/>
            <w:tabs>
              <w:tab w:pos="2404" w:val="left" w:leader="none"/>
              <w:tab w:pos="9966" w:val="left" w:leader="dot"/>
            </w:tabs>
            <w:spacing w:before="1"/>
          </w:pPr>
          <w:r>
            <w:rPr>
              <w:color w:val="231F20"/>
            </w:rPr>
            <w:t>Figura</w:t>
          </w:r>
          <w:r>
            <w:rPr>
              <w:color w:val="231F20"/>
              <w:spacing w:val="9"/>
            </w:rPr>
            <w:t> </w:t>
          </w:r>
          <w:r>
            <w:rPr>
              <w:color w:val="231F20"/>
            </w:rPr>
            <w:t>1.</w:t>
            <w:tab/>
            <w:t>Zona de pastoreo en el interior </w:t>
          </w:r>
          <w:r>
            <w:rPr>
              <w:color w:val="231F20"/>
              <w:spacing w:val="35"/>
            </w:rPr>
            <w:t> </w:t>
          </w:r>
          <w:r>
            <w:rPr>
              <w:color w:val="231F20"/>
            </w:rPr>
            <w:t>del</w:t>
          </w:r>
          <w:r>
            <w:rPr>
              <w:color w:val="231F20"/>
              <w:spacing w:val="12"/>
            </w:rPr>
            <w:t> </w:t>
          </w:r>
          <w:r>
            <w:rPr>
              <w:color w:val="231F20"/>
            </w:rPr>
            <w:t>bosque</w:t>
            <w:tab/>
          </w:r>
          <w:r>
            <w:rPr>
              <w:color w:val="231F20"/>
              <w:spacing w:val="-3"/>
            </w:rPr>
            <w:t>146</w:t>
          </w:r>
        </w:p>
        <w:p>
          <w:pPr>
            <w:pStyle w:val="TOC2"/>
            <w:spacing w:before="171"/>
            <w:ind w:right="2503"/>
          </w:pPr>
          <w:hyperlink w:history="true" w:anchor="_TOC_250005">
            <w:r>
              <w:rPr>
                <w:color w:val="231F20"/>
                <w:w w:val="110"/>
              </w:rPr>
              <w:t>CAPÍTULO 10</w:t>
            </w:r>
          </w:hyperlink>
        </w:p>
        <w:p>
          <w:pPr>
            <w:pStyle w:val="TOC2"/>
            <w:tabs>
              <w:tab w:pos="2404" w:val="left" w:leader="none"/>
            </w:tabs>
            <w:spacing w:before="1"/>
            <w:ind w:right="2503"/>
          </w:pPr>
          <w:r>
            <w:rPr>
              <w:color w:val="231F20"/>
            </w:rPr>
            <w:t>Figura</w:t>
          </w:r>
          <w:r>
            <w:rPr>
              <w:color w:val="231F20"/>
              <w:spacing w:val="9"/>
            </w:rPr>
            <w:t> </w:t>
          </w:r>
          <w:r>
            <w:rPr>
              <w:color w:val="231F20"/>
            </w:rPr>
            <w:t>1.</w:t>
            <w:tab/>
            <w:t>Ubicación</w:t>
          </w:r>
          <w:r>
            <w:rPr>
              <w:color w:val="231F20"/>
              <w:spacing w:val="15"/>
            </w:rPr>
            <w:t> </w:t>
          </w:r>
          <w:r>
            <w:rPr>
              <w:color w:val="231F20"/>
            </w:rPr>
            <w:t>geográfica</w:t>
          </w:r>
          <w:r>
            <w:rPr>
              <w:color w:val="231F20"/>
              <w:spacing w:val="15"/>
            </w:rPr>
            <w:t> </w:t>
          </w:r>
          <w:r>
            <w:rPr>
              <w:color w:val="231F20"/>
            </w:rPr>
            <w:t>del</w:t>
          </w:r>
          <w:r>
            <w:rPr>
              <w:color w:val="231F20"/>
              <w:spacing w:val="15"/>
            </w:rPr>
            <w:t> </w:t>
          </w:r>
          <w:r>
            <w:rPr>
              <w:color w:val="231F20"/>
            </w:rPr>
            <w:t>área</w:t>
          </w:r>
          <w:r>
            <w:rPr>
              <w:color w:val="231F20"/>
              <w:spacing w:val="15"/>
            </w:rPr>
            <w:t> </w:t>
          </w:r>
          <w:r>
            <w:rPr>
              <w:color w:val="231F20"/>
            </w:rPr>
            <w:t>de</w:t>
          </w:r>
          <w:r>
            <w:rPr>
              <w:color w:val="231F20"/>
              <w:spacing w:val="15"/>
            </w:rPr>
            <w:t> </w:t>
          </w:r>
          <w:r>
            <w:rPr>
              <w:color w:val="231F20"/>
            </w:rPr>
            <w:t>estudio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Parque</w:t>
          </w:r>
          <w:r>
            <w:rPr>
              <w:color w:val="231F20"/>
              <w:spacing w:val="15"/>
            </w:rPr>
            <w:t> </w:t>
          </w:r>
          <w:r>
            <w:rPr>
              <w:color w:val="231F20"/>
            </w:rPr>
            <w:t>Nacional</w:t>
          </w:r>
          <w:r>
            <w:rPr>
              <w:color w:val="231F20"/>
              <w:spacing w:val="15"/>
            </w:rPr>
            <w:t> </w:t>
          </w:r>
          <w:r>
            <w:rPr>
              <w:color w:val="231F20"/>
            </w:rPr>
            <w:t>Nevado</w:t>
          </w:r>
          <w:r>
            <w:rPr>
              <w:color w:val="231F20"/>
              <w:spacing w:val="15"/>
            </w:rPr>
            <w:t> </w:t>
          </w:r>
          <w:r>
            <w:rPr>
              <w:color w:val="231F20"/>
            </w:rPr>
            <w:t>de</w:t>
          </w:r>
          <w:r>
            <w:rPr>
              <w:color w:val="231F20"/>
              <w:spacing w:val="15"/>
            </w:rPr>
            <w:t> </w:t>
          </w:r>
          <w:r>
            <w:rPr>
              <w:color w:val="231F20"/>
              <w:spacing w:val="-3"/>
            </w:rPr>
            <w:t>Toluca,</w:t>
          </w:r>
        </w:p>
        <w:p>
          <w:pPr>
            <w:pStyle w:val="TOC3"/>
            <w:tabs>
              <w:tab w:pos="9969" w:val="left" w:leader="dot"/>
            </w:tabs>
          </w:pPr>
          <w:r>
            <w:rPr>
              <w:color w:val="231F20"/>
              <w:w w:val="105"/>
            </w:rPr>
            <w:t>Estado</w:t>
          </w:r>
          <w:r>
            <w:rPr>
              <w:color w:val="231F20"/>
              <w:spacing w:val="-8"/>
              <w:w w:val="105"/>
            </w:rPr>
            <w:t> </w:t>
          </w:r>
          <w:r>
            <w:rPr>
              <w:color w:val="231F20"/>
              <w:w w:val="105"/>
            </w:rPr>
            <w:t>de</w:t>
          </w:r>
          <w:r>
            <w:rPr>
              <w:color w:val="231F20"/>
              <w:spacing w:val="-8"/>
              <w:w w:val="105"/>
            </w:rPr>
            <w:t> </w:t>
          </w:r>
          <w:r>
            <w:rPr>
              <w:color w:val="231F20"/>
              <w:w w:val="105"/>
            </w:rPr>
            <w:t>México.</w:t>
            <w:tab/>
          </w:r>
          <w:r>
            <w:rPr>
              <w:color w:val="231F20"/>
              <w:spacing w:val="-4"/>
              <w:w w:val="105"/>
            </w:rPr>
            <w:t>153</w:t>
          </w:r>
        </w:p>
        <w:p>
          <w:pPr>
            <w:pStyle w:val="TOC2"/>
            <w:tabs>
              <w:tab w:pos="2404" w:val="left" w:leader="none"/>
            </w:tabs>
            <w:spacing w:before="1"/>
            <w:ind w:right="2503"/>
          </w:pPr>
          <w:r>
            <w:rPr>
              <w:color w:val="231F20"/>
            </w:rPr>
            <w:t>Figura</w:t>
          </w:r>
          <w:r>
            <w:rPr>
              <w:color w:val="231F20"/>
              <w:spacing w:val="9"/>
            </w:rPr>
            <w:t> </w:t>
          </w:r>
          <w:r>
            <w:rPr>
              <w:color w:val="231F20"/>
            </w:rPr>
            <w:t>2.</w:t>
            <w:tab/>
            <w:t>A)</w:t>
          </w:r>
          <w:r>
            <w:rPr>
              <w:color w:val="231F20"/>
              <w:spacing w:val="17"/>
            </w:rPr>
            <w:t> </w:t>
          </w:r>
          <w:r>
            <w:rPr>
              <w:color w:val="231F20"/>
            </w:rPr>
            <w:t>Pastoreo</w:t>
          </w:r>
          <w:r>
            <w:rPr>
              <w:color w:val="231F20"/>
              <w:spacing w:val="17"/>
            </w:rPr>
            <w:t> </w:t>
          </w:r>
          <w:r>
            <w:rPr>
              <w:color w:val="231F20"/>
            </w:rPr>
            <w:t>de</w:t>
          </w:r>
          <w:r>
            <w:rPr>
              <w:color w:val="231F20"/>
              <w:spacing w:val="17"/>
            </w:rPr>
            <w:t> </w:t>
          </w:r>
          <w:r>
            <w:rPr>
              <w:color w:val="231F20"/>
            </w:rPr>
            <w:t>ovinos</w:t>
          </w:r>
          <w:r>
            <w:rPr>
              <w:color w:val="231F20"/>
              <w:spacing w:val="17"/>
            </w:rPr>
            <w:t> </w:t>
          </w:r>
          <w:r>
            <w:rPr>
              <w:color w:val="231F20"/>
            </w:rPr>
            <w:t>en</w:t>
          </w:r>
          <w:r>
            <w:rPr>
              <w:color w:val="231F20"/>
              <w:spacing w:val="17"/>
            </w:rPr>
            <w:t> </w:t>
          </w:r>
          <w:r>
            <w:rPr>
              <w:color w:val="231F20"/>
            </w:rPr>
            <w:t>una</w:t>
          </w:r>
          <w:r>
            <w:rPr>
              <w:color w:val="231F20"/>
              <w:spacing w:val="17"/>
            </w:rPr>
            <w:t> </w:t>
          </w:r>
          <w:r>
            <w:rPr>
              <w:color w:val="231F20"/>
            </w:rPr>
            <w:t>zona</w:t>
          </w:r>
          <w:r>
            <w:rPr>
              <w:color w:val="231F20"/>
              <w:spacing w:val="17"/>
            </w:rPr>
            <w:t> </w:t>
          </w:r>
          <w:r>
            <w:rPr>
              <w:color w:val="231F20"/>
            </w:rPr>
            <w:t>de</w:t>
          </w:r>
          <w:r>
            <w:rPr>
              <w:color w:val="231F20"/>
              <w:spacing w:val="17"/>
            </w:rPr>
            <w:t> </w:t>
          </w:r>
          <w:r>
            <w:rPr>
              <w:color w:val="231F20"/>
            </w:rPr>
            <w:t>bosque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localidad</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Peñuela.</w:t>
          </w:r>
        </w:p>
        <w:p>
          <w:pPr>
            <w:pStyle w:val="TOC3"/>
            <w:tabs>
              <w:tab w:pos="9969" w:val="left" w:leader="dot"/>
            </w:tabs>
          </w:pPr>
          <w:r>
            <w:rPr>
              <w:color w:val="231F20"/>
            </w:rPr>
            <w:t>B) Pastoreo en áreas abiertas a la agricultura en la localidad de  </w:t>
          </w:r>
          <w:r>
            <w:rPr>
              <w:color w:val="231F20"/>
              <w:spacing w:val="38"/>
            </w:rPr>
            <w:t> </w:t>
          </w:r>
          <w:r>
            <w:rPr>
              <w:color w:val="231F20"/>
            </w:rPr>
            <w:t>Loma</w:t>
          </w:r>
          <w:r>
            <w:rPr>
              <w:color w:val="231F20"/>
              <w:spacing w:val="10"/>
            </w:rPr>
            <w:t> </w:t>
          </w:r>
          <w:r>
            <w:rPr>
              <w:color w:val="231F20"/>
            </w:rPr>
            <w:t>Alta.</w:t>
            <w:tab/>
          </w:r>
          <w:r>
            <w:rPr>
              <w:color w:val="231F20"/>
              <w:spacing w:val="-4"/>
            </w:rPr>
            <w:t>155</w:t>
          </w:r>
        </w:p>
        <w:p>
          <w:pPr>
            <w:pStyle w:val="TOC2"/>
            <w:tabs>
              <w:tab w:pos="2404" w:val="left" w:leader="none"/>
            </w:tabs>
            <w:spacing w:before="1"/>
            <w:ind w:right="2503"/>
          </w:pPr>
          <w:r>
            <w:rPr>
              <w:color w:val="231F20"/>
            </w:rPr>
            <w:t>Figura</w:t>
          </w:r>
          <w:r>
            <w:rPr>
              <w:color w:val="231F20"/>
              <w:spacing w:val="9"/>
            </w:rPr>
            <w:t> </w:t>
          </w:r>
          <w:r>
            <w:rPr>
              <w:color w:val="231F20"/>
            </w:rPr>
            <w:t>3.</w:t>
            <w:tab/>
            <w:t>A) El pastoreo afecta la calidad de recursos como el   </w:t>
          </w:r>
          <w:r>
            <w:rPr>
              <w:color w:val="231F20"/>
              <w:spacing w:val="8"/>
            </w:rPr>
            <w:t> </w:t>
          </w:r>
          <w:r>
            <w:rPr>
              <w:color w:val="231F20"/>
            </w:rPr>
            <w:t>agua.</w:t>
          </w:r>
        </w:p>
        <w:p>
          <w:pPr>
            <w:pStyle w:val="TOC3"/>
            <w:tabs>
              <w:tab w:pos="9973" w:val="left" w:leader="dot"/>
            </w:tabs>
          </w:pPr>
          <w:r>
            <w:rPr>
              <w:color w:val="231F20"/>
            </w:rPr>
            <w:t>B)</w:t>
          </w:r>
          <w:r>
            <w:rPr>
              <w:color w:val="231F20"/>
              <w:spacing w:val="16"/>
            </w:rPr>
            <w:t> </w:t>
          </w:r>
          <w:r>
            <w:rPr>
              <w:color w:val="231F20"/>
            </w:rPr>
            <w:t>El</w:t>
          </w:r>
          <w:r>
            <w:rPr>
              <w:color w:val="231F20"/>
              <w:spacing w:val="16"/>
            </w:rPr>
            <w:t> </w:t>
          </w:r>
          <w:r>
            <w:rPr>
              <w:color w:val="231F20"/>
            </w:rPr>
            <w:t>pastoreo</w:t>
          </w:r>
          <w:r>
            <w:rPr>
              <w:color w:val="231F20"/>
              <w:spacing w:val="16"/>
            </w:rPr>
            <w:t> </w:t>
          </w:r>
          <w:r>
            <w:rPr>
              <w:color w:val="231F20"/>
            </w:rPr>
            <w:t>provoca</w:t>
          </w:r>
          <w:r>
            <w:rPr>
              <w:color w:val="231F20"/>
              <w:spacing w:val="16"/>
            </w:rPr>
            <w:t> </w:t>
          </w:r>
          <w:r>
            <w:rPr>
              <w:color w:val="231F20"/>
            </w:rPr>
            <w:t>la</w:t>
          </w:r>
          <w:r>
            <w:rPr>
              <w:color w:val="231F20"/>
              <w:spacing w:val="16"/>
            </w:rPr>
            <w:t> </w:t>
          </w:r>
          <w:r>
            <w:rPr>
              <w:color w:val="231F20"/>
            </w:rPr>
            <w:t>formación</w:t>
          </w:r>
          <w:r>
            <w:rPr>
              <w:color w:val="231F20"/>
              <w:spacing w:val="16"/>
            </w:rPr>
            <w:t> </w:t>
          </w:r>
          <w:r>
            <w:rPr>
              <w:color w:val="231F20"/>
            </w:rPr>
            <w:t>de</w:t>
          </w:r>
          <w:r>
            <w:rPr>
              <w:color w:val="231F20"/>
              <w:spacing w:val="16"/>
            </w:rPr>
            <w:t> </w:t>
          </w:r>
          <w:r>
            <w:rPr>
              <w:color w:val="231F20"/>
            </w:rPr>
            <w:t>caminos</w:t>
          </w:r>
          <w:r>
            <w:rPr>
              <w:color w:val="231F20"/>
              <w:spacing w:val="16"/>
            </w:rPr>
            <w:t> </w:t>
          </w:r>
          <w:r>
            <w:rPr>
              <w:color w:val="231F20"/>
            </w:rPr>
            <w:t>permanentes</w:t>
          </w:r>
          <w:r>
            <w:rPr>
              <w:color w:val="231F20"/>
              <w:spacing w:val="16"/>
            </w:rPr>
            <w:t> </w:t>
          </w:r>
          <w:r>
            <w:rPr>
              <w:color w:val="231F20"/>
            </w:rPr>
            <w:t>dentro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zonas</w:t>
          </w:r>
          <w:r>
            <w:rPr>
              <w:color w:val="231F20"/>
              <w:spacing w:val="16"/>
            </w:rPr>
            <w:t> </w:t>
          </w:r>
          <w:r>
            <w:rPr>
              <w:color w:val="231F20"/>
            </w:rPr>
            <w:t>de</w:t>
          </w:r>
          <w:r>
            <w:rPr>
              <w:color w:val="231F20"/>
              <w:spacing w:val="16"/>
            </w:rPr>
            <w:t> </w:t>
          </w:r>
          <w:r>
            <w:rPr>
              <w:color w:val="231F20"/>
            </w:rPr>
            <w:t>bosque.</w:t>
            <w:tab/>
          </w:r>
          <w:r>
            <w:rPr>
              <w:color w:val="231F20"/>
              <w:spacing w:val="-8"/>
            </w:rPr>
            <w:t>161</w:t>
          </w:r>
        </w:p>
        <w:p>
          <w:pPr>
            <w:pStyle w:val="TOC2"/>
            <w:spacing w:before="171"/>
            <w:ind w:right="2503"/>
          </w:pPr>
          <w:hyperlink w:history="true" w:anchor="_TOC_250004">
            <w:r>
              <w:rPr>
                <w:color w:val="231F20"/>
                <w:w w:val="110"/>
              </w:rPr>
              <w:t>CAPÍTULO 11</w:t>
            </w:r>
          </w:hyperlink>
        </w:p>
        <w:p>
          <w:pPr>
            <w:pStyle w:val="TOC2"/>
            <w:tabs>
              <w:tab w:pos="2404" w:val="left" w:leader="none"/>
              <w:tab w:pos="9973" w:val="left" w:leader="dot"/>
            </w:tabs>
            <w:spacing w:before="1"/>
          </w:pPr>
          <w:r>
            <w:rPr>
              <w:color w:val="231F20"/>
            </w:rPr>
            <w:t>Figura</w:t>
          </w:r>
          <w:r>
            <w:rPr>
              <w:color w:val="231F20"/>
              <w:spacing w:val="9"/>
            </w:rPr>
            <w:t> </w:t>
          </w:r>
          <w:r>
            <w:rPr>
              <w:color w:val="231F20"/>
            </w:rPr>
            <w:t>1.</w:t>
            <w:tab/>
            <w:t>Zonas borregueras y regiones ganaderas </w:t>
          </w:r>
          <w:r>
            <w:rPr>
              <w:color w:val="231F20"/>
              <w:spacing w:val="28"/>
            </w:rPr>
            <w:t> </w:t>
          </w:r>
          <w:r>
            <w:rPr>
              <w:color w:val="231F20"/>
            </w:rPr>
            <w:t>de</w:t>
          </w:r>
          <w:r>
            <w:rPr>
              <w:color w:val="231F20"/>
              <w:spacing w:val="13"/>
            </w:rPr>
            <w:t> </w:t>
          </w:r>
          <w:r>
            <w:rPr>
              <w:color w:val="231F20"/>
            </w:rPr>
            <w:t>Michoacán.</w:t>
            <w:tab/>
          </w:r>
          <w:r>
            <w:rPr>
              <w:color w:val="231F20"/>
              <w:spacing w:val="-8"/>
            </w:rPr>
            <w:t>170</w:t>
          </w:r>
        </w:p>
        <w:p>
          <w:pPr>
            <w:pStyle w:val="TOC2"/>
            <w:tabs>
              <w:tab w:pos="2509" w:val="left" w:leader="none"/>
              <w:tab w:pos="9973" w:val="left" w:leader="dot"/>
            </w:tabs>
            <w:spacing w:before="1"/>
          </w:pPr>
          <w:r>
            <w:rPr>
              <w:color w:val="231F20"/>
            </w:rPr>
            <w:t>Figura</w:t>
          </w:r>
          <w:r>
            <w:rPr>
              <w:color w:val="231F20"/>
              <w:spacing w:val="9"/>
            </w:rPr>
            <w:t> </w:t>
          </w:r>
          <w:r>
            <w:rPr>
              <w:color w:val="231F20"/>
            </w:rPr>
            <w:t>2.</w:t>
            <w:tab/>
            <w:t>Zonas borregueras en el Estado de Michoacán y sus   </w:t>
          </w:r>
          <w:r>
            <w:rPr>
              <w:color w:val="231F20"/>
              <w:spacing w:val="12"/>
            </w:rPr>
            <w:t> </w:t>
          </w:r>
          <w:r>
            <w:rPr>
              <w:color w:val="231F20"/>
            </w:rPr>
            <w:t>climas</w:t>
          </w:r>
          <w:r>
            <w:rPr>
              <w:color w:val="231F20"/>
              <w:spacing w:val="14"/>
            </w:rPr>
            <w:t> </w:t>
          </w:r>
          <w:r>
            <w:rPr>
              <w:color w:val="231F20"/>
            </w:rPr>
            <w:t>correspondientes.</w:t>
            <w:tab/>
          </w:r>
          <w:r>
            <w:rPr>
              <w:color w:val="231F20"/>
              <w:spacing w:val="-8"/>
            </w:rPr>
            <w:t>171</w:t>
          </w:r>
        </w:p>
        <w:p>
          <w:pPr>
            <w:pStyle w:val="TOC2"/>
            <w:tabs>
              <w:tab w:pos="2404" w:val="left" w:leader="none"/>
              <w:tab w:pos="9973" w:val="left" w:leader="dot"/>
            </w:tabs>
            <w:spacing w:before="1"/>
          </w:pPr>
          <w:r>
            <w:rPr>
              <w:color w:val="231F20"/>
            </w:rPr>
            <w:t>Figura</w:t>
          </w:r>
          <w:r>
            <w:rPr>
              <w:color w:val="231F20"/>
              <w:spacing w:val="9"/>
            </w:rPr>
            <w:t> </w:t>
          </w:r>
          <w:r>
            <w:rPr>
              <w:color w:val="231F20"/>
            </w:rPr>
            <w:t>3.</w:t>
            <w:tab/>
            <w:t>Zonas borregueras y subprovincias fisiográficas en el Estado  </w:t>
          </w:r>
          <w:r>
            <w:rPr>
              <w:color w:val="231F20"/>
              <w:spacing w:val="14"/>
            </w:rPr>
            <w:t> </w:t>
          </w:r>
          <w:r>
            <w:rPr>
              <w:color w:val="231F20"/>
            </w:rPr>
            <w:t>de</w:t>
          </w:r>
          <w:r>
            <w:rPr>
              <w:color w:val="231F20"/>
              <w:spacing w:val="12"/>
            </w:rPr>
            <w:t> </w:t>
          </w:r>
          <w:r>
            <w:rPr>
              <w:color w:val="231F20"/>
            </w:rPr>
            <w:t>Michoacán.</w:t>
            <w:tab/>
          </w:r>
          <w:r>
            <w:rPr>
              <w:color w:val="231F20"/>
              <w:spacing w:val="-8"/>
            </w:rPr>
            <w:t>171</w:t>
          </w:r>
        </w:p>
        <w:p>
          <w:pPr>
            <w:pStyle w:val="TOC2"/>
            <w:tabs>
              <w:tab w:pos="2404" w:val="left" w:leader="none"/>
            </w:tabs>
            <w:spacing w:before="1"/>
            <w:ind w:right="2503"/>
          </w:pPr>
          <w:r>
            <w:rPr>
              <w:color w:val="231F20"/>
            </w:rPr>
            <w:t>Figura</w:t>
          </w:r>
          <w:r>
            <w:rPr>
              <w:color w:val="231F20"/>
              <w:spacing w:val="9"/>
            </w:rPr>
            <w:t> </w:t>
          </w:r>
          <w:r>
            <w:rPr>
              <w:color w:val="231F20"/>
            </w:rPr>
            <w:t>4.</w:t>
            <w:tab/>
            <w:t>Ingreso</w:t>
          </w:r>
          <w:r>
            <w:rPr>
              <w:color w:val="231F20"/>
              <w:spacing w:val="11"/>
            </w:rPr>
            <w:t> </w:t>
          </w:r>
          <w:r>
            <w:rPr>
              <w:color w:val="231F20"/>
            </w:rPr>
            <w:t>promedio</w:t>
          </w:r>
          <w:r>
            <w:rPr>
              <w:color w:val="231F20"/>
              <w:spacing w:val="11"/>
            </w:rPr>
            <w:t> </w:t>
          </w:r>
          <w:r>
            <w:rPr>
              <w:color w:val="231F20"/>
            </w:rPr>
            <w:t>mensual</w:t>
          </w:r>
          <w:r>
            <w:rPr>
              <w:color w:val="231F20"/>
              <w:spacing w:val="11"/>
            </w:rPr>
            <w:t> </w:t>
          </w:r>
          <w:r>
            <w:rPr>
              <w:color w:val="231F20"/>
            </w:rPr>
            <w:t>y</w:t>
          </w:r>
          <w:r>
            <w:rPr>
              <w:color w:val="231F20"/>
              <w:spacing w:val="11"/>
            </w:rPr>
            <w:t> </w:t>
          </w:r>
          <w:r>
            <w:rPr>
              <w:color w:val="231F20"/>
            </w:rPr>
            <w:t>porcentaje</w:t>
          </w:r>
          <w:r>
            <w:rPr>
              <w:color w:val="231F20"/>
              <w:spacing w:val="11"/>
            </w:rPr>
            <w:t> </w:t>
          </w:r>
          <w:r>
            <w:rPr>
              <w:color w:val="231F20"/>
            </w:rPr>
            <w:t>de</w:t>
          </w:r>
          <w:r>
            <w:rPr>
              <w:color w:val="231F20"/>
              <w:spacing w:val="11"/>
            </w:rPr>
            <w:t> </w:t>
          </w:r>
          <w:r>
            <w:rPr>
              <w:color w:val="231F20"/>
            </w:rPr>
            <w:t>aporte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unidad</w:t>
          </w:r>
          <w:r>
            <w:rPr>
              <w:color w:val="231F20"/>
              <w:spacing w:val="11"/>
            </w:rPr>
            <w:t> </w:t>
          </w:r>
          <w:r>
            <w:rPr>
              <w:color w:val="231F20"/>
            </w:rPr>
            <w:t>familiar</w:t>
          </w:r>
          <w:r>
            <w:rPr>
              <w:color w:val="231F20"/>
              <w:spacing w:val="11"/>
            </w:rPr>
            <w:t> </w:t>
          </w:r>
          <w:r>
            <w:rPr>
              <w:color w:val="231F20"/>
            </w:rPr>
            <w:t>por</w:t>
          </w:r>
          <w:r>
            <w:rPr>
              <w:color w:val="231F20"/>
              <w:spacing w:val="11"/>
            </w:rPr>
            <w:t> </w:t>
          </w:r>
          <w:r>
            <w:rPr>
              <w:color w:val="231F20"/>
            </w:rPr>
            <w:t>ventas</w:t>
          </w:r>
        </w:p>
        <w:p>
          <w:pPr>
            <w:pStyle w:val="TOC3"/>
            <w:tabs>
              <w:tab w:pos="9973" w:val="left" w:leader="dot"/>
            </w:tabs>
          </w:pPr>
          <w:r>
            <w:rPr>
              <w:color w:val="231F20"/>
            </w:rPr>
            <w:t>de ovinos y</w:t>
          </w:r>
          <w:r>
            <w:rPr>
              <w:color w:val="231F20"/>
              <w:spacing w:val="40"/>
            </w:rPr>
            <w:t> </w:t>
          </w:r>
          <w:r>
            <w:rPr>
              <w:color w:val="231F20"/>
            </w:rPr>
            <w:t>sus</w:t>
          </w:r>
          <w:r>
            <w:rPr>
              <w:color w:val="231F20"/>
              <w:spacing w:val="13"/>
            </w:rPr>
            <w:t> </w:t>
          </w:r>
          <w:r>
            <w:rPr>
              <w:color w:val="231F20"/>
            </w:rPr>
            <w:t>productos.</w:t>
            <w:tab/>
          </w:r>
          <w:r>
            <w:rPr>
              <w:color w:val="231F20"/>
              <w:spacing w:val="-8"/>
            </w:rPr>
            <w:t>174</w:t>
          </w:r>
        </w:p>
        <w:p>
          <w:pPr>
            <w:pStyle w:val="TOC2"/>
            <w:tabs>
              <w:tab w:pos="2404" w:val="left" w:leader="none"/>
              <w:tab w:pos="9973" w:val="left" w:leader="dot"/>
            </w:tabs>
            <w:spacing w:before="1"/>
          </w:pPr>
          <w:r>
            <w:rPr>
              <w:color w:val="231F20"/>
            </w:rPr>
            <w:t>Figura</w:t>
          </w:r>
          <w:r>
            <w:rPr>
              <w:color w:val="231F20"/>
              <w:spacing w:val="9"/>
            </w:rPr>
            <w:t> </w:t>
          </w:r>
          <w:r>
            <w:rPr>
              <w:color w:val="231F20"/>
            </w:rPr>
            <w:t>5.</w:t>
            <w:tab/>
            <w:t>Tipo</w:t>
          </w:r>
          <w:r>
            <w:rPr>
              <w:color w:val="231F20"/>
              <w:spacing w:val="12"/>
            </w:rPr>
            <w:t> </w:t>
          </w:r>
          <w:r>
            <w:rPr>
              <w:color w:val="231F20"/>
            </w:rPr>
            <w:t>de</w:t>
          </w:r>
          <w:r>
            <w:rPr>
              <w:color w:val="231F20"/>
              <w:spacing w:val="12"/>
            </w:rPr>
            <w:t> </w:t>
          </w:r>
          <w:r>
            <w:rPr>
              <w:color w:val="231F20"/>
            </w:rPr>
            <w:t>tenencia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tierra</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unidades</w:t>
          </w:r>
          <w:r>
            <w:rPr>
              <w:color w:val="231F20"/>
              <w:spacing w:val="12"/>
            </w:rPr>
            <w:t> </w:t>
          </w:r>
          <w:r>
            <w:rPr>
              <w:color w:val="231F20"/>
            </w:rPr>
            <w:t>de</w:t>
          </w:r>
          <w:r>
            <w:rPr>
              <w:color w:val="231F20"/>
              <w:spacing w:val="12"/>
            </w:rPr>
            <w:t> </w:t>
          </w:r>
          <w:r>
            <w:rPr>
              <w:color w:val="231F20"/>
            </w:rPr>
            <w:t>producción</w:t>
          </w:r>
          <w:r>
            <w:rPr>
              <w:color w:val="231F20"/>
              <w:spacing w:val="12"/>
            </w:rPr>
            <w:t> </w:t>
          </w:r>
          <w:r>
            <w:rPr>
              <w:color w:val="231F20"/>
            </w:rPr>
            <w:t>ovina</w:t>
          </w:r>
          <w:r>
            <w:rPr>
              <w:color w:val="231F20"/>
              <w:spacing w:val="12"/>
            </w:rPr>
            <w:t> </w:t>
          </w:r>
          <w:r>
            <w:rPr>
              <w:color w:val="231F20"/>
            </w:rPr>
            <w:t>por</w:t>
          </w:r>
          <w:r>
            <w:rPr>
              <w:color w:val="231F20"/>
              <w:spacing w:val="12"/>
            </w:rPr>
            <w:t> </w:t>
          </w:r>
          <w:r>
            <w:rPr>
              <w:color w:val="231F20"/>
            </w:rPr>
            <w:t>zonas.</w:t>
            <w:tab/>
          </w:r>
          <w:r>
            <w:rPr>
              <w:color w:val="231F20"/>
              <w:spacing w:val="-8"/>
            </w:rPr>
            <w:t>176</w:t>
          </w:r>
        </w:p>
        <w:p>
          <w:pPr>
            <w:pStyle w:val="TOC2"/>
            <w:tabs>
              <w:tab w:pos="2404" w:val="left" w:leader="none"/>
              <w:tab w:pos="9973" w:val="left" w:leader="dot"/>
            </w:tabs>
            <w:spacing w:before="1"/>
          </w:pPr>
          <w:r>
            <w:rPr>
              <w:color w:val="231F20"/>
            </w:rPr>
            <w:t>Figura</w:t>
          </w:r>
          <w:r>
            <w:rPr>
              <w:color w:val="231F20"/>
              <w:spacing w:val="9"/>
            </w:rPr>
            <w:t> </w:t>
          </w:r>
          <w:r>
            <w:rPr>
              <w:color w:val="231F20"/>
            </w:rPr>
            <w:t>6.</w:t>
            <w:tab/>
            <w:t>Diversidad de razas de sementales ovinos  </w:t>
          </w:r>
          <w:r>
            <w:rPr>
              <w:color w:val="231F20"/>
              <w:spacing w:val="13"/>
            </w:rPr>
            <w:t> </w:t>
          </w:r>
          <w:r>
            <w:rPr>
              <w:color w:val="231F20"/>
            </w:rPr>
            <w:t>por</w:t>
          </w:r>
          <w:r>
            <w:rPr>
              <w:color w:val="231F20"/>
              <w:spacing w:val="15"/>
            </w:rPr>
            <w:t> </w:t>
          </w:r>
          <w:r>
            <w:rPr>
              <w:color w:val="231F20"/>
            </w:rPr>
            <w:t>zona.</w:t>
            <w:tab/>
          </w:r>
          <w:r>
            <w:rPr>
              <w:color w:val="231F20"/>
              <w:spacing w:val="-8"/>
            </w:rPr>
            <w:t>177</w:t>
          </w:r>
        </w:p>
        <w:p>
          <w:pPr>
            <w:pStyle w:val="TOC2"/>
            <w:tabs>
              <w:tab w:pos="2404" w:val="left" w:leader="none"/>
              <w:tab w:pos="9973" w:val="left" w:leader="dot"/>
            </w:tabs>
            <w:spacing w:before="1"/>
          </w:pPr>
          <w:r>
            <w:rPr>
              <w:color w:val="231F20"/>
            </w:rPr>
            <w:t>Figura</w:t>
          </w:r>
          <w:r>
            <w:rPr>
              <w:color w:val="231F20"/>
              <w:spacing w:val="10"/>
            </w:rPr>
            <w:t> </w:t>
          </w:r>
          <w:r>
            <w:rPr>
              <w:color w:val="231F20"/>
              <w:spacing w:val="-12"/>
            </w:rPr>
            <w:t>7.</w:t>
            <w:tab/>
          </w:r>
          <w:r>
            <w:rPr>
              <w:color w:val="231F20"/>
            </w:rPr>
            <w:t>Diversidad de razas de vientres de ovinos  </w:t>
          </w:r>
          <w:r>
            <w:rPr>
              <w:color w:val="231F20"/>
              <w:spacing w:val="8"/>
            </w:rPr>
            <w:t> </w:t>
          </w:r>
          <w:r>
            <w:rPr>
              <w:color w:val="231F20"/>
            </w:rPr>
            <w:t>por</w:t>
          </w:r>
          <w:r>
            <w:rPr>
              <w:color w:val="231F20"/>
              <w:spacing w:val="12"/>
            </w:rPr>
            <w:t> </w:t>
          </w:r>
          <w:r>
            <w:rPr>
              <w:color w:val="231F20"/>
            </w:rPr>
            <w:t>zona.</w:t>
            <w:tab/>
          </w:r>
          <w:r>
            <w:rPr>
              <w:color w:val="231F20"/>
              <w:spacing w:val="-8"/>
            </w:rPr>
            <w:t>177</w:t>
          </w:r>
        </w:p>
        <w:p>
          <w:pPr>
            <w:pStyle w:val="TOC2"/>
            <w:spacing w:before="171"/>
            <w:ind w:right="2503"/>
          </w:pPr>
          <w:hyperlink w:history="true" w:anchor="_TOC_250003">
            <w:r>
              <w:rPr>
                <w:color w:val="231F20"/>
                <w:w w:val="110"/>
              </w:rPr>
              <w:t>CAPÍTULO 12</w:t>
            </w:r>
          </w:hyperlink>
        </w:p>
        <w:p>
          <w:pPr>
            <w:pStyle w:val="TOC2"/>
            <w:tabs>
              <w:tab w:pos="2404" w:val="left" w:leader="none"/>
              <w:tab w:pos="9966" w:val="left" w:leader="dot"/>
            </w:tabs>
            <w:spacing w:before="1"/>
          </w:pPr>
          <w:r>
            <w:rPr>
              <w:color w:val="231F20"/>
            </w:rPr>
            <w:t>Figura</w:t>
          </w:r>
          <w:r>
            <w:rPr>
              <w:color w:val="231F20"/>
              <w:spacing w:val="9"/>
            </w:rPr>
            <w:t> </w:t>
          </w:r>
          <w:r>
            <w:rPr>
              <w:color w:val="231F20"/>
            </w:rPr>
            <w:t>1.</w:t>
            <w:tab/>
            <w:t>Fuentes de aprendizaje de </w:t>
          </w:r>
          <w:r>
            <w:rPr>
              <w:color w:val="231F20"/>
              <w:spacing w:val="26"/>
            </w:rPr>
            <w:t> </w:t>
          </w:r>
          <w:r>
            <w:rPr>
              <w:color w:val="231F20"/>
            </w:rPr>
            <w:t>las/los</w:t>
          </w:r>
          <w:r>
            <w:rPr>
              <w:color w:val="231F20"/>
              <w:spacing w:val="16"/>
            </w:rPr>
            <w:t> </w:t>
          </w:r>
          <w:r>
            <w:rPr>
              <w:color w:val="231F20"/>
            </w:rPr>
            <w:t>productoras/es</w:t>
            <w:tab/>
          </w:r>
          <w:r>
            <w:rPr>
              <w:color w:val="231F20"/>
              <w:spacing w:val="-3"/>
            </w:rPr>
            <w:t>185</w:t>
          </w:r>
        </w:p>
        <w:p>
          <w:pPr>
            <w:pStyle w:val="TOC2"/>
            <w:tabs>
              <w:tab w:pos="2404" w:val="left" w:leader="none"/>
              <w:tab w:pos="9966" w:val="left" w:leader="dot"/>
            </w:tabs>
            <w:spacing w:before="1"/>
          </w:pPr>
          <w:r>
            <w:rPr>
              <w:color w:val="231F20"/>
            </w:rPr>
            <w:t>Figura</w:t>
          </w:r>
          <w:r>
            <w:rPr>
              <w:color w:val="231F20"/>
              <w:spacing w:val="9"/>
            </w:rPr>
            <w:t> </w:t>
          </w:r>
          <w:r>
            <w:rPr>
              <w:color w:val="231F20"/>
            </w:rPr>
            <w:t>2.</w:t>
            <w:tab/>
            <w:t>Red</w:t>
          </w:r>
          <w:r>
            <w:rPr>
              <w:color w:val="231F20"/>
              <w:spacing w:val="22"/>
            </w:rPr>
            <w:t> </w:t>
          </w:r>
          <w:r>
            <w:rPr>
              <w:color w:val="231F20"/>
            </w:rPr>
            <w:t>de</w:t>
          </w:r>
          <w:r>
            <w:rPr>
              <w:color w:val="231F20"/>
              <w:spacing w:val="22"/>
            </w:rPr>
            <w:t> </w:t>
          </w:r>
          <w:r>
            <w:rPr>
              <w:color w:val="231F20"/>
            </w:rPr>
            <w:t>mujeres</w:t>
          </w:r>
          <w:r>
            <w:rPr>
              <w:color w:val="231F20"/>
              <w:spacing w:val="22"/>
            </w:rPr>
            <w:t> </w:t>
          </w:r>
          <w:r>
            <w:rPr>
              <w:color w:val="231F20"/>
            </w:rPr>
            <w:t>(nodos</w:t>
          </w:r>
          <w:r>
            <w:rPr>
              <w:color w:val="231F20"/>
              <w:spacing w:val="22"/>
            </w:rPr>
            <w:t> </w:t>
          </w:r>
          <w:r>
            <w:rPr>
              <w:color w:val="231F20"/>
            </w:rPr>
            <w:t>blancos)</w:t>
          </w:r>
          <w:r>
            <w:rPr>
              <w:color w:val="231F20"/>
              <w:spacing w:val="22"/>
            </w:rPr>
            <w:t> </w:t>
          </w:r>
          <w:r>
            <w:rPr>
              <w:color w:val="231F20"/>
            </w:rPr>
            <w:t>y</w:t>
          </w:r>
          <w:r>
            <w:rPr>
              <w:color w:val="231F20"/>
              <w:spacing w:val="22"/>
            </w:rPr>
            <w:t> </w:t>
          </w:r>
          <w:r>
            <w:rPr>
              <w:color w:val="231F20"/>
            </w:rPr>
            <w:t>sus</w:t>
          </w:r>
          <w:r>
            <w:rPr>
              <w:color w:val="231F20"/>
              <w:spacing w:val="22"/>
            </w:rPr>
            <w:t> </w:t>
          </w:r>
          <w:r>
            <w:rPr>
              <w:color w:val="231F20"/>
            </w:rPr>
            <w:t>relaciones</w:t>
          </w:r>
          <w:r>
            <w:rPr>
              <w:color w:val="231F20"/>
              <w:spacing w:val="22"/>
            </w:rPr>
            <w:t> </w:t>
          </w:r>
          <w:r>
            <w:rPr>
              <w:color w:val="231F20"/>
            </w:rPr>
            <w:t>con</w:t>
          </w:r>
          <w:r>
            <w:rPr>
              <w:color w:val="231F20"/>
              <w:spacing w:val="22"/>
            </w:rPr>
            <w:t> </w:t>
          </w:r>
          <w:r>
            <w:rPr>
              <w:color w:val="231F20"/>
            </w:rPr>
            <w:t>agentes</w:t>
          </w:r>
          <w:r>
            <w:rPr>
              <w:color w:val="231F20"/>
              <w:spacing w:val="22"/>
            </w:rPr>
            <w:t> </w:t>
          </w:r>
          <w:r>
            <w:rPr>
              <w:color w:val="231F20"/>
            </w:rPr>
            <w:t>externos</w:t>
          </w:r>
          <w:r>
            <w:rPr>
              <w:color w:val="231F20"/>
              <w:spacing w:val="22"/>
            </w:rPr>
            <w:t> </w:t>
          </w:r>
          <w:r>
            <w:rPr>
              <w:color w:val="231F20"/>
            </w:rPr>
            <w:t>(nodos</w:t>
          </w:r>
          <w:r>
            <w:rPr>
              <w:color w:val="231F20"/>
              <w:spacing w:val="22"/>
            </w:rPr>
            <w:t> </w:t>
          </w:r>
          <w:r>
            <w:rPr>
              <w:color w:val="231F20"/>
            </w:rPr>
            <w:t>negros)</w:t>
            <w:tab/>
          </w:r>
          <w:r>
            <w:rPr>
              <w:color w:val="231F20"/>
              <w:spacing w:val="-3"/>
            </w:rPr>
            <w:t>186</w:t>
          </w:r>
        </w:p>
        <w:p>
          <w:pPr>
            <w:pStyle w:val="TOC2"/>
            <w:tabs>
              <w:tab w:pos="2404" w:val="left" w:leader="none"/>
              <w:tab w:pos="9973" w:val="left" w:leader="dot"/>
            </w:tabs>
            <w:spacing w:before="1"/>
          </w:pPr>
          <w:r>
            <w:rPr>
              <w:color w:val="231F20"/>
              <w:w w:val="105"/>
            </w:rPr>
            <w:t>Figura</w:t>
          </w:r>
          <w:r>
            <w:rPr>
              <w:color w:val="231F20"/>
              <w:spacing w:val="-2"/>
              <w:w w:val="105"/>
            </w:rPr>
            <w:t> </w:t>
          </w:r>
          <w:r>
            <w:rPr>
              <w:color w:val="231F20"/>
              <w:w w:val="105"/>
            </w:rPr>
            <w:t>3.</w:t>
            <w:tab/>
            <w:t>Red de hombres(nodos blancos) y sus relaciones con agentes externos</w:t>
          </w:r>
          <w:r>
            <w:rPr>
              <w:color w:val="231F20"/>
              <w:spacing w:val="-2"/>
              <w:w w:val="105"/>
            </w:rPr>
            <w:t> </w:t>
          </w:r>
          <w:r>
            <w:rPr>
              <w:color w:val="231F20"/>
              <w:w w:val="105"/>
            </w:rPr>
            <w:t>(nodos</w:t>
          </w:r>
          <w:r>
            <w:rPr>
              <w:color w:val="231F20"/>
              <w:spacing w:val="-1"/>
              <w:w w:val="105"/>
            </w:rPr>
            <w:t> </w:t>
          </w:r>
          <w:r>
            <w:rPr>
              <w:color w:val="231F20"/>
              <w:w w:val="105"/>
            </w:rPr>
            <w:t>negros)</w:t>
            <w:tab/>
          </w:r>
          <w:r>
            <w:rPr>
              <w:color w:val="231F20"/>
              <w:spacing w:val="-8"/>
              <w:w w:val="105"/>
            </w:rPr>
            <w:t>187</w:t>
          </w:r>
        </w:p>
        <w:p>
          <w:pPr>
            <w:pStyle w:val="TOC2"/>
            <w:tabs>
              <w:tab w:pos="2404" w:val="left" w:leader="none"/>
              <w:tab w:pos="9966" w:val="left" w:leader="dot"/>
            </w:tabs>
            <w:spacing w:before="1"/>
          </w:pPr>
          <w:r>
            <w:rPr>
              <w:color w:val="231F20"/>
            </w:rPr>
            <w:t>Figura</w:t>
          </w:r>
          <w:r>
            <w:rPr>
              <w:color w:val="231F20"/>
              <w:spacing w:val="9"/>
            </w:rPr>
            <w:t> </w:t>
          </w:r>
          <w:r>
            <w:rPr>
              <w:color w:val="231F20"/>
            </w:rPr>
            <w:t>4.</w:t>
            <w:tab/>
            <w:t>Carga de distintos factores para las variables </w:t>
          </w:r>
          <w:r>
            <w:rPr>
              <w:color w:val="231F20"/>
              <w:spacing w:val="16"/>
            </w:rPr>
            <w:t> </w:t>
          </w:r>
          <w:r>
            <w:rPr>
              <w:color w:val="231F20"/>
            </w:rPr>
            <w:t>de</w:t>
          </w:r>
          <w:r>
            <w:rPr>
              <w:color w:val="231F20"/>
              <w:spacing w:val="8"/>
            </w:rPr>
            <w:t> </w:t>
          </w:r>
          <w:r>
            <w:rPr>
              <w:color w:val="231F20"/>
            </w:rPr>
            <w:t>estudio.</w:t>
            <w:tab/>
          </w:r>
          <w:r>
            <w:rPr>
              <w:color w:val="231F20"/>
              <w:spacing w:val="-3"/>
            </w:rPr>
            <w:t>189</w:t>
          </w:r>
        </w:p>
        <w:p>
          <w:pPr>
            <w:pStyle w:val="TOC2"/>
            <w:tabs>
              <w:tab w:pos="2404" w:val="left" w:leader="none"/>
              <w:tab w:pos="9966" w:val="left" w:leader="dot"/>
            </w:tabs>
            <w:spacing w:before="1"/>
          </w:pPr>
          <w:r>
            <w:rPr>
              <w:color w:val="231F20"/>
            </w:rPr>
            <w:t>Figura</w:t>
          </w:r>
          <w:r>
            <w:rPr>
              <w:color w:val="231F20"/>
              <w:spacing w:val="9"/>
            </w:rPr>
            <w:t> </w:t>
          </w:r>
          <w:r>
            <w:rPr>
              <w:color w:val="231F20"/>
            </w:rPr>
            <w:t>5.</w:t>
            <w:tab/>
            <w:t>Distribución de los productores de ovinos por nivel tecnológico  </w:t>
          </w:r>
          <w:r>
            <w:rPr>
              <w:color w:val="231F20"/>
              <w:spacing w:val="22"/>
            </w:rPr>
            <w:t> </w:t>
          </w:r>
          <w:r>
            <w:rPr>
              <w:color w:val="231F20"/>
            </w:rPr>
            <w:t>y</w:t>
          </w:r>
          <w:r>
            <w:rPr>
              <w:color w:val="231F20"/>
              <w:spacing w:val="11"/>
            </w:rPr>
            <w:t> </w:t>
          </w:r>
          <w:r>
            <w:rPr>
              <w:color w:val="231F20"/>
            </w:rPr>
            <w:t>escolaridad.</w:t>
            <w:tab/>
          </w:r>
          <w:r>
            <w:rPr>
              <w:color w:val="231F20"/>
              <w:spacing w:val="-3"/>
            </w:rPr>
            <w:t>192</w:t>
          </w:r>
        </w:p>
        <w:p>
          <w:pPr>
            <w:pStyle w:val="TOC2"/>
            <w:tabs>
              <w:tab w:pos="2404" w:val="left" w:leader="none"/>
              <w:tab w:pos="9966" w:val="left" w:leader="dot"/>
            </w:tabs>
            <w:spacing w:before="1"/>
          </w:pPr>
          <w:r>
            <w:rPr>
              <w:color w:val="231F20"/>
            </w:rPr>
            <w:t>Figura</w:t>
          </w:r>
          <w:r>
            <w:rPr>
              <w:color w:val="231F20"/>
              <w:spacing w:val="9"/>
            </w:rPr>
            <w:t> </w:t>
          </w:r>
          <w:r>
            <w:rPr>
              <w:color w:val="231F20"/>
            </w:rPr>
            <w:t>6.</w:t>
            <w:tab/>
            <w:t>Opinión de los productores de ovinos sobre  </w:t>
          </w:r>
          <w:r>
            <w:rPr>
              <w:color w:val="231F20"/>
              <w:spacing w:val="17"/>
            </w:rPr>
            <w:t> </w:t>
          </w:r>
          <w:r>
            <w:rPr>
              <w:color w:val="231F20"/>
            </w:rPr>
            <w:t>la</w:t>
          </w:r>
          <w:r>
            <w:rPr>
              <w:color w:val="231F20"/>
              <w:spacing w:val="14"/>
            </w:rPr>
            <w:t> </w:t>
          </w:r>
          <w:r>
            <w:rPr>
              <w:color w:val="231F20"/>
            </w:rPr>
            <w:t>tecnología</w:t>
            <w:tab/>
          </w:r>
          <w:r>
            <w:rPr>
              <w:color w:val="231F20"/>
              <w:spacing w:val="-3"/>
            </w:rPr>
            <w:t>193</w:t>
          </w:r>
        </w:p>
        <w:p>
          <w:pPr>
            <w:pStyle w:val="TOC2"/>
            <w:tabs>
              <w:tab w:pos="2404" w:val="left" w:leader="none"/>
              <w:tab w:pos="9966" w:val="left" w:leader="dot"/>
            </w:tabs>
            <w:spacing w:before="1"/>
          </w:pPr>
          <w:r>
            <w:rPr>
              <w:color w:val="231F20"/>
            </w:rPr>
            <w:t>Figura</w:t>
          </w:r>
          <w:r>
            <w:rPr>
              <w:color w:val="231F20"/>
              <w:spacing w:val="10"/>
            </w:rPr>
            <w:t> </w:t>
          </w:r>
          <w:r>
            <w:rPr>
              <w:color w:val="231F20"/>
              <w:spacing w:val="-12"/>
            </w:rPr>
            <w:t>7.</w:t>
            <w:tab/>
          </w:r>
          <w:r>
            <w:rPr>
              <w:color w:val="231F20"/>
            </w:rPr>
            <w:t>Visión del sistema ideal para los productores  </w:t>
          </w:r>
          <w:r>
            <w:rPr>
              <w:color w:val="231F20"/>
              <w:spacing w:val="1"/>
            </w:rPr>
            <w:t> </w:t>
          </w:r>
          <w:r>
            <w:rPr>
              <w:color w:val="231F20"/>
            </w:rPr>
            <w:t>de</w:t>
          </w:r>
          <w:r>
            <w:rPr>
              <w:color w:val="231F20"/>
              <w:spacing w:val="11"/>
            </w:rPr>
            <w:t> </w:t>
          </w:r>
          <w:r>
            <w:rPr>
              <w:color w:val="231F20"/>
            </w:rPr>
            <w:t>ovinos</w:t>
            <w:tab/>
          </w:r>
          <w:r>
            <w:rPr>
              <w:color w:val="231F20"/>
              <w:spacing w:val="-3"/>
            </w:rPr>
            <w:t>194</w:t>
          </w:r>
        </w:p>
        <w:p>
          <w:pPr>
            <w:pStyle w:val="TOC2"/>
            <w:tabs>
              <w:tab w:pos="2404" w:val="left" w:leader="none"/>
              <w:tab w:pos="9966" w:val="left" w:leader="dot"/>
            </w:tabs>
            <w:spacing w:before="1"/>
          </w:pPr>
          <w:r>
            <w:rPr>
              <w:color w:val="231F20"/>
            </w:rPr>
            <w:t>Figura</w:t>
          </w:r>
          <w:r>
            <w:rPr>
              <w:color w:val="231F20"/>
              <w:spacing w:val="9"/>
            </w:rPr>
            <w:t> </w:t>
          </w:r>
          <w:r>
            <w:rPr>
              <w:color w:val="231F20"/>
            </w:rPr>
            <w:t>8.</w:t>
            <w:tab/>
            <w:t>Recursos que proporcionan ingresos a </w:t>
          </w:r>
          <w:r>
            <w:rPr>
              <w:color w:val="231F20"/>
              <w:spacing w:val="33"/>
            </w:rPr>
            <w:t> </w:t>
          </w:r>
          <w:r>
            <w:rPr>
              <w:color w:val="231F20"/>
            </w:rPr>
            <w:t>los</w:t>
          </w:r>
          <w:r>
            <w:rPr>
              <w:color w:val="231F20"/>
              <w:spacing w:val="14"/>
            </w:rPr>
            <w:t> </w:t>
          </w:r>
          <w:r>
            <w:rPr>
              <w:color w:val="231F20"/>
            </w:rPr>
            <w:t>productores</w:t>
            <w:tab/>
          </w:r>
          <w:r>
            <w:rPr>
              <w:color w:val="231F20"/>
              <w:spacing w:val="-3"/>
            </w:rPr>
            <w:t>196</w:t>
          </w:r>
        </w:p>
        <w:p>
          <w:pPr>
            <w:pStyle w:val="TOC2"/>
            <w:tabs>
              <w:tab w:pos="2404" w:val="left" w:leader="none"/>
              <w:tab w:pos="9973" w:val="left" w:leader="dot"/>
            </w:tabs>
            <w:spacing w:before="1"/>
          </w:pPr>
          <w:r>
            <w:rPr>
              <w:color w:val="231F20"/>
            </w:rPr>
            <w:t>Figura</w:t>
          </w:r>
          <w:r>
            <w:rPr>
              <w:color w:val="231F20"/>
              <w:spacing w:val="9"/>
            </w:rPr>
            <w:t> </w:t>
          </w:r>
          <w:r>
            <w:rPr>
              <w:color w:val="231F20"/>
            </w:rPr>
            <w:t>9.</w:t>
            <w:tab/>
            <w:t>Relación filial de los involucrados en </w:t>
          </w:r>
          <w:r>
            <w:rPr>
              <w:color w:val="231F20"/>
              <w:spacing w:val="16"/>
            </w:rPr>
            <w:t> </w:t>
          </w:r>
          <w:r>
            <w:rPr>
              <w:color w:val="231F20"/>
            </w:rPr>
            <w:t>la</w:t>
          </w:r>
          <w:r>
            <w:rPr>
              <w:color w:val="231F20"/>
              <w:spacing w:val="9"/>
            </w:rPr>
            <w:t> </w:t>
          </w:r>
          <w:r>
            <w:rPr>
              <w:color w:val="231F20"/>
            </w:rPr>
            <w:t>ovinocultura</w:t>
            <w:tab/>
          </w:r>
          <w:r>
            <w:rPr>
              <w:color w:val="231F20"/>
              <w:spacing w:val="-8"/>
            </w:rPr>
            <w:t>197</w:t>
          </w:r>
        </w:p>
        <w:p>
          <w:pPr>
            <w:pStyle w:val="TOC2"/>
            <w:spacing w:before="171"/>
            <w:ind w:right="2503"/>
          </w:pPr>
          <w:hyperlink w:history="true" w:anchor="_TOC_250002">
            <w:r>
              <w:rPr>
                <w:color w:val="231F20"/>
                <w:w w:val="110"/>
              </w:rPr>
              <w:t>CAPÍTULO 13</w:t>
            </w:r>
          </w:hyperlink>
        </w:p>
        <w:p>
          <w:pPr>
            <w:pStyle w:val="TOC2"/>
            <w:tabs>
              <w:tab w:pos="2404" w:val="left" w:leader="none"/>
              <w:tab w:pos="9962" w:val="left" w:leader="dot"/>
            </w:tabs>
            <w:spacing w:before="1"/>
          </w:pPr>
          <w:r>
            <w:rPr>
              <w:color w:val="231F20"/>
            </w:rPr>
            <w:t>Figura</w:t>
          </w:r>
          <w:r>
            <w:rPr>
              <w:color w:val="231F20"/>
              <w:spacing w:val="9"/>
            </w:rPr>
            <w:t> </w:t>
          </w:r>
          <w:r>
            <w:rPr>
              <w:color w:val="231F20"/>
            </w:rPr>
            <w:t>1.</w:t>
            <w:tab/>
            <w:t>Canal de comercialización de </w:t>
          </w:r>
          <w:r>
            <w:rPr>
              <w:color w:val="231F20"/>
              <w:spacing w:val="26"/>
            </w:rPr>
            <w:t> </w:t>
          </w:r>
          <w:r>
            <w:rPr>
              <w:color w:val="231F20"/>
            </w:rPr>
            <w:t>los</w:t>
          </w:r>
          <w:r>
            <w:rPr>
              <w:color w:val="231F20"/>
              <w:spacing w:val="16"/>
            </w:rPr>
            <w:t> </w:t>
          </w:r>
          <w:r>
            <w:rPr>
              <w:color w:val="231F20"/>
            </w:rPr>
            <w:t>caprinos</w:t>
            <w:tab/>
            <w:t>208</w:t>
          </w:r>
        </w:p>
        <w:p>
          <w:pPr>
            <w:pStyle w:val="TOC2"/>
            <w:spacing w:before="171"/>
            <w:ind w:right="2503"/>
          </w:pPr>
          <w:hyperlink w:history="true" w:anchor="_TOC_250001">
            <w:r>
              <w:rPr>
                <w:color w:val="231F20"/>
                <w:w w:val="110"/>
              </w:rPr>
              <w:t>CAPÍTULO 16</w:t>
            </w:r>
          </w:hyperlink>
        </w:p>
        <w:p>
          <w:pPr>
            <w:pStyle w:val="TOC2"/>
            <w:tabs>
              <w:tab w:pos="2404" w:val="left" w:leader="none"/>
              <w:tab w:pos="9966" w:val="left" w:leader="dot"/>
            </w:tabs>
            <w:spacing w:before="1"/>
          </w:pPr>
          <w:r>
            <w:rPr>
              <w:color w:val="231F20"/>
            </w:rPr>
            <w:t>Figura</w:t>
          </w:r>
          <w:r>
            <w:rPr>
              <w:color w:val="231F20"/>
              <w:spacing w:val="9"/>
            </w:rPr>
            <w:t> </w:t>
          </w:r>
          <w:r>
            <w:rPr>
              <w:color w:val="231F20"/>
            </w:rPr>
            <w:t>1.</w:t>
            <w:tab/>
            <w:t>Destino de la producción de carne de conejo en   </w:t>
          </w:r>
          <w:r>
            <w:rPr>
              <w:color w:val="231F20"/>
              <w:spacing w:val="22"/>
            </w:rPr>
            <w:t> </w:t>
          </w:r>
          <w:r>
            <w:rPr>
              <w:color w:val="231F20"/>
            </w:rPr>
            <w:t>la</w:t>
          </w:r>
          <w:r>
            <w:rPr>
              <w:color w:val="231F20"/>
              <w:spacing w:val="16"/>
            </w:rPr>
            <w:t> </w:t>
          </w:r>
          <w:r>
            <w:rPr>
              <w:color w:val="231F20"/>
            </w:rPr>
            <w:t>zona</w:t>
            <w:tab/>
          </w:r>
          <w:r>
            <w:rPr>
              <w:color w:val="231F20"/>
              <w:spacing w:val="-4"/>
            </w:rPr>
            <w:t>238</w:t>
          </w:r>
        </w:p>
        <w:p>
          <w:pPr>
            <w:pStyle w:val="TOC2"/>
            <w:tabs>
              <w:tab w:pos="2404" w:val="left" w:leader="none"/>
              <w:tab w:pos="9969" w:val="left" w:leader="dot"/>
            </w:tabs>
            <w:spacing w:before="1"/>
          </w:pPr>
          <w:r>
            <w:rPr>
              <w:color w:val="231F20"/>
            </w:rPr>
            <w:t>Figura</w:t>
          </w:r>
          <w:r>
            <w:rPr>
              <w:color w:val="231F20"/>
              <w:spacing w:val="9"/>
            </w:rPr>
            <w:t> </w:t>
          </w:r>
          <w:r>
            <w:rPr>
              <w:color w:val="231F20"/>
            </w:rPr>
            <w:t>2.</w:t>
            <w:tab/>
            <w:t>Costo de producción de las unidades productoras de   </w:t>
          </w:r>
          <w:r>
            <w:rPr>
              <w:color w:val="231F20"/>
              <w:spacing w:val="5"/>
            </w:rPr>
            <w:t> </w:t>
          </w:r>
          <w:r>
            <w:rPr>
              <w:color w:val="231F20"/>
            </w:rPr>
            <w:t>la</w:t>
          </w:r>
          <w:r>
            <w:rPr>
              <w:color w:val="231F20"/>
              <w:spacing w:val="15"/>
            </w:rPr>
            <w:t> </w:t>
          </w:r>
          <w:r>
            <w:rPr>
              <w:color w:val="231F20"/>
            </w:rPr>
            <w:t>zona</w:t>
            <w:tab/>
          </w:r>
          <w:r>
            <w:rPr>
              <w:color w:val="231F20"/>
              <w:spacing w:val="-7"/>
            </w:rPr>
            <w:t>241</w:t>
          </w:r>
        </w:p>
        <w:p>
          <w:pPr>
            <w:pStyle w:val="TOC2"/>
            <w:spacing w:before="171"/>
            <w:ind w:right="2503"/>
          </w:pPr>
          <w:hyperlink w:history="true" w:anchor="_TOC_250000">
            <w:r>
              <w:rPr>
                <w:color w:val="231F20"/>
                <w:w w:val="110"/>
              </w:rPr>
              <w:t>CAPÍTULO 17</w:t>
            </w:r>
          </w:hyperlink>
        </w:p>
        <w:p>
          <w:pPr>
            <w:pStyle w:val="TOC2"/>
            <w:tabs>
              <w:tab w:pos="2404" w:val="left" w:leader="none"/>
              <w:tab w:pos="9966" w:val="left" w:leader="dot"/>
            </w:tabs>
            <w:spacing w:before="1"/>
          </w:pPr>
          <w:r>
            <w:rPr>
              <w:color w:val="231F20"/>
            </w:rPr>
            <w:t>Figura</w:t>
          </w:r>
          <w:r>
            <w:rPr>
              <w:color w:val="231F20"/>
              <w:spacing w:val="9"/>
            </w:rPr>
            <w:t> </w:t>
          </w:r>
          <w:r>
            <w:rPr>
              <w:color w:val="231F20"/>
            </w:rPr>
            <w:t>1.</w:t>
            <w:tab/>
            <w:t>Producción (toneladas) de trucha arcoíris en México por etapa  </w:t>
          </w:r>
          <w:r>
            <w:rPr>
              <w:color w:val="231F20"/>
              <w:spacing w:val="23"/>
            </w:rPr>
            <w:t> </w:t>
          </w:r>
          <w:r>
            <w:rPr>
              <w:color w:val="231F20"/>
            </w:rPr>
            <w:t>de</w:t>
          </w:r>
          <w:r>
            <w:rPr>
              <w:color w:val="231F20"/>
              <w:spacing w:val="11"/>
            </w:rPr>
            <w:t> </w:t>
          </w:r>
          <w:r>
            <w:rPr>
              <w:color w:val="231F20"/>
            </w:rPr>
            <w:t>desarrollo</w:t>
            <w:tab/>
          </w:r>
          <w:r>
            <w:rPr>
              <w:color w:val="231F20"/>
              <w:spacing w:val="-4"/>
            </w:rPr>
            <w:t>251</w:t>
          </w:r>
        </w:p>
        <w:p>
          <w:pPr>
            <w:pStyle w:val="TOC2"/>
            <w:tabs>
              <w:tab w:pos="2404" w:val="left" w:leader="none"/>
            </w:tabs>
            <w:spacing w:before="1"/>
            <w:ind w:right="2503"/>
          </w:pPr>
          <w:r>
            <w:rPr>
              <w:color w:val="231F20"/>
            </w:rPr>
            <w:t>Figura</w:t>
          </w:r>
          <w:r>
            <w:rPr>
              <w:color w:val="231F20"/>
              <w:spacing w:val="9"/>
            </w:rPr>
            <w:t> </w:t>
          </w:r>
          <w:r>
            <w:rPr>
              <w:color w:val="231F20"/>
            </w:rPr>
            <w:t>2.</w:t>
            <w:tab/>
            <w:t>Aumento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producción</w:t>
          </w:r>
          <w:r>
            <w:rPr>
              <w:color w:val="231F20"/>
              <w:spacing w:val="16"/>
            </w:rPr>
            <w:t> </w:t>
          </w:r>
          <w:r>
            <w:rPr>
              <w:color w:val="231F20"/>
            </w:rPr>
            <w:t>(toneladas)</w:t>
          </w:r>
          <w:r>
            <w:rPr>
              <w:color w:val="231F20"/>
              <w:spacing w:val="16"/>
            </w:rPr>
            <w:t> </w:t>
          </w:r>
          <w:r>
            <w:rPr>
              <w:color w:val="231F20"/>
            </w:rPr>
            <w:t>de</w:t>
          </w:r>
          <w:r>
            <w:rPr>
              <w:color w:val="231F20"/>
              <w:spacing w:val="16"/>
            </w:rPr>
            <w:t> </w:t>
          </w:r>
          <w:r>
            <w:rPr>
              <w:color w:val="231F20"/>
            </w:rPr>
            <w:t>trucha</w:t>
          </w:r>
          <w:r>
            <w:rPr>
              <w:color w:val="231F20"/>
              <w:spacing w:val="16"/>
            </w:rPr>
            <w:t> </w:t>
          </w:r>
          <w:r>
            <w:rPr>
              <w:color w:val="231F20"/>
            </w:rPr>
            <w:t>arcoíris</w:t>
          </w:r>
          <w:r>
            <w:rPr>
              <w:color w:val="231F20"/>
              <w:spacing w:val="16"/>
            </w:rPr>
            <w:t> </w:t>
          </w:r>
          <w:r>
            <w:rPr>
              <w:color w:val="231F20"/>
            </w:rPr>
            <w:t>y</w:t>
          </w:r>
          <w:r>
            <w:rPr>
              <w:color w:val="231F20"/>
              <w:spacing w:val="16"/>
            </w:rPr>
            <w:t> </w:t>
          </w:r>
          <w:r>
            <w:rPr>
              <w:color w:val="231F20"/>
            </w:rPr>
            <w:t>nuevas</w:t>
          </w:r>
          <w:r>
            <w:rPr>
              <w:color w:val="231F20"/>
              <w:spacing w:val="16"/>
            </w:rPr>
            <w:t> </w:t>
          </w:r>
          <w:r>
            <w:rPr>
              <w:color w:val="231F20"/>
            </w:rPr>
            <w:t>unidades</w:t>
          </w:r>
        </w:p>
        <w:p>
          <w:pPr>
            <w:pStyle w:val="TOC3"/>
            <w:tabs>
              <w:tab w:pos="9966" w:val="left" w:leader="dot"/>
            </w:tabs>
          </w:pPr>
          <w:r>
            <w:rPr>
              <w:color w:val="231F20"/>
            </w:rPr>
            <w:t>de producción trutícola por año en el Estado  </w:t>
          </w:r>
          <w:r>
            <w:rPr>
              <w:color w:val="231F20"/>
              <w:spacing w:val="3"/>
            </w:rPr>
            <w:t> </w:t>
          </w:r>
          <w:r>
            <w:rPr>
              <w:color w:val="231F20"/>
            </w:rPr>
            <w:t>de</w:t>
          </w:r>
          <w:r>
            <w:rPr>
              <w:color w:val="231F20"/>
              <w:spacing w:val="10"/>
            </w:rPr>
            <w:t> </w:t>
          </w:r>
          <w:r>
            <w:rPr>
              <w:color w:val="231F20"/>
            </w:rPr>
            <w:t>México</w:t>
            <w:tab/>
          </w:r>
          <w:r>
            <w:rPr>
              <w:color w:val="231F20"/>
              <w:spacing w:val="-4"/>
            </w:rPr>
            <w:t>252</w:t>
          </w:r>
        </w:p>
      </w:sdtContent>
    </w:sdt>
    <w:p>
      <w:pPr>
        <w:spacing w:after="0"/>
        <w:sectPr>
          <w:type w:val="continuous"/>
          <w:pgSz w:w="11900" w:h="14450"/>
          <w:pgMar w:top="426" w:bottom="1092" w:left="0" w:right="0"/>
        </w:sectPr>
      </w:pPr>
    </w:p>
    <w:p>
      <w:pPr>
        <w:pStyle w:val="BodyText"/>
        <w:rPr>
          <w:sz w:val="36"/>
        </w:rPr>
      </w:pPr>
    </w:p>
    <w:p>
      <w:pPr>
        <w:pStyle w:val="BodyText"/>
        <w:rPr>
          <w:sz w:val="36"/>
        </w:rPr>
      </w:pPr>
    </w:p>
    <w:p>
      <w:pPr>
        <w:pStyle w:val="BodyText"/>
        <w:spacing w:before="2"/>
        <w:rPr>
          <w:sz w:val="39"/>
        </w:rPr>
      </w:pPr>
    </w:p>
    <w:p>
      <w:pPr>
        <w:pStyle w:val="Heading3"/>
        <w:ind w:right="2503"/>
        <w:jc w:val="left"/>
      </w:pPr>
      <w:r>
        <w:rPr>
          <w:color w:val="231F20"/>
          <w:w w:val="110"/>
        </w:rPr>
        <w:t>PRESENTACIÓN</w:t>
      </w:r>
    </w:p>
    <w:p>
      <w:pPr>
        <w:pStyle w:val="BodyText"/>
      </w:pPr>
    </w:p>
    <w:p>
      <w:pPr>
        <w:pStyle w:val="BodyText"/>
        <w:spacing w:before="6"/>
        <w:rPr>
          <w:sz w:val="28"/>
        </w:rPr>
      </w:pPr>
    </w:p>
    <w:p>
      <w:pPr>
        <w:spacing w:after="0"/>
        <w:rPr>
          <w:sz w:val="28"/>
        </w:rPr>
        <w:sectPr>
          <w:footerReference w:type="default" r:id="rId25"/>
          <w:pgSz w:w="11900" w:h="14450"/>
          <w:pgMar w:footer="222" w:header="0" w:top="420" w:bottom="420" w:left="0" w:right="0"/>
        </w:sectPr>
      </w:pPr>
    </w:p>
    <w:p>
      <w:pPr>
        <w:pStyle w:val="BodyText"/>
        <w:spacing w:line="261" w:lineRule="auto" w:before="68"/>
        <w:ind w:left="1553"/>
        <w:jc w:val="both"/>
        <w:rPr>
          <w:sz w:val="9"/>
        </w:rPr>
      </w:pPr>
      <w:r>
        <w:rPr>
          <w:color w:val="231F20"/>
        </w:rPr>
        <w:t>La producción y el consumo de productos de origen animal han experimentado un rápido cre- cimiento en todo el mundo, y se prevé que con- tinuarán aumentando. Se considera que la mayor parte del incremento en la producción provendrá de sistemas de producción en pequeña  escala,  que representan el medio de vida de hasta un </w:t>
      </w:r>
      <w:r>
        <w:rPr>
          <w:color w:val="231F20"/>
          <w:spacing w:val="-9"/>
          <w:w w:val="115"/>
        </w:rPr>
        <w:t>7</w:t>
      </w:r>
      <w:r>
        <w:rPr>
          <w:color w:val="231F20"/>
          <w:w w:val="122"/>
        </w:rPr>
        <w:t>0%</w:t>
      </w:r>
      <w:r>
        <w:rPr>
          <w:color w:val="231F20"/>
          <w:spacing w:val="13"/>
        </w:rPr>
        <w:t> </w:t>
      </w:r>
      <w:r>
        <w:rPr>
          <w:color w:val="231F20"/>
          <w:w w:val="103"/>
        </w:rPr>
        <w:t>de</w:t>
      </w:r>
      <w:r>
        <w:rPr>
          <w:color w:val="231F20"/>
          <w:spacing w:val="13"/>
        </w:rPr>
        <w:t> </w:t>
      </w:r>
      <w:r>
        <w:rPr>
          <w:color w:val="231F20"/>
          <w:w w:val="96"/>
        </w:rPr>
        <w:t>la</w:t>
      </w:r>
      <w:r>
        <w:rPr>
          <w:color w:val="231F20"/>
          <w:spacing w:val="13"/>
        </w:rPr>
        <w:t> </w:t>
      </w:r>
      <w:r>
        <w:rPr>
          <w:color w:val="231F20"/>
          <w:w w:val="101"/>
        </w:rPr>
        <w:t>población</w:t>
      </w:r>
      <w:r>
        <w:rPr>
          <w:color w:val="231F20"/>
          <w:spacing w:val="13"/>
        </w:rPr>
        <w:t> </w:t>
      </w:r>
      <w:r>
        <w:rPr>
          <w:color w:val="231F20"/>
          <w:w w:val="93"/>
        </w:rPr>
        <w:t>rural</w:t>
      </w:r>
      <w:r>
        <w:rPr>
          <w:color w:val="231F20"/>
          <w:spacing w:val="13"/>
        </w:rPr>
        <w:t> </w:t>
      </w:r>
      <w:r>
        <w:rPr>
          <w:color w:val="231F20"/>
          <w:w w:val="100"/>
        </w:rPr>
        <w:t>pobre</w:t>
      </w:r>
      <w:r>
        <w:rPr>
          <w:color w:val="231F20"/>
          <w:spacing w:val="13"/>
        </w:rPr>
        <w:t> </w:t>
      </w:r>
      <w:r>
        <w:rPr>
          <w:color w:val="231F20"/>
          <w:w w:val="101"/>
        </w:rPr>
        <w:t>del</w:t>
      </w:r>
      <w:r>
        <w:rPr>
          <w:color w:val="231F20"/>
          <w:spacing w:val="13"/>
        </w:rPr>
        <w:t> </w:t>
      </w:r>
      <w:r>
        <w:rPr>
          <w:color w:val="231F20"/>
          <w:w w:val="102"/>
        </w:rPr>
        <w:t>mundo</w:t>
      </w:r>
      <w:r>
        <w:rPr>
          <w:color w:val="231F20"/>
          <w:spacing w:val="-1"/>
          <w:w w:val="102"/>
        </w:rPr>
        <w:t>.</w:t>
      </w:r>
      <w:r>
        <w:rPr>
          <w:color w:val="231F20"/>
          <w:w w:val="119"/>
          <w:position w:val="5"/>
          <w:sz w:val="9"/>
        </w:rPr>
        <w:t>1</w:t>
      </w:r>
    </w:p>
    <w:p>
      <w:pPr>
        <w:pStyle w:val="BodyText"/>
        <w:spacing w:line="261" w:lineRule="auto" w:before="114"/>
        <w:ind w:left="1553"/>
        <w:jc w:val="both"/>
      </w:pPr>
      <w:r>
        <w:rPr>
          <w:color w:val="231F20"/>
        </w:rPr>
        <w:t>La </w:t>
      </w:r>
      <w:r>
        <w:rPr>
          <w:color w:val="231F20"/>
          <w:spacing w:val="-3"/>
        </w:rPr>
        <w:t>producción animal </w:t>
      </w:r>
      <w:r>
        <w:rPr>
          <w:color w:val="231F20"/>
        </w:rPr>
        <w:t>en </w:t>
      </w:r>
      <w:r>
        <w:rPr>
          <w:color w:val="231F20"/>
          <w:spacing w:val="-3"/>
        </w:rPr>
        <w:t>pequeña escala </w:t>
      </w:r>
      <w:r>
        <w:rPr>
          <w:color w:val="231F20"/>
        </w:rPr>
        <w:t>se </w:t>
      </w:r>
      <w:r>
        <w:rPr>
          <w:color w:val="231F20"/>
          <w:spacing w:val="-3"/>
        </w:rPr>
        <w:t>reco- noce </w:t>
      </w:r>
      <w:r>
        <w:rPr>
          <w:color w:val="231F20"/>
        </w:rPr>
        <w:t>en </w:t>
      </w:r>
      <w:r>
        <w:rPr>
          <w:color w:val="231F20"/>
          <w:spacing w:val="-3"/>
        </w:rPr>
        <w:t>todo </w:t>
      </w:r>
      <w:r>
        <w:rPr>
          <w:color w:val="231F20"/>
        </w:rPr>
        <w:t>el </w:t>
      </w:r>
      <w:r>
        <w:rPr>
          <w:color w:val="231F20"/>
          <w:spacing w:val="-3"/>
        </w:rPr>
        <w:t>mundo como </w:t>
      </w:r>
      <w:r>
        <w:rPr>
          <w:color w:val="231F20"/>
        </w:rPr>
        <w:t>un </w:t>
      </w:r>
      <w:r>
        <w:rPr>
          <w:color w:val="231F20"/>
          <w:spacing w:val="-3"/>
        </w:rPr>
        <w:t>elemento que contribuye </w:t>
      </w:r>
      <w:r>
        <w:rPr>
          <w:color w:val="231F20"/>
        </w:rPr>
        <w:t>al </w:t>
      </w:r>
      <w:r>
        <w:rPr>
          <w:color w:val="231F20"/>
          <w:spacing w:val="-3"/>
        </w:rPr>
        <w:t>alivio </w:t>
      </w:r>
      <w:r>
        <w:rPr>
          <w:color w:val="231F20"/>
        </w:rPr>
        <w:t>de la </w:t>
      </w:r>
      <w:r>
        <w:rPr>
          <w:color w:val="231F20"/>
          <w:spacing w:val="-4"/>
        </w:rPr>
        <w:t>pobreza </w:t>
      </w:r>
      <w:r>
        <w:rPr>
          <w:color w:val="231F20"/>
        </w:rPr>
        <w:t>en el </w:t>
      </w:r>
      <w:r>
        <w:rPr>
          <w:color w:val="231F20"/>
          <w:spacing w:val="-3"/>
        </w:rPr>
        <w:t>medio rural, mediante generación  </w:t>
      </w:r>
      <w:r>
        <w:rPr>
          <w:color w:val="231F20"/>
        </w:rPr>
        <w:t>de  </w:t>
      </w:r>
      <w:r>
        <w:rPr>
          <w:color w:val="231F20"/>
          <w:spacing w:val="-3"/>
        </w:rPr>
        <w:t>ingresos,  oportunidades </w:t>
      </w:r>
      <w:r>
        <w:rPr>
          <w:color w:val="231F20"/>
        </w:rPr>
        <w:t>de </w:t>
      </w:r>
      <w:r>
        <w:rPr>
          <w:color w:val="231F20"/>
          <w:spacing w:val="-3"/>
        </w:rPr>
        <w:t>ocupación </w:t>
      </w:r>
      <w:r>
        <w:rPr>
          <w:color w:val="231F20"/>
        </w:rPr>
        <w:t>y </w:t>
      </w:r>
      <w:r>
        <w:rPr>
          <w:color w:val="231F20"/>
          <w:spacing w:val="-3"/>
        </w:rPr>
        <w:t>dinamismo </w:t>
      </w:r>
      <w:r>
        <w:rPr>
          <w:color w:val="231F20"/>
        </w:rPr>
        <w:t>del uso de los </w:t>
      </w:r>
      <w:r>
        <w:rPr>
          <w:color w:val="231F20"/>
          <w:spacing w:val="-3"/>
        </w:rPr>
        <w:t>recursos disponibles. </w:t>
      </w:r>
      <w:r>
        <w:rPr>
          <w:color w:val="231F20"/>
          <w:spacing w:val="-4"/>
        </w:rPr>
        <w:t>Por </w:t>
      </w:r>
      <w:r>
        <w:rPr>
          <w:color w:val="231F20"/>
        </w:rPr>
        <w:t>lo </w:t>
      </w:r>
      <w:r>
        <w:rPr>
          <w:color w:val="231F20"/>
          <w:spacing w:val="-3"/>
        </w:rPr>
        <w:t>tanto, </w:t>
      </w:r>
      <w:r>
        <w:rPr>
          <w:color w:val="231F20"/>
        </w:rPr>
        <w:t>es de </w:t>
      </w:r>
      <w:r>
        <w:rPr>
          <w:color w:val="231F20"/>
          <w:spacing w:val="-3"/>
        </w:rPr>
        <w:t>suma importancia conocer </w:t>
      </w:r>
      <w:r>
        <w:rPr>
          <w:color w:val="231F20"/>
        </w:rPr>
        <w:t>las </w:t>
      </w:r>
      <w:r>
        <w:rPr>
          <w:color w:val="231F20"/>
          <w:spacing w:val="-3"/>
        </w:rPr>
        <w:t>dinámicas </w:t>
      </w:r>
      <w:r>
        <w:rPr>
          <w:color w:val="231F20"/>
        </w:rPr>
        <w:t>de </w:t>
      </w:r>
      <w:r>
        <w:rPr>
          <w:color w:val="231F20"/>
          <w:spacing w:val="-3"/>
        </w:rPr>
        <w:t>estos sistemas </w:t>
      </w:r>
      <w:r>
        <w:rPr>
          <w:color w:val="231F20"/>
        </w:rPr>
        <w:t>de </w:t>
      </w:r>
      <w:r>
        <w:rPr>
          <w:color w:val="231F20"/>
          <w:spacing w:val="-3"/>
        </w:rPr>
        <w:t>produc- ción animal </w:t>
      </w:r>
      <w:r>
        <w:rPr>
          <w:color w:val="231F20"/>
        </w:rPr>
        <w:t>y su </w:t>
      </w:r>
      <w:r>
        <w:rPr>
          <w:color w:val="231F20"/>
          <w:spacing w:val="-3"/>
        </w:rPr>
        <w:t>contribución </w:t>
      </w:r>
      <w:r>
        <w:rPr>
          <w:color w:val="231F20"/>
        </w:rPr>
        <w:t>al </w:t>
      </w:r>
      <w:r>
        <w:rPr>
          <w:color w:val="231F20"/>
          <w:spacing w:val="-3"/>
        </w:rPr>
        <w:t>desarrollo rural en México. Investigadores </w:t>
      </w:r>
      <w:r>
        <w:rPr>
          <w:color w:val="231F20"/>
        </w:rPr>
        <w:t>y </w:t>
      </w:r>
      <w:r>
        <w:rPr>
          <w:color w:val="231F20"/>
          <w:spacing w:val="-3"/>
        </w:rPr>
        <w:t>extensionistas deben prio- rizar </w:t>
      </w:r>
      <w:r>
        <w:rPr>
          <w:color w:val="231F20"/>
        </w:rPr>
        <w:t>las </w:t>
      </w:r>
      <w:r>
        <w:rPr>
          <w:color w:val="231F20"/>
          <w:spacing w:val="-3"/>
        </w:rPr>
        <w:t>demandas </w:t>
      </w:r>
      <w:r>
        <w:rPr>
          <w:color w:val="231F20"/>
        </w:rPr>
        <w:t>de la </w:t>
      </w:r>
      <w:r>
        <w:rPr>
          <w:color w:val="231F20"/>
          <w:spacing w:val="-3"/>
        </w:rPr>
        <w:t>producción animal </w:t>
      </w:r>
      <w:r>
        <w:rPr>
          <w:color w:val="231F20"/>
        </w:rPr>
        <w:t>en </w:t>
      </w:r>
      <w:r>
        <w:rPr>
          <w:color w:val="231F20"/>
          <w:spacing w:val="-3"/>
        </w:rPr>
        <w:t>las comunidades rurales, </w:t>
      </w:r>
      <w:r>
        <w:rPr>
          <w:color w:val="231F20"/>
        </w:rPr>
        <w:t>ya que la </w:t>
      </w:r>
      <w:r>
        <w:rPr>
          <w:color w:val="231F20"/>
          <w:spacing w:val="-3"/>
        </w:rPr>
        <w:t>producción animal </w:t>
      </w:r>
      <w:r>
        <w:rPr>
          <w:color w:val="231F20"/>
        </w:rPr>
        <w:t>en </w:t>
      </w:r>
      <w:r>
        <w:rPr>
          <w:color w:val="231F20"/>
          <w:spacing w:val="-3"/>
        </w:rPr>
        <w:t>pequeña escala </w:t>
      </w:r>
      <w:r>
        <w:rPr>
          <w:color w:val="231F20"/>
        </w:rPr>
        <w:t>ha </w:t>
      </w:r>
      <w:r>
        <w:rPr>
          <w:color w:val="231F20"/>
          <w:spacing w:val="-3"/>
        </w:rPr>
        <w:t>contribuido </w:t>
      </w:r>
      <w:r>
        <w:rPr>
          <w:color w:val="231F20"/>
        </w:rPr>
        <w:t>a </w:t>
      </w:r>
      <w:r>
        <w:rPr>
          <w:color w:val="231F20"/>
          <w:spacing w:val="-3"/>
        </w:rPr>
        <w:t>mejorar </w:t>
      </w:r>
      <w:r>
        <w:rPr>
          <w:color w:val="231F20"/>
        </w:rPr>
        <w:t>la ca- </w:t>
      </w:r>
      <w:r>
        <w:rPr>
          <w:color w:val="231F20"/>
          <w:spacing w:val="-3"/>
        </w:rPr>
        <w:t>lidad </w:t>
      </w:r>
      <w:r>
        <w:rPr>
          <w:color w:val="231F20"/>
        </w:rPr>
        <w:t>de </w:t>
      </w:r>
      <w:r>
        <w:rPr>
          <w:color w:val="231F20"/>
          <w:spacing w:val="-3"/>
        </w:rPr>
        <w:t>vida </w:t>
      </w:r>
      <w:r>
        <w:rPr>
          <w:color w:val="231F20"/>
        </w:rPr>
        <w:t>y a </w:t>
      </w:r>
      <w:r>
        <w:rPr>
          <w:color w:val="231F20"/>
          <w:spacing w:val="-3"/>
        </w:rPr>
        <w:t>disminuir </w:t>
      </w:r>
      <w:r>
        <w:rPr>
          <w:color w:val="231F20"/>
        </w:rPr>
        <w:t>la </w:t>
      </w:r>
      <w:r>
        <w:rPr>
          <w:color w:val="231F20"/>
          <w:spacing w:val="-3"/>
        </w:rPr>
        <w:t>vulnerabilidad </w:t>
      </w:r>
      <w:r>
        <w:rPr>
          <w:color w:val="231F20"/>
        </w:rPr>
        <w:t>de </w:t>
      </w:r>
      <w:r>
        <w:rPr>
          <w:color w:val="231F20"/>
          <w:spacing w:val="-3"/>
        </w:rPr>
        <w:t>las familias</w:t>
      </w:r>
      <w:r>
        <w:rPr>
          <w:color w:val="231F20"/>
          <w:spacing w:val="-13"/>
        </w:rPr>
        <w:t> </w:t>
      </w:r>
      <w:r>
        <w:rPr>
          <w:color w:val="231F20"/>
          <w:spacing w:val="-3"/>
        </w:rPr>
        <w:t>productoras.</w:t>
      </w:r>
    </w:p>
    <w:p>
      <w:pPr>
        <w:pStyle w:val="BodyText"/>
        <w:spacing w:line="261" w:lineRule="auto" w:before="114"/>
        <w:ind w:left="1553"/>
        <w:jc w:val="both"/>
      </w:pPr>
      <w:r>
        <w:rPr>
          <w:color w:val="231F20"/>
        </w:rPr>
        <w:t>En el México prehispánico la población sólo cria-  ba xoloitzcuintle y guajolotes como animales do- mésticos, y complementaba en proteínas su dieta con la caza y la pesca. Sin embargo, con la llegada de los españoles en </w:t>
      </w:r>
      <w:r>
        <w:rPr>
          <w:color w:val="231F20"/>
          <w:spacing w:val="-5"/>
        </w:rPr>
        <w:t>1521 </w:t>
      </w:r>
      <w:r>
        <w:rPr>
          <w:color w:val="231F20"/>
        </w:rPr>
        <w:t>llegaron también los primeros bovinos a la Nueva España, que se re- produjeron con suma rapidez. La carne de bovino llegó a constituir una parte sustancial de la dieta </w:t>
      </w:r>
      <w:r>
        <w:rPr>
          <w:color w:val="231F20"/>
          <w:w w:val="99"/>
        </w:rPr>
        <w:t>alimenticia</w:t>
      </w:r>
      <w:r>
        <w:rPr>
          <w:color w:val="231F20"/>
        </w:rPr>
        <w:t> </w:t>
      </w:r>
      <w:r>
        <w:rPr>
          <w:color w:val="231F20"/>
          <w:spacing w:val="-20"/>
        </w:rPr>
        <w:t> </w:t>
      </w:r>
      <w:r>
        <w:rPr>
          <w:color w:val="231F20"/>
          <w:w w:val="103"/>
        </w:rPr>
        <w:t>de</w:t>
      </w:r>
      <w:r>
        <w:rPr>
          <w:color w:val="231F20"/>
        </w:rPr>
        <w:t> </w:t>
      </w:r>
      <w:r>
        <w:rPr>
          <w:color w:val="231F20"/>
          <w:spacing w:val="-20"/>
        </w:rPr>
        <w:t> </w:t>
      </w:r>
      <w:r>
        <w:rPr>
          <w:color w:val="231F20"/>
          <w:w w:val="98"/>
        </w:rPr>
        <w:t>toda</w:t>
      </w:r>
      <w:r>
        <w:rPr>
          <w:color w:val="231F20"/>
        </w:rPr>
        <w:t> </w:t>
      </w:r>
      <w:r>
        <w:rPr>
          <w:color w:val="231F20"/>
          <w:spacing w:val="-20"/>
        </w:rPr>
        <w:t> </w:t>
      </w:r>
      <w:r>
        <w:rPr>
          <w:color w:val="231F20"/>
          <w:w w:val="96"/>
        </w:rPr>
        <w:t>la</w:t>
      </w:r>
      <w:r>
        <w:rPr>
          <w:color w:val="231F20"/>
        </w:rPr>
        <w:t> </w:t>
      </w:r>
      <w:r>
        <w:rPr>
          <w:color w:val="231F20"/>
          <w:spacing w:val="-20"/>
        </w:rPr>
        <w:t> </w:t>
      </w:r>
      <w:r>
        <w:rPr>
          <w:color w:val="231F20"/>
          <w:w w:val="100"/>
        </w:rPr>
        <w:t>población</w:t>
      </w:r>
      <w:r>
        <w:rPr>
          <w:color w:val="231F20"/>
          <w:spacing w:val="-1"/>
          <w:w w:val="100"/>
        </w:rPr>
        <w:t>.</w:t>
      </w:r>
      <w:r>
        <w:rPr>
          <w:color w:val="231F20"/>
          <w:w w:val="119"/>
          <w:position w:val="5"/>
          <w:sz w:val="9"/>
        </w:rPr>
        <w:t>2</w:t>
      </w:r>
      <w:r>
        <w:rPr>
          <w:color w:val="231F20"/>
          <w:position w:val="5"/>
          <w:sz w:val="9"/>
        </w:rPr>
        <w:t>  </w:t>
      </w:r>
      <w:r>
        <w:rPr>
          <w:color w:val="231F20"/>
          <w:spacing w:val="9"/>
          <w:position w:val="5"/>
          <w:sz w:val="9"/>
        </w:rPr>
        <w:t> </w:t>
      </w:r>
      <w:r>
        <w:rPr>
          <w:color w:val="231F20"/>
          <w:w w:val="97"/>
        </w:rPr>
        <w:t>A</w:t>
      </w:r>
      <w:r>
        <w:rPr>
          <w:color w:val="231F20"/>
        </w:rPr>
        <w:t> </w:t>
      </w:r>
      <w:r>
        <w:rPr>
          <w:color w:val="231F20"/>
          <w:spacing w:val="-20"/>
        </w:rPr>
        <w:t> </w:t>
      </w:r>
      <w:r>
        <w:rPr>
          <w:color w:val="231F20"/>
          <w:w w:val="100"/>
        </w:rPr>
        <w:t>pesar</w:t>
      </w:r>
      <w:r>
        <w:rPr>
          <w:color w:val="231F20"/>
        </w:rPr>
        <w:t> </w:t>
      </w:r>
      <w:r>
        <w:rPr>
          <w:color w:val="231F20"/>
          <w:spacing w:val="-20"/>
        </w:rPr>
        <w:t> </w:t>
      </w:r>
      <w:r>
        <w:rPr>
          <w:color w:val="231F20"/>
          <w:w w:val="103"/>
        </w:rPr>
        <w:t>de</w:t>
      </w:r>
      <w:r>
        <w:rPr>
          <w:color w:val="231F20"/>
        </w:rPr>
        <w:t> </w:t>
      </w:r>
      <w:r>
        <w:rPr>
          <w:color w:val="231F20"/>
          <w:spacing w:val="-20"/>
        </w:rPr>
        <w:t> </w:t>
      </w:r>
      <w:r>
        <w:rPr>
          <w:color w:val="231F20"/>
          <w:w w:val="103"/>
        </w:rPr>
        <w:t>que</w:t>
      </w:r>
    </w:p>
    <w:p>
      <w:pPr>
        <w:pStyle w:val="BodyText"/>
        <w:spacing w:line="261" w:lineRule="auto" w:before="68"/>
        <w:ind w:left="412" w:right="1551"/>
        <w:jc w:val="both"/>
      </w:pPr>
      <w:r>
        <w:rPr/>
        <w:br w:type="column"/>
      </w:r>
      <w:r>
        <w:rPr>
          <w:color w:val="231F20"/>
        </w:rPr>
        <w:t>al inicio la producción animal era casi nula, ésta empezó a desarrollarse rápidamente y en la actua- lidad representa un pilar importante para el desa- rrollo rural en las familias campesinas de nuestro país, pues es vista como una fuente de    ingreso.</w:t>
      </w:r>
    </w:p>
    <w:p>
      <w:pPr>
        <w:pStyle w:val="BodyText"/>
        <w:spacing w:line="261" w:lineRule="auto" w:before="114"/>
        <w:ind w:left="412" w:right="1551"/>
        <w:jc w:val="both"/>
      </w:pPr>
      <w:r>
        <w:rPr>
          <w:color w:val="231F20"/>
        </w:rPr>
        <w:t>La gran mayoría de los productores agropecuarios del mundo y de México basan sus estrategias de vida en pequeñas unidades de producción, donde la gran mayoría de las más de 4 millones de uni- dades de producción rural reportadas en el Censo Agrícola, Ganadero y Forestal de </w:t>
      </w:r>
      <w:r>
        <w:rPr>
          <w:color w:val="231F20"/>
          <w:spacing w:val="-4"/>
        </w:rPr>
        <w:t>2007 </w:t>
      </w:r>
      <w:r>
        <w:rPr>
          <w:color w:val="231F20"/>
        </w:rPr>
        <w:t>en México incorporan algún tipo de producción animal,  ya  sea como actividad económica principal o com- plementaria.</w:t>
      </w:r>
    </w:p>
    <w:p>
      <w:pPr>
        <w:pStyle w:val="BodyText"/>
        <w:spacing w:line="261" w:lineRule="auto" w:before="114"/>
        <w:ind w:left="412" w:right="1551"/>
        <w:jc w:val="both"/>
        <w:rPr>
          <w:sz w:val="9"/>
        </w:rPr>
      </w:pPr>
      <w:r>
        <w:rPr>
          <w:color w:val="231F20"/>
        </w:rPr>
        <w:t>En los últimos años, la ganadería en México ha transitado por reformas estructurales, económicas y políticas, centradas en el fenómeno de la globa- lización. Con la apertura comercial, la producción de alimentos de origen animal se ha insertado en  la competitividad, y no sólo en costos sino tam- bién en la calidad de los productos. Esto ha puesto en jaque a ganaderos que no entran en esa diná- mica, debido a sus escalas productivas y su alta dependencia de insumos externos. Sin embargo, muchas realidades locales en México contradicen esta hipótesis. Es notorio que la producción ani- mal en pequeña escala se mantiene vigente, con diferentes características y estrategias, y sin lugar   a dudas el uso de la fuerza de trabajo familiar es uno de los principales motivos por los que estos </w:t>
      </w:r>
      <w:r>
        <w:rPr>
          <w:color w:val="231F20"/>
          <w:w w:val="102"/>
        </w:rPr>
        <w:t>sistemas</w:t>
      </w:r>
      <w:r>
        <w:rPr>
          <w:color w:val="231F20"/>
          <w:spacing w:val="13"/>
        </w:rPr>
        <w:t> </w:t>
      </w:r>
      <w:r>
        <w:rPr>
          <w:color w:val="231F20"/>
          <w:w w:val="105"/>
        </w:rPr>
        <w:t>se</w:t>
      </w:r>
      <w:r>
        <w:rPr>
          <w:color w:val="231F20"/>
          <w:spacing w:val="13"/>
        </w:rPr>
        <w:t> </w:t>
      </w:r>
      <w:r>
        <w:rPr>
          <w:color w:val="231F20"/>
          <w:w w:val="102"/>
        </w:rPr>
        <w:t>han</w:t>
      </w:r>
      <w:r>
        <w:rPr>
          <w:color w:val="231F20"/>
          <w:spacing w:val="13"/>
        </w:rPr>
        <w:t> </w:t>
      </w:r>
      <w:r>
        <w:rPr>
          <w:color w:val="231F20"/>
          <w:w w:val="100"/>
        </w:rPr>
        <w:t>mantenido</w:t>
      </w:r>
      <w:r>
        <w:rPr>
          <w:color w:val="231F20"/>
          <w:spacing w:val="-1"/>
          <w:w w:val="100"/>
        </w:rPr>
        <w:t>.</w:t>
      </w:r>
      <w:r>
        <w:rPr>
          <w:color w:val="231F20"/>
          <w:w w:val="119"/>
          <w:position w:val="5"/>
          <w:sz w:val="9"/>
        </w:rPr>
        <w:t>3</w:t>
      </w:r>
    </w:p>
    <w:p>
      <w:pPr>
        <w:spacing w:after="0" w:line="261" w:lineRule="auto"/>
        <w:jc w:val="both"/>
        <w:rPr>
          <w:sz w:val="9"/>
        </w:rPr>
        <w:sectPr>
          <w:type w:val="continuous"/>
          <w:pgSz w:w="11900" w:h="14450"/>
          <w:pgMar w:top="420" w:bottom="420" w:left="0" w:right="0"/>
          <w:cols w:num="2" w:equalWidth="0">
            <w:col w:w="5722" w:space="40"/>
            <w:col w:w="6138"/>
          </w:cols>
        </w:sectPr>
      </w:pPr>
    </w:p>
    <w:p>
      <w:pPr>
        <w:pStyle w:val="BodyText"/>
        <w:rPr>
          <w:sz w:val="23"/>
        </w:rPr>
      </w:pPr>
    </w:p>
    <w:p>
      <w:pPr>
        <w:pStyle w:val="BodyText"/>
        <w:spacing w:line="20" w:lineRule="exact"/>
        <w:ind w:left="1583"/>
        <w:rPr>
          <w:sz w:val="2"/>
        </w:rPr>
      </w:pPr>
      <w:r>
        <w:rPr>
          <w:sz w:val="2"/>
        </w:rPr>
        <w:pict>
          <v:group style="width:69.6pt;height:.5pt;mso-position-horizontal-relative:char;mso-position-vertical-relative:line" coordorigin="0,0" coordsize="1392,10">
            <v:line style="position:absolute" from="5,5" to="1372,5" stroked="true" strokeweight=".5pt" strokecolor="#231f20">
              <v:stroke dashstyle="dash"/>
            </v:line>
            <v:line style="position:absolute" from="1387,5" to="1387,5" stroked="true" strokeweight=".5pt" strokecolor="#231f20"/>
          </v:group>
        </w:pict>
      </w:r>
      <w:r>
        <w:rPr>
          <w:sz w:val="2"/>
        </w:rPr>
      </w:r>
    </w:p>
    <w:p>
      <w:pPr>
        <w:spacing w:line="244" w:lineRule="auto" w:before="64"/>
        <w:ind w:left="1553" w:right="1655" w:firstLine="0"/>
        <w:jc w:val="left"/>
        <w:rPr>
          <w:sz w:val="16"/>
        </w:rPr>
      </w:pPr>
      <w:r>
        <w:rPr>
          <w:color w:val="231F20"/>
          <w:position w:val="5"/>
          <w:sz w:val="9"/>
        </w:rPr>
        <w:t>1 </w:t>
      </w:r>
      <w:r>
        <w:rPr>
          <w:color w:val="231F20"/>
          <w:spacing w:val="-5"/>
          <w:sz w:val="16"/>
        </w:rPr>
        <w:t>FAO </w:t>
      </w:r>
      <w:r>
        <w:rPr>
          <w:color w:val="231F20"/>
          <w:spacing w:val="-3"/>
          <w:sz w:val="16"/>
        </w:rPr>
        <w:t>(2011). </w:t>
      </w:r>
      <w:r>
        <w:rPr>
          <w:color w:val="231F20"/>
          <w:sz w:val="16"/>
        </w:rPr>
        <w:t>Ganado y producción animal. Disponible en línea en: </w:t>
      </w:r>
      <w:hyperlink r:id="rId26">
        <w:r>
          <w:rPr>
            <w:color w:val="231F20"/>
            <w:sz w:val="16"/>
          </w:rPr>
          <w:t>http://www.fao.org/ag/againfo/themes/es/animal_production.</w:t>
        </w:r>
      </w:hyperlink>
      <w:r>
        <w:rPr>
          <w:color w:val="231F20"/>
          <w:sz w:val="16"/>
        </w:rPr>
        <w:t>  html  (Consultado  el  </w:t>
      </w:r>
      <w:r>
        <w:rPr>
          <w:color w:val="231F20"/>
          <w:spacing w:val="-4"/>
          <w:sz w:val="16"/>
        </w:rPr>
        <w:t>12  </w:t>
      </w:r>
      <w:r>
        <w:rPr>
          <w:color w:val="231F20"/>
          <w:sz w:val="16"/>
        </w:rPr>
        <w:t>de  mayo  de</w:t>
      </w:r>
      <w:r>
        <w:rPr>
          <w:color w:val="231F20"/>
          <w:spacing w:val="-9"/>
          <w:sz w:val="16"/>
        </w:rPr>
        <w:t> </w:t>
      </w:r>
      <w:r>
        <w:rPr>
          <w:color w:val="231F20"/>
          <w:spacing w:val="-3"/>
          <w:sz w:val="16"/>
        </w:rPr>
        <w:t>2012.)</w:t>
      </w:r>
    </w:p>
    <w:p>
      <w:pPr>
        <w:spacing w:line="244" w:lineRule="auto" w:before="0"/>
        <w:ind w:left="1553" w:right="0" w:firstLine="0"/>
        <w:jc w:val="left"/>
        <w:rPr>
          <w:sz w:val="16"/>
        </w:rPr>
      </w:pPr>
      <w:r>
        <w:rPr>
          <w:color w:val="231F20"/>
          <w:position w:val="5"/>
          <w:sz w:val="9"/>
        </w:rPr>
        <w:t>2 </w:t>
      </w:r>
      <w:r>
        <w:rPr>
          <w:color w:val="231F20"/>
          <w:sz w:val="16"/>
        </w:rPr>
        <w:t>Rutsch M. (1980). Acerca de la ganadería capitalista en México. Nueva Antropología. México. Disponible en línea en: </w:t>
      </w:r>
      <w:hyperlink r:id="rId27">
        <w:r>
          <w:rPr>
            <w:color w:val="231F20"/>
            <w:sz w:val="16"/>
          </w:rPr>
          <w:t>http://www.</w:t>
        </w:r>
      </w:hyperlink>
      <w:r>
        <w:rPr>
          <w:color w:val="231F20"/>
          <w:sz w:val="16"/>
        </w:rPr>
        <w:t> juridicas.unam.mx/publica/librev/rev/nuant/cont/13/cnt/cnt9.pdf  (Consultado  el  14  de  mayo  de  2012.)</w:t>
      </w:r>
    </w:p>
    <w:p>
      <w:pPr>
        <w:spacing w:line="244" w:lineRule="auto" w:before="0"/>
        <w:ind w:left="1553" w:right="2063" w:firstLine="0"/>
        <w:jc w:val="left"/>
        <w:rPr>
          <w:sz w:val="16"/>
        </w:rPr>
      </w:pPr>
      <w:r>
        <w:rPr>
          <w:color w:val="231F20"/>
          <w:position w:val="5"/>
          <w:sz w:val="9"/>
        </w:rPr>
        <w:t>3 </w:t>
      </w:r>
      <w:r>
        <w:rPr>
          <w:color w:val="231F20"/>
          <w:sz w:val="16"/>
        </w:rPr>
        <w:t>Jiménez-Jiménez R.A., Gil-González G.L., Espinosa Ortiz V.E., Alonso-Pesado A. Ganadería campesina. La jornada del campo. Disponible  en  línea  en: </w:t>
      </w:r>
      <w:hyperlink r:id="rId28">
        <w:r>
          <w:rPr>
            <w:color w:val="231F20"/>
            <w:sz w:val="16"/>
          </w:rPr>
          <w:t>http://www.jornada.unam.mx/2011/12/17/cam-lecheria.html</w:t>
        </w:r>
      </w:hyperlink>
    </w:p>
    <w:p>
      <w:pPr>
        <w:pStyle w:val="Heading5"/>
        <w:spacing w:before="125"/>
        <w:ind w:right="1551"/>
      </w:pPr>
      <w:r>
        <w:rPr>
          <w:color w:val="231F20"/>
          <w:w w:val="90"/>
        </w:rPr>
        <w:t>xiii</w:t>
      </w:r>
    </w:p>
    <w:p>
      <w:pPr>
        <w:spacing w:after="0"/>
        <w:sectPr>
          <w:type w:val="continuous"/>
          <w:pgSz w:w="11900" w:h="14450"/>
          <w:pgMar w:top="420" w:bottom="420" w:left="0" w:right="0"/>
        </w:sectPr>
      </w:pPr>
    </w:p>
    <w:p>
      <w:pPr>
        <w:pStyle w:val="BodyText"/>
      </w:pPr>
    </w:p>
    <w:p>
      <w:pPr>
        <w:pStyle w:val="BodyText"/>
      </w:pPr>
    </w:p>
    <w:p>
      <w:pPr>
        <w:pStyle w:val="BodyText"/>
        <w:rPr>
          <w:sz w:val="17"/>
        </w:rPr>
      </w:pPr>
    </w:p>
    <w:p>
      <w:pPr>
        <w:tabs>
          <w:tab w:pos="9382" w:val="left" w:leader="none"/>
        </w:tabs>
        <w:spacing w:before="64"/>
        <w:ind w:left="1551" w:right="0" w:firstLine="0"/>
        <w:jc w:val="left"/>
        <w:rPr>
          <w:sz w:val="18"/>
        </w:rPr>
      </w:pPr>
      <w:r>
        <w:rPr>
          <w:color w:val="231F20"/>
          <w:sz w:val="22"/>
        </w:rPr>
        <w:t>xiv</w:t>
        <w:tab/>
      </w:r>
      <w:r>
        <w:rPr>
          <w:color w:val="231F20"/>
          <w:sz w:val="18"/>
        </w:rPr>
        <w:t>Presentación</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8" w:lineRule="auto" w:before="67"/>
        <w:ind w:left="1553"/>
        <w:jc w:val="both"/>
      </w:pPr>
      <w:r>
        <w:rPr>
          <w:color w:val="231F20"/>
        </w:rPr>
        <w:t>La producción animal en pequeña escala se de- sarrolla en pequeñas superficies de tierra, con po- cos animales y escasa diversidad de ellos, lo que permite contribuir al desarrollo rural sostenible porque proporciona una variedad de productos comercializables que sirven como fuente de aho- rro e incluso como fuente de ingresos. En general estos sistemas son menos vulnerables, pues per- miten dar seguridad económica por la diversidad de producción e ingresos. La producción animal puede considerarse como un activo de produc- ción, que contribuye directamente al rendimiento de las explotaciones mediante la tracción animal por el alquiler de animales de trabajo, y de manera indirecta como depósito de riqueza para la inver- sión futura. Además, sus residuos tienen un valor agregado; por ejemplo, en muchas ocasiones el estiércol se usa en la agricultura, con el fin de con- tribuir a la fertilidad del suelo y al reciclado de los residuos agrícolas.</w:t>
      </w:r>
    </w:p>
    <w:p>
      <w:pPr>
        <w:pStyle w:val="BodyText"/>
        <w:spacing w:line="268" w:lineRule="auto" w:before="113"/>
        <w:ind w:left="1553"/>
        <w:jc w:val="both"/>
      </w:pPr>
      <w:r>
        <w:rPr>
          <w:color w:val="231F20"/>
        </w:rPr>
        <w:t>La producción animal en pequeña escala puede beneficiarse directamente de la creciente deman- da de productos animales en el mercado. El creci- miento de la demanda en un 3% para los cereales es menos de la mitad que el correspondiente a los productos animales de alto valor, para los cuales   la demanda está creciendo entre un 6% y un 8% anual. Y también los pobres pueden beneficiarse, pues el desarrollo de la producción animal crea demanda de mano de obra, apoya los vínculos económicos con las industrias de alimentos para   el ganado y de elaboración, sostiene las balanzas comerciales, fomenta la seguridad alimentaria a través de un suministro mayor, y puede conducir    a precios más bajos para los alimentos de origen animal. De esta manera, la contribución de la pro- ducción animal a los modos de vida de las  </w:t>
      </w:r>
      <w:r>
        <w:rPr>
          <w:color w:val="231F20"/>
          <w:spacing w:val="4"/>
        </w:rPr>
        <w:t> </w:t>
      </w:r>
      <w:r>
        <w:rPr>
          <w:color w:val="231F20"/>
        </w:rPr>
        <w:t>familias</w:t>
      </w:r>
    </w:p>
    <w:p>
      <w:pPr>
        <w:pStyle w:val="BodyText"/>
        <w:spacing w:line="261" w:lineRule="auto" w:before="67"/>
        <w:ind w:left="412" w:right="1553"/>
        <w:jc w:val="both"/>
        <w:rPr>
          <w:sz w:val="9"/>
        </w:rPr>
      </w:pPr>
      <w:r>
        <w:rPr/>
        <w:br w:type="column"/>
      </w:r>
      <w:r>
        <w:rPr>
          <w:color w:val="231F20"/>
        </w:rPr>
        <w:t>menos favorecidas se convierte en un elemento </w:t>
      </w:r>
      <w:r>
        <w:rPr>
          <w:color w:val="231F20"/>
          <w:w w:val="100"/>
        </w:rPr>
        <w:t>clave</w:t>
      </w:r>
      <w:r>
        <w:rPr>
          <w:color w:val="231F20"/>
        </w:rPr>
        <w:t> </w:t>
      </w:r>
      <w:r>
        <w:rPr>
          <w:color w:val="231F20"/>
          <w:w w:val="103"/>
        </w:rPr>
        <w:t>de</w:t>
      </w:r>
      <w:r>
        <w:rPr>
          <w:color w:val="231F20"/>
        </w:rPr>
        <w:t> </w:t>
      </w:r>
      <w:r>
        <w:rPr>
          <w:color w:val="231F20"/>
          <w:w w:val="101"/>
        </w:rPr>
        <w:t>subsistencia</w:t>
      </w:r>
      <w:r>
        <w:rPr>
          <w:color w:val="231F20"/>
        </w:rPr>
        <w:t> </w:t>
      </w:r>
      <w:r>
        <w:rPr>
          <w:color w:val="231F20"/>
          <w:w w:val="104"/>
        </w:rPr>
        <w:t>e</w:t>
      </w:r>
      <w:r>
        <w:rPr>
          <w:color w:val="231F20"/>
        </w:rPr>
        <w:t> </w:t>
      </w:r>
      <w:r>
        <w:rPr>
          <w:color w:val="231F20"/>
          <w:w w:val="100"/>
        </w:rPr>
        <w:t>ing</w:t>
      </w:r>
      <w:r>
        <w:rPr>
          <w:color w:val="231F20"/>
          <w:w w:val="99"/>
        </w:rPr>
        <w:t>resos.</w:t>
      </w:r>
      <w:r>
        <w:rPr>
          <w:color w:val="231F20"/>
          <w:w w:val="119"/>
          <w:position w:val="5"/>
          <w:sz w:val="9"/>
        </w:rPr>
        <w:t>4</w:t>
      </w:r>
    </w:p>
    <w:p>
      <w:pPr>
        <w:pStyle w:val="BodyText"/>
        <w:spacing w:line="261" w:lineRule="auto" w:before="114"/>
        <w:ind w:left="412" w:right="1551"/>
        <w:jc w:val="both"/>
      </w:pPr>
      <w:r>
        <w:rPr>
          <w:color w:val="231F20"/>
        </w:rPr>
        <w:t>La </w:t>
      </w:r>
      <w:r>
        <w:rPr>
          <w:color w:val="231F20"/>
          <w:spacing w:val="-3"/>
        </w:rPr>
        <w:t>producción </w:t>
      </w:r>
      <w:r>
        <w:rPr>
          <w:color w:val="231F20"/>
        </w:rPr>
        <w:t>de </w:t>
      </w:r>
      <w:r>
        <w:rPr>
          <w:color w:val="231F20"/>
          <w:spacing w:val="-3"/>
        </w:rPr>
        <w:t>leche </w:t>
      </w:r>
      <w:r>
        <w:rPr>
          <w:color w:val="231F20"/>
        </w:rPr>
        <w:t>en </w:t>
      </w:r>
      <w:r>
        <w:rPr>
          <w:color w:val="231F20"/>
          <w:spacing w:val="-3"/>
        </w:rPr>
        <w:t>pequeña escala  </w:t>
      </w:r>
      <w:r>
        <w:rPr>
          <w:color w:val="231F20"/>
        </w:rPr>
        <w:t>es  </w:t>
      </w:r>
      <w:r>
        <w:rPr>
          <w:color w:val="231F20"/>
          <w:spacing w:val="-3"/>
        </w:rPr>
        <w:t>un vivo ejemplo </w:t>
      </w:r>
      <w:r>
        <w:rPr>
          <w:color w:val="231F20"/>
        </w:rPr>
        <w:t>en </w:t>
      </w:r>
      <w:r>
        <w:rPr>
          <w:color w:val="231F20"/>
          <w:spacing w:val="-3"/>
        </w:rPr>
        <w:t>México, pues representa </w:t>
      </w:r>
      <w:r>
        <w:rPr>
          <w:color w:val="231F20"/>
        </w:rPr>
        <w:t>el </w:t>
      </w:r>
      <w:r>
        <w:rPr>
          <w:color w:val="231F20"/>
          <w:spacing w:val="-5"/>
        </w:rPr>
        <w:t>79% </w:t>
      </w:r>
      <w:r>
        <w:rPr>
          <w:color w:val="231F20"/>
          <w:spacing w:val="-3"/>
        </w:rPr>
        <w:t>de </w:t>
      </w:r>
      <w:r>
        <w:rPr>
          <w:color w:val="231F20"/>
        </w:rPr>
        <w:t>las </w:t>
      </w:r>
      <w:r>
        <w:rPr>
          <w:color w:val="231F20"/>
          <w:spacing w:val="-3"/>
        </w:rPr>
        <w:t>unidades especializadas </w:t>
      </w:r>
      <w:r>
        <w:rPr>
          <w:color w:val="231F20"/>
        </w:rPr>
        <w:t>en </w:t>
      </w:r>
      <w:r>
        <w:rPr>
          <w:color w:val="231F20"/>
          <w:spacing w:val="-3"/>
        </w:rPr>
        <w:t>producción </w:t>
      </w:r>
      <w:r>
        <w:rPr>
          <w:color w:val="231F20"/>
        </w:rPr>
        <w:t>de </w:t>
      </w:r>
      <w:r>
        <w:rPr>
          <w:color w:val="231F20"/>
          <w:spacing w:val="-3"/>
        </w:rPr>
        <w:t>leche  </w:t>
      </w:r>
      <w:r>
        <w:rPr>
          <w:color w:val="231F20"/>
        </w:rPr>
        <w:t>y aporta el </w:t>
      </w:r>
      <w:r>
        <w:rPr>
          <w:color w:val="231F20"/>
          <w:spacing w:val="-4"/>
        </w:rPr>
        <w:t>37% </w:t>
      </w:r>
      <w:r>
        <w:rPr>
          <w:color w:val="231F20"/>
        </w:rPr>
        <w:t>de la </w:t>
      </w:r>
      <w:r>
        <w:rPr>
          <w:color w:val="231F20"/>
          <w:spacing w:val="-3"/>
        </w:rPr>
        <w:t>producción láctea  </w:t>
      </w:r>
      <w:r>
        <w:rPr>
          <w:color w:val="231F20"/>
        </w:rPr>
        <w:t>de </w:t>
      </w:r>
      <w:r>
        <w:rPr>
          <w:color w:val="231F20"/>
          <w:spacing w:val="-3"/>
        </w:rPr>
        <w:t>Méxi-  </w:t>
      </w:r>
      <w:r>
        <w:rPr>
          <w:color w:val="231F20"/>
        </w:rPr>
        <w:t>co. Es una </w:t>
      </w:r>
      <w:r>
        <w:rPr>
          <w:color w:val="231F20"/>
          <w:spacing w:val="-3"/>
        </w:rPr>
        <w:t>actividad económicamente viable, por- </w:t>
      </w:r>
      <w:r>
        <w:rPr>
          <w:color w:val="231F20"/>
        </w:rPr>
        <w:t>que aporta un ingreso por día </w:t>
      </w:r>
      <w:r>
        <w:rPr>
          <w:color w:val="231F20"/>
          <w:spacing w:val="-3"/>
        </w:rPr>
        <w:t>igual </w:t>
      </w:r>
      <w:r>
        <w:rPr>
          <w:color w:val="231F20"/>
        </w:rPr>
        <w:t>o </w:t>
      </w:r>
      <w:r>
        <w:rPr>
          <w:color w:val="231F20"/>
          <w:spacing w:val="-3"/>
        </w:rPr>
        <w:t>superior al </w:t>
      </w:r>
      <w:r>
        <w:rPr>
          <w:color w:val="231F20"/>
        </w:rPr>
        <w:t>que </w:t>
      </w:r>
      <w:r>
        <w:rPr>
          <w:color w:val="231F20"/>
          <w:spacing w:val="-3"/>
        </w:rPr>
        <w:t>podrían obtener </w:t>
      </w:r>
      <w:r>
        <w:rPr>
          <w:color w:val="231F20"/>
        </w:rPr>
        <w:t>las </w:t>
      </w:r>
      <w:r>
        <w:rPr>
          <w:color w:val="231F20"/>
          <w:spacing w:val="-3"/>
        </w:rPr>
        <w:t>familias productoras fuera </w:t>
      </w:r>
      <w:r>
        <w:rPr>
          <w:color w:val="231F20"/>
        </w:rPr>
        <w:t>de sus </w:t>
      </w:r>
      <w:r>
        <w:rPr>
          <w:color w:val="231F20"/>
          <w:spacing w:val="-3"/>
        </w:rPr>
        <w:t>comunidades; </w:t>
      </w:r>
      <w:r>
        <w:rPr>
          <w:color w:val="231F20"/>
        </w:rPr>
        <w:t>ingreso  que  en  su  </w:t>
      </w:r>
      <w:r>
        <w:rPr>
          <w:color w:val="231F20"/>
          <w:spacing w:val="-3"/>
        </w:rPr>
        <w:t>mayoría </w:t>
      </w:r>
      <w:r>
        <w:rPr>
          <w:color w:val="231F20"/>
        </w:rPr>
        <w:t>es </w:t>
      </w:r>
      <w:r>
        <w:rPr>
          <w:color w:val="231F20"/>
          <w:spacing w:val="-3"/>
        </w:rPr>
        <w:t>complementado </w:t>
      </w:r>
      <w:r>
        <w:rPr>
          <w:color w:val="231F20"/>
        </w:rPr>
        <w:t>con </w:t>
      </w:r>
      <w:r>
        <w:rPr>
          <w:color w:val="231F20"/>
          <w:spacing w:val="-3"/>
        </w:rPr>
        <w:t>otras fuentes,  </w:t>
      </w:r>
      <w:r>
        <w:rPr>
          <w:color w:val="231F20"/>
        </w:rPr>
        <w:t>por </w:t>
      </w:r>
      <w:r>
        <w:rPr>
          <w:color w:val="231F20"/>
          <w:spacing w:val="-3"/>
        </w:rPr>
        <w:t>ejemplo </w:t>
      </w:r>
      <w:r>
        <w:rPr>
          <w:color w:val="231F20"/>
        </w:rPr>
        <w:t>la </w:t>
      </w:r>
      <w:r>
        <w:rPr>
          <w:color w:val="231F20"/>
          <w:spacing w:val="-3"/>
        </w:rPr>
        <w:t>producción </w:t>
      </w:r>
      <w:r>
        <w:rPr>
          <w:color w:val="231F20"/>
        </w:rPr>
        <w:t>de </w:t>
      </w:r>
      <w:r>
        <w:rPr>
          <w:color w:val="231F20"/>
          <w:spacing w:val="-3"/>
        </w:rPr>
        <w:t>otra especie animal </w:t>
      </w:r>
      <w:r>
        <w:rPr>
          <w:color w:val="231F20"/>
        </w:rPr>
        <w:t>en la </w:t>
      </w:r>
      <w:r>
        <w:rPr>
          <w:color w:val="231F20"/>
          <w:spacing w:val="-3"/>
        </w:rPr>
        <w:t>misma unidad </w:t>
      </w:r>
      <w:r>
        <w:rPr>
          <w:color w:val="231F20"/>
        </w:rPr>
        <w:t>de </w:t>
      </w:r>
      <w:r>
        <w:rPr>
          <w:color w:val="231F20"/>
          <w:spacing w:val="-3"/>
        </w:rPr>
        <w:t>producción, </w:t>
      </w:r>
      <w:r>
        <w:rPr>
          <w:color w:val="231F20"/>
        </w:rPr>
        <w:t>lo que  </w:t>
      </w:r>
      <w:r>
        <w:rPr>
          <w:color w:val="231F20"/>
          <w:spacing w:val="-3"/>
        </w:rPr>
        <w:t>permite  diversificar </w:t>
      </w:r>
      <w:r>
        <w:rPr>
          <w:color w:val="231F20"/>
        </w:rPr>
        <w:t>las </w:t>
      </w:r>
      <w:r>
        <w:rPr>
          <w:color w:val="231F20"/>
          <w:spacing w:val="-3"/>
        </w:rPr>
        <w:t>fuentes </w:t>
      </w:r>
      <w:r>
        <w:rPr>
          <w:color w:val="231F20"/>
        </w:rPr>
        <w:t>de </w:t>
      </w:r>
      <w:r>
        <w:rPr>
          <w:color w:val="231F20"/>
          <w:spacing w:val="-3"/>
        </w:rPr>
        <w:t>ingresos. </w:t>
      </w:r>
      <w:r>
        <w:rPr>
          <w:color w:val="231F20"/>
        </w:rPr>
        <w:t>Es cierto que la </w:t>
      </w:r>
      <w:r>
        <w:rPr>
          <w:color w:val="231F20"/>
          <w:spacing w:val="-3"/>
        </w:rPr>
        <w:t>calidad de </w:t>
      </w:r>
      <w:r>
        <w:rPr>
          <w:color w:val="231F20"/>
        </w:rPr>
        <w:t>los </w:t>
      </w:r>
      <w:r>
        <w:rPr>
          <w:color w:val="231F20"/>
          <w:spacing w:val="-3"/>
        </w:rPr>
        <w:t>productos </w:t>
      </w:r>
      <w:r>
        <w:rPr>
          <w:color w:val="231F20"/>
        </w:rPr>
        <w:t>de </w:t>
      </w:r>
      <w:r>
        <w:rPr>
          <w:color w:val="231F20"/>
          <w:spacing w:val="-3"/>
        </w:rPr>
        <w:t>estos sistemas debe mejorarse, ya </w:t>
      </w:r>
      <w:r>
        <w:rPr>
          <w:color w:val="231F20"/>
        </w:rPr>
        <w:t>que en un </w:t>
      </w:r>
      <w:r>
        <w:rPr>
          <w:color w:val="231F20"/>
          <w:spacing w:val="-3"/>
        </w:rPr>
        <w:t>futuro </w:t>
      </w:r>
      <w:r>
        <w:rPr>
          <w:color w:val="231F20"/>
        </w:rPr>
        <w:t>muy </w:t>
      </w:r>
      <w:r>
        <w:rPr>
          <w:color w:val="231F20"/>
          <w:spacing w:val="-3"/>
        </w:rPr>
        <w:t>próximo deberán cumplir con </w:t>
      </w:r>
      <w:r>
        <w:rPr>
          <w:color w:val="231F20"/>
        </w:rPr>
        <w:t>los </w:t>
      </w:r>
      <w:r>
        <w:rPr>
          <w:color w:val="231F20"/>
          <w:spacing w:val="-3"/>
        </w:rPr>
        <w:t>criterios </w:t>
      </w:r>
      <w:r>
        <w:rPr>
          <w:color w:val="231F20"/>
        </w:rPr>
        <w:t>de </w:t>
      </w:r>
      <w:r>
        <w:rPr>
          <w:color w:val="231F20"/>
          <w:spacing w:val="-3"/>
        </w:rPr>
        <w:t>calidad </w:t>
      </w:r>
      <w:r>
        <w:rPr>
          <w:color w:val="231F20"/>
        </w:rPr>
        <w:t>e </w:t>
      </w:r>
      <w:r>
        <w:rPr>
          <w:color w:val="231F20"/>
          <w:spacing w:val="-3"/>
        </w:rPr>
        <w:t>inocuidad requeridos, pues </w:t>
      </w:r>
      <w:r>
        <w:rPr>
          <w:color w:val="231F20"/>
        </w:rPr>
        <w:t>de no </w:t>
      </w:r>
      <w:r>
        <w:rPr>
          <w:color w:val="231F20"/>
          <w:spacing w:val="-3"/>
        </w:rPr>
        <w:t>hacerlo será </w:t>
      </w:r>
      <w:r>
        <w:rPr>
          <w:color w:val="231F20"/>
        </w:rPr>
        <w:t>un </w:t>
      </w:r>
      <w:r>
        <w:rPr>
          <w:color w:val="231F20"/>
          <w:spacing w:val="-3"/>
        </w:rPr>
        <w:t>factor </w:t>
      </w:r>
      <w:r>
        <w:rPr>
          <w:color w:val="231F20"/>
        </w:rPr>
        <w:t>que </w:t>
      </w:r>
      <w:r>
        <w:rPr>
          <w:color w:val="231F20"/>
          <w:spacing w:val="-3"/>
        </w:rPr>
        <w:t>puede limitar sus oportunidades  </w:t>
      </w:r>
      <w:r>
        <w:rPr>
          <w:color w:val="231F20"/>
        </w:rPr>
        <w:t>de</w:t>
      </w:r>
      <w:r>
        <w:rPr>
          <w:color w:val="231F20"/>
          <w:spacing w:val="-3"/>
        </w:rPr>
        <w:t> mercado.</w:t>
      </w:r>
    </w:p>
    <w:p>
      <w:pPr>
        <w:pStyle w:val="BodyText"/>
        <w:spacing w:line="261" w:lineRule="auto" w:before="114"/>
        <w:ind w:left="412" w:right="1551"/>
        <w:jc w:val="both"/>
      </w:pPr>
      <w:r>
        <w:rPr>
          <w:color w:val="231F20"/>
        </w:rPr>
        <w:t>La sustentabilidad en estos sistemas es una reali- dad, pero económicamente presentan  la debilidad de depender de insumos externos. Se requiere una investigación para evaluar de manera  adecuada tanto la sustentabilidad de estos sistemas como las áreas de oportunidad para su  mejora.</w:t>
      </w:r>
    </w:p>
    <w:p>
      <w:pPr>
        <w:pStyle w:val="BodyText"/>
        <w:spacing w:line="261" w:lineRule="auto" w:before="114"/>
        <w:ind w:left="412" w:right="1551"/>
        <w:jc w:val="both"/>
      </w:pPr>
      <w:r>
        <w:rPr>
          <w:color w:val="231F20"/>
        </w:rPr>
        <w:t>Los </w:t>
      </w:r>
      <w:r>
        <w:rPr>
          <w:color w:val="231F20"/>
          <w:spacing w:val="-3"/>
        </w:rPr>
        <w:t>capítulos </w:t>
      </w:r>
      <w:r>
        <w:rPr>
          <w:color w:val="231F20"/>
        </w:rPr>
        <w:t>de </w:t>
      </w:r>
      <w:r>
        <w:rPr>
          <w:color w:val="231F20"/>
          <w:spacing w:val="-3"/>
        </w:rPr>
        <w:t>este libro </w:t>
      </w:r>
      <w:r>
        <w:rPr>
          <w:color w:val="231F20"/>
        </w:rPr>
        <w:t>son una </w:t>
      </w:r>
      <w:r>
        <w:rPr>
          <w:color w:val="231F20"/>
          <w:spacing w:val="-3"/>
        </w:rPr>
        <w:t>prueba </w:t>
      </w:r>
      <w:r>
        <w:rPr>
          <w:color w:val="231F20"/>
        </w:rPr>
        <w:t>tangi-  ble de la </w:t>
      </w:r>
      <w:r>
        <w:rPr>
          <w:color w:val="231F20"/>
          <w:spacing w:val="-3"/>
        </w:rPr>
        <w:t>importancia </w:t>
      </w:r>
      <w:r>
        <w:rPr>
          <w:color w:val="231F20"/>
        </w:rPr>
        <w:t>de la </w:t>
      </w:r>
      <w:r>
        <w:rPr>
          <w:color w:val="231F20"/>
          <w:spacing w:val="-3"/>
        </w:rPr>
        <w:t>producción animal en pequeña escala, </w:t>
      </w:r>
      <w:r>
        <w:rPr>
          <w:color w:val="231F20"/>
        </w:rPr>
        <w:t>ya que </w:t>
      </w:r>
      <w:r>
        <w:rPr>
          <w:color w:val="231F20"/>
          <w:spacing w:val="-3"/>
        </w:rPr>
        <w:t>ésta cumple </w:t>
      </w:r>
      <w:r>
        <w:rPr>
          <w:color w:val="231F20"/>
        </w:rPr>
        <w:t>con </w:t>
      </w:r>
      <w:r>
        <w:rPr>
          <w:color w:val="231F20"/>
          <w:spacing w:val="-3"/>
        </w:rPr>
        <w:t>diversas funciones, ente </w:t>
      </w:r>
      <w:r>
        <w:rPr>
          <w:color w:val="231F20"/>
        </w:rPr>
        <w:t>las que </w:t>
      </w:r>
      <w:r>
        <w:rPr>
          <w:color w:val="231F20"/>
          <w:spacing w:val="-3"/>
        </w:rPr>
        <w:t>destaca </w:t>
      </w:r>
      <w:r>
        <w:rPr>
          <w:color w:val="231F20"/>
        </w:rPr>
        <w:t>el ser </w:t>
      </w:r>
      <w:r>
        <w:rPr>
          <w:color w:val="231F20"/>
          <w:spacing w:val="-3"/>
        </w:rPr>
        <w:t>fuente de empleo, principalmente fuerza  </w:t>
      </w:r>
      <w:r>
        <w:rPr>
          <w:color w:val="231F20"/>
        </w:rPr>
        <w:t>de  </w:t>
      </w:r>
      <w:r>
        <w:rPr>
          <w:color w:val="231F20"/>
          <w:spacing w:val="-3"/>
        </w:rPr>
        <w:t>trabajo  </w:t>
      </w:r>
      <w:r>
        <w:rPr>
          <w:color w:val="231F20"/>
          <w:spacing w:val="-4"/>
        </w:rPr>
        <w:t>familiar, </w:t>
      </w:r>
      <w:r>
        <w:rPr>
          <w:color w:val="231F20"/>
        </w:rPr>
        <w:t>lo que </w:t>
      </w:r>
      <w:r>
        <w:rPr>
          <w:color w:val="231F20"/>
          <w:spacing w:val="-3"/>
        </w:rPr>
        <w:t>contribuye </w:t>
      </w:r>
      <w:r>
        <w:rPr>
          <w:color w:val="231F20"/>
        </w:rPr>
        <w:t>a </w:t>
      </w:r>
      <w:r>
        <w:rPr>
          <w:color w:val="231F20"/>
          <w:spacing w:val="-3"/>
        </w:rPr>
        <w:t>disminuir </w:t>
      </w:r>
      <w:r>
        <w:rPr>
          <w:color w:val="231F20"/>
        </w:rPr>
        <w:t>la </w:t>
      </w:r>
      <w:r>
        <w:rPr>
          <w:color w:val="231F20"/>
          <w:spacing w:val="-3"/>
        </w:rPr>
        <w:t>migración </w:t>
      </w:r>
      <w:r>
        <w:rPr>
          <w:color w:val="231F20"/>
        </w:rPr>
        <w:t>a las </w:t>
      </w:r>
      <w:r>
        <w:rPr>
          <w:color w:val="231F20"/>
          <w:spacing w:val="-3"/>
        </w:rPr>
        <w:t>ciu- dades </w:t>
      </w:r>
      <w:r>
        <w:rPr>
          <w:color w:val="231F20"/>
        </w:rPr>
        <w:t>o a </w:t>
      </w:r>
      <w:r>
        <w:rPr>
          <w:color w:val="231F20"/>
          <w:spacing w:val="-3"/>
        </w:rPr>
        <w:t>otros países. </w:t>
      </w:r>
      <w:r>
        <w:rPr>
          <w:color w:val="231F20"/>
        </w:rPr>
        <w:t>La fuerza de trabajo familiar permite a la producción animal en pequeña escala persistir en un entorno económico muy competiti- vo. Dadas las dimensiones de las familias campe- sinas, permite la diversificación de las actividades: la ganadería es una posibilidad para los  </w:t>
      </w:r>
      <w:r>
        <w:rPr>
          <w:color w:val="231F20"/>
          <w:spacing w:val="21"/>
        </w:rPr>
        <w:t> </w:t>
      </w:r>
      <w:r>
        <w:rPr>
          <w:color w:val="231F20"/>
        </w:rPr>
        <w:t>miembros</w:t>
      </w:r>
    </w:p>
    <w:p>
      <w:pPr>
        <w:spacing w:after="0" w:line="261" w:lineRule="auto"/>
        <w:jc w:val="both"/>
        <w:sectPr>
          <w:type w:val="continuous"/>
          <w:pgSz w:w="11900" w:h="14450"/>
          <w:pgMar w:top="420" w:bottom="420" w:left="0" w:right="0"/>
          <w:cols w:num="2" w:equalWidth="0">
            <w:col w:w="5722" w:space="40"/>
            <w:col w:w="6138"/>
          </w:cols>
        </w:sectPr>
      </w:pPr>
    </w:p>
    <w:p>
      <w:pPr>
        <w:pStyle w:val="BodyText"/>
        <w:spacing w:before="7"/>
        <w:rPr>
          <w:sz w:val="12"/>
        </w:rPr>
      </w:pPr>
    </w:p>
    <w:p>
      <w:pPr>
        <w:pStyle w:val="BodyText"/>
        <w:spacing w:line="20" w:lineRule="exact"/>
        <w:ind w:left="1581"/>
        <w:rPr>
          <w:sz w:val="2"/>
        </w:rPr>
      </w:pPr>
      <w:r>
        <w:rPr>
          <w:sz w:val="2"/>
        </w:rPr>
        <w:pict>
          <v:group style="width:69.6pt;height:.5pt;mso-position-horizontal-relative:char;mso-position-vertical-relative:line" coordorigin="0,0" coordsize="1392,10">
            <v:line style="position:absolute" from="5,5" to="1372,5" stroked="true" strokeweight=".5pt" strokecolor="#231f20">
              <v:stroke dashstyle="dash"/>
            </v:line>
            <v:line style="position:absolute" from="1387,5" to="1387,5" stroked="true" strokeweight=".5pt" strokecolor="#231f20"/>
          </v:group>
        </w:pict>
      </w:r>
      <w:r>
        <w:rPr>
          <w:sz w:val="2"/>
        </w:rPr>
      </w:r>
    </w:p>
    <w:p>
      <w:pPr>
        <w:spacing w:line="244" w:lineRule="auto" w:before="64"/>
        <w:ind w:left="1551" w:right="2063" w:firstLine="0"/>
        <w:jc w:val="left"/>
        <w:rPr>
          <w:sz w:val="16"/>
        </w:rPr>
      </w:pPr>
      <w:r>
        <w:rPr>
          <w:color w:val="231F20"/>
          <w:position w:val="5"/>
          <w:sz w:val="9"/>
        </w:rPr>
        <w:t>4 </w:t>
      </w:r>
      <w:r>
        <w:rPr>
          <w:color w:val="231F20"/>
          <w:sz w:val="16"/>
        </w:rPr>
        <w:t>FAO (2011). Ganado y generación de ingresos. Disponible en línea en: </w:t>
      </w:r>
      <w:hyperlink r:id="rId29">
        <w:r>
          <w:rPr>
            <w:color w:val="231F20"/>
            <w:sz w:val="16"/>
          </w:rPr>
          <w:t>http://www.fao.org/ag/againfo/themes/es/income_</w:t>
        </w:r>
      </w:hyperlink>
      <w:r>
        <w:rPr>
          <w:color w:val="231F20"/>
          <w:sz w:val="16"/>
        </w:rPr>
        <w:t> generation.html (Consultado el 12  de mayo de     2012.)</w:t>
      </w:r>
    </w:p>
    <w:p>
      <w:pPr>
        <w:spacing w:after="0" w:line="244" w:lineRule="auto"/>
        <w:jc w:val="left"/>
        <w:rPr>
          <w:sz w:val="16"/>
        </w:rPr>
        <w:sectPr>
          <w:type w:val="continuous"/>
          <w:pgSz w:w="11900" w:h="14450"/>
          <w:pgMar w:top="420" w:bottom="420" w:left="0" w:right="0"/>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Presentación</w:t>
      </w:r>
      <w:r>
        <w:rPr>
          <w:color w:val="231F20"/>
          <w:sz w:val="22"/>
        </w:rPr>
        <w:tab/>
        <w:t>xv</w:t>
      </w:r>
    </w:p>
    <w:p>
      <w:pPr>
        <w:spacing w:after="0"/>
        <w:jc w:val="left"/>
        <w:rPr>
          <w:sz w:val="22"/>
        </w:rPr>
        <w:sectPr>
          <w:footerReference w:type="default" r:id="rId30"/>
          <w:pgSz w:w="11900" w:h="14450"/>
          <w:pgMar w:footer="222" w:header="0" w:top="420" w:bottom="420" w:left="0" w:right="0"/>
        </w:sectPr>
      </w:pPr>
    </w:p>
    <w:p>
      <w:pPr>
        <w:pStyle w:val="BodyText"/>
        <w:spacing w:before="3"/>
        <w:rPr>
          <w:sz w:val="28"/>
        </w:rPr>
      </w:pPr>
    </w:p>
    <w:p>
      <w:pPr>
        <w:pStyle w:val="BodyText"/>
        <w:spacing w:line="259" w:lineRule="auto"/>
        <w:ind w:left="1553"/>
        <w:jc w:val="both"/>
      </w:pPr>
      <w:r>
        <w:rPr>
          <w:color w:val="231F20"/>
        </w:rPr>
        <w:t>de la familia que no tienen otras opciones, pues   les permite obtener un valor económico de su ac- tividad.</w:t>
      </w:r>
    </w:p>
    <w:p>
      <w:pPr>
        <w:pStyle w:val="BodyText"/>
        <w:spacing w:line="259" w:lineRule="auto" w:before="113"/>
        <w:ind w:left="1553"/>
        <w:jc w:val="both"/>
      </w:pPr>
      <w:r>
        <w:rPr>
          <w:color w:val="231F20"/>
        </w:rPr>
        <w:t>El </w:t>
      </w:r>
      <w:r>
        <w:rPr>
          <w:color w:val="231F20"/>
          <w:spacing w:val="-3"/>
        </w:rPr>
        <w:t>libro está dividido </w:t>
      </w:r>
      <w:r>
        <w:rPr>
          <w:color w:val="231F20"/>
        </w:rPr>
        <w:t>en </w:t>
      </w:r>
      <w:r>
        <w:rPr>
          <w:color w:val="231F20"/>
          <w:spacing w:val="-3"/>
        </w:rPr>
        <w:t>cuatro secciones. </w:t>
      </w:r>
      <w:r>
        <w:rPr>
          <w:color w:val="231F20"/>
        </w:rPr>
        <w:t>En </w:t>
      </w:r>
      <w:r>
        <w:rPr>
          <w:color w:val="231F20"/>
          <w:spacing w:val="-3"/>
        </w:rPr>
        <w:t>la primera, </w:t>
      </w:r>
      <w:r>
        <w:rPr>
          <w:color w:val="231F20"/>
        </w:rPr>
        <w:t>la </w:t>
      </w:r>
      <w:r>
        <w:rPr>
          <w:color w:val="231F20"/>
          <w:spacing w:val="-3"/>
        </w:rPr>
        <w:t>introducción, </w:t>
      </w:r>
      <w:r>
        <w:rPr>
          <w:color w:val="231F20"/>
        </w:rPr>
        <w:t>se </w:t>
      </w:r>
      <w:r>
        <w:rPr>
          <w:color w:val="231F20"/>
          <w:spacing w:val="-3"/>
        </w:rPr>
        <w:t>hace énfasis sobre la contribución </w:t>
      </w:r>
      <w:r>
        <w:rPr>
          <w:color w:val="231F20"/>
        </w:rPr>
        <w:t>de la </w:t>
      </w:r>
      <w:r>
        <w:rPr>
          <w:color w:val="231F20"/>
          <w:spacing w:val="-3"/>
        </w:rPr>
        <w:t>producción animal </w:t>
      </w:r>
      <w:r>
        <w:rPr>
          <w:color w:val="231F20"/>
        </w:rPr>
        <w:t>en </w:t>
      </w:r>
      <w:r>
        <w:rPr>
          <w:color w:val="231F20"/>
          <w:spacing w:val="-3"/>
        </w:rPr>
        <w:t>pequeña escala </w:t>
      </w:r>
      <w:r>
        <w:rPr>
          <w:color w:val="231F20"/>
        </w:rPr>
        <w:t>a las </w:t>
      </w:r>
      <w:r>
        <w:rPr>
          <w:color w:val="231F20"/>
          <w:spacing w:val="-3"/>
        </w:rPr>
        <w:t>estrategias </w:t>
      </w:r>
      <w:r>
        <w:rPr>
          <w:color w:val="231F20"/>
        </w:rPr>
        <w:t>de </w:t>
      </w:r>
      <w:r>
        <w:rPr>
          <w:color w:val="231F20"/>
          <w:spacing w:val="-3"/>
        </w:rPr>
        <w:t>vida campesinas, propor- cionando </w:t>
      </w:r>
      <w:r>
        <w:rPr>
          <w:color w:val="231F20"/>
        </w:rPr>
        <w:t>los </w:t>
      </w:r>
      <w:r>
        <w:rPr>
          <w:color w:val="231F20"/>
          <w:spacing w:val="-3"/>
        </w:rPr>
        <w:t>fundamentos </w:t>
      </w:r>
      <w:r>
        <w:rPr>
          <w:color w:val="231F20"/>
        </w:rPr>
        <w:t>de la </w:t>
      </w:r>
      <w:r>
        <w:rPr>
          <w:color w:val="231F20"/>
          <w:spacing w:val="-3"/>
        </w:rPr>
        <w:t>actividad  </w:t>
      </w:r>
      <w:r>
        <w:rPr>
          <w:color w:val="231F20"/>
        </w:rPr>
        <w:t>y </w:t>
      </w:r>
      <w:r>
        <w:rPr>
          <w:color w:val="231F20"/>
          <w:spacing w:val="-3"/>
        </w:rPr>
        <w:t>cómo  </w:t>
      </w:r>
      <w:r>
        <w:rPr>
          <w:color w:val="231F20"/>
        </w:rPr>
        <w:t>es </w:t>
      </w:r>
      <w:r>
        <w:rPr>
          <w:color w:val="231F20"/>
          <w:spacing w:val="-3"/>
        </w:rPr>
        <w:t>vista </w:t>
      </w:r>
      <w:r>
        <w:rPr>
          <w:color w:val="231F20"/>
        </w:rPr>
        <w:t>por los </w:t>
      </w:r>
      <w:r>
        <w:rPr>
          <w:color w:val="231F20"/>
          <w:spacing w:val="-3"/>
        </w:rPr>
        <w:t>campesinos, principalmente una fuente viable </w:t>
      </w:r>
      <w:r>
        <w:rPr>
          <w:color w:val="231F20"/>
        </w:rPr>
        <w:t>que </w:t>
      </w:r>
      <w:r>
        <w:rPr>
          <w:color w:val="231F20"/>
          <w:spacing w:val="-3"/>
        </w:rPr>
        <w:t>disminuye </w:t>
      </w:r>
      <w:r>
        <w:rPr>
          <w:color w:val="231F20"/>
        </w:rPr>
        <w:t>la </w:t>
      </w:r>
      <w:r>
        <w:rPr>
          <w:color w:val="231F20"/>
          <w:spacing w:val="-3"/>
        </w:rPr>
        <w:t>vulnerabilidad </w:t>
      </w:r>
      <w:r>
        <w:rPr>
          <w:color w:val="231F20"/>
        </w:rPr>
        <w:t>de </w:t>
      </w:r>
      <w:r>
        <w:rPr>
          <w:color w:val="231F20"/>
          <w:spacing w:val="-3"/>
        </w:rPr>
        <w:t>las familias </w:t>
      </w:r>
      <w:r>
        <w:rPr>
          <w:color w:val="231F20"/>
        </w:rPr>
        <w:t>y una </w:t>
      </w:r>
      <w:r>
        <w:rPr>
          <w:color w:val="231F20"/>
          <w:spacing w:val="-3"/>
        </w:rPr>
        <w:t>forma </w:t>
      </w:r>
      <w:r>
        <w:rPr>
          <w:color w:val="231F20"/>
        </w:rPr>
        <w:t>de </w:t>
      </w:r>
      <w:r>
        <w:rPr>
          <w:color w:val="231F20"/>
          <w:spacing w:val="-3"/>
        </w:rPr>
        <w:t>contribuir </w:t>
      </w:r>
      <w:r>
        <w:rPr>
          <w:color w:val="231F20"/>
        </w:rPr>
        <w:t>a la </w:t>
      </w:r>
      <w:r>
        <w:rPr>
          <w:color w:val="231F20"/>
          <w:spacing w:val="-3"/>
        </w:rPr>
        <w:t>disminución </w:t>
      </w:r>
      <w:r>
        <w:rPr>
          <w:color w:val="231F20"/>
        </w:rPr>
        <w:t>de la</w:t>
      </w:r>
      <w:r>
        <w:rPr>
          <w:color w:val="231F20"/>
          <w:spacing w:val="16"/>
        </w:rPr>
        <w:t> </w:t>
      </w:r>
      <w:r>
        <w:rPr>
          <w:color w:val="231F20"/>
          <w:spacing w:val="-4"/>
        </w:rPr>
        <w:t>pobreza.</w:t>
      </w:r>
    </w:p>
    <w:p>
      <w:pPr>
        <w:pStyle w:val="BodyText"/>
        <w:spacing w:line="259" w:lineRule="auto" w:before="113"/>
        <w:ind w:left="1553"/>
        <w:jc w:val="both"/>
      </w:pPr>
      <w:r>
        <w:rPr>
          <w:color w:val="231F20"/>
        </w:rPr>
        <w:t>La segunda sección se centra en la producción bo- vina y en su impacto en el desarrollo rural. Aborda los sistemas de producción de leche (seis capí- tulos), el doble propósito (un capítulo) y los pro- ductores de carne (un capítulo). En los sistemas   de producción de leche se tratan la calidad de la leche y la sustentabilidad, así como aspectos sobre adopción de tecnología y producción orgánica. En cuanto a los sistemas de doble propósito (carne y leche) y los productores de carne, se desarrollan aspectos de caracterización de sistemas, las carac- terísticas que permiten el desarrollo de la activi- dad, los problemas que afrontan y la cuantificación de los beneficios económicos de estos sistemas para los</w:t>
      </w:r>
      <w:r>
        <w:rPr>
          <w:color w:val="231F20"/>
          <w:spacing w:val="6"/>
        </w:rPr>
        <w:t> </w:t>
      </w:r>
      <w:r>
        <w:rPr>
          <w:color w:val="231F20"/>
        </w:rPr>
        <w:t>productores.</w:t>
      </w:r>
    </w:p>
    <w:p>
      <w:pPr>
        <w:pStyle w:val="BodyText"/>
        <w:spacing w:line="259" w:lineRule="auto" w:before="113"/>
        <w:ind w:left="1553"/>
        <w:jc w:val="both"/>
      </w:pPr>
      <w:r>
        <w:rPr>
          <w:color w:val="231F20"/>
        </w:rPr>
        <w:t>La tercera sección se dedica a la producción de pe- queños rumiantes y a su impacto en el desarro-   llo rural. Está dividida en sistemas productores de ovinos (cuatro capítulos) y sistemas  productores de caprinos (dos capítulos). Los diferentes capítu- los que conforman la sección de ovinos brindan un panorama de su producción en una área natural protegida, el </w:t>
      </w:r>
      <w:r>
        <w:rPr>
          <w:color w:val="231F20"/>
          <w:spacing w:val="-3"/>
        </w:rPr>
        <w:t>Parque </w:t>
      </w:r>
      <w:r>
        <w:rPr>
          <w:color w:val="231F20"/>
        </w:rPr>
        <w:t>Nacional Nevado de </w:t>
      </w:r>
      <w:r>
        <w:rPr>
          <w:color w:val="231F20"/>
          <w:spacing w:val="-5"/>
        </w:rPr>
        <w:t>Toluca, </w:t>
      </w:r>
      <w:r>
        <w:rPr>
          <w:color w:val="231F20"/>
        </w:rPr>
        <w:t>en contraste con los sistemas de producción llevados  a cabo en el Estado de Michoacán. La sección de ovinos aborda el tema de la innovación tecnológica dentro de los sistemas del Estado de Michoacán. En la sección de caprinos se describen los</w:t>
      </w:r>
      <w:r>
        <w:rPr>
          <w:color w:val="231F20"/>
          <w:spacing w:val="41"/>
        </w:rPr>
        <w:t> </w:t>
      </w:r>
      <w:r>
        <w:rPr>
          <w:color w:val="231F20"/>
        </w:rPr>
        <w:t>aspectos</w:t>
      </w:r>
    </w:p>
    <w:p>
      <w:pPr>
        <w:pStyle w:val="BodyText"/>
        <w:spacing w:before="3"/>
        <w:rPr>
          <w:sz w:val="28"/>
        </w:rPr>
      </w:pPr>
      <w:r>
        <w:rPr/>
        <w:br w:type="column"/>
      </w:r>
      <w:r>
        <w:rPr>
          <w:sz w:val="28"/>
        </w:rPr>
      </w:r>
    </w:p>
    <w:p>
      <w:pPr>
        <w:pStyle w:val="BodyText"/>
        <w:spacing w:line="264" w:lineRule="auto"/>
        <w:ind w:left="412" w:right="1551"/>
        <w:jc w:val="both"/>
      </w:pPr>
      <w:r>
        <w:rPr>
          <w:color w:val="231F20"/>
        </w:rPr>
        <w:t>socioeconómicos de la actividad en el sur del Es- tado de México y la contribución de la capricultura al desarrollo rural de la región del trópico seco del bajo Balsas.</w:t>
      </w:r>
    </w:p>
    <w:p>
      <w:pPr>
        <w:pStyle w:val="BodyText"/>
        <w:spacing w:line="264" w:lineRule="auto" w:before="112"/>
        <w:ind w:left="412" w:right="1551"/>
        <w:jc w:val="both"/>
      </w:pPr>
      <w:r>
        <w:rPr>
          <w:color w:val="231F20"/>
        </w:rPr>
        <w:t>La cuarta </w:t>
      </w:r>
      <w:r>
        <w:rPr>
          <w:color w:val="231F20"/>
          <w:spacing w:val="-3"/>
        </w:rPr>
        <w:t>sección corresponde </w:t>
      </w:r>
      <w:r>
        <w:rPr>
          <w:color w:val="231F20"/>
        </w:rPr>
        <w:t>a la </w:t>
      </w:r>
      <w:r>
        <w:rPr>
          <w:color w:val="231F20"/>
          <w:spacing w:val="-3"/>
        </w:rPr>
        <w:t>producción de otras especies </w:t>
      </w:r>
      <w:r>
        <w:rPr>
          <w:color w:val="231F20"/>
        </w:rPr>
        <w:t>y su </w:t>
      </w:r>
      <w:r>
        <w:rPr>
          <w:color w:val="231F20"/>
          <w:spacing w:val="-3"/>
        </w:rPr>
        <w:t>impacto </w:t>
      </w:r>
      <w:r>
        <w:rPr>
          <w:color w:val="231F20"/>
        </w:rPr>
        <w:t>en el </w:t>
      </w:r>
      <w:r>
        <w:rPr>
          <w:color w:val="231F20"/>
          <w:spacing w:val="-3"/>
        </w:rPr>
        <w:t>desarrollo rural. </w:t>
      </w:r>
      <w:r>
        <w:rPr>
          <w:color w:val="231F20"/>
        </w:rPr>
        <w:t>Los </w:t>
      </w:r>
      <w:r>
        <w:rPr>
          <w:color w:val="231F20"/>
          <w:spacing w:val="-3"/>
        </w:rPr>
        <w:t>tres capítulos </w:t>
      </w:r>
      <w:r>
        <w:rPr>
          <w:color w:val="231F20"/>
        </w:rPr>
        <w:t>de </w:t>
      </w:r>
      <w:r>
        <w:rPr>
          <w:color w:val="231F20"/>
          <w:spacing w:val="-3"/>
        </w:rPr>
        <w:t>esta sección ofrecen </w:t>
      </w:r>
      <w:r>
        <w:rPr>
          <w:color w:val="231F20"/>
        </w:rPr>
        <w:t>un pa- </w:t>
      </w:r>
      <w:r>
        <w:rPr>
          <w:color w:val="231F20"/>
          <w:spacing w:val="-3"/>
        </w:rPr>
        <w:t>norama </w:t>
      </w:r>
      <w:r>
        <w:rPr>
          <w:color w:val="231F20"/>
        </w:rPr>
        <w:t>de la </w:t>
      </w:r>
      <w:r>
        <w:rPr>
          <w:color w:val="231F20"/>
          <w:spacing w:val="-3"/>
        </w:rPr>
        <w:t>porcicultura </w:t>
      </w:r>
      <w:r>
        <w:rPr>
          <w:color w:val="231F20"/>
        </w:rPr>
        <w:t>en </w:t>
      </w:r>
      <w:r>
        <w:rPr>
          <w:color w:val="231F20"/>
          <w:spacing w:val="-3"/>
        </w:rPr>
        <w:t>pequeña </w:t>
      </w:r>
      <w:r>
        <w:rPr>
          <w:color w:val="231F20"/>
        </w:rPr>
        <w:t>y </w:t>
      </w:r>
      <w:r>
        <w:rPr>
          <w:color w:val="231F20"/>
          <w:spacing w:val="-3"/>
        </w:rPr>
        <w:t>mediana escala, </w:t>
      </w:r>
      <w:r>
        <w:rPr>
          <w:color w:val="231F20"/>
        </w:rPr>
        <w:t>y de la </w:t>
      </w:r>
      <w:r>
        <w:rPr>
          <w:color w:val="231F20"/>
          <w:spacing w:val="-3"/>
        </w:rPr>
        <w:t>producción </w:t>
      </w:r>
      <w:r>
        <w:rPr>
          <w:color w:val="231F20"/>
        </w:rPr>
        <w:t>de </w:t>
      </w:r>
      <w:r>
        <w:rPr>
          <w:color w:val="231F20"/>
          <w:spacing w:val="-3"/>
        </w:rPr>
        <w:t>conejo </w:t>
      </w:r>
      <w:r>
        <w:rPr>
          <w:color w:val="231F20"/>
        </w:rPr>
        <w:t>y </w:t>
      </w:r>
      <w:r>
        <w:rPr>
          <w:color w:val="231F20"/>
          <w:spacing w:val="-3"/>
        </w:rPr>
        <w:t>trucha arcoí- ris, </w:t>
      </w:r>
      <w:r>
        <w:rPr>
          <w:color w:val="231F20"/>
        </w:rPr>
        <w:t>lo que da </w:t>
      </w:r>
      <w:r>
        <w:rPr>
          <w:color w:val="231F20"/>
          <w:spacing w:val="-3"/>
        </w:rPr>
        <w:t>cuenta </w:t>
      </w:r>
      <w:r>
        <w:rPr>
          <w:color w:val="231F20"/>
        </w:rPr>
        <w:t>de la </w:t>
      </w:r>
      <w:r>
        <w:rPr>
          <w:color w:val="231F20"/>
          <w:spacing w:val="-3"/>
        </w:rPr>
        <w:t>diversidad </w:t>
      </w:r>
      <w:r>
        <w:rPr>
          <w:color w:val="231F20"/>
        </w:rPr>
        <w:t>de </w:t>
      </w:r>
      <w:r>
        <w:rPr>
          <w:color w:val="231F20"/>
          <w:spacing w:val="-3"/>
        </w:rPr>
        <w:t>producción animal </w:t>
      </w:r>
      <w:r>
        <w:rPr>
          <w:color w:val="231F20"/>
        </w:rPr>
        <w:t>en </w:t>
      </w:r>
      <w:r>
        <w:rPr>
          <w:color w:val="231F20"/>
          <w:spacing w:val="-3"/>
        </w:rPr>
        <w:t>pequeña escala </w:t>
      </w:r>
      <w:r>
        <w:rPr>
          <w:color w:val="231F20"/>
        </w:rPr>
        <w:t>que </w:t>
      </w:r>
      <w:r>
        <w:rPr>
          <w:color w:val="231F20"/>
          <w:spacing w:val="-3"/>
        </w:rPr>
        <w:t>existe </w:t>
      </w:r>
      <w:r>
        <w:rPr>
          <w:color w:val="231F20"/>
        </w:rPr>
        <w:t>en  </w:t>
      </w:r>
      <w:r>
        <w:rPr>
          <w:color w:val="231F20"/>
          <w:spacing w:val="-3"/>
        </w:rPr>
        <w:t>nuestro país </w:t>
      </w:r>
      <w:r>
        <w:rPr>
          <w:color w:val="231F20"/>
        </w:rPr>
        <w:t>y de las </w:t>
      </w:r>
      <w:r>
        <w:rPr>
          <w:color w:val="231F20"/>
          <w:spacing w:val="-3"/>
        </w:rPr>
        <w:t>posibilidades para </w:t>
      </w:r>
      <w:r>
        <w:rPr>
          <w:color w:val="231F20"/>
        </w:rPr>
        <w:t>su </w:t>
      </w:r>
      <w:r>
        <w:rPr>
          <w:color w:val="231F20"/>
          <w:spacing w:val="-3"/>
        </w:rPr>
        <w:t>desarrollo </w:t>
      </w:r>
      <w:r>
        <w:rPr>
          <w:color w:val="231F20"/>
        </w:rPr>
        <w:t>y </w:t>
      </w:r>
      <w:r>
        <w:rPr>
          <w:color w:val="231F20"/>
          <w:spacing w:val="-3"/>
        </w:rPr>
        <w:t>for- talecimiento.</w:t>
      </w:r>
    </w:p>
    <w:p>
      <w:pPr>
        <w:pStyle w:val="BodyText"/>
        <w:spacing w:line="264" w:lineRule="auto" w:before="112"/>
        <w:ind w:left="412" w:right="1551"/>
        <w:jc w:val="both"/>
      </w:pPr>
      <w:r>
        <w:rPr>
          <w:color w:val="231F20"/>
        </w:rPr>
        <w:t>El </w:t>
      </w:r>
      <w:r>
        <w:rPr>
          <w:color w:val="231F20"/>
          <w:spacing w:val="-3"/>
        </w:rPr>
        <w:t>aspecto principal dentro </w:t>
      </w:r>
      <w:r>
        <w:rPr>
          <w:color w:val="231F20"/>
        </w:rPr>
        <w:t>de los </w:t>
      </w:r>
      <w:r>
        <w:rPr>
          <w:color w:val="231F20"/>
          <w:spacing w:val="-3"/>
        </w:rPr>
        <w:t>capítulos </w:t>
      </w:r>
      <w:r>
        <w:rPr>
          <w:color w:val="231F20"/>
        </w:rPr>
        <w:t>que </w:t>
      </w:r>
      <w:r>
        <w:rPr>
          <w:color w:val="231F20"/>
          <w:spacing w:val="-3"/>
        </w:rPr>
        <w:t>con- forman </w:t>
      </w:r>
      <w:r>
        <w:rPr>
          <w:color w:val="231F20"/>
        </w:rPr>
        <w:t>el </w:t>
      </w:r>
      <w:r>
        <w:rPr>
          <w:color w:val="231F20"/>
          <w:spacing w:val="-3"/>
        </w:rPr>
        <w:t>libro </w:t>
      </w:r>
      <w:r>
        <w:rPr>
          <w:color w:val="231F20"/>
        </w:rPr>
        <w:t>es el </w:t>
      </w:r>
      <w:r>
        <w:rPr>
          <w:color w:val="231F20"/>
          <w:spacing w:val="-3"/>
        </w:rPr>
        <w:t>desarrollo rural, puesto </w:t>
      </w:r>
      <w:r>
        <w:rPr>
          <w:color w:val="231F20"/>
        </w:rPr>
        <w:t>que </w:t>
      </w:r>
      <w:r>
        <w:rPr>
          <w:color w:val="231F20"/>
          <w:spacing w:val="-3"/>
        </w:rPr>
        <w:t>la producción animal </w:t>
      </w:r>
      <w:r>
        <w:rPr>
          <w:color w:val="231F20"/>
        </w:rPr>
        <w:t>en </w:t>
      </w:r>
      <w:r>
        <w:rPr>
          <w:color w:val="231F20"/>
          <w:spacing w:val="-3"/>
        </w:rPr>
        <w:t>pequeña escala contribuye al </w:t>
      </w:r>
      <w:r>
        <w:rPr>
          <w:color w:val="231F20"/>
          <w:spacing w:val="-3"/>
          <w:w w:val="95"/>
        </w:rPr>
        <w:t>desarrollo rural.</w:t>
      </w:r>
    </w:p>
    <w:p>
      <w:pPr>
        <w:pStyle w:val="BodyText"/>
        <w:spacing w:line="264" w:lineRule="auto" w:before="112"/>
        <w:ind w:left="412" w:right="1551"/>
        <w:jc w:val="both"/>
      </w:pPr>
      <w:r>
        <w:rPr>
          <w:color w:val="231F20"/>
        </w:rPr>
        <w:t>La </w:t>
      </w:r>
      <w:r>
        <w:rPr>
          <w:color w:val="231F20"/>
          <w:spacing w:val="-3"/>
        </w:rPr>
        <w:t>adopción </w:t>
      </w:r>
      <w:r>
        <w:rPr>
          <w:color w:val="231F20"/>
        </w:rPr>
        <w:t>de  la  </w:t>
      </w:r>
      <w:r>
        <w:rPr>
          <w:color w:val="231F20"/>
          <w:spacing w:val="-3"/>
        </w:rPr>
        <w:t>tecnología  </w:t>
      </w:r>
      <w:r>
        <w:rPr>
          <w:color w:val="231F20"/>
        </w:rPr>
        <w:t>es  </w:t>
      </w:r>
      <w:r>
        <w:rPr>
          <w:color w:val="231F20"/>
          <w:spacing w:val="-3"/>
        </w:rPr>
        <w:t>importante  para </w:t>
      </w:r>
      <w:r>
        <w:rPr>
          <w:color w:val="231F20"/>
        </w:rPr>
        <w:t>la </w:t>
      </w:r>
      <w:r>
        <w:rPr>
          <w:color w:val="231F20"/>
          <w:spacing w:val="-3"/>
        </w:rPr>
        <w:t>producción animal </w:t>
      </w:r>
      <w:r>
        <w:rPr>
          <w:color w:val="231F20"/>
        </w:rPr>
        <w:t>en </w:t>
      </w:r>
      <w:r>
        <w:rPr>
          <w:color w:val="231F20"/>
          <w:spacing w:val="-3"/>
        </w:rPr>
        <w:t>pequeña escala, pues su aplicación permite mejorar </w:t>
      </w:r>
      <w:r>
        <w:rPr>
          <w:color w:val="231F20"/>
        </w:rPr>
        <w:t>la </w:t>
      </w:r>
      <w:r>
        <w:rPr>
          <w:color w:val="231F20"/>
          <w:spacing w:val="-3"/>
        </w:rPr>
        <w:t>dinámica </w:t>
      </w:r>
      <w:r>
        <w:rPr>
          <w:color w:val="231F20"/>
        </w:rPr>
        <w:t>de los </w:t>
      </w:r>
      <w:r>
        <w:rPr>
          <w:color w:val="231F20"/>
          <w:spacing w:val="-3"/>
        </w:rPr>
        <w:t>sis- temas </w:t>
      </w:r>
      <w:r>
        <w:rPr>
          <w:color w:val="231F20"/>
        </w:rPr>
        <w:t>y su </w:t>
      </w:r>
      <w:r>
        <w:rPr>
          <w:color w:val="231F20"/>
          <w:spacing w:val="-3"/>
        </w:rPr>
        <w:t>producción. </w:t>
      </w:r>
      <w:r>
        <w:rPr>
          <w:color w:val="231F20"/>
        </w:rPr>
        <w:t>Sin </w:t>
      </w:r>
      <w:r>
        <w:rPr>
          <w:color w:val="231F20"/>
          <w:spacing w:val="-3"/>
        </w:rPr>
        <w:t>embargo, </w:t>
      </w:r>
      <w:r>
        <w:rPr>
          <w:color w:val="231F20"/>
        </w:rPr>
        <w:t>es </w:t>
      </w:r>
      <w:r>
        <w:rPr>
          <w:color w:val="231F20"/>
          <w:spacing w:val="-3"/>
        </w:rPr>
        <w:t>necesario considerar </w:t>
      </w:r>
      <w:r>
        <w:rPr>
          <w:color w:val="231F20"/>
        </w:rPr>
        <w:t>las </w:t>
      </w:r>
      <w:r>
        <w:rPr>
          <w:color w:val="231F20"/>
          <w:spacing w:val="-3"/>
        </w:rPr>
        <w:t>diversas características tanto </w:t>
      </w:r>
      <w:r>
        <w:rPr>
          <w:color w:val="231F20"/>
        </w:rPr>
        <w:t>de </w:t>
      </w:r>
      <w:r>
        <w:rPr>
          <w:color w:val="231F20"/>
          <w:spacing w:val="-3"/>
        </w:rPr>
        <w:t>los productores como </w:t>
      </w:r>
      <w:r>
        <w:rPr>
          <w:color w:val="231F20"/>
        </w:rPr>
        <w:t>de las </w:t>
      </w:r>
      <w:r>
        <w:rPr>
          <w:color w:val="231F20"/>
          <w:spacing w:val="-3"/>
        </w:rPr>
        <w:t>unidades </w:t>
      </w:r>
      <w:r>
        <w:rPr>
          <w:color w:val="231F20"/>
        </w:rPr>
        <w:t>de </w:t>
      </w:r>
      <w:r>
        <w:rPr>
          <w:color w:val="231F20"/>
          <w:spacing w:val="-3"/>
        </w:rPr>
        <w:t>producción para poder identificar </w:t>
      </w:r>
      <w:r>
        <w:rPr>
          <w:color w:val="231F20"/>
        </w:rPr>
        <w:t>y </w:t>
      </w:r>
      <w:r>
        <w:rPr>
          <w:color w:val="231F20"/>
          <w:spacing w:val="-3"/>
        </w:rPr>
        <w:t>orientar </w:t>
      </w:r>
      <w:r>
        <w:rPr>
          <w:color w:val="231F20"/>
        </w:rPr>
        <w:t>la </w:t>
      </w:r>
      <w:r>
        <w:rPr>
          <w:color w:val="231F20"/>
          <w:spacing w:val="-3"/>
        </w:rPr>
        <w:t>tecnología apro- piada </w:t>
      </w:r>
      <w:r>
        <w:rPr>
          <w:color w:val="231F20"/>
        </w:rPr>
        <w:t>a los</w:t>
      </w:r>
      <w:r>
        <w:rPr>
          <w:color w:val="231F20"/>
          <w:spacing w:val="14"/>
        </w:rPr>
        <w:t> </w:t>
      </w:r>
      <w:r>
        <w:rPr>
          <w:color w:val="231F20"/>
          <w:spacing w:val="-3"/>
        </w:rPr>
        <w:t>productores.</w:t>
      </w:r>
    </w:p>
    <w:p>
      <w:pPr>
        <w:pStyle w:val="BodyText"/>
        <w:spacing w:line="264" w:lineRule="auto" w:before="112"/>
        <w:ind w:left="412" w:right="1551"/>
        <w:jc w:val="both"/>
      </w:pPr>
      <w:r>
        <w:rPr>
          <w:color w:val="231F20"/>
          <w:spacing w:val="-3"/>
        </w:rPr>
        <w:t>Existen pocos libros </w:t>
      </w:r>
      <w:r>
        <w:rPr>
          <w:color w:val="231F20"/>
        </w:rPr>
        <w:t>que </w:t>
      </w:r>
      <w:r>
        <w:rPr>
          <w:color w:val="231F20"/>
          <w:spacing w:val="-3"/>
        </w:rPr>
        <w:t>consideren </w:t>
      </w:r>
      <w:r>
        <w:rPr>
          <w:color w:val="231F20"/>
        </w:rPr>
        <w:t>la  </w:t>
      </w:r>
      <w:r>
        <w:rPr>
          <w:color w:val="231F20"/>
          <w:spacing w:val="-3"/>
        </w:rPr>
        <w:t>contribu-  ción  </w:t>
      </w:r>
      <w:r>
        <w:rPr>
          <w:color w:val="231F20"/>
        </w:rPr>
        <w:t>de la </w:t>
      </w:r>
      <w:r>
        <w:rPr>
          <w:color w:val="231F20"/>
          <w:spacing w:val="-3"/>
        </w:rPr>
        <w:t>producción  animal  </w:t>
      </w:r>
      <w:r>
        <w:rPr>
          <w:color w:val="231F20"/>
        </w:rPr>
        <w:t>a </w:t>
      </w:r>
      <w:r>
        <w:rPr>
          <w:color w:val="231F20"/>
          <w:spacing w:val="-3"/>
        </w:rPr>
        <w:t>reducir  </w:t>
      </w:r>
      <w:r>
        <w:rPr>
          <w:color w:val="231F20"/>
        </w:rPr>
        <w:t>la </w:t>
      </w:r>
      <w:r>
        <w:rPr>
          <w:color w:val="231F20"/>
          <w:spacing w:val="-4"/>
        </w:rPr>
        <w:t>pobreza  </w:t>
      </w:r>
      <w:r>
        <w:rPr>
          <w:color w:val="231F20"/>
        </w:rPr>
        <w:t>y </w:t>
      </w:r>
      <w:r>
        <w:rPr>
          <w:color w:val="231F20"/>
          <w:spacing w:val="-3"/>
        </w:rPr>
        <w:t>promover </w:t>
      </w:r>
      <w:r>
        <w:rPr>
          <w:color w:val="231F20"/>
        </w:rPr>
        <w:t>el </w:t>
      </w:r>
      <w:r>
        <w:rPr>
          <w:color w:val="231F20"/>
          <w:spacing w:val="-3"/>
        </w:rPr>
        <w:t>desarrollo rural. </w:t>
      </w:r>
      <w:r>
        <w:rPr>
          <w:color w:val="231F20"/>
        </w:rPr>
        <w:t>La </w:t>
      </w:r>
      <w:r>
        <w:rPr>
          <w:color w:val="231F20"/>
          <w:spacing w:val="-3"/>
        </w:rPr>
        <w:t>mayor </w:t>
      </w:r>
      <w:r>
        <w:rPr>
          <w:color w:val="231F20"/>
        </w:rPr>
        <w:t>parte </w:t>
      </w:r>
      <w:r>
        <w:rPr>
          <w:color w:val="231F20"/>
          <w:spacing w:val="-3"/>
        </w:rPr>
        <w:t>de  </w:t>
      </w:r>
      <w:r>
        <w:rPr>
          <w:color w:val="231F20"/>
        </w:rPr>
        <w:t>los </w:t>
      </w:r>
      <w:r>
        <w:rPr>
          <w:color w:val="231F20"/>
          <w:spacing w:val="-3"/>
        </w:rPr>
        <w:t>textos sobre producción animal aborda aspectos disciplinarios </w:t>
      </w:r>
      <w:r>
        <w:rPr>
          <w:color w:val="231F20"/>
        </w:rPr>
        <w:t>de la </w:t>
      </w:r>
      <w:r>
        <w:rPr>
          <w:color w:val="231F20"/>
          <w:spacing w:val="-3"/>
        </w:rPr>
        <w:t>producción animal, </w:t>
      </w:r>
      <w:r>
        <w:rPr>
          <w:color w:val="231F20"/>
        </w:rPr>
        <w:t>y los </w:t>
      </w:r>
      <w:r>
        <w:rPr>
          <w:color w:val="231F20"/>
          <w:spacing w:val="-3"/>
        </w:rPr>
        <w:t>textos </w:t>
      </w:r>
      <w:r>
        <w:rPr>
          <w:color w:val="231F20"/>
        </w:rPr>
        <w:t>de </w:t>
      </w:r>
      <w:r>
        <w:rPr>
          <w:color w:val="231F20"/>
          <w:spacing w:val="-3"/>
        </w:rPr>
        <w:t>zootecnia </w:t>
      </w:r>
      <w:r>
        <w:rPr>
          <w:color w:val="231F20"/>
        </w:rPr>
        <w:t>se </w:t>
      </w:r>
      <w:r>
        <w:rPr>
          <w:color w:val="231F20"/>
          <w:spacing w:val="-3"/>
        </w:rPr>
        <w:t>centran </w:t>
      </w:r>
      <w:r>
        <w:rPr>
          <w:color w:val="231F20"/>
        </w:rPr>
        <w:t>en los </w:t>
      </w:r>
      <w:r>
        <w:rPr>
          <w:color w:val="231F20"/>
          <w:spacing w:val="-3"/>
        </w:rPr>
        <w:t>sistemas </w:t>
      </w:r>
      <w:r>
        <w:rPr>
          <w:color w:val="231F20"/>
        </w:rPr>
        <w:t>de </w:t>
      </w:r>
      <w:r>
        <w:rPr>
          <w:color w:val="231F20"/>
          <w:spacing w:val="-3"/>
        </w:rPr>
        <w:t>produc- ción intensivos </w:t>
      </w:r>
      <w:r>
        <w:rPr>
          <w:color w:val="231F20"/>
        </w:rPr>
        <w:t>de gran </w:t>
      </w:r>
      <w:r>
        <w:rPr>
          <w:color w:val="231F20"/>
          <w:spacing w:val="-3"/>
        </w:rPr>
        <w:t>escala, </w:t>
      </w:r>
      <w:r>
        <w:rPr>
          <w:color w:val="231F20"/>
        </w:rPr>
        <w:t>con lo que se genera un vacío en la literatura especializada en cuanto a estos sistemas que son de gran importancia, tanto por su contribución a la economía  agropecuaria del país como por representar una oportunidad para mejorar las condiciones de vida del medio rural, donde se concentra la mayoría de los pobres de</w:t>
      </w:r>
      <w:r>
        <w:rPr>
          <w:color w:val="231F20"/>
          <w:spacing w:val="2"/>
        </w:rPr>
        <w:t> </w:t>
      </w:r>
      <w:r>
        <w:rPr>
          <w:color w:val="231F20"/>
        </w:rPr>
        <w:t>México.</w:t>
      </w:r>
    </w:p>
    <w:p>
      <w:pPr>
        <w:spacing w:after="0" w:line="264"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9382" w:val="left" w:leader="none"/>
        </w:tabs>
        <w:spacing w:before="64"/>
        <w:ind w:left="1551" w:right="0" w:firstLine="0"/>
        <w:jc w:val="left"/>
        <w:rPr>
          <w:sz w:val="18"/>
        </w:rPr>
      </w:pPr>
      <w:r>
        <w:rPr>
          <w:color w:val="231F20"/>
          <w:sz w:val="22"/>
        </w:rPr>
        <w:t>xvi</w:t>
        <w:tab/>
      </w:r>
      <w:r>
        <w:rPr>
          <w:color w:val="231F20"/>
          <w:sz w:val="18"/>
        </w:rPr>
        <w:t>Presentación</w:t>
      </w:r>
    </w:p>
    <w:p>
      <w:pPr>
        <w:pStyle w:val="BodyText"/>
        <w:spacing w:before="9"/>
        <w:rPr>
          <w:sz w:val="22"/>
        </w:rPr>
      </w:pPr>
    </w:p>
    <w:p>
      <w:pPr>
        <w:spacing w:after="0"/>
        <w:rPr>
          <w:sz w:val="22"/>
        </w:rPr>
        <w:sectPr>
          <w:footerReference w:type="default" r:id="rId31"/>
          <w:pgSz w:w="11900" w:h="14450"/>
          <w:pgMar w:footer="222" w:header="0" w:top="420" w:bottom="420" w:left="0" w:right="0"/>
        </w:sectPr>
      </w:pPr>
    </w:p>
    <w:p>
      <w:pPr>
        <w:spacing w:line="256" w:lineRule="auto" w:before="67"/>
        <w:ind w:left="1553" w:right="0" w:firstLine="0"/>
        <w:jc w:val="both"/>
        <w:rPr>
          <w:sz w:val="20"/>
        </w:rPr>
      </w:pPr>
      <w:r>
        <w:rPr>
          <w:color w:val="231F20"/>
          <w:spacing w:val="-4"/>
          <w:sz w:val="20"/>
        </w:rPr>
        <w:t>Por </w:t>
      </w:r>
      <w:r>
        <w:rPr>
          <w:color w:val="231F20"/>
          <w:sz w:val="20"/>
        </w:rPr>
        <w:t>lo </w:t>
      </w:r>
      <w:r>
        <w:rPr>
          <w:color w:val="231F20"/>
          <w:spacing w:val="-3"/>
          <w:sz w:val="20"/>
        </w:rPr>
        <w:t>tanto, </w:t>
      </w:r>
      <w:r>
        <w:rPr>
          <w:color w:val="231F20"/>
          <w:sz w:val="20"/>
        </w:rPr>
        <w:t>el </w:t>
      </w:r>
      <w:r>
        <w:rPr>
          <w:color w:val="231F20"/>
          <w:spacing w:val="-3"/>
          <w:sz w:val="20"/>
        </w:rPr>
        <w:t>objetivo </w:t>
      </w:r>
      <w:r>
        <w:rPr>
          <w:color w:val="231F20"/>
          <w:sz w:val="20"/>
        </w:rPr>
        <w:t>del </w:t>
      </w:r>
      <w:r>
        <w:rPr>
          <w:color w:val="231F20"/>
          <w:spacing w:val="-3"/>
          <w:sz w:val="20"/>
        </w:rPr>
        <w:t>libro </w:t>
      </w:r>
      <w:r>
        <w:rPr>
          <w:rFonts w:ascii="Cambria" w:hAnsi="Cambria"/>
          <w:i/>
          <w:color w:val="231F20"/>
          <w:spacing w:val="-3"/>
          <w:sz w:val="20"/>
        </w:rPr>
        <w:t>Contribución </w:t>
      </w:r>
      <w:r>
        <w:rPr>
          <w:rFonts w:ascii="Cambria" w:hAnsi="Cambria"/>
          <w:i/>
          <w:color w:val="231F20"/>
          <w:sz w:val="20"/>
        </w:rPr>
        <w:t>de </w:t>
      </w:r>
      <w:r>
        <w:rPr>
          <w:rFonts w:ascii="Cambria" w:hAnsi="Cambria"/>
          <w:i/>
          <w:color w:val="231F20"/>
          <w:spacing w:val="-3"/>
          <w:sz w:val="20"/>
        </w:rPr>
        <w:t>la </w:t>
      </w:r>
      <w:r>
        <w:rPr>
          <w:rFonts w:ascii="Cambria" w:hAnsi="Cambria"/>
          <w:i/>
          <w:color w:val="231F20"/>
          <w:spacing w:val="-3"/>
          <w:sz w:val="20"/>
        </w:rPr>
        <w:t>producción animal </w:t>
      </w:r>
      <w:r>
        <w:rPr>
          <w:rFonts w:ascii="Cambria" w:hAnsi="Cambria"/>
          <w:i/>
          <w:color w:val="231F20"/>
          <w:sz w:val="20"/>
        </w:rPr>
        <w:t>en </w:t>
      </w:r>
      <w:r>
        <w:rPr>
          <w:rFonts w:ascii="Cambria" w:hAnsi="Cambria"/>
          <w:i/>
          <w:color w:val="231F20"/>
          <w:spacing w:val="-3"/>
          <w:sz w:val="20"/>
        </w:rPr>
        <w:t>pequeña escala </w:t>
      </w:r>
      <w:r>
        <w:rPr>
          <w:rFonts w:ascii="Cambria" w:hAnsi="Cambria"/>
          <w:i/>
          <w:color w:val="231F20"/>
          <w:sz w:val="20"/>
        </w:rPr>
        <w:t>al </w:t>
      </w:r>
      <w:r>
        <w:rPr>
          <w:rFonts w:ascii="Cambria" w:hAnsi="Cambria"/>
          <w:i/>
          <w:color w:val="231F20"/>
          <w:spacing w:val="-3"/>
          <w:sz w:val="20"/>
        </w:rPr>
        <w:t>desarrollo rural </w:t>
      </w:r>
      <w:r>
        <w:rPr>
          <w:color w:val="231F20"/>
          <w:sz w:val="20"/>
        </w:rPr>
        <w:t>es </w:t>
      </w:r>
      <w:r>
        <w:rPr>
          <w:color w:val="231F20"/>
          <w:spacing w:val="-3"/>
          <w:sz w:val="20"/>
        </w:rPr>
        <w:t>presentar </w:t>
      </w:r>
      <w:r>
        <w:rPr>
          <w:color w:val="231F20"/>
          <w:sz w:val="20"/>
        </w:rPr>
        <w:t>una </w:t>
      </w:r>
      <w:r>
        <w:rPr>
          <w:color w:val="231F20"/>
          <w:spacing w:val="-3"/>
          <w:sz w:val="20"/>
        </w:rPr>
        <w:t>serie </w:t>
      </w:r>
      <w:r>
        <w:rPr>
          <w:color w:val="231F20"/>
          <w:sz w:val="20"/>
        </w:rPr>
        <w:t>de </w:t>
      </w:r>
      <w:r>
        <w:rPr>
          <w:color w:val="231F20"/>
          <w:spacing w:val="-3"/>
          <w:sz w:val="20"/>
        </w:rPr>
        <w:t>experiencias deri- vadas </w:t>
      </w:r>
      <w:r>
        <w:rPr>
          <w:color w:val="231F20"/>
          <w:sz w:val="20"/>
        </w:rPr>
        <w:t>de la </w:t>
      </w:r>
      <w:r>
        <w:rPr>
          <w:color w:val="231F20"/>
          <w:spacing w:val="-3"/>
          <w:sz w:val="20"/>
        </w:rPr>
        <w:t>investigación agropecuaria orientada al desarrollo rural, </w:t>
      </w:r>
      <w:r>
        <w:rPr>
          <w:color w:val="231F20"/>
          <w:sz w:val="20"/>
        </w:rPr>
        <w:t>que </w:t>
      </w:r>
      <w:r>
        <w:rPr>
          <w:color w:val="231F20"/>
          <w:spacing w:val="-3"/>
          <w:sz w:val="20"/>
        </w:rPr>
        <w:t>documente cómo estos siste- </w:t>
      </w:r>
      <w:r>
        <w:rPr>
          <w:color w:val="231F20"/>
          <w:sz w:val="20"/>
        </w:rPr>
        <w:t>mas de </w:t>
      </w:r>
      <w:r>
        <w:rPr>
          <w:color w:val="231F20"/>
          <w:spacing w:val="-3"/>
          <w:sz w:val="20"/>
        </w:rPr>
        <w:t>producción contribuyen </w:t>
      </w:r>
      <w:r>
        <w:rPr>
          <w:color w:val="231F20"/>
          <w:sz w:val="20"/>
        </w:rPr>
        <w:t>a </w:t>
      </w:r>
      <w:r>
        <w:rPr>
          <w:color w:val="231F20"/>
          <w:spacing w:val="-3"/>
          <w:sz w:val="20"/>
        </w:rPr>
        <w:t>aliviar </w:t>
      </w:r>
      <w:r>
        <w:rPr>
          <w:color w:val="231F20"/>
          <w:sz w:val="20"/>
        </w:rPr>
        <w:t>la </w:t>
      </w:r>
      <w:r>
        <w:rPr>
          <w:color w:val="231F20"/>
          <w:spacing w:val="-4"/>
          <w:sz w:val="20"/>
        </w:rPr>
        <w:t>pobreza   </w:t>
      </w:r>
      <w:r>
        <w:rPr>
          <w:color w:val="231F20"/>
          <w:sz w:val="20"/>
        </w:rPr>
        <w:t>y a </w:t>
      </w:r>
      <w:r>
        <w:rPr>
          <w:color w:val="231F20"/>
          <w:spacing w:val="-3"/>
          <w:sz w:val="20"/>
        </w:rPr>
        <w:t>generar oportunidades </w:t>
      </w:r>
      <w:r>
        <w:rPr>
          <w:color w:val="231F20"/>
          <w:sz w:val="20"/>
        </w:rPr>
        <w:t>de </w:t>
      </w:r>
      <w:r>
        <w:rPr>
          <w:color w:val="231F20"/>
          <w:spacing w:val="-3"/>
          <w:sz w:val="20"/>
        </w:rPr>
        <w:t>desarrollo económico </w:t>
      </w:r>
      <w:r>
        <w:rPr>
          <w:color w:val="231F20"/>
          <w:sz w:val="20"/>
        </w:rPr>
        <w:t>en</w:t>
      </w:r>
      <w:r>
        <w:rPr>
          <w:color w:val="231F20"/>
          <w:spacing w:val="-6"/>
          <w:sz w:val="20"/>
        </w:rPr>
        <w:t> </w:t>
      </w:r>
      <w:r>
        <w:rPr>
          <w:color w:val="231F20"/>
          <w:spacing w:val="-3"/>
          <w:sz w:val="20"/>
        </w:rPr>
        <w:t>México.</w:t>
      </w:r>
    </w:p>
    <w:p>
      <w:pPr>
        <w:pStyle w:val="BodyText"/>
        <w:spacing w:line="254" w:lineRule="auto" w:before="67"/>
        <w:ind w:left="413" w:right="1551"/>
        <w:jc w:val="both"/>
      </w:pPr>
      <w:r>
        <w:rPr/>
        <w:br w:type="column"/>
      </w:r>
      <w:r>
        <w:rPr>
          <w:color w:val="231F20"/>
        </w:rPr>
        <w:t>Es la principal motivación de esta obra presentar diferentes aspectos de la producción animal en pequeña escala enfatizando su contribución al de- sarrollo</w:t>
      </w:r>
      <w:r>
        <w:rPr>
          <w:color w:val="231F20"/>
          <w:spacing w:val="-10"/>
        </w:rPr>
        <w:t> </w:t>
      </w:r>
      <w:r>
        <w:rPr>
          <w:color w:val="231F20"/>
        </w:rPr>
        <w:t>rural,</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contribuir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dis- cusión que sobre el tema es imprescindible llevar a cabo y para identificar algunas áreas y </w:t>
      </w:r>
      <w:r>
        <w:rPr>
          <w:color w:val="231F20"/>
          <w:spacing w:val="-2"/>
        </w:rPr>
        <w:t>experiencias </w:t>
      </w:r>
      <w:r>
        <w:rPr>
          <w:color w:val="231F20"/>
        </w:rPr>
        <w:t>de</w:t>
      </w:r>
      <w:r>
        <w:rPr>
          <w:color w:val="231F20"/>
          <w:spacing w:val="-10"/>
        </w:rPr>
        <w:t> </w:t>
      </w:r>
      <w:r>
        <w:rPr>
          <w:color w:val="231F20"/>
        </w:rPr>
        <w:t>éxito</w:t>
      </w:r>
      <w:r>
        <w:rPr>
          <w:color w:val="231F20"/>
          <w:spacing w:val="-10"/>
        </w:rPr>
        <w:t> </w:t>
      </w:r>
      <w:r>
        <w:rPr>
          <w:color w:val="231F20"/>
        </w:rPr>
        <w:t>que</w:t>
      </w:r>
      <w:r>
        <w:rPr>
          <w:color w:val="231F20"/>
          <w:spacing w:val="-10"/>
        </w:rPr>
        <w:t> </w:t>
      </w:r>
      <w:r>
        <w:rPr>
          <w:color w:val="231F20"/>
        </w:rPr>
        <w:t>puedan</w:t>
      </w:r>
      <w:r>
        <w:rPr>
          <w:color w:val="231F20"/>
          <w:spacing w:val="-10"/>
        </w:rPr>
        <w:t> </w:t>
      </w:r>
      <w:r>
        <w:rPr>
          <w:color w:val="231F20"/>
        </w:rPr>
        <w:t>orientar</w:t>
      </w:r>
      <w:r>
        <w:rPr>
          <w:color w:val="231F20"/>
          <w:spacing w:val="-10"/>
        </w:rPr>
        <w:t> </w:t>
      </w:r>
      <w:r>
        <w:rPr>
          <w:color w:val="231F20"/>
        </w:rPr>
        <w:t>el</w:t>
      </w:r>
      <w:r>
        <w:rPr>
          <w:color w:val="231F20"/>
          <w:spacing w:val="-10"/>
        </w:rPr>
        <w:t> </w:t>
      </w:r>
      <w:r>
        <w:rPr>
          <w:color w:val="231F20"/>
        </w:rPr>
        <w:t>trabajo</w:t>
      </w:r>
      <w:r>
        <w:rPr>
          <w:color w:val="231F20"/>
          <w:spacing w:val="-10"/>
        </w:rPr>
        <w:t> </w:t>
      </w:r>
      <w:r>
        <w:rPr>
          <w:color w:val="231F20"/>
        </w:rPr>
        <w:t>futuro.</w:t>
      </w:r>
    </w:p>
    <w:p>
      <w:pPr>
        <w:pStyle w:val="BodyText"/>
        <w:spacing w:line="254" w:lineRule="auto" w:before="114"/>
        <w:ind w:left="2509" w:right="1542" w:hanging="338"/>
      </w:pPr>
      <w:r>
        <w:rPr>
          <w:color w:val="231F20"/>
        </w:rPr>
        <w:t>Carlos Manuel Arriaga Jordán Juan Pablo Anaya  Ortega</w:t>
      </w:r>
    </w:p>
    <w:p>
      <w:pPr>
        <w:spacing w:after="0" w:line="254" w:lineRule="auto"/>
        <w:sectPr>
          <w:type w:val="continuous"/>
          <w:pgSz w:w="11900" w:h="14450"/>
          <w:pgMar w:top="420" w:bottom="420" w:left="0" w:right="0"/>
          <w:cols w:num="2" w:equalWidth="0">
            <w:col w:w="5721" w:space="40"/>
            <w:col w:w="6139"/>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6"/>
        </w:rPr>
      </w:pPr>
    </w:p>
    <w:p>
      <w:pPr>
        <w:pStyle w:val="Heading1"/>
        <w:spacing w:line="950" w:lineRule="exact"/>
        <w:rPr>
          <w:sz w:val="80"/>
        </w:rPr>
      </w:pPr>
      <w:r>
        <w:rPr>
          <w:color w:val="231F20"/>
          <w:w w:val="115"/>
        </w:rPr>
        <w:t>SECCIÓN </w:t>
      </w:r>
      <w:r>
        <w:rPr>
          <w:color w:val="231F20"/>
          <w:w w:val="115"/>
          <w:sz w:val="80"/>
        </w:rPr>
        <w:t>1</w:t>
      </w:r>
    </w:p>
    <w:p>
      <w:pPr>
        <w:spacing w:line="252" w:lineRule="auto" w:before="572"/>
        <w:ind w:left="1553" w:right="6529" w:firstLine="0"/>
        <w:jc w:val="left"/>
        <w:rPr>
          <w:sz w:val="50"/>
        </w:rPr>
      </w:pPr>
      <w:r>
        <w:rPr>
          <w:color w:val="231F20"/>
          <w:sz w:val="50"/>
        </w:rPr>
        <w:t>Introducción: producción animal en pequeña escala y desarrollo rural</w:t>
      </w:r>
    </w:p>
    <w:p>
      <w:pPr>
        <w:pStyle w:val="BodyText"/>
      </w:pPr>
    </w:p>
    <w:p>
      <w:pPr>
        <w:pStyle w:val="BodyText"/>
      </w:pPr>
    </w:p>
    <w:p>
      <w:pPr>
        <w:pStyle w:val="BodyText"/>
        <w:spacing w:before="11"/>
        <w:rPr>
          <w:sz w:val="12"/>
        </w:rPr>
      </w:pPr>
      <w:r>
        <w:rPr/>
        <w:pict>
          <v:line style="position:absolute;mso-position-horizontal-relative:page;mso-position-vertical-relative:paragraph;z-index:1192;mso-wrap-distance-left:0;mso-wrap-distance-right:0" from="77.692902pt,10.115880pt" to="517.062902pt,10.115880pt" stroked="true" strokeweight=".5pt" strokecolor="#231f20">
            <w10:wrap type="topAndBottom"/>
          </v:line>
        </w:pict>
      </w:r>
    </w:p>
    <w:p>
      <w:pPr>
        <w:spacing w:after="0"/>
        <w:rPr>
          <w:sz w:val="12"/>
        </w:rPr>
        <w:sectPr>
          <w:pgSz w:w="11900" w:h="14450"/>
          <w:pgMar w:header="0" w:footer="222" w:top="420" w:bottom="420" w:left="0" w:right="0"/>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3"/>
        <w:spacing w:before="169"/>
        <w:rPr>
          <w:sz w:val="60"/>
        </w:rPr>
      </w:pPr>
      <w:r>
        <w:rPr>
          <w:color w:val="231F20"/>
          <w:w w:val="110"/>
        </w:rPr>
        <w:t>CAPÍTULO </w:t>
      </w:r>
      <w:r>
        <w:rPr>
          <w:color w:val="231F20"/>
          <w:w w:val="110"/>
          <w:sz w:val="60"/>
        </w:rPr>
        <w:t>1</w:t>
      </w:r>
    </w:p>
    <w:p>
      <w:pPr>
        <w:spacing w:before="276"/>
        <w:ind w:left="1553" w:right="3345" w:firstLine="0"/>
        <w:jc w:val="left"/>
        <w:rPr>
          <w:sz w:val="36"/>
        </w:rPr>
      </w:pPr>
      <w:r>
        <w:rPr>
          <w:color w:val="231F20"/>
          <w:w w:val="105"/>
          <w:sz w:val="36"/>
        </w:rPr>
        <w:t>CONTRIBUCIÓN DE LA PRODUCCIÓN ANIMAL EN PEQUEÑA ESCALA A LAS  ESTRATEGIAS</w:t>
      </w:r>
    </w:p>
    <w:p>
      <w:pPr>
        <w:spacing w:before="0"/>
        <w:ind w:left="1553" w:right="0" w:firstLine="0"/>
        <w:jc w:val="both"/>
        <w:rPr>
          <w:sz w:val="36"/>
        </w:rPr>
      </w:pPr>
      <w:r>
        <w:rPr>
          <w:color w:val="231F20"/>
          <w:w w:val="105"/>
          <w:sz w:val="36"/>
        </w:rPr>
        <w:t>DE VIDA CAMPESINAS</w:t>
      </w:r>
    </w:p>
    <w:p>
      <w:pPr>
        <w:pStyle w:val="Heading4"/>
        <w:spacing w:line="240" w:lineRule="auto" w:before="297"/>
        <w:rPr>
          <w:rFonts w:ascii="Cambria" w:hAnsi="Cambria"/>
          <w:i/>
        </w:rPr>
      </w:pPr>
      <w:r>
        <w:rPr>
          <w:rFonts w:ascii="Cambria" w:hAnsi="Cambria"/>
          <w:i/>
          <w:color w:val="231F20"/>
        </w:rPr>
        <w:t>Ernesto Sánchez Vera</w:t>
      </w:r>
      <w:r>
        <w:rPr>
          <w:rFonts w:ascii="Cambria" w:hAnsi="Cambria"/>
          <w:i/>
          <w:color w:val="231F20"/>
          <w:position w:val="9"/>
          <w:sz w:val="16"/>
        </w:rPr>
        <w:t>*  </w:t>
      </w:r>
      <w:r>
        <w:rPr>
          <w:rFonts w:ascii="Cambria" w:hAnsi="Cambria"/>
          <w:i/>
          <w:color w:val="231F20"/>
        </w:rPr>
        <w:t>y Francisco Ernesto Martínez  Castañeda</w:t>
      </w:r>
    </w:p>
    <w:p>
      <w:pPr>
        <w:pStyle w:val="BodyText"/>
        <w:spacing w:line="254" w:lineRule="auto" w:before="177"/>
        <w:ind w:left="1553" w:right="2778"/>
      </w:pPr>
      <w:r>
        <w:rPr>
          <w:color w:val="231F20"/>
        </w:rPr>
        <w:t>Instituto de Ciencias Agropecuarias y Rurales, Universidad Autónoma del Estado de México. Km. 13,5 Carretera Toluca-Atlacomulco. Toluca, Estado de México,   México</w:t>
      </w:r>
    </w:p>
    <w:p>
      <w:pPr>
        <w:pStyle w:val="BodyText"/>
      </w:pPr>
    </w:p>
    <w:p>
      <w:pPr>
        <w:pStyle w:val="BodyText"/>
      </w:pPr>
    </w:p>
    <w:p>
      <w:pPr>
        <w:pStyle w:val="BodyText"/>
      </w:pPr>
    </w:p>
    <w:p>
      <w:pPr>
        <w:pStyle w:val="BodyText"/>
        <w:spacing w:before="4"/>
        <w:rPr>
          <w:sz w:val="22"/>
        </w:rPr>
      </w:pPr>
      <w:r>
        <w:rPr/>
        <w:pict>
          <v:line style="position:absolute;mso-position-horizontal-relative:page;mso-position-vertical-relative:paragraph;z-index:1216;mso-wrap-distance-left:0;mso-wrap-distance-right:0" from="77.692902pt,15.846532pt" to="517.062902pt,15.846532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1"/>
        <w:jc w:val="both"/>
      </w:pPr>
      <w:r>
        <w:rPr>
          <w:color w:val="231F20"/>
        </w:rPr>
        <w:t>Este capítulo es una contribución dirigida al entendimiento del complejo papel y la importancia que tiene    la producción ganadera en los modos de vida de los habitantes rurales, haciendo énfasis en los sectores  más pobres. Se presenta un marco conceptual de modos de vida sustentables y un marco que considera       a los animales como activos dentro de dichos modos, con lo cual se propone interpretar los diferentes papeles socioeconómicos, culturales y económicos que representan los animales y su crianza. Se muestran evidencias empíricas del Estado de México y otros países, como ejemplos de la multifuncionalidad de los animales, que contribuyen a una discusión teórica y una explicación de los activos dentro de los modos de vida, y cómo los productores desarrollan estrategias individuales y familiares de manera que sus modos     de vida sean menos vulnerables y sirvan para disminuir sus niveles de pobreza, y por lo tanto incrementen su bienestar y su calidad de </w:t>
      </w:r>
      <w:r>
        <w:rPr>
          <w:color w:val="231F20"/>
          <w:spacing w:val="36"/>
        </w:rPr>
        <w:t> </w:t>
      </w:r>
      <w:r>
        <w:rPr>
          <w:color w:val="231F20"/>
        </w:rPr>
        <w:t>vida.</w:t>
      </w:r>
    </w:p>
    <w:p>
      <w:pPr>
        <w:pStyle w:val="BodyText"/>
        <w:spacing w:before="114"/>
        <w:ind w:left="1553"/>
        <w:jc w:val="both"/>
      </w:pPr>
      <w:r>
        <w:rPr>
          <w:color w:val="231F20"/>
        </w:rPr>
        <w:t>Palabras clave: Pequeña escala - Producción animal campesina - Modos de vida</w:t>
      </w:r>
    </w:p>
    <w:p>
      <w:pPr>
        <w:pStyle w:val="BodyText"/>
        <w:spacing w:before="3"/>
      </w:pPr>
      <w:r>
        <w:rPr/>
        <w:pict>
          <v:line style="position:absolute;mso-position-horizontal-relative:page;mso-position-vertical-relative:paragraph;z-index:1240;mso-wrap-distance-left:0;mso-wrap-distance-right:0" from="77.692902pt,14.572356pt" to="517.062902pt,14.572356pt" stroked="true" strokeweight=".5pt" strokecolor="#231f20">
            <w10:wrap type="topAndBottom"/>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2"/>
        </w:rPr>
      </w:pPr>
      <w:r>
        <w:rPr/>
        <w:pict>
          <v:group style="position:absolute;margin-left:77.692902pt;margin-top:15.58465pt;width:70.9pt;height:.5pt;mso-position-horizontal-relative:page;mso-position-vertical-relative:paragraph;z-index:1264;mso-wrap-distance-left:0;mso-wrap-distance-right:0" coordorigin="1554,312" coordsize="1418,10">
            <v:line style="position:absolute" from="1589,317" to="2951,317" stroked="true" strokeweight=".5pt" strokecolor="#231f20">
              <v:stroke dashstyle="dash"/>
            </v:line>
            <v:line style="position:absolute" from="1559,317" to="1559,317" stroked="true" strokeweight=".5pt" strokecolor="#231f20"/>
            <v:line style="position:absolute" from="2966,317" to="2966,317" stroked="true" strokeweight=".5pt" strokecolor="#231f20"/>
            <w10:wrap type="topAndBottom"/>
          </v:group>
        </w:pict>
      </w:r>
    </w:p>
    <w:p>
      <w:pPr>
        <w:spacing w:before="70"/>
        <w:ind w:left="1553" w:right="2503" w:firstLine="0"/>
        <w:jc w:val="left"/>
        <w:rPr>
          <w:sz w:val="16"/>
        </w:rPr>
      </w:pPr>
      <w:r>
        <w:rPr>
          <w:color w:val="231F20"/>
          <w:sz w:val="16"/>
        </w:rPr>
        <w:t>* Para correspondencia:  </w:t>
      </w:r>
      <w:hyperlink r:id="rId32">
        <w:r>
          <w:rPr>
            <w:color w:val="231F20"/>
            <w:sz w:val="16"/>
          </w:rPr>
          <w:t>esanche</w:t>
        </w:r>
      </w:hyperlink>
      <w:hyperlink r:id="rId33">
        <w:r>
          <w:rPr>
            <w:color w:val="231F20"/>
            <w:sz w:val="16"/>
          </w:rPr>
          <w:t>zv@uaemex.mx</w:t>
        </w:r>
      </w:hyperlink>
    </w:p>
    <w:p>
      <w:pPr>
        <w:pStyle w:val="Heading5"/>
        <w:spacing w:before="129"/>
        <w:ind w:right="1551"/>
      </w:pPr>
      <w:r>
        <w:rPr>
          <w:color w:val="231F20"/>
          <w:w w:val="115"/>
        </w:rPr>
        <w:t>3</w:t>
      </w:r>
    </w:p>
    <w:p>
      <w:pPr>
        <w:spacing w:after="0"/>
        <w:sectPr>
          <w:pgSz w:w="11900" w:h="14450"/>
          <w:pgMar w:header="0" w:footer="222" w:top="420" w:bottom="420" w:left="0" w:right="0"/>
        </w:sectPr>
      </w:pPr>
    </w:p>
    <w:p>
      <w:pPr>
        <w:pStyle w:val="BodyText"/>
      </w:pPr>
    </w:p>
    <w:p>
      <w:pPr>
        <w:pStyle w:val="BodyText"/>
      </w:pPr>
    </w:p>
    <w:p>
      <w:pPr>
        <w:pStyle w:val="BodyText"/>
        <w:rPr>
          <w:sz w:val="17"/>
        </w:rPr>
      </w:pPr>
    </w:p>
    <w:p>
      <w:pPr>
        <w:tabs>
          <w:tab w:pos="8643" w:val="left" w:leader="none"/>
        </w:tabs>
        <w:spacing w:before="64"/>
        <w:ind w:left="1551" w:right="0" w:firstLine="0"/>
        <w:jc w:val="left"/>
        <w:rPr>
          <w:sz w:val="12"/>
        </w:rPr>
      </w:pPr>
      <w:r>
        <w:rPr>
          <w:color w:val="231F20"/>
          <w:w w:val="125"/>
          <w:sz w:val="22"/>
        </w:rPr>
        <w:t>4</w:t>
        <w:tab/>
      </w:r>
      <w:r>
        <w:rPr>
          <w:color w:val="231F20"/>
          <w:w w:val="125"/>
          <w:sz w:val="18"/>
        </w:rPr>
        <w:t>S</w:t>
      </w:r>
      <w:r>
        <w:rPr>
          <w:color w:val="231F20"/>
          <w:w w:val="125"/>
          <w:sz w:val="12"/>
        </w:rPr>
        <w:t>ección  </w:t>
      </w:r>
      <w:r>
        <w:rPr>
          <w:color w:val="231F20"/>
          <w:w w:val="125"/>
          <w:sz w:val="18"/>
        </w:rPr>
        <w:t>1.  </w:t>
      </w:r>
      <w:r>
        <w:rPr>
          <w:color w:val="231F20"/>
          <w:spacing w:val="15"/>
          <w:w w:val="125"/>
          <w:sz w:val="18"/>
        </w:rPr>
        <w:t> </w:t>
      </w:r>
      <w:r>
        <w:rPr>
          <w:color w:val="231F20"/>
          <w:w w:val="125"/>
          <w:sz w:val="18"/>
        </w:rPr>
        <w:t>i</w:t>
      </w:r>
      <w:r>
        <w:rPr>
          <w:color w:val="231F20"/>
          <w:w w:val="125"/>
          <w:sz w:val="12"/>
        </w:rPr>
        <w:t>ntroducción</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9" w:lineRule="auto" w:before="133"/>
        <w:ind w:left="1553"/>
        <w:jc w:val="both"/>
      </w:pPr>
      <w:r>
        <w:rPr>
          <w:color w:val="231F20"/>
        </w:rPr>
        <w:t>El</w:t>
      </w:r>
      <w:r>
        <w:rPr>
          <w:color w:val="231F20"/>
          <w:spacing w:val="-11"/>
        </w:rPr>
        <w:t> </w:t>
      </w:r>
      <w:r>
        <w:rPr>
          <w:color w:val="231F20"/>
        </w:rPr>
        <w:t>crecimiento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agricultura</w:t>
      </w:r>
      <w:r>
        <w:rPr>
          <w:color w:val="231F20"/>
          <w:spacing w:val="-11"/>
        </w:rPr>
        <w:t> </w:t>
      </w:r>
      <w:r>
        <w:rPr>
          <w:color w:val="231F20"/>
        </w:rPr>
        <w:t>es</w:t>
      </w:r>
      <w:r>
        <w:rPr>
          <w:color w:val="231F20"/>
          <w:spacing w:val="-11"/>
        </w:rPr>
        <w:t> </w:t>
      </w:r>
      <w:r>
        <w:rPr>
          <w:color w:val="231F20"/>
        </w:rPr>
        <w:t>fundamental</w:t>
      </w:r>
      <w:r>
        <w:rPr>
          <w:color w:val="231F20"/>
          <w:spacing w:val="-11"/>
        </w:rPr>
        <w:t> </w:t>
      </w:r>
      <w:r>
        <w:rPr>
          <w:color w:val="231F20"/>
        </w:rPr>
        <w:t>para mantener la reducción de la </w:t>
      </w:r>
      <w:r>
        <w:rPr>
          <w:color w:val="231F20"/>
          <w:spacing w:val="-3"/>
        </w:rPr>
        <w:t>pobreza. </w:t>
      </w:r>
      <w:r>
        <w:rPr>
          <w:color w:val="231F20"/>
        </w:rPr>
        <w:t>Se  </w:t>
      </w:r>
      <w:r>
        <w:rPr>
          <w:color w:val="231F20"/>
          <w:spacing w:val="-2"/>
        </w:rPr>
        <w:t>estima </w:t>
      </w:r>
      <w:r>
        <w:rPr>
          <w:color w:val="231F20"/>
        </w:rPr>
        <w:t>que alrededor del </w:t>
      </w:r>
      <w:r>
        <w:rPr>
          <w:color w:val="231F20"/>
          <w:spacing w:val="-5"/>
        </w:rPr>
        <w:t>75% </w:t>
      </w:r>
      <w:r>
        <w:rPr>
          <w:color w:val="231F20"/>
        </w:rPr>
        <w:t>de la población del mun-  do, </w:t>
      </w:r>
      <w:r>
        <w:rPr>
          <w:color w:val="231F20"/>
          <w:spacing w:val="-5"/>
        </w:rPr>
        <w:t>1200 </w:t>
      </w:r>
      <w:r>
        <w:rPr>
          <w:color w:val="231F20"/>
        </w:rPr>
        <w:t>millones de pobres extremos (menos de un dólar al día), viven en zonas rurales y obtienen una buena parte de sus ingresos de actividades relacionadas con lo agropecuario (Ravallion </w:t>
      </w:r>
      <w:r>
        <w:rPr>
          <w:rFonts w:ascii="Cambria" w:hAnsi="Cambria"/>
          <w:i/>
          <w:color w:val="231F20"/>
        </w:rPr>
        <w:t>et </w:t>
      </w:r>
      <w:r>
        <w:rPr>
          <w:rFonts w:ascii="Cambria" w:hAnsi="Cambria"/>
          <w:i/>
          <w:color w:val="231F20"/>
          <w:spacing w:val="-3"/>
        </w:rPr>
        <w:t>al</w:t>
      </w:r>
      <w:r>
        <w:rPr>
          <w:color w:val="231F20"/>
          <w:spacing w:val="-3"/>
        </w:rPr>
        <w:t>., </w:t>
      </w:r>
      <w:r>
        <w:rPr>
          <w:color w:val="231F20"/>
          <w:spacing w:val="-5"/>
        </w:rPr>
        <w:t>2007; </w:t>
      </w:r>
      <w:r>
        <w:rPr>
          <w:color w:val="231F20"/>
          <w:spacing w:val="-3"/>
        </w:rPr>
        <w:t>World </w:t>
      </w:r>
      <w:r>
        <w:rPr>
          <w:color w:val="231F20"/>
        </w:rPr>
        <w:t>Bank, </w:t>
      </w:r>
      <w:r>
        <w:rPr>
          <w:color w:val="231F20"/>
          <w:spacing w:val="-3"/>
        </w:rPr>
        <w:t>2008). </w:t>
      </w:r>
      <w:r>
        <w:rPr>
          <w:color w:val="231F20"/>
        </w:rPr>
        <w:t>El  ritmo  de  reducción  de la </w:t>
      </w:r>
      <w:r>
        <w:rPr>
          <w:color w:val="231F20"/>
          <w:spacing w:val="-3"/>
        </w:rPr>
        <w:t>pobreza </w:t>
      </w:r>
      <w:r>
        <w:rPr>
          <w:color w:val="231F20"/>
        </w:rPr>
        <w:t>no sólo depende de la tasa global de crecimiento de la agricultura, sino también de la capacidad de los hogares pobres de participar en ese crecimiento, lo cual estará determinado por la calidad de la inclusión en el proceso de</w:t>
      </w:r>
      <w:r>
        <w:rPr>
          <w:color w:val="231F20"/>
          <w:spacing w:val="-15"/>
        </w:rPr>
        <w:t> </w:t>
      </w:r>
      <w:r>
        <w:rPr>
          <w:color w:val="231F20"/>
        </w:rPr>
        <w:t>crecimiento (Christiansen </w:t>
      </w:r>
      <w:r>
        <w:rPr>
          <w:rFonts w:ascii="Cambria" w:hAnsi="Cambria"/>
          <w:i/>
          <w:color w:val="231F20"/>
        </w:rPr>
        <w:t>et al</w:t>
      </w:r>
      <w:r>
        <w:rPr>
          <w:color w:val="231F20"/>
        </w:rPr>
        <w:t>., </w:t>
      </w:r>
      <w:r>
        <w:rPr>
          <w:color w:val="231F20"/>
          <w:spacing w:val="-3"/>
        </w:rPr>
        <w:t>2006; </w:t>
      </w:r>
      <w:r>
        <w:rPr>
          <w:color w:val="231F20"/>
        </w:rPr>
        <w:t>Datt y Ravallion,  </w:t>
      </w:r>
      <w:r>
        <w:rPr>
          <w:color w:val="231F20"/>
          <w:spacing w:val="24"/>
        </w:rPr>
        <w:t> </w:t>
      </w:r>
      <w:r>
        <w:rPr>
          <w:color w:val="231F20"/>
          <w:spacing w:val="-4"/>
        </w:rPr>
        <w:t>1998).</w:t>
      </w:r>
    </w:p>
    <w:p>
      <w:pPr>
        <w:pStyle w:val="BodyText"/>
        <w:spacing w:line="259" w:lineRule="auto" w:before="113"/>
        <w:ind w:left="1553"/>
        <w:jc w:val="both"/>
      </w:pPr>
      <w:r>
        <w:rPr>
          <w:color w:val="231F20"/>
        </w:rPr>
        <w:t>Algunos debates académicos y políticos acerca del ataque contra la pobreza (particularmente rural) son el reflejo de una creciente conciencia acerca  de la importancia de la carencia de activos, tanto como síntoma y como causa de la pobreza (De Jainvry y Sadoulet, 2000), y del reconocido valor del concepto de modos de vida para el entendi- miento de cómo la gente pobre depende de una gran variedad de actividades y activos distintos en la búsqueda de su sustento y la mejora de sus activos  (Ellis, </w:t>
      </w:r>
      <w:r>
        <w:rPr>
          <w:color w:val="231F20"/>
          <w:spacing w:val="2"/>
        </w:rPr>
        <w:t> </w:t>
      </w:r>
      <w:r>
        <w:rPr>
          <w:color w:val="231F20"/>
        </w:rPr>
        <w:t>2000).</w:t>
      </w:r>
    </w:p>
    <w:p>
      <w:pPr>
        <w:pStyle w:val="BodyText"/>
        <w:spacing w:line="259" w:lineRule="auto" w:before="113"/>
        <w:ind w:left="1553"/>
        <w:jc w:val="both"/>
      </w:pPr>
      <w:r>
        <w:rPr>
          <w:color w:val="231F20"/>
        </w:rPr>
        <w:t>Por otro lado, es conocido que las actividades agropecuarias desarrolladas en las zonas rurales pobres ya no constituyen la principal o única fuen- te de ingresos en los modos de vida campesinos. Así, mientras aumenta la evidencia de que la po- blación rural se incorpora a muchas y diferentes actividades que generan ingresos  que  sustentan su modo de vida (Navarrete </w:t>
      </w:r>
      <w:r>
        <w:rPr>
          <w:rFonts w:ascii="Cambria" w:hAnsi="Cambria"/>
          <w:i/>
          <w:color w:val="231F20"/>
        </w:rPr>
        <w:t>et al</w:t>
      </w:r>
      <w:r>
        <w:rPr>
          <w:color w:val="231F20"/>
        </w:rPr>
        <w:t>., </w:t>
      </w:r>
      <w:r>
        <w:rPr>
          <w:color w:val="231F20"/>
          <w:spacing w:val="-3"/>
        </w:rPr>
        <w:t>2007; </w:t>
      </w:r>
      <w:r>
        <w:rPr>
          <w:color w:val="231F20"/>
        </w:rPr>
        <w:t>Mon- dragón, 2004; Reardon </w:t>
      </w:r>
      <w:r>
        <w:rPr>
          <w:rFonts w:ascii="Cambria" w:hAnsi="Cambria"/>
          <w:i/>
          <w:color w:val="231F20"/>
        </w:rPr>
        <w:t>et al</w:t>
      </w:r>
      <w:r>
        <w:rPr>
          <w:color w:val="231F20"/>
        </w:rPr>
        <w:t>., 2000; Ellis, 1998), también es reconocida su gran capacidad de de- dicarse a actividades no agropecuarias (a menu-  do más redituables), pero que dependen mucho  de su acceso a los activos (Navarrete </w:t>
      </w:r>
      <w:r>
        <w:rPr>
          <w:rFonts w:ascii="Cambria" w:hAnsi="Cambria"/>
          <w:i/>
          <w:color w:val="231F20"/>
        </w:rPr>
        <w:t>et al</w:t>
      </w:r>
      <w:r>
        <w:rPr>
          <w:color w:val="231F20"/>
        </w:rPr>
        <w:t>., </w:t>
      </w:r>
      <w:r>
        <w:rPr>
          <w:color w:val="231F20"/>
          <w:spacing w:val="-3"/>
        </w:rPr>
        <w:t>2007; </w:t>
      </w:r>
      <w:r>
        <w:rPr>
          <w:color w:val="231F20"/>
        </w:rPr>
        <w:t>Mondragón, 2004;  Reardon,  </w:t>
      </w:r>
      <w:r>
        <w:rPr>
          <w:color w:val="231F20"/>
          <w:spacing w:val="-4"/>
        </w:rPr>
        <w:t>1997;  </w:t>
      </w:r>
      <w:r>
        <w:rPr>
          <w:color w:val="231F20"/>
        </w:rPr>
        <w:t>Baker,  1995;  El  Bashir,  </w:t>
      </w:r>
      <w:r>
        <w:rPr>
          <w:color w:val="231F20"/>
          <w:spacing w:val="-3"/>
        </w:rPr>
        <w:t>1997).  </w:t>
      </w:r>
      <w:r>
        <w:rPr>
          <w:color w:val="231F20"/>
        </w:rPr>
        <w:t>Los  autores  han  mostrado  </w:t>
      </w:r>
      <w:r>
        <w:rPr>
          <w:color w:val="231F20"/>
          <w:spacing w:val="1"/>
        </w:rPr>
        <w:t> </w:t>
      </w:r>
      <w:r>
        <w:rPr>
          <w:color w:val="231F20"/>
        </w:rPr>
        <w:t>que</w:t>
      </w:r>
    </w:p>
    <w:p>
      <w:pPr>
        <w:pStyle w:val="BodyText"/>
        <w:spacing w:line="256" w:lineRule="auto" w:before="67"/>
        <w:ind w:left="412" w:right="1551"/>
        <w:jc w:val="both"/>
      </w:pPr>
      <w:r>
        <w:rPr/>
        <w:br w:type="column"/>
      </w:r>
      <w:r>
        <w:rPr>
          <w:color w:val="231F20"/>
        </w:rPr>
        <w:t>los distintos tipos de actividad requieren diferentes tipos de combinaciones de capitales financieros, humanos, sociales, físicos y  naturales.</w:t>
      </w:r>
    </w:p>
    <w:p>
      <w:pPr>
        <w:pStyle w:val="BodyText"/>
        <w:spacing w:line="256" w:lineRule="auto" w:before="113"/>
        <w:ind w:left="412" w:right="1551"/>
        <w:jc w:val="both"/>
      </w:pPr>
      <w:r>
        <w:rPr>
          <w:color w:val="231F20"/>
        </w:rPr>
        <w:t>A pesar de lo anterior, aparte de algunas observa- ciones de tipo anecdótico, es poco el conocimien- to analítico que se tiene acerca de la contribución de los animales (por ejemplo, pollos, conejos, etc.) en los modos de vida de la población rural pobre. En general, pueden atribuirse varias  funciones  a los animales (LID, 1999), pero hasta ahora son li- mitadas las evidencias científicas sobre el valor o la contribución que brindan a la gente que los  posee.</w:t>
      </w:r>
    </w:p>
    <w:p>
      <w:pPr>
        <w:pStyle w:val="BodyText"/>
        <w:spacing w:line="256" w:lineRule="auto" w:before="113"/>
        <w:ind w:left="412" w:right="1551"/>
        <w:jc w:val="both"/>
      </w:pPr>
      <w:r>
        <w:rPr>
          <w:color w:val="231F20"/>
        </w:rPr>
        <w:t>Para una gran mayoría de los productores pobres, la crianza de animales representa una importante fuente de seguridad económica principalmente en dos sentidos: como  actividad  complementaria  a  la agricultura y como diversas formas de ahorro y sociales para las familias (Navarrete, </w:t>
      </w:r>
      <w:r>
        <w:rPr>
          <w:color w:val="231F20"/>
          <w:spacing w:val="-3"/>
        </w:rPr>
        <w:t>2007; </w:t>
      </w:r>
      <w:r>
        <w:rPr>
          <w:color w:val="231F20"/>
        </w:rPr>
        <w:t>Ander- son, 1999). </w:t>
      </w:r>
      <w:r>
        <w:rPr>
          <w:color w:val="231F20"/>
          <w:spacing w:val="-3"/>
        </w:rPr>
        <w:t>También </w:t>
      </w:r>
      <w:r>
        <w:rPr>
          <w:color w:val="231F20"/>
        </w:rPr>
        <w:t>permite una diversificación  del ingreso de las unidades familiares, así como la repartición y disminución del riesgo (Nava, 2005). Por lo anterior, los animales son un componente importante dentro los modos de vida de las unida- des familiares, identificados por las funciones que cumplen. Como parte de los recursos propios de  los hogares, la presencia de animales domésticos resulta de particular relevancia, tanto por sus posi- bilidades de venta y autoconsumo como de traba- jo agrícola y no agrícola, condición que explica la presencia de animales de trabajo, particularmen- te équidos por su carácter multifuncional (Cruz, </w:t>
      </w:r>
      <w:r>
        <w:rPr>
          <w:color w:val="231F20"/>
          <w:spacing w:val="-3"/>
        </w:rPr>
        <w:t>2001;  </w:t>
      </w:r>
      <w:r>
        <w:rPr>
          <w:color w:val="231F20"/>
        </w:rPr>
        <w:t>Lawrence  y  Pearson, </w:t>
      </w:r>
      <w:r>
        <w:rPr>
          <w:color w:val="231F20"/>
          <w:spacing w:val="8"/>
        </w:rPr>
        <w:t> </w:t>
      </w:r>
      <w:r>
        <w:rPr>
          <w:color w:val="231F20"/>
        </w:rPr>
        <w:t>2002).</w:t>
      </w:r>
    </w:p>
    <w:p>
      <w:pPr>
        <w:pStyle w:val="BodyText"/>
        <w:spacing w:line="256" w:lineRule="auto" w:before="113"/>
        <w:ind w:left="412" w:right="1551"/>
        <w:jc w:val="both"/>
      </w:pPr>
      <w:r>
        <w:rPr>
          <w:color w:val="231F20"/>
          <w:spacing w:val="-4"/>
        </w:rPr>
        <w:t>Mucha gente pobre </w:t>
      </w:r>
      <w:r>
        <w:rPr>
          <w:color w:val="231F20"/>
          <w:spacing w:val="-3"/>
        </w:rPr>
        <w:t>que vive </w:t>
      </w:r>
      <w:r>
        <w:rPr>
          <w:color w:val="231F20"/>
        </w:rPr>
        <w:t>en </w:t>
      </w:r>
      <w:r>
        <w:rPr>
          <w:color w:val="231F20"/>
          <w:spacing w:val="-4"/>
        </w:rPr>
        <w:t>áreas rurales </w:t>
      </w:r>
      <w:r>
        <w:rPr>
          <w:color w:val="231F20"/>
        </w:rPr>
        <w:t>y </w:t>
      </w:r>
      <w:r>
        <w:rPr>
          <w:color w:val="231F20"/>
          <w:spacing w:val="-3"/>
        </w:rPr>
        <w:t>se- </w:t>
      </w:r>
      <w:r>
        <w:rPr>
          <w:color w:val="231F20"/>
          <w:spacing w:val="-4"/>
        </w:rPr>
        <w:t>miurbanas </w:t>
      </w:r>
      <w:r>
        <w:rPr>
          <w:color w:val="231F20"/>
        </w:rPr>
        <w:t>de </w:t>
      </w:r>
      <w:r>
        <w:rPr>
          <w:color w:val="231F20"/>
          <w:spacing w:val="-4"/>
        </w:rPr>
        <w:t>Latinoamérica, África </w:t>
      </w:r>
      <w:r>
        <w:rPr>
          <w:color w:val="231F20"/>
        </w:rPr>
        <w:t>y </w:t>
      </w:r>
      <w:r>
        <w:rPr>
          <w:color w:val="231F20"/>
          <w:spacing w:val="-3"/>
        </w:rPr>
        <w:t>Asia han </w:t>
      </w:r>
      <w:r>
        <w:rPr>
          <w:color w:val="231F20"/>
          <w:spacing w:val="-4"/>
        </w:rPr>
        <w:t>explo- </w:t>
      </w:r>
      <w:r>
        <w:rPr>
          <w:color w:val="231F20"/>
          <w:spacing w:val="-3"/>
        </w:rPr>
        <w:t>tado </w:t>
      </w:r>
      <w:r>
        <w:rPr>
          <w:color w:val="231F20"/>
          <w:spacing w:val="-4"/>
        </w:rPr>
        <w:t>tradicionalmente pequeñas especies, </w:t>
      </w:r>
      <w:r>
        <w:rPr>
          <w:color w:val="231F20"/>
          <w:spacing w:val="-3"/>
        </w:rPr>
        <w:t>que </w:t>
      </w:r>
      <w:r>
        <w:rPr>
          <w:color w:val="231F20"/>
          <w:spacing w:val="-4"/>
        </w:rPr>
        <w:t>las mujeres tienen </w:t>
      </w:r>
      <w:r>
        <w:rPr>
          <w:color w:val="231F20"/>
        </w:rPr>
        <w:t>la </w:t>
      </w:r>
      <w:r>
        <w:rPr>
          <w:color w:val="231F20"/>
          <w:spacing w:val="-4"/>
        </w:rPr>
        <w:t>responsabilidad específica </w:t>
      </w:r>
      <w:r>
        <w:rPr>
          <w:color w:val="231F20"/>
        </w:rPr>
        <w:t>de </w:t>
      </w:r>
      <w:r>
        <w:rPr>
          <w:color w:val="231F20"/>
          <w:spacing w:val="-5"/>
        </w:rPr>
        <w:t>criar, </w:t>
      </w:r>
      <w:r>
        <w:rPr>
          <w:color w:val="231F20"/>
          <w:spacing w:val="-3"/>
        </w:rPr>
        <w:t>pero </w:t>
      </w:r>
      <w:r>
        <w:rPr>
          <w:color w:val="231F20"/>
        </w:rPr>
        <w:t>se </w:t>
      </w:r>
      <w:r>
        <w:rPr>
          <w:color w:val="231F20"/>
          <w:spacing w:val="-3"/>
        </w:rPr>
        <w:t>dice que logran una </w:t>
      </w:r>
      <w:r>
        <w:rPr>
          <w:color w:val="231F20"/>
          <w:spacing w:val="-4"/>
        </w:rPr>
        <w:t>productividad </w:t>
      </w:r>
      <w:r>
        <w:rPr>
          <w:color w:val="231F20"/>
          <w:spacing w:val="-3"/>
        </w:rPr>
        <w:t>muy  </w:t>
      </w:r>
      <w:r>
        <w:rPr>
          <w:color w:val="231F20"/>
          <w:spacing w:val="-4"/>
        </w:rPr>
        <w:t>baja.</w:t>
      </w:r>
    </w:p>
    <w:p>
      <w:pPr>
        <w:pStyle w:val="BodyText"/>
        <w:spacing w:line="256" w:lineRule="auto" w:before="113"/>
        <w:ind w:left="412" w:right="1551"/>
        <w:jc w:val="both"/>
      </w:pPr>
      <w:r>
        <w:rPr>
          <w:color w:val="231F20"/>
        </w:rPr>
        <w:t>El </w:t>
      </w:r>
      <w:r>
        <w:rPr>
          <w:color w:val="231F20"/>
          <w:spacing w:val="-4"/>
        </w:rPr>
        <w:t>hecho </w:t>
      </w:r>
      <w:r>
        <w:rPr>
          <w:color w:val="231F20"/>
        </w:rPr>
        <w:t>de </w:t>
      </w:r>
      <w:r>
        <w:rPr>
          <w:color w:val="231F20"/>
          <w:spacing w:val="-3"/>
        </w:rPr>
        <w:t>que una </w:t>
      </w:r>
      <w:r>
        <w:rPr>
          <w:color w:val="231F20"/>
        </w:rPr>
        <w:t>gran </w:t>
      </w:r>
      <w:r>
        <w:rPr>
          <w:color w:val="231F20"/>
          <w:spacing w:val="-4"/>
        </w:rPr>
        <w:t>proporción </w:t>
      </w:r>
      <w:r>
        <w:rPr>
          <w:color w:val="231F20"/>
        </w:rPr>
        <w:t>de </w:t>
      </w:r>
      <w:r>
        <w:rPr>
          <w:color w:val="231F20"/>
          <w:spacing w:val="-4"/>
        </w:rPr>
        <w:t>familias </w:t>
      </w:r>
      <w:r>
        <w:rPr>
          <w:color w:val="231F20"/>
          <w:spacing w:val="-3"/>
        </w:rPr>
        <w:t>po- bres </w:t>
      </w:r>
      <w:r>
        <w:rPr>
          <w:color w:val="231F20"/>
          <w:spacing w:val="-4"/>
        </w:rPr>
        <w:t>posean animales </w:t>
      </w:r>
      <w:r>
        <w:rPr>
          <w:color w:val="231F20"/>
          <w:spacing w:val="-3"/>
        </w:rPr>
        <w:t>(en </w:t>
      </w:r>
      <w:r>
        <w:rPr>
          <w:color w:val="231F20"/>
          <w:spacing w:val="-4"/>
        </w:rPr>
        <w:t>especial pequeñas espe- cies) </w:t>
      </w:r>
      <w:r>
        <w:rPr>
          <w:color w:val="231F20"/>
          <w:spacing w:val="-3"/>
        </w:rPr>
        <w:t>sugiere que son </w:t>
      </w:r>
      <w:r>
        <w:rPr>
          <w:color w:val="231F20"/>
        </w:rPr>
        <w:t>un </w:t>
      </w:r>
      <w:r>
        <w:rPr>
          <w:color w:val="231F20"/>
          <w:spacing w:val="-4"/>
        </w:rPr>
        <w:t>elemento importante como estrategia </w:t>
      </w:r>
      <w:r>
        <w:rPr>
          <w:color w:val="231F20"/>
        </w:rPr>
        <w:t>de </w:t>
      </w:r>
      <w:r>
        <w:rPr>
          <w:color w:val="231F20"/>
          <w:spacing w:val="-4"/>
        </w:rPr>
        <w:t>subsistencia, </w:t>
      </w:r>
      <w:r>
        <w:rPr>
          <w:color w:val="231F20"/>
        </w:rPr>
        <w:t>en </w:t>
      </w:r>
      <w:r>
        <w:rPr>
          <w:color w:val="231F20"/>
          <w:spacing w:val="-4"/>
        </w:rPr>
        <w:t>particular </w:t>
      </w:r>
      <w:r>
        <w:rPr>
          <w:color w:val="231F20"/>
          <w:spacing w:val="-3"/>
        </w:rPr>
        <w:t>para las  mu-</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1.      </w:t>
      </w:r>
      <w:r>
        <w:rPr>
          <w:color w:val="231F20"/>
          <w:spacing w:val="11"/>
          <w:sz w:val="18"/>
        </w:rPr>
        <w:t> </w:t>
      </w:r>
      <w:r>
        <w:rPr>
          <w:color w:val="231F20"/>
          <w:sz w:val="18"/>
        </w:rPr>
        <w:t>Contribución de la producción animal en pequeña escala a las estrategias de vida</w:t>
      </w:r>
      <w:r>
        <w:rPr>
          <w:color w:val="231F20"/>
          <w:spacing w:val="14"/>
          <w:sz w:val="18"/>
        </w:rPr>
        <w:t> </w:t>
      </w:r>
      <w:r>
        <w:rPr>
          <w:color w:val="231F20"/>
          <w:sz w:val="18"/>
        </w:rPr>
        <w:t>campesinas</w:t>
      </w:r>
      <w:r>
        <w:rPr>
          <w:color w:val="231F20"/>
          <w:sz w:val="22"/>
        </w:rPr>
        <w:tab/>
        <w:t>5</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9" w:lineRule="auto"/>
        <w:ind w:left="1553"/>
        <w:jc w:val="both"/>
      </w:pPr>
      <w:r>
        <w:rPr>
          <w:color w:val="231F20"/>
          <w:spacing w:val="-4"/>
        </w:rPr>
        <w:t>jeres pobres (Perea </w:t>
      </w:r>
      <w:r>
        <w:rPr>
          <w:rFonts w:ascii="Cambria" w:hAnsi="Cambria"/>
          <w:i/>
          <w:color w:val="231F20"/>
        </w:rPr>
        <w:t>et </w:t>
      </w:r>
      <w:r>
        <w:rPr>
          <w:rFonts w:ascii="Cambria" w:hAnsi="Cambria"/>
          <w:i/>
          <w:color w:val="231F20"/>
          <w:spacing w:val="-3"/>
        </w:rPr>
        <w:t>al</w:t>
      </w:r>
      <w:r>
        <w:rPr>
          <w:color w:val="231F20"/>
          <w:spacing w:val="-3"/>
        </w:rPr>
        <w:t>., </w:t>
      </w:r>
      <w:r>
        <w:rPr>
          <w:color w:val="231F20"/>
          <w:spacing w:val="-7"/>
        </w:rPr>
        <w:t>2011). </w:t>
      </w:r>
      <w:r>
        <w:rPr>
          <w:color w:val="231F20"/>
        </w:rPr>
        <w:t>El </w:t>
      </w:r>
      <w:r>
        <w:rPr>
          <w:color w:val="231F20"/>
          <w:spacing w:val="-4"/>
        </w:rPr>
        <w:t>papel dinámico </w:t>
      </w:r>
      <w:r>
        <w:rPr>
          <w:color w:val="231F20"/>
          <w:spacing w:val="-3"/>
        </w:rPr>
        <w:t>que </w:t>
      </w:r>
      <w:r>
        <w:rPr>
          <w:color w:val="231F20"/>
          <w:spacing w:val="-4"/>
        </w:rPr>
        <w:t>desempeñan </w:t>
      </w:r>
      <w:r>
        <w:rPr>
          <w:color w:val="231F20"/>
          <w:spacing w:val="-3"/>
        </w:rPr>
        <w:t>los </w:t>
      </w:r>
      <w:r>
        <w:rPr>
          <w:color w:val="231F20"/>
          <w:spacing w:val="-4"/>
        </w:rPr>
        <w:t>animales </w:t>
      </w:r>
      <w:r>
        <w:rPr>
          <w:color w:val="231F20"/>
        </w:rPr>
        <w:t>en </w:t>
      </w:r>
      <w:r>
        <w:rPr>
          <w:color w:val="231F20"/>
          <w:spacing w:val="-3"/>
        </w:rPr>
        <w:t>esa </w:t>
      </w:r>
      <w:r>
        <w:rPr>
          <w:color w:val="231F20"/>
          <w:spacing w:val="-4"/>
        </w:rPr>
        <w:t>estrategia de subsistencia necesita </w:t>
      </w:r>
      <w:r>
        <w:rPr>
          <w:color w:val="231F20"/>
          <w:spacing w:val="-3"/>
        </w:rPr>
        <w:t>ser </w:t>
      </w:r>
      <w:r>
        <w:rPr>
          <w:color w:val="231F20"/>
          <w:spacing w:val="-4"/>
        </w:rPr>
        <w:t>mejor entendido </w:t>
      </w:r>
      <w:r>
        <w:rPr>
          <w:color w:val="231F20"/>
        </w:rPr>
        <w:t>en </w:t>
      </w:r>
      <w:r>
        <w:rPr>
          <w:color w:val="231F20"/>
          <w:spacing w:val="-4"/>
        </w:rPr>
        <w:t>dos sentidos: </w:t>
      </w:r>
      <w:r>
        <w:rPr>
          <w:color w:val="231F20"/>
          <w:spacing w:val="-3"/>
        </w:rPr>
        <w:t>por los </w:t>
      </w:r>
      <w:r>
        <w:rPr>
          <w:color w:val="231F20"/>
          <w:spacing w:val="-4"/>
        </w:rPr>
        <w:t>investigadores </w:t>
      </w:r>
      <w:r>
        <w:rPr>
          <w:color w:val="231F20"/>
        </w:rPr>
        <w:t>y </w:t>
      </w:r>
      <w:r>
        <w:rPr>
          <w:color w:val="231F20"/>
          <w:spacing w:val="-3"/>
        </w:rPr>
        <w:t>por los </w:t>
      </w:r>
      <w:r>
        <w:rPr>
          <w:color w:val="231F20"/>
          <w:spacing w:val="-4"/>
        </w:rPr>
        <w:t>agentes externos </w:t>
      </w:r>
      <w:r>
        <w:rPr>
          <w:color w:val="231F20"/>
          <w:spacing w:val="-3"/>
        </w:rPr>
        <w:t>que </w:t>
      </w:r>
      <w:r>
        <w:rPr>
          <w:color w:val="231F20"/>
          <w:spacing w:val="-4"/>
        </w:rPr>
        <w:t>trabajan </w:t>
      </w:r>
      <w:r>
        <w:rPr>
          <w:color w:val="231F20"/>
          <w:spacing w:val="-3"/>
        </w:rPr>
        <w:t>con </w:t>
      </w:r>
      <w:r>
        <w:rPr>
          <w:color w:val="231F20"/>
        </w:rPr>
        <w:t>la </w:t>
      </w:r>
      <w:r>
        <w:rPr>
          <w:color w:val="231F20"/>
          <w:spacing w:val="-4"/>
        </w:rPr>
        <w:t>población rural. </w:t>
      </w:r>
      <w:r>
        <w:rPr>
          <w:color w:val="231F20"/>
        </w:rPr>
        <w:t>El </w:t>
      </w:r>
      <w:r>
        <w:rPr>
          <w:color w:val="231F20"/>
          <w:spacing w:val="-4"/>
        </w:rPr>
        <w:t>pri- </w:t>
      </w:r>
      <w:r>
        <w:rPr>
          <w:color w:val="231F20"/>
          <w:spacing w:val="-3"/>
        </w:rPr>
        <w:t>mero </w:t>
      </w:r>
      <w:r>
        <w:rPr>
          <w:color w:val="231F20"/>
        </w:rPr>
        <w:t>es </w:t>
      </w:r>
      <w:r>
        <w:rPr>
          <w:color w:val="231F20"/>
          <w:spacing w:val="-3"/>
        </w:rPr>
        <w:t>para </w:t>
      </w:r>
      <w:r>
        <w:rPr>
          <w:color w:val="231F20"/>
        </w:rPr>
        <w:t>la </w:t>
      </w:r>
      <w:r>
        <w:rPr>
          <w:color w:val="231F20"/>
          <w:spacing w:val="-3"/>
        </w:rPr>
        <w:t>toma </w:t>
      </w:r>
      <w:r>
        <w:rPr>
          <w:color w:val="231F20"/>
        </w:rPr>
        <w:t>de </w:t>
      </w:r>
      <w:r>
        <w:rPr>
          <w:color w:val="231F20"/>
          <w:spacing w:val="-4"/>
        </w:rPr>
        <w:t>decisiones acerca </w:t>
      </w:r>
      <w:r>
        <w:rPr>
          <w:color w:val="231F20"/>
        </w:rPr>
        <w:t>de </w:t>
      </w:r>
      <w:r>
        <w:rPr>
          <w:color w:val="231F20"/>
          <w:spacing w:val="-4"/>
        </w:rPr>
        <w:t>las prioridades </w:t>
      </w:r>
      <w:r>
        <w:rPr>
          <w:color w:val="231F20"/>
        </w:rPr>
        <w:t>de </w:t>
      </w:r>
      <w:r>
        <w:rPr>
          <w:color w:val="231F20"/>
          <w:spacing w:val="-4"/>
        </w:rPr>
        <w:t>investigación </w:t>
      </w:r>
      <w:r>
        <w:rPr>
          <w:color w:val="231F20"/>
        </w:rPr>
        <w:t>y el </w:t>
      </w:r>
      <w:r>
        <w:rPr>
          <w:color w:val="231F20"/>
          <w:spacing w:val="-4"/>
        </w:rPr>
        <w:t>posible impacto de </w:t>
      </w:r>
      <w:r>
        <w:rPr>
          <w:color w:val="231F20"/>
        </w:rPr>
        <w:t>su </w:t>
      </w:r>
      <w:r>
        <w:rPr>
          <w:color w:val="231F20"/>
          <w:spacing w:val="-4"/>
        </w:rPr>
        <w:t>aplicación, </w:t>
      </w:r>
      <w:r>
        <w:rPr>
          <w:color w:val="231F20"/>
        </w:rPr>
        <w:t>y el </w:t>
      </w:r>
      <w:r>
        <w:rPr>
          <w:color w:val="231F20"/>
          <w:spacing w:val="-4"/>
        </w:rPr>
        <w:t>segundo </w:t>
      </w:r>
      <w:r>
        <w:rPr>
          <w:color w:val="231F20"/>
          <w:spacing w:val="-3"/>
        </w:rPr>
        <w:t>para </w:t>
      </w:r>
      <w:r>
        <w:rPr>
          <w:color w:val="231F20"/>
          <w:spacing w:val="-4"/>
        </w:rPr>
        <w:t>facilitar </w:t>
      </w:r>
      <w:r>
        <w:rPr>
          <w:color w:val="231F20"/>
        </w:rPr>
        <w:t>el </w:t>
      </w:r>
      <w:r>
        <w:rPr>
          <w:color w:val="231F20"/>
          <w:spacing w:val="-4"/>
        </w:rPr>
        <w:t>trabajo de </w:t>
      </w:r>
      <w:r>
        <w:rPr>
          <w:color w:val="231F20"/>
          <w:spacing w:val="-3"/>
        </w:rPr>
        <w:t>las </w:t>
      </w:r>
      <w:r>
        <w:rPr>
          <w:color w:val="231F20"/>
          <w:spacing w:val="-4"/>
        </w:rPr>
        <w:t>diversas instituciones </w:t>
      </w:r>
      <w:r>
        <w:rPr>
          <w:color w:val="231F20"/>
          <w:spacing w:val="-3"/>
        </w:rPr>
        <w:t>que </w:t>
      </w:r>
      <w:r>
        <w:rPr>
          <w:color w:val="231F20"/>
          <w:spacing w:val="-4"/>
        </w:rPr>
        <w:t>trabajan </w:t>
      </w:r>
      <w:r>
        <w:rPr>
          <w:color w:val="231F20"/>
          <w:spacing w:val="-3"/>
        </w:rPr>
        <w:t>con </w:t>
      </w:r>
      <w:r>
        <w:rPr>
          <w:color w:val="231F20"/>
          <w:spacing w:val="-4"/>
        </w:rPr>
        <w:t>producto- </w:t>
      </w:r>
      <w:r>
        <w:rPr>
          <w:color w:val="231F20"/>
          <w:spacing w:val="-3"/>
        </w:rPr>
        <w:t>res </w:t>
      </w:r>
      <w:r>
        <w:rPr>
          <w:color w:val="231F20"/>
          <w:spacing w:val="-4"/>
        </w:rPr>
        <w:t>pobres </w:t>
      </w:r>
      <w:r>
        <w:rPr>
          <w:color w:val="231F20"/>
          <w:spacing w:val="-3"/>
        </w:rPr>
        <w:t>con </w:t>
      </w:r>
      <w:r>
        <w:rPr>
          <w:color w:val="231F20"/>
        </w:rPr>
        <w:t>el fin de </w:t>
      </w:r>
      <w:r>
        <w:rPr>
          <w:color w:val="231F20"/>
          <w:spacing w:val="-4"/>
        </w:rPr>
        <w:t>mejorar </w:t>
      </w:r>
      <w:r>
        <w:rPr>
          <w:color w:val="231F20"/>
          <w:spacing w:val="-3"/>
        </w:rPr>
        <w:t>sus </w:t>
      </w:r>
      <w:r>
        <w:rPr>
          <w:color w:val="231F20"/>
          <w:spacing w:val="-4"/>
        </w:rPr>
        <w:t>modos </w:t>
      </w:r>
      <w:r>
        <w:rPr>
          <w:color w:val="231F20"/>
        </w:rPr>
        <w:t>de </w:t>
      </w:r>
      <w:r>
        <w:rPr>
          <w:color w:val="231F20"/>
          <w:spacing w:val="-4"/>
        </w:rPr>
        <w:t>vida. </w:t>
      </w:r>
      <w:r>
        <w:rPr>
          <w:color w:val="231F20"/>
        </w:rPr>
        <w:t>En </w:t>
      </w:r>
      <w:r>
        <w:rPr>
          <w:color w:val="231F20"/>
          <w:spacing w:val="-3"/>
        </w:rPr>
        <w:t>este </w:t>
      </w:r>
      <w:r>
        <w:rPr>
          <w:color w:val="231F20"/>
          <w:spacing w:val="-4"/>
        </w:rPr>
        <w:t>capítulo </w:t>
      </w:r>
      <w:r>
        <w:rPr>
          <w:color w:val="231F20"/>
        </w:rPr>
        <w:t>se </w:t>
      </w:r>
      <w:r>
        <w:rPr>
          <w:color w:val="231F20"/>
          <w:spacing w:val="-4"/>
        </w:rPr>
        <w:t>destaca </w:t>
      </w:r>
      <w:r>
        <w:rPr>
          <w:color w:val="231F20"/>
        </w:rPr>
        <w:t>la </w:t>
      </w:r>
      <w:r>
        <w:rPr>
          <w:color w:val="231F20"/>
          <w:spacing w:val="-4"/>
        </w:rPr>
        <w:t>importancia </w:t>
      </w:r>
      <w:r>
        <w:rPr>
          <w:color w:val="231F20"/>
          <w:spacing w:val="-3"/>
        </w:rPr>
        <w:t>que </w:t>
      </w:r>
      <w:r>
        <w:rPr>
          <w:color w:val="231F20"/>
          <w:spacing w:val="-4"/>
        </w:rPr>
        <w:t>tiene, </w:t>
      </w:r>
      <w:r>
        <w:rPr>
          <w:color w:val="231F20"/>
          <w:spacing w:val="-3"/>
        </w:rPr>
        <w:t>para los </w:t>
      </w:r>
      <w:r>
        <w:rPr>
          <w:color w:val="231F20"/>
          <w:spacing w:val="-4"/>
        </w:rPr>
        <w:t>hogares </w:t>
      </w:r>
      <w:r>
        <w:rPr>
          <w:color w:val="231F20"/>
        </w:rPr>
        <w:t>en </w:t>
      </w:r>
      <w:r>
        <w:rPr>
          <w:color w:val="231F20"/>
          <w:spacing w:val="-4"/>
        </w:rPr>
        <w:t>zonas </w:t>
      </w:r>
      <w:r>
        <w:rPr>
          <w:color w:val="231F20"/>
        </w:rPr>
        <w:t>de </w:t>
      </w:r>
      <w:r>
        <w:rPr>
          <w:color w:val="231F20"/>
          <w:spacing w:val="-4"/>
        </w:rPr>
        <w:t>escasos recursos, el hecho </w:t>
      </w:r>
      <w:r>
        <w:rPr>
          <w:color w:val="231F20"/>
        </w:rPr>
        <w:t>de </w:t>
      </w:r>
      <w:r>
        <w:rPr>
          <w:color w:val="231F20"/>
          <w:spacing w:val="-4"/>
        </w:rPr>
        <w:t>mantener ganado </w:t>
      </w:r>
      <w:r>
        <w:rPr>
          <w:color w:val="231F20"/>
          <w:spacing w:val="-3"/>
        </w:rPr>
        <w:t>con </w:t>
      </w:r>
      <w:r>
        <w:rPr>
          <w:color w:val="231F20"/>
        </w:rPr>
        <w:t>el fin de </w:t>
      </w:r>
      <w:r>
        <w:rPr>
          <w:color w:val="231F20"/>
          <w:spacing w:val="-4"/>
        </w:rPr>
        <w:t>superar la vulnerabilidad </w:t>
      </w:r>
      <w:r>
        <w:rPr>
          <w:color w:val="231F20"/>
        </w:rPr>
        <w:t>y </w:t>
      </w:r>
      <w:r>
        <w:rPr>
          <w:color w:val="231F20"/>
          <w:spacing w:val="-4"/>
        </w:rPr>
        <w:t>reducir </w:t>
      </w:r>
      <w:r>
        <w:rPr>
          <w:color w:val="231F20"/>
        </w:rPr>
        <w:t>el </w:t>
      </w:r>
      <w:r>
        <w:rPr>
          <w:color w:val="231F20"/>
          <w:spacing w:val="-4"/>
        </w:rPr>
        <w:t>riesgo </w:t>
      </w:r>
      <w:r>
        <w:rPr>
          <w:color w:val="231F20"/>
          <w:spacing w:val="-3"/>
        </w:rPr>
        <w:t>como parte </w:t>
      </w:r>
      <w:r>
        <w:rPr>
          <w:color w:val="231F20"/>
        </w:rPr>
        <w:t>de </w:t>
      </w:r>
      <w:r>
        <w:rPr>
          <w:color w:val="231F20"/>
          <w:spacing w:val="-4"/>
        </w:rPr>
        <w:t>sus estrategias </w:t>
      </w:r>
      <w:r>
        <w:rPr>
          <w:color w:val="231F20"/>
        </w:rPr>
        <w:t>de </w:t>
      </w:r>
      <w:r>
        <w:rPr>
          <w:color w:val="231F20"/>
          <w:spacing w:val="-4"/>
        </w:rPr>
        <w:t>modos </w:t>
      </w:r>
      <w:r>
        <w:rPr>
          <w:color w:val="231F20"/>
        </w:rPr>
        <w:t>de </w:t>
      </w:r>
      <w:r>
        <w:rPr>
          <w:color w:val="231F20"/>
          <w:spacing w:val="-4"/>
        </w:rPr>
        <w:t>vida.</w:t>
      </w:r>
    </w:p>
    <w:p>
      <w:pPr>
        <w:pStyle w:val="BodyText"/>
        <w:spacing w:line="259" w:lineRule="auto" w:before="113"/>
        <w:ind w:left="1553"/>
        <w:jc w:val="both"/>
      </w:pPr>
      <w:r>
        <w:rPr>
          <w:color w:val="231F20"/>
        </w:rPr>
        <w:t>Si una gran mayoría de la población rural posee ga- nado</w:t>
      </w:r>
      <w:r>
        <w:rPr>
          <w:color w:val="231F20"/>
          <w:spacing w:val="-8"/>
        </w:rPr>
        <w:t> </w:t>
      </w:r>
      <w:r>
        <w:rPr>
          <w:color w:val="231F20"/>
        </w:rPr>
        <w:t>es</w:t>
      </w:r>
      <w:r>
        <w:rPr>
          <w:color w:val="231F20"/>
          <w:spacing w:val="-8"/>
        </w:rPr>
        <w:t> </w:t>
      </w:r>
      <w:r>
        <w:rPr>
          <w:color w:val="231F20"/>
        </w:rPr>
        <w:t>factible</w:t>
      </w:r>
      <w:r>
        <w:rPr>
          <w:color w:val="231F20"/>
          <w:spacing w:val="-8"/>
        </w:rPr>
        <w:t> </w:t>
      </w:r>
      <w:r>
        <w:rPr>
          <w:color w:val="231F20"/>
        </w:rPr>
        <w:t>sugerir</w:t>
      </w:r>
      <w:r>
        <w:rPr>
          <w:color w:val="231F20"/>
          <w:spacing w:val="-8"/>
        </w:rPr>
        <w:t> </w:t>
      </w:r>
      <w:r>
        <w:rPr>
          <w:color w:val="231F20"/>
        </w:rPr>
        <w:t>que</w:t>
      </w:r>
      <w:r>
        <w:rPr>
          <w:color w:val="231F20"/>
          <w:spacing w:val="-8"/>
        </w:rPr>
        <w:t> </w:t>
      </w:r>
      <w:r>
        <w:rPr>
          <w:color w:val="231F20"/>
        </w:rPr>
        <w:t>incrementos,</w:t>
      </w:r>
      <w:r>
        <w:rPr>
          <w:color w:val="231F20"/>
          <w:spacing w:val="-8"/>
        </w:rPr>
        <w:t> </w:t>
      </w:r>
      <w:r>
        <w:rPr>
          <w:color w:val="231F20"/>
        </w:rPr>
        <w:t>pequeños o</w:t>
      </w:r>
      <w:r>
        <w:rPr>
          <w:color w:val="231F20"/>
          <w:spacing w:val="-12"/>
        </w:rPr>
        <w:t> </w:t>
      </w:r>
      <w:r>
        <w:rPr>
          <w:color w:val="231F20"/>
        </w:rPr>
        <w:t>grandes,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productividad</w:t>
      </w:r>
      <w:r>
        <w:rPr>
          <w:color w:val="231F20"/>
          <w:spacing w:val="-12"/>
        </w:rPr>
        <w:t> </w:t>
      </w:r>
      <w:r>
        <w:rPr>
          <w:color w:val="231F20"/>
        </w:rPr>
        <w:t>o</w:t>
      </w:r>
      <w:r>
        <w:rPr>
          <w:color w:val="231F20"/>
          <w:spacing w:val="-12"/>
        </w:rPr>
        <w:t> </w:t>
      </w:r>
      <w:r>
        <w:rPr>
          <w:color w:val="231F20"/>
        </w:rPr>
        <w:t>la</w:t>
      </w:r>
      <w:r>
        <w:rPr>
          <w:color w:val="231F20"/>
          <w:spacing w:val="-12"/>
        </w:rPr>
        <w:t> </w:t>
      </w:r>
      <w:r>
        <w:rPr>
          <w:color w:val="231F20"/>
        </w:rPr>
        <w:t>rentabilidad</w:t>
      </w:r>
      <w:r>
        <w:rPr>
          <w:color w:val="231F20"/>
          <w:spacing w:val="-12"/>
        </w:rPr>
        <w:t> </w:t>
      </w:r>
      <w:r>
        <w:rPr>
          <w:color w:val="231F20"/>
        </w:rPr>
        <w:t>de</w:t>
      </w:r>
      <w:r>
        <w:rPr>
          <w:color w:val="231F20"/>
          <w:spacing w:val="-12"/>
        </w:rPr>
        <w:t> </w:t>
      </w:r>
      <w:r>
        <w:rPr>
          <w:color w:val="231F20"/>
        </w:rPr>
        <w:t>la ganadería</w:t>
      </w:r>
      <w:r>
        <w:rPr>
          <w:color w:val="231F20"/>
          <w:spacing w:val="-29"/>
        </w:rPr>
        <w:t> </w:t>
      </w:r>
      <w:r>
        <w:rPr>
          <w:color w:val="231F20"/>
        </w:rPr>
        <w:t>podrían</w:t>
      </w:r>
      <w:r>
        <w:rPr>
          <w:color w:val="231F20"/>
          <w:spacing w:val="-29"/>
        </w:rPr>
        <w:t> </w:t>
      </w:r>
      <w:r>
        <w:rPr>
          <w:color w:val="231F20"/>
        </w:rPr>
        <w:t>contribuir</w:t>
      </w:r>
      <w:r>
        <w:rPr>
          <w:color w:val="231F20"/>
          <w:spacing w:val="-29"/>
        </w:rPr>
        <w:t> </w:t>
      </w:r>
      <w:r>
        <w:rPr>
          <w:color w:val="231F20"/>
        </w:rPr>
        <w:t>directamente</w:t>
      </w:r>
      <w:r>
        <w:rPr>
          <w:color w:val="231F20"/>
          <w:spacing w:val="-29"/>
        </w:rPr>
        <w:t> </w:t>
      </w:r>
      <w:r>
        <w:rPr>
          <w:color w:val="231F20"/>
        </w:rPr>
        <w:t>a</w:t>
      </w:r>
      <w:r>
        <w:rPr>
          <w:color w:val="231F20"/>
          <w:spacing w:val="-29"/>
        </w:rPr>
        <w:t> </w:t>
      </w:r>
      <w:r>
        <w:rPr>
          <w:color w:val="231F20"/>
        </w:rPr>
        <w:t>mejorar su sustento. Mientras que una mayor eficiencia en el uso de los activos ganaderos sería benéfica para todos los hogares que dependen de la ganadería, esto</w:t>
      </w:r>
      <w:r>
        <w:rPr>
          <w:color w:val="231F20"/>
          <w:spacing w:val="-17"/>
        </w:rPr>
        <w:t> </w:t>
      </w:r>
      <w:r>
        <w:rPr>
          <w:color w:val="231F20"/>
        </w:rPr>
        <w:t>proporcionaría</w:t>
      </w:r>
      <w:r>
        <w:rPr>
          <w:color w:val="231F20"/>
          <w:spacing w:val="-17"/>
        </w:rPr>
        <w:t> </w:t>
      </w:r>
      <w:r>
        <w:rPr>
          <w:color w:val="231F20"/>
        </w:rPr>
        <w:t>un</w:t>
      </w:r>
      <w:r>
        <w:rPr>
          <w:color w:val="231F20"/>
          <w:spacing w:val="-17"/>
        </w:rPr>
        <w:t> </w:t>
      </w:r>
      <w:r>
        <w:rPr>
          <w:color w:val="231F20"/>
        </w:rPr>
        <w:t>trampolín,</w:t>
      </w:r>
      <w:r>
        <w:rPr>
          <w:color w:val="231F20"/>
          <w:spacing w:val="-17"/>
        </w:rPr>
        <w:t> </w:t>
      </w:r>
      <w:r>
        <w:rPr>
          <w:color w:val="231F20"/>
        </w:rPr>
        <w:t>en</w:t>
      </w:r>
      <w:r>
        <w:rPr>
          <w:color w:val="231F20"/>
          <w:spacing w:val="-17"/>
        </w:rPr>
        <w:t> </w:t>
      </w:r>
      <w:r>
        <w:rPr>
          <w:color w:val="231F20"/>
          <w:spacing w:val="-3"/>
        </w:rPr>
        <w:t>particular,</w:t>
      </w:r>
      <w:r>
        <w:rPr>
          <w:color w:val="231F20"/>
          <w:spacing w:val="-17"/>
        </w:rPr>
        <w:t> </w:t>
      </w:r>
      <w:r>
        <w:rPr>
          <w:color w:val="231F20"/>
        </w:rPr>
        <w:t>para aquellos subgrupos de población que dependen re- lativamente menos de los animales para su susten- to. </w:t>
      </w:r>
      <w:r>
        <w:rPr>
          <w:color w:val="231F20"/>
          <w:spacing w:val="-3"/>
        </w:rPr>
        <w:t>Por </w:t>
      </w:r>
      <w:r>
        <w:rPr>
          <w:color w:val="231F20"/>
        </w:rPr>
        <w:t>otra parte, el aumento de los </w:t>
      </w:r>
      <w:r>
        <w:rPr>
          <w:color w:val="231F20"/>
          <w:spacing w:val="-2"/>
        </w:rPr>
        <w:t>rendimientos </w:t>
      </w:r>
      <w:r>
        <w:rPr>
          <w:color w:val="231F20"/>
        </w:rPr>
        <w:t>de la ganadería podría ayudar a algunas familias a superar las barreras de umbral de entrada a otras actividades más rentables, tales como el comercio en pequeño, o facilitar el uso complementario de los activos entre las actividades, tales como un au- mento de la productividad de los cultivos mediante la aplicación de estiércol del</w:t>
      </w:r>
      <w:r>
        <w:rPr>
          <w:color w:val="231F20"/>
          <w:spacing w:val="-11"/>
        </w:rPr>
        <w:t> </w:t>
      </w:r>
      <w:r>
        <w:rPr>
          <w:color w:val="231F20"/>
        </w:rPr>
        <w:t>ganado.</w:t>
      </w:r>
    </w:p>
    <w:p>
      <w:pPr>
        <w:pStyle w:val="BodyText"/>
      </w:pPr>
    </w:p>
    <w:p>
      <w:pPr>
        <w:pStyle w:val="BodyText"/>
        <w:spacing w:line="259" w:lineRule="auto" w:before="152"/>
        <w:ind w:left="1553"/>
        <w:jc w:val="both"/>
      </w:pPr>
      <w:r>
        <w:rPr>
          <w:color w:val="231F20"/>
          <w:spacing w:val="-4"/>
          <w:w w:val="110"/>
        </w:rPr>
        <w:t>ANTECEDENTES </w:t>
      </w:r>
      <w:r>
        <w:rPr>
          <w:color w:val="231F20"/>
          <w:spacing w:val="-3"/>
          <w:w w:val="110"/>
        </w:rPr>
        <w:t>DEL </w:t>
      </w:r>
      <w:r>
        <w:rPr>
          <w:color w:val="231F20"/>
          <w:spacing w:val="-4"/>
          <w:w w:val="110"/>
        </w:rPr>
        <w:t>MARCO </w:t>
      </w:r>
      <w:r>
        <w:rPr>
          <w:color w:val="231F20"/>
          <w:spacing w:val="-5"/>
          <w:w w:val="110"/>
        </w:rPr>
        <w:t>CONCEPTUAL</w:t>
      </w:r>
      <w:r>
        <w:rPr>
          <w:color w:val="231F20"/>
          <w:spacing w:val="-13"/>
          <w:w w:val="110"/>
        </w:rPr>
        <w:t> </w:t>
      </w:r>
      <w:r>
        <w:rPr>
          <w:color w:val="231F20"/>
          <w:spacing w:val="-6"/>
          <w:w w:val="110"/>
        </w:rPr>
        <w:t>PARA </w:t>
      </w:r>
      <w:r>
        <w:rPr>
          <w:color w:val="231F20"/>
          <w:w w:val="110"/>
        </w:rPr>
        <w:t>EL </w:t>
      </w:r>
      <w:r>
        <w:rPr>
          <w:color w:val="231F20"/>
          <w:spacing w:val="-3"/>
          <w:w w:val="110"/>
        </w:rPr>
        <w:t>ANÁLISIS </w:t>
      </w:r>
      <w:r>
        <w:rPr>
          <w:color w:val="231F20"/>
          <w:w w:val="110"/>
        </w:rPr>
        <w:t>DE LA </w:t>
      </w:r>
      <w:r>
        <w:rPr>
          <w:color w:val="231F20"/>
          <w:spacing w:val="-5"/>
          <w:w w:val="110"/>
        </w:rPr>
        <w:t>IMPORTANCIA </w:t>
      </w:r>
      <w:r>
        <w:rPr>
          <w:color w:val="231F20"/>
          <w:spacing w:val="-3"/>
          <w:w w:val="110"/>
        </w:rPr>
        <w:t>DEL</w:t>
      </w:r>
      <w:r>
        <w:rPr>
          <w:color w:val="231F20"/>
          <w:spacing w:val="3"/>
          <w:w w:val="110"/>
        </w:rPr>
        <w:t> </w:t>
      </w:r>
      <w:r>
        <w:rPr>
          <w:color w:val="231F20"/>
          <w:spacing w:val="-4"/>
          <w:w w:val="110"/>
        </w:rPr>
        <w:t>GANADO</w:t>
      </w:r>
    </w:p>
    <w:p>
      <w:pPr>
        <w:pStyle w:val="BodyText"/>
        <w:spacing w:line="259" w:lineRule="auto" w:before="113"/>
        <w:ind w:left="1553"/>
        <w:jc w:val="both"/>
      </w:pPr>
      <w:r>
        <w:rPr>
          <w:color w:val="231F20"/>
        </w:rPr>
        <w:t>Algunos intentos para desarrollar el concepto de bienes o activos han llevado al desarrollo de mar- cos conceptuales para el análisis y la conceptuali- zación de los modos de vida (Ellis, 2000; Carney, 1998).  A  partir  de  los  trabajos  de  Chambers     y</w:t>
      </w:r>
    </w:p>
    <w:p>
      <w:pPr>
        <w:pStyle w:val="BodyText"/>
        <w:spacing w:before="3"/>
        <w:rPr>
          <w:sz w:val="28"/>
        </w:rPr>
      </w:pPr>
      <w:r>
        <w:rPr/>
        <w:br w:type="column"/>
      </w:r>
      <w:r>
        <w:rPr>
          <w:sz w:val="28"/>
        </w:rPr>
      </w:r>
    </w:p>
    <w:p>
      <w:pPr>
        <w:pStyle w:val="BodyText"/>
        <w:spacing w:line="256" w:lineRule="auto"/>
        <w:ind w:left="412" w:right="1551"/>
        <w:jc w:val="both"/>
      </w:pPr>
      <w:r>
        <w:rPr>
          <w:color w:val="231F20"/>
        </w:rPr>
        <w:t>Conway (1992), el modo de vida se ha definido como “el conjunto de capacidades, activos (inclu- yendo recursos naturales y sociales) y actividades requeridas para ganarse la vida” (Carney, 1998).   La sustentabilidad se logra, de una manera simple de </w:t>
      </w:r>
      <w:r>
        <w:rPr>
          <w:color w:val="231F20"/>
          <w:spacing w:val="-3"/>
        </w:rPr>
        <w:t>ver, </w:t>
      </w:r>
      <w:r>
        <w:rPr>
          <w:color w:val="231F20"/>
        </w:rPr>
        <w:t>cuando un modo de vida puede lograr una recuperación a partir de presiones o choques, y al mantener o mejorar las capacidades y los activos en el presente y para el futuro, sin detrimento de  la base de recursos naturales (Carney,   </w:t>
      </w:r>
      <w:r>
        <w:rPr>
          <w:color w:val="231F20"/>
          <w:spacing w:val="19"/>
        </w:rPr>
        <w:t> </w:t>
      </w:r>
      <w:r>
        <w:rPr>
          <w:color w:val="231F20"/>
        </w:rPr>
        <w:t>1998).</w:t>
      </w:r>
    </w:p>
    <w:p>
      <w:pPr>
        <w:pStyle w:val="BodyText"/>
        <w:spacing w:line="256" w:lineRule="auto" w:before="112"/>
        <w:ind w:left="412" w:right="1551"/>
        <w:jc w:val="both"/>
      </w:pPr>
      <w:r>
        <w:rPr>
          <w:color w:val="231F20"/>
        </w:rPr>
        <w:t>Como teoría, para el entendimiento y para facilitar el desarrollo, el enfoque de los modos de vida sus- tentables contiene aspectos fundamentales de un enfoque anterior sobre las necesidades básicas de la gente, y evoluciona hacia un interés en seguri- dad</w:t>
      </w:r>
      <w:r>
        <w:rPr>
          <w:color w:val="231F20"/>
          <w:spacing w:val="-4"/>
        </w:rPr>
        <w:t> </w:t>
      </w:r>
      <w:r>
        <w:rPr>
          <w:color w:val="231F20"/>
        </w:rPr>
        <w:t>alimentaria,</w:t>
      </w:r>
      <w:r>
        <w:rPr>
          <w:color w:val="231F20"/>
          <w:spacing w:val="-4"/>
        </w:rPr>
        <w:t> </w:t>
      </w:r>
      <w:r>
        <w:rPr>
          <w:color w:val="231F20"/>
        </w:rPr>
        <w:t>y</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tanto</w:t>
      </w:r>
      <w:r>
        <w:rPr>
          <w:color w:val="231F20"/>
          <w:spacing w:val="-4"/>
        </w:rPr>
        <w:t> </w:t>
      </w:r>
      <w:r>
        <w:rPr>
          <w:color w:val="231F20"/>
        </w:rPr>
        <w:t>hacia</w:t>
      </w:r>
      <w:r>
        <w:rPr>
          <w:color w:val="231F20"/>
          <w:spacing w:val="-4"/>
        </w:rPr>
        <w:t> </w:t>
      </w:r>
      <w:r>
        <w:rPr>
          <w:color w:val="231F20"/>
        </w:rPr>
        <w:t>el</w:t>
      </w:r>
      <w:r>
        <w:rPr>
          <w:color w:val="231F20"/>
          <w:spacing w:val="-4"/>
        </w:rPr>
        <w:t> </w:t>
      </w:r>
      <w:r>
        <w:rPr>
          <w:color w:val="231F20"/>
        </w:rPr>
        <w:t>alivio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re- ducción de la pobreza (Maxwell, 1998). </w:t>
      </w:r>
      <w:r>
        <w:rPr>
          <w:color w:val="231F20"/>
          <w:spacing w:val="-3"/>
        </w:rPr>
        <w:t>También </w:t>
      </w:r>
      <w:r>
        <w:rPr>
          <w:color w:val="231F20"/>
        </w:rPr>
        <w:t>incluye una visión basada en el “desarrollo rural integral”, a partir de la investigación en sistemas  de producción y del enfoque participativo para el desarrollo. Estas visiones diversas se vinculan en    la apreciación de que existen diversos modos de vida de la gente rural pobre, y en segundo lugar   de los diferentes papeles que tienen los activos, como los animales, en los modos de vida de los productores  rurales  pobres  (Gómez,</w:t>
      </w:r>
      <w:r>
        <w:rPr>
          <w:color w:val="231F20"/>
          <w:spacing w:val="17"/>
        </w:rPr>
        <w:t> </w:t>
      </w:r>
      <w:r>
        <w:rPr>
          <w:color w:val="231F20"/>
          <w:spacing w:val="-4"/>
        </w:rPr>
        <w:t>2011).</w:t>
      </w:r>
    </w:p>
    <w:p>
      <w:pPr>
        <w:pStyle w:val="BodyText"/>
        <w:spacing w:line="256" w:lineRule="auto" w:before="112"/>
        <w:ind w:left="412" w:right="1551"/>
        <w:jc w:val="both"/>
      </w:pPr>
      <w:r>
        <w:rPr>
          <w:color w:val="231F20"/>
        </w:rPr>
        <w:t>Los activos de una familia conforman, en resumen, capitales con los que cuentan y que manejan de manera dinámica acorde a su contexto. Scoones (1998) distingue cinco tipos de capital que los ho- gares pueden tener en el marco sus modos  de  vida sostenibles: capital natural, capital humano, capital físico, capital financiero y capital social. El capital natural incluye los recursos terrestres, hí- dricos y biológicos que utilizan las personas para generar medios de subsistencia. El capital físico se refiere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infraestructura,</w:t>
      </w:r>
      <w:r>
        <w:rPr>
          <w:color w:val="231F20"/>
          <w:spacing w:val="-11"/>
        </w:rPr>
        <w:t> </w:t>
      </w:r>
      <w:r>
        <w:rPr>
          <w:color w:val="231F20"/>
        </w:rPr>
        <w:t>como</w:t>
      </w:r>
      <w:r>
        <w:rPr>
          <w:color w:val="231F20"/>
          <w:spacing w:val="-11"/>
        </w:rPr>
        <w:t> </w:t>
      </w:r>
      <w:r>
        <w:rPr>
          <w:color w:val="231F20"/>
        </w:rPr>
        <w:t>carreteras,</w:t>
      </w:r>
      <w:r>
        <w:rPr>
          <w:color w:val="231F20"/>
          <w:spacing w:val="-11"/>
        </w:rPr>
        <w:t> </w:t>
      </w:r>
      <w:r>
        <w:rPr>
          <w:color w:val="231F20"/>
        </w:rPr>
        <w:t>electri- cidad y agua, canales de riego y máquinas. El ca- pital humano es la mano de obra disponible para   la familia: la educación, las habilidades y la salud.  El capital financiero se refiere a cualquier cantidad de dinero a que la familia tiene acceso, que en  </w:t>
      </w:r>
      <w:r>
        <w:rPr>
          <w:color w:val="231F20"/>
          <w:spacing w:val="3"/>
        </w:rPr>
        <w:t> </w:t>
      </w:r>
      <w:r>
        <w:rPr>
          <w:color w:val="231F20"/>
        </w:rPr>
        <w:t>ge-</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8643" w:val="left" w:leader="none"/>
        </w:tabs>
        <w:spacing w:before="64"/>
        <w:ind w:left="1551" w:right="0" w:firstLine="0"/>
        <w:jc w:val="left"/>
        <w:rPr>
          <w:sz w:val="12"/>
        </w:rPr>
      </w:pPr>
      <w:r>
        <w:rPr>
          <w:color w:val="231F20"/>
          <w:w w:val="125"/>
          <w:sz w:val="22"/>
        </w:rPr>
        <w:t>6</w:t>
        <w:tab/>
      </w:r>
      <w:r>
        <w:rPr>
          <w:color w:val="231F20"/>
          <w:w w:val="125"/>
          <w:sz w:val="18"/>
        </w:rPr>
        <w:t>S</w:t>
      </w:r>
      <w:r>
        <w:rPr>
          <w:color w:val="231F20"/>
          <w:w w:val="125"/>
          <w:sz w:val="12"/>
        </w:rPr>
        <w:t>ección  </w:t>
      </w:r>
      <w:r>
        <w:rPr>
          <w:color w:val="231F20"/>
          <w:w w:val="125"/>
          <w:sz w:val="18"/>
        </w:rPr>
        <w:t>1.  </w:t>
      </w:r>
      <w:r>
        <w:rPr>
          <w:color w:val="231F20"/>
          <w:spacing w:val="15"/>
          <w:w w:val="125"/>
          <w:sz w:val="18"/>
        </w:rPr>
        <w:t> </w:t>
      </w:r>
      <w:r>
        <w:rPr>
          <w:color w:val="231F20"/>
          <w:w w:val="125"/>
          <w:sz w:val="18"/>
        </w:rPr>
        <w:t>i</w:t>
      </w:r>
      <w:r>
        <w:rPr>
          <w:color w:val="231F20"/>
          <w:w w:val="125"/>
          <w:sz w:val="12"/>
        </w:rPr>
        <w:t>ntroducción</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neral puede ser de ahorros o por acceso al crédito en forma de préstamos. El capital social se refiere  a cómo se insertan y relacionan en su comunidad   y a la ampliación de las relaciones sociales que contribuyen a mantener y mejorar los modos de vida de los individuos y los hogares. Los animales pueden ser considerados como artículos o comi- da, del capital natural, pero también son parte del capital físico que, cuando es introducido en un sis- tema, necesitará capital humano para su cuidado   y</w:t>
      </w:r>
      <w:r>
        <w:rPr>
          <w:color w:val="231F20"/>
          <w:spacing w:val="2"/>
        </w:rPr>
        <w:t> </w:t>
      </w:r>
      <w:r>
        <w:rPr>
          <w:color w:val="231F20"/>
        </w:rPr>
        <w:t>mejora.</w:t>
      </w:r>
    </w:p>
    <w:p>
      <w:pPr>
        <w:pStyle w:val="BodyText"/>
        <w:spacing w:line="256" w:lineRule="auto" w:before="112"/>
        <w:ind w:left="1553"/>
        <w:jc w:val="both"/>
      </w:pPr>
      <w:r>
        <w:rPr>
          <w:color w:val="231F20"/>
          <w:spacing w:val="-7"/>
        </w:rPr>
        <w:t>Tal </w:t>
      </w:r>
      <w:r>
        <w:rPr>
          <w:color w:val="231F20"/>
        </w:rPr>
        <w:t>como argumenta Moser (1998), el análisis de los vínculos entre el acceso de las personas a los activos y la diversificación del modo de vida data de la literatura de finales de la década de </w:t>
      </w:r>
      <w:r>
        <w:rPr>
          <w:color w:val="231F20"/>
          <w:spacing w:val="-3"/>
        </w:rPr>
        <w:t>1980 </w:t>
      </w:r>
      <w:r>
        <w:rPr>
          <w:color w:val="231F20"/>
        </w:rPr>
        <w:t>sobre las estrategias de la gente para enfrentar la estacionalidad y  las  hambrunas  (Corbett,  1989),  y sobre el papel de los activos y los derechos so- bre éstos dentro de esas mismas estrategias (Sen, </w:t>
      </w:r>
      <w:r>
        <w:rPr>
          <w:color w:val="231F20"/>
          <w:spacing w:val="-4"/>
        </w:rPr>
        <w:t>1981; </w:t>
      </w:r>
      <w:r>
        <w:rPr>
          <w:color w:val="231F20"/>
        </w:rPr>
        <w:t>Swift, 1989). Estas estrategias apuntan a mantener un nivel mínimo de consumo ante los cambios (tendencias, ciclos y choques); evidencia encontrada también por Nava (2005) en el Estado de</w:t>
      </w:r>
      <w:r>
        <w:rPr>
          <w:color w:val="231F20"/>
          <w:spacing w:val="2"/>
        </w:rPr>
        <w:t> </w:t>
      </w:r>
      <w:r>
        <w:rPr>
          <w:color w:val="231F20"/>
        </w:rPr>
        <w:t>México.</w:t>
      </w:r>
    </w:p>
    <w:p>
      <w:pPr>
        <w:pStyle w:val="BodyText"/>
        <w:spacing w:line="256" w:lineRule="auto" w:before="112"/>
        <w:ind w:left="1553"/>
        <w:jc w:val="both"/>
      </w:pPr>
      <w:r>
        <w:rPr>
          <w:color w:val="231F20"/>
        </w:rPr>
        <w:t>Los activos apoyan el consumo de dos maneras: contribuyendo a la producción en general y al in- greso, y permitiendo intercambios o consumo en períodos en que no existe ingreso. La diversifica- ción de los activos, y por lo tanto del modo de  vida, tiene funciones de amortiguamiento, de ma- nejo del riesgo y de producción. A pesar de que    el balance y las interacciones de estas funciones para los hogares en situaciones diferentes y con distintos portafolios de activos han sido bien reco- nocidos en la literatura teórica de economía y de economía agropecuaria (Mondragón, 2004), hay grandes brechas en las prácticas de desarrollo, en especial para la conceptualización de los papeles   o funciones de los activos (como los animales) dentro del enfoque de los modos de vida. Por otro lado, existe una carencia de aplicación de recien- tes descubrimientos en este </w:t>
      </w:r>
      <w:r>
        <w:rPr>
          <w:color w:val="231F20"/>
          <w:spacing w:val="42"/>
        </w:rPr>
        <w:t> </w:t>
      </w:r>
      <w:r>
        <w:rPr>
          <w:color w:val="231F20"/>
        </w:rPr>
        <w:t>campo.</w:t>
      </w:r>
    </w:p>
    <w:p>
      <w:pPr>
        <w:pStyle w:val="BodyText"/>
        <w:spacing w:line="261" w:lineRule="auto" w:before="76"/>
        <w:ind w:left="412" w:right="2579"/>
      </w:pPr>
      <w:r>
        <w:rPr/>
        <w:br w:type="column"/>
      </w:r>
      <w:r>
        <w:rPr>
          <w:color w:val="231F20"/>
          <w:w w:val="110"/>
        </w:rPr>
        <w:t>LA GANADERÍA Y LAS ESTRATEGIAS DE LOS MODOS DE  VIDA</w:t>
      </w:r>
    </w:p>
    <w:p>
      <w:pPr>
        <w:pStyle w:val="BodyText"/>
        <w:spacing w:line="261" w:lineRule="auto" w:before="114"/>
        <w:ind w:left="412" w:right="1551"/>
        <w:jc w:val="both"/>
      </w:pPr>
      <w:r>
        <w:rPr>
          <w:color w:val="231F20"/>
        </w:rPr>
        <w:t>El </w:t>
      </w:r>
      <w:r>
        <w:rPr>
          <w:color w:val="231F20"/>
          <w:spacing w:val="-3"/>
        </w:rPr>
        <w:t>70% </w:t>
      </w:r>
      <w:r>
        <w:rPr>
          <w:color w:val="231F20"/>
        </w:rPr>
        <w:t>de la población rural pobre en el mundo depende de los animales como componente  de sus modos de vida. La importancia de la crianza   de animales para los modos de vida de las fami- lias, de los sectores productivos pobres, ha sido demostrada en términos numéricos absolutos en  la población dependiente de la ganadería para sus modos de subsistencia (LID, 1999). Reardon </w:t>
      </w:r>
      <w:r>
        <w:rPr>
          <w:rFonts w:ascii="Cambria" w:hAnsi="Cambria"/>
          <w:i/>
          <w:color w:val="231F20"/>
        </w:rPr>
        <w:t>et al. </w:t>
      </w:r>
      <w:r>
        <w:rPr>
          <w:color w:val="231F20"/>
        </w:rPr>
        <w:t>(1998), además, encontraron un efecto  positivo  en la reducción de la diferencia de nivel de riqueza y activos en familias de comunidades que poseen ganado comparadas con las que no lo   </w:t>
      </w:r>
      <w:r>
        <w:rPr>
          <w:color w:val="231F20"/>
          <w:spacing w:val="25"/>
        </w:rPr>
        <w:t> </w:t>
      </w:r>
      <w:r>
        <w:rPr>
          <w:color w:val="231F20"/>
        </w:rPr>
        <w:t>poseen.</w:t>
      </w:r>
    </w:p>
    <w:p>
      <w:pPr>
        <w:pStyle w:val="BodyText"/>
        <w:spacing w:line="261" w:lineRule="auto" w:before="114"/>
        <w:ind w:left="412" w:right="1551"/>
        <w:jc w:val="both"/>
      </w:pPr>
      <w:r>
        <w:rPr>
          <w:color w:val="231F20"/>
        </w:rPr>
        <w:t>Estrada </w:t>
      </w:r>
      <w:r>
        <w:rPr>
          <w:color w:val="231F20"/>
          <w:spacing w:val="-3"/>
        </w:rPr>
        <w:t>(1995), </w:t>
      </w:r>
      <w:r>
        <w:rPr>
          <w:color w:val="231F20"/>
        </w:rPr>
        <w:t>en un estudio orientado a evaluar el valor real del capital invertido en ganado</w:t>
      </w:r>
      <w:r>
        <w:rPr>
          <w:color w:val="231F20"/>
          <w:spacing w:val="-31"/>
        </w:rPr>
        <w:t> </w:t>
      </w:r>
      <w:r>
        <w:rPr>
          <w:color w:val="231F20"/>
        </w:rPr>
        <w:t>rumian- te en comparación con inversiones en dólares</w:t>
      </w:r>
      <w:r>
        <w:rPr>
          <w:color w:val="231F20"/>
          <w:spacing w:val="-20"/>
        </w:rPr>
        <w:t> </w:t>
      </w:r>
      <w:r>
        <w:rPr>
          <w:color w:val="231F20"/>
        </w:rPr>
        <w:t>ame- ricanos y depósitos bancarios en Bolivia, Colombia, Ecuador y Perú, en el periodo comprendido entre </w:t>
      </w:r>
      <w:r>
        <w:rPr>
          <w:color w:val="231F20"/>
          <w:spacing w:val="-8"/>
        </w:rPr>
        <w:t>1970 </w:t>
      </w:r>
      <w:r>
        <w:rPr>
          <w:color w:val="231F20"/>
        </w:rPr>
        <w:t>y </w:t>
      </w:r>
      <w:r>
        <w:rPr>
          <w:color w:val="231F20"/>
          <w:spacing w:val="-10"/>
        </w:rPr>
        <w:t>1987,  </w:t>
      </w:r>
      <w:r>
        <w:rPr>
          <w:color w:val="231F20"/>
        </w:rPr>
        <w:t>demostró  que  el  ganado  mantuvo un índice positivo en su valor real, mientras que   las otras opciones presentaron índices  negativos en esos mismos años. En contraste, Navarrete </w:t>
      </w:r>
      <w:r>
        <w:rPr>
          <w:rFonts w:ascii="Cambria" w:hAnsi="Cambria"/>
          <w:i/>
          <w:color w:val="231F20"/>
        </w:rPr>
        <w:t>et  </w:t>
      </w:r>
      <w:r>
        <w:rPr>
          <w:rFonts w:ascii="Cambria" w:hAnsi="Cambria"/>
          <w:i/>
          <w:color w:val="231F20"/>
        </w:rPr>
        <w:t>al</w:t>
      </w:r>
      <w:r>
        <w:rPr>
          <w:color w:val="231F20"/>
        </w:rPr>
        <w:t>. </w:t>
      </w:r>
      <w:r>
        <w:rPr>
          <w:color w:val="231F20"/>
          <w:spacing w:val="-3"/>
        </w:rPr>
        <w:t>(2007) </w:t>
      </w:r>
      <w:r>
        <w:rPr>
          <w:color w:val="231F20"/>
        </w:rPr>
        <w:t>encontraron, utilizando un modelo eco- nómico adaptado al esquema de modos de vida, que en los sistemas campesinos pobres los ani- males representan ingresos económicos negativos, al igual que sucede con los cultivos (Mondragón, 2004). Esto quiere decir que al final los producto- res</w:t>
      </w:r>
      <w:r>
        <w:rPr>
          <w:color w:val="231F20"/>
          <w:spacing w:val="-8"/>
        </w:rPr>
        <w:t> </w:t>
      </w:r>
      <w:r>
        <w:rPr>
          <w:color w:val="231F20"/>
        </w:rPr>
        <w:t>terminan</w:t>
      </w:r>
      <w:r>
        <w:rPr>
          <w:color w:val="231F20"/>
          <w:spacing w:val="-8"/>
        </w:rPr>
        <w:t> </w:t>
      </w:r>
      <w:r>
        <w:rPr>
          <w:color w:val="231F20"/>
        </w:rPr>
        <w:t>subsidiando,</w:t>
      </w:r>
      <w:r>
        <w:rPr>
          <w:color w:val="231F20"/>
          <w:spacing w:val="-8"/>
        </w:rPr>
        <w:t> </w:t>
      </w:r>
      <w:r>
        <w:rPr>
          <w:color w:val="231F20"/>
        </w:rPr>
        <w:t>por</w:t>
      </w:r>
      <w:r>
        <w:rPr>
          <w:color w:val="231F20"/>
          <w:spacing w:val="-8"/>
        </w:rPr>
        <w:t> </w:t>
      </w:r>
      <w:r>
        <w:rPr>
          <w:color w:val="231F20"/>
        </w:rPr>
        <w:t>así</w:t>
      </w:r>
      <w:r>
        <w:rPr>
          <w:color w:val="231F20"/>
          <w:spacing w:val="-8"/>
        </w:rPr>
        <w:t> </w:t>
      </w:r>
      <w:r>
        <w:rPr>
          <w:color w:val="231F20"/>
        </w:rPr>
        <w:t>decirlo,</w:t>
      </w:r>
      <w:r>
        <w:rPr>
          <w:color w:val="231F20"/>
          <w:spacing w:val="-8"/>
        </w:rPr>
        <w:t> </w:t>
      </w:r>
      <w:r>
        <w:rPr>
          <w:color w:val="231F20"/>
        </w:rPr>
        <w:t>la</w:t>
      </w:r>
      <w:r>
        <w:rPr>
          <w:color w:val="231F20"/>
          <w:spacing w:val="-8"/>
        </w:rPr>
        <w:t> </w:t>
      </w:r>
      <w:r>
        <w:rPr>
          <w:color w:val="231F20"/>
        </w:rPr>
        <w:t>produc- ción animal, lo cual sugiere que en estos sistemas su importancia es más desde el punto de vista del capital social y humano que del económico. Igual- mente, se ha encontrado que a mayor grado de pobreza más es la dependencia en la producción agropecuaria, por lo que este efecto negativo tie- ne mayor relevancia en las unidades pobres. </w:t>
      </w:r>
      <w:r>
        <w:rPr>
          <w:color w:val="231F20"/>
          <w:spacing w:val="-3"/>
        </w:rPr>
        <w:t>Por   </w:t>
      </w:r>
      <w:r>
        <w:rPr>
          <w:color w:val="231F20"/>
        </w:rPr>
        <w:t>el contrario, unidades con más recursos pueden hacer uso de los animales con otro tipo de estra- tegias, como se verá más adelante, y su modo de vida  dependerá  en  mayor  grado  de  los</w:t>
      </w:r>
      <w:r>
        <w:rPr>
          <w:color w:val="231F20"/>
          <w:spacing w:val="44"/>
        </w:rPr>
        <w:t> </w:t>
      </w:r>
      <w:r>
        <w:rPr>
          <w:color w:val="231F20"/>
        </w:rPr>
        <w:t>ingresos</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1.      </w:t>
      </w:r>
      <w:r>
        <w:rPr>
          <w:color w:val="231F20"/>
          <w:spacing w:val="11"/>
          <w:sz w:val="18"/>
        </w:rPr>
        <w:t> </w:t>
      </w:r>
      <w:r>
        <w:rPr>
          <w:color w:val="231F20"/>
          <w:sz w:val="18"/>
        </w:rPr>
        <w:t>Contribución de la producción animal en pequeña escala a las estrategias de vida</w:t>
      </w:r>
      <w:r>
        <w:rPr>
          <w:color w:val="231F20"/>
          <w:spacing w:val="14"/>
          <w:sz w:val="18"/>
        </w:rPr>
        <w:t> </w:t>
      </w:r>
      <w:r>
        <w:rPr>
          <w:color w:val="231F20"/>
          <w:sz w:val="18"/>
        </w:rPr>
        <w:t>campesinas</w:t>
      </w:r>
      <w:r>
        <w:rPr>
          <w:color w:val="231F20"/>
          <w:sz w:val="22"/>
        </w:rPr>
        <w:tab/>
        <w:t>7</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provenientes de otras fuentes diferentes a las</w:t>
      </w:r>
      <w:r>
        <w:rPr>
          <w:color w:val="231F20"/>
          <w:spacing w:val="-30"/>
        </w:rPr>
        <w:t> </w:t>
      </w:r>
      <w:r>
        <w:rPr>
          <w:color w:val="231F20"/>
        </w:rPr>
        <w:t>agro- pecuarias.</w:t>
      </w:r>
    </w:p>
    <w:p>
      <w:pPr>
        <w:pStyle w:val="BodyText"/>
        <w:spacing w:line="256" w:lineRule="auto" w:before="113"/>
        <w:ind w:left="1553"/>
        <w:jc w:val="both"/>
      </w:pPr>
      <w:r>
        <w:rPr>
          <w:color w:val="231F20"/>
        </w:rPr>
        <w:t>En muchos de los sectores pobres de América Latina, las mujeres y los niños realizan actividades ganaderas. Se ha demostrado que los beneficios  de estas actividades son más propensos a produ-  cir acumulación positiva, en comparación con otras actividades en que los hombres son tomadores do- minantes de decisiones </w:t>
      </w:r>
      <w:r>
        <w:rPr>
          <w:color w:val="231F20"/>
          <w:spacing w:val="-3"/>
        </w:rPr>
        <w:t>(Perea </w:t>
      </w:r>
      <w:r>
        <w:rPr>
          <w:rFonts w:ascii="Cambria" w:hAnsi="Cambria"/>
          <w:i/>
          <w:color w:val="231F20"/>
        </w:rPr>
        <w:t>et al</w:t>
      </w:r>
      <w:r>
        <w:rPr>
          <w:color w:val="231F20"/>
        </w:rPr>
        <w:t>., </w:t>
      </w:r>
      <w:r>
        <w:rPr>
          <w:color w:val="231F20"/>
          <w:spacing w:val="-6"/>
        </w:rPr>
        <w:t>2011; </w:t>
      </w:r>
      <w:r>
        <w:rPr>
          <w:color w:val="231F20"/>
        </w:rPr>
        <w:t>Hess, </w:t>
      </w:r>
      <w:r>
        <w:rPr>
          <w:color w:val="231F20"/>
          <w:spacing w:val="-6"/>
        </w:rPr>
        <w:t>1997;   </w:t>
      </w:r>
      <w:r>
        <w:rPr>
          <w:color w:val="231F20"/>
        </w:rPr>
        <w:t>McCorkle, </w:t>
      </w:r>
      <w:r>
        <w:rPr>
          <w:color w:val="231F20"/>
          <w:spacing w:val="8"/>
        </w:rPr>
        <w:t> </w:t>
      </w:r>
      <w:r>
        <w:rPr>
          <w:color w:val="231F20"/>
          <w:spacing w:val="-4"/>
        </w:rPr>
        <w:t>1992).</w:t>
      </w:r>
    </w:p>
    <w:p>
      <w:pPr>
        <w:pStyle w:val="BodyText"/>
        <w:spacing w:line="256" w:lineRule="auto" w:before="113"/>
        <w:ind w:left="1553"/>
        <w:jc w:val="both"/>
      </w:pPr>
      <w:r>
        <w:rPr>
          <w:color w:val="231F20"/>
        </w:rPr>
        <w:t>Estudios realizados en áreas del Estado de México muestran que los campesinos no necesariamente exteriorizan de manera consciente todas las fun- ciones que un componente puede tener en un sistema (Muñoz, 2004). Por lo tanto, el papel de  los animales que los campesinos identifican y ma- nejan plenamente, y del cual tienen conciencia, son las llamadas “funciones”, muy dependientes del conocimiento del productor acerca del siste- ma. Las principales funciones que los animales pueden desarrollar dentro de un agroecosistema,   y que se describen en este trabajo, dependen de aspectos físicos (capacidad de las especies para adaptarse al ambiente), económicos y sociales, y de la relación de la propiedad del  </w:t>
      </w:r>
      <w:r>
        <w:rPr>
          <w:color w:val="231F20"/>
          <w:spacing w:val="13"/>
        </w:rPr>
        <w:t> </w:t>
      </w:r>
      <w:r>
        <w:rPr>
          <w:color w:val="231F20"/>
        </w:rPr>
        <w:t>ganado.</w:t>
      </w:r>
    </w:p>
    <w:p>
      <w:pPr>
        <w:pStyle w:val="BodyText"/>
        <w:spacing w:line="256" w:lineRule="auto" w:before="113"/>
        <w:ind w:left="1553"/>
        <w:jc w:val="both"/>
      </w:pPr>
      <w:r>
        <w:rPr>
          <w:color w:val="231F20"/>
        </w:rPr>
        <w:t>Pueden mencionarse seis razones para mantener ganado: 1) la producción de alimentos, 2) la ge- neración de ingresos, 3) el suministro de  estiércol,</w:t>
      </w:r>
    </w:p>
    <w:p>
      <w:pPr>
        <w:pStyle w:val="BodyText"/>
        <w:spacing w:line="256" w:lineRule="auto"/>
        <w:ind w:left="1553"/>
        <w:jc w:val="both"/>
      </w:pPr>
      <w:r>
        <w:rPr>
          <w:color w:val="231F20"/>
        </w:rPr>
        <w:t>4) la fuerza de tiro, 5) como instrumentos finan- cieros, y 6) la mejora de la condición social (Moll, 2005; Randolph </w:t>
      </w:r>
      <w:r>
        <w:rPr>
          <w:rFonts w:ascii="Cambria" w:hAnsi="Cambria"/>
          <w:i/>
          <w:color w:val="231F20"/>
        </w:rPr>
        <w:t>et al</w:t>
      </w:r>
      <w:r>
        <w:rPr>
          <w:color w:val="231F20"/>
        </w:rPr>
        <w:t>., </w:t>
      </w:r>
      <w:r>
        <w:rPr>
          <w:color w:val="231F20"/>
          <w:spacing w:val="-3"/>
        </w:rPr>
        <w:t>2007). </w:t>
      </w:r>
      <w:r>
        <w:rPr>
          <w:color w:val="231F20"/>
        </w:rPr>
        <w:t>Las cuatro primeras son resultado del valor del uso directo del ganado (Shackleton </w:t>
      </w:r>
      <w:r>
        <w:rPr>
          <w:rFonts w:ascii="Cambria" w:hAnsi="Cambria"/>
          <w:i/>
          <w:color w:val="231F20"/>
        </w:rPr>
        <w:t>et al</w:t>
      </w:r>
      <w:r>
        <w:rPr>
          <w:color w:val="231F20"/>
        </w:rPr>
        <w:t>., </w:t>
      </w:r>
      <w:r>
        <w:rPr>
          <w:color w:val="231F20"/>
          <w:spacing w:val="-3"/>
        </w:rPr>
        <w:t>2001), </w:t>
      </w:r>
      <w:r>
        <w:rPr>
          <w:color w:val="231F20"/>
        </w:rPr>
        <w:t>mientras que las dos úl- timas están más relacionadas con el desarrollo, la configuración y su contexto cultural, social y eco- nómico, y con la creación indirecta del valor de  uso  (Shackleton  </w:t>
      </w:r>
      <w:r>
        <w:rPr>
          <w:rFonts w:ascii="Cambria" w:hAnsi="Cambria"/>
          <w:i/>
          <w:color w:val="231F20"/>
        </w:rPr>
        <w:t>et  al</w:t>
      </w:r>
      <w:r>
        <w:rPr>
          <w:color w:val="231F20"/>
        </w:rPr>
        <w:t>.,</w:t>
      </w:r>
      <w:r>
        <w:rPr>
          <w:color w:val="231F20"/>
          <w:spacing w:val="5"/>
        </w:rPr>
        <w:t> </w:t>
      </w:r>
      <w:r>
        <w:rPr>
          <w:color w:val="231F20"/>
          <w:spacing w:val="-3"/>
        </w:rPr>
        <w:t>2001).</w:t>
      </w:r>
    </w:p>
    <w:p>
      <w:pPr>
        <w:pStyle w:val="BodyText"/>
        <w:spacing w:line="256" w:lineRule="auto" w:before="113"/>
        <w:ind w:left="1553"/>
        <w:jc w:val="both"/>
      </w:pPr>
      <w:r>
        <w:rPr>
          <w:color w:val="231F20"/>
          <w:w w:val="105"/>
        </w:rPr>
        <w:t>Navarrete </w:t>
      </w:r>
      <w:r>
        <w:rPr>
          <w:rFonts w:ascii="Cambria" w:hAnsi="Cambria"/>
          <w:i/>
          <w:color w:val="231F20"/>
          <w:w w:val="105"/>
        </w:rPr>
        <w:t>et al</w:t>
      </w:r>
      <w:r>
        <w:rPr>
          <w:color w:val="231F20"/>
          <w:w w:val="105"/>
        </w:rPr>
        <w:t>. (2007) y Sánchez </w:t>
      </w:r>
      <w:r>
        <w:rPr>
          <w:rFonts w:ascii="Cambria" w:hAnsi="Cambria"/>
          <w:i/>
          <w:color w:val="231F20"/>
          <w:w w:val="105"/>
        </w:rPr>
        <w:t>et al</w:t>
      </w:r>
      <w:r>
        <w:rPr>
          <w:color w:val="231F20"/>
          <w:w w:val="105"/>
        </w:rPr>
        <w:t>. (2005) identifican seis funciones básicas que cumplen los animales en los sistemas campesinos pobres:</w:t>
      </w:r>
    </w:p>
    <w:p>
      <w:pPr>
        <w:pStyle w:val="BodyText"/>
        <w:ind w:left="1553"/>
        <w:jc w:val="both"/>
      </w:pPr>
      <w:r>
        <w:rPr>
          <w:color w:val="231F20"/>
          <w:w w:val="105"/>
        </w:rPr>
        <w:t>1) venta prevista, 2) venta imprevista, 3)   consu-</w:t>
      </w:r>
    </w:p>
    <w:p>
      <w:pPr>
        <w:pStyle w:val="BodyText"/>
        <w:spacing w:before="3"/>
        <w:rPr>
          <w:sz w:val="28"/>
        </w:rPr>
      </w:pPr>
      <w:r>
        <w:rPr/>
        <w:br w:type="column"/>
      </w:r>
      <w:r>
        <w:rPr>
          <w:sz w:val="28"/>
        </w:rPr>
      </w:r>
    </w:p>
    <w:p>
      <w:pPr>
        <w:pStyle w:val="BodyText"/>
        <w:spacing w:line="259" w:lineRule="auto"/>
        <w:ind w:left="413" w:right="1551"/>
        <w:jc w:val="both"/>
      </w:pPr>
      <w:r>
        <w:rPr>
          <w:color w:val="231F20"/>
        </w:rPr>
        <w:t>mo, 4) trabajo, 5) producción de estiércol, y 6) so- ciocultural. En este caso se observa una proporción igual de aspectos económicos (los tres primeros)    y de aspectos que no son estrictamente económi- cos (aunque siempre ligados a los anteriores) que los animales pueden cumplir en  estos  sistemas. No se menciona el ahorro puesto que es un me- dio para lograr alguna de las funciones, ya que, como se dijo antes, la función es lo que el animal termina haciendo en el </w:t>
      </w:r>
      <w:r>
        <w:rPr>
          <w:color w:val="231F20"/>
          <w:spacing w:val="22"/>
        </w:rPr>
        <w:t> </w:t>
      </w:r>
      <w:r>
        <w:rPr>
          <w:color w:val="231F20"/>
        </w:rPr>
        <w:t>sistema.</w:t>
      </w:r>
    </w:p>
    <w:p>
      <w:pPr>
        <w:pStyle w:val="BodyText"/>
        <w:spacing w:line="259" w:lineRule="auto" w:before="113"/>
        <w:ind w:left="413" w:right="1551"/>
        <w:jc w:val="both"/>
      </w:pPr>
      <w:r>
        <w:rPr>
          <w:color w:val="231F20"/>
        </w:rPr>
        <w:t>Las especies de ganado pueden servir como ins- trumentos financieros en el medio rural, debido a la persistente ausencia de crédito y a los merca- dos financieros en las zonas rurales de los países  en desarrollo. Según Moll (2005), la inversión en ganado es vista  como  la  creación  de  una  cuen- ta de ahorro o de seguros, que puede proporcio- nar un instrumento de liquidez y la igualación del consumo en tiempos de necesidad. Por ejemplo, en una comunidad campesina en el Estado de México, donde como en la mayoría no existen sis- temas financieros formales, Sánchez </w:t>
      </w:r>
      <w:r>
        <w:rPr>
          <w:rFonts w:ascii="Cambria" w:hAnsi="Cambria"/>
          <w:i/>
          <w:color w:val="231F20"/>
        </w:rPr>
        <w:t>et al</w:t>
      </w:r>
      <w:r>
        <w:rPr>
          <w:color w:val="231F20"/>
        </w:rPr>
        <w:t>. (2005) reportan que los ovinos y las aves (pollos y pa-  vos) funcionan a  manera de cuentas de  inversión  y ahorro, así como tarjetas de crédito o débito. Por ejemplo, los productores pueden invertir algo de dinero en la compra de una parvada de pollos y   en uno o dos borregos. Actuarán como cuenta de ahorro los primeros y como cuenta de inversión   los segundos. Ambos pueden ser utilizados  en  caso de necesidad imprevista y obtener efectivo, aunque su cambio requiera en ocasiones el pago de una </w:t>
      </w:r>
      <w:r>
        <w:rPr>
          <w:color w:val="231F20"/>
          <w:spacing w:val="-3"/>
        </w:rPr>
        <w:t>“cuota”, </w:t>
      </w:r>
      <w:r>
        <w:rPr>
          <w:color w:val="231F20"/>
        </w:rPr>
        <w:t>al ser vendidos a un precio más bajo, lo cual será mayor en los ovinos; sin embar- go, el capital siempre está a la vista, y dicha cuota representaría el cobro de comisiones, como en el uso de los servicios financieros. Si son vendidos en el plazo planificado, el ingreso y la ganancia por los ovinos serán mayores que los de los pollos, com- parando una inversión a plazo y una cuenta de ahorro. A diferencia del sistema financiero, el ries- go lo asumen los productores; en caso de   </w:t>
      </w:r>
      <w:r>
        <w:rPr>
          <w:color w:val="231F20"/>
          <w:spacing w:val="23"/>
        </w:rPr>
        <w:t> </w:t>
      </w:r>
      <w:r>
        <w:rPr>
          <w:color w:val="231F20"/>
        </w:rPr>
        <w:t>muerte</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8643" w:val="left" w:leader="none"/>
        </w:tabs>
        <w:spacing w:before="64"/>
        <w:ind w:left="1551" w:right="0" w:firstLine="0"/>
        <w:jc w:val="left"/>
        <w:rPr>
          <w:sz w:val="12"/>
        </w:rPr>
      </w:pPr>
      <w:r>
        <w:rPr>
          <w:color w:val="231F20"/>
          <w:w w:val="125"/>
          <w:sz w:val="22"/>
        </w:rPr>
        <w:t>8</w:t>
        <w:tab/>
      </w:r>
      <w:r>
        <w:rPr>
          <w:color w:val="231F20"/>
          <w:w w:val="125"/>
          <w:sz w:val="18"/>
        </w:rPr>
        <w:t>S</w:t>
      </w:r>
      <w:r>
        <w:rPr>
          <w:color w:val="231F20"/>
          <w:w w:val="125"/>
          <w:sz w:val="12"/>
        </w:rPr>
        <w:t>ección  </w:t>
      </w:r>
      <w:r>
        <w:rPr>
          <w:color w:val="231F20"/>
          <w:w w:val="125"/>
          <w:sz w:val="18"/>
        </w:rPr>
        <w:t>1.  </w:t>
      </w:r>
      <w:r>
        <w:rPr>
          <w:color w:val="231F20"/>
          <w:spacing w:val="15"/>
          <w:w w:val="125"/>
          <w:sz w:val="18"/>
        </w:rPr>
        <w:t> </w:t>
      </w:r>
      <w:r>
        <w:rPr>
          <w:color w:val="231F20"/>
          <w:w w:val="125"/>
          <w:sz w:val="18"/>
        </w:rPr>
        <w:t>i</w:t>
      </w:r>
      <w:r>
        <w:rPr>
          <w:color w:val="231F20"/>
          <w:w w:val="125"/>
          <w:sz w:val="12"/>
        </w:rPr>
        <w:t>ntroducción</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o enfermedad, las pérdidas serán para la unidad  de producción. Sin embargo, es necesario apuntar que la posesión de animales dará a los producto- res la oportunidad de obtener préstamos y servi- cios informales, si se considera que los animales pueden ser usados como garantía para el pago en efectivo o en especie de préstamos y obligaciones diversas, lo cual es una gran ventaja en los siste- mas  campesinos</w:t>
      </w:r>
      <w:r>
        <w:rPr>
          <w:color w:val="231F20"/>
          <w:spacing w:val="30"/>
        </w:rPr>
        <w:t> </w:t>
      </w:r>
      <w:r>
        <w:rPr>
          <w:color w:val="231F20"/>
        </w:rPr>
        <w:t>pobres.</w:t>
      </w:r>
    </w:p>
    <w:p>
      <w:pPr>
        <w:pStyle w:val="BodyText"/>
        <w:spacing w:line="256" w:lineRule="auto" w:before="113"/>
        <w:ind w:left="1553"/>
        <w:jc w:val="both"/>
      </w:pPr>
      <w:r>
        <w:rPr>
          <w:color w:val="231F20"/>
        </w:rPr>
        <w:t>La sexta razón se refiere a un aspecto más amplio encontrado en las implicaciones sociales de la cría de ganado. El hecho de mantener animales  no  sólo induce ventajas culturales y sociales, sino que en muchos casos también se traduce en un acce-  so a autoridad sobre una base más amplia de los recursos que ofrezcan oportunidades para obtener mayores ingresos (Randolph </w:t>
      </w:r>
      <w:r>
        <w:rPr>
          <w:rFonts w:ascii="Cambria" w:hAnsi="Cambria"/>
          <w:i/>
          <w:color w:val="231F20"/>
        </w:rPr>
        <w:t>et al</w:t>
      </w:r>
      <w:r>
        <w:rPr>
          <w:color w:val="231F20"/>
        </w:rPr>
        <w:t>., </w:t>
      </w:r>
      <w:r>
        <w:rPr>
          <w:color w:val="231F20"/>
          <w:spacing w:val="-3"/>
        </w:rPr>
        <w:t>2007). </w:t>
      </w:r>
      <w:r>
        <w:rPr>
          <w:color w:val="231F20"/>
        </w:rPr>
        <w:t>Como parte de esos recursos, los animales domésticos son de gran importancia, en particular los équidos de trabajo por su carácter multifuncional, contri- buyendo así a las estrategias de sus modos de  vida, principalmente de diversificación, y tomando distinto valor dentro de las principales categorías de capital, como activos en sí mismos o por la prestación de servicios de acuerdo a factores ex- ternos, tanto de presión como de oportunidad (Velázquez-Beltran  </w:t>
      </w:r>
      <w:r>
        <w:rPr>
          <w:rFonts w:ascii="Cambria" w:hAnsi="Cambria"/>
          <w:i/>
          <w:color w:val="231F20"/>
        </w:rPr>
        <w:t>et  al</w:t>
      </w:r>
      <w:r>
        <w:rPr>
          <w:color w:val="231F20"/>
        </w:rPr>
        <w:t>.,</w:t>
      </w:r>
      <w:r>
        <w:rPr>
          <w:color w:val="231F20"/>
          <w:spacing w:val="-3"/>
        </w:rPr>
        <w:t> </w:t>
      </w:r>
      <w:r>
        <w:rPr>
          <w:color w:val="231F20"/>
          <w:spacing w:val="-4"/>
        </w:rPr>
        <w:t>2011).</w:t>
      </w:r>
    </w:p>
    <w:p>
      <w:pPr>
        <w:pStyle w:val="BodyText"/>
        <w:spacing w:line="256" w:lineRule="auto" w:before="113"/>
        <w:ind w:left="1553"/>
        <w:jc w:val="both"/>
      </w:pPr>
      <w:r>
        <w:rPr>
          <w:color w:val="231F20"/>
          <w:spacing w:val="-3"/>
        </w:rPr>
        <w:t>Como </w:t>
      </w:r>
      <w:r>
        <w:rPr>
          <w:color w:val="231F20"/>
        </w:rPr>
        <w:t>ya se </w:t>
      </w:r>
      <w:r>
        <w:rPr>
          <w:color w:val="231F20"/>
          <w:spacing w:val="-4"/>
        </w:rPr>
        <w:t>mencionó, </w:t>
      </w:r>
      <w:r>
        <w:rPr>
          <w:color w:val="231F20"/>
          <w:spacing w:val="-3"/>
        </w:rPr>
        <w:t>para </w:t>
      </w:r>
      <w:r>
        <w:rPr>
          <w:color w:val="231F20"/>
          <w:spacing w:val="-4"/>
        </w:rPr>
        <w:t>comprender </w:t>
      </w:r>
      <w:r>
        <w:rPr>
          <w:color w:val="231F20"/>
        </w:rPr>
        <w:t>e </w:t>
      </w:r>
      <w:r>
        <w:rPr>
          <w:color w:val="231F20"/>
          <w:spacing w:val="-4"/>
        </w:rPr>
        <w:t>identifi- </w:t>
      </w:r>
      <w:r>
        <w:rPr>
          <w:color w:val="231F20"/>
          <w:spacing w:val="-3"/>
        </w:rPr>
        <w:t>car </w:t>
      </w:r>
      <w:r>
        <w:rPr>
          <w:color w:val="231F20"/>
        </w:rPr>
        <w:t>la </w:t>
      </w:r>
      <w:r>
        <w:rPr>
          <w:color w:val="231F20"/>
          <w:spacing w:val="-4"/>
        </w:rPr>
        <w:t>contribución </w:t>
      </w:r>
      <w:r>
        <w:rPr>
          <w:color w:val="231F20"/>
          <w:spacing w:val="-3"/>
        </w:rPr>
        <w:t>del </w:t>
      </w:r>
      <w:r>
        <w:rPr>
          <w:color w:val="231F20"/>
          <w:spacing w:val="-4"/>
        </w:rPr>
        <w:t>ganado </w:t>
      </w:r>
      <w:r>
        <w:rPr>
          <w:color w:val="231F20"/>
        </w:rPr>
        <w:t>en </w:t>
      </w:r>
      <w:r>
        <w:rPr>
          <w:color w:val="231F20"/>
          <w:spacing w:val="-4"/>
        </w:rPr>
        <w:t>general </w:t>
      </w:r>
      <w:r>
        <w:rPr>
          <w:color w:val="231F20"/>
        </w:rPr>
        <w:t>a </w:t>
      </w:r>
      <w:r>
        <w:rPr>
          <w:color w:val="231F20"/>
          <w:spacing w:val="-3"/>
        </w:rPr>
        <w:t>los </w:t>
      </w:r>
      <w:r>
        <w:rPr>
          <w:color w:val="231F20"/>
          <w:spacing w:val="-4"/>
        </w:rPr>
        <w:t>acti- </w:t>
      </w:r>
      <w:r>
        <w:rPr>
          <w:color w:val="231F20"/>
          <w:spacing w:val="-3"/>
        </w:rPr>
        <w:t>vos </w:t>
      </w:r>
      <w:r>
        <w:rPr>
          <w:color w:val="231F20"/>
        </w:rPr>
        <w:t>de </w:t>
      </w:r>
      <w:r>
        <w:rPr>
          <w:color w:val="231F20"/>
          <w:spacing w:val="-3"/>
        </w:rPr>
        <w:t>los </w:t>
      </w:r>
      <w:r>
        <w:rPr>
          <w:color w:val="231F20"/>
          <w:spacing w:val="-4"/>
        </w:rPr>
        <w:t>hogares rurales, puede utilizarse </w:t>
      </w:r>
      <w:r>
        <w:rPr>
          <w:color w:val="231F20"/>
        </w:rPr>
        <w:t>el </w:t>
      </w:r>
      <w:r>
        <w:rPr>
          <w:color w:val="231F20"/>
          <w:spacing w:val="-4"/>
        </w:rPr>
        <w:t>marco conceptual </w:t>
      </w:r>
      <w:r>
        <w:rPr>
          <w:color w:val="231F20"/>
        </w:rPr>
        <w:t>de </w:t>
      </w:r>
      <w:r>
        <w:rPr>
          <w:color w:val="231F20"/>
          <w:spacing w:val="-3"/>
        </w:rPr>
        <w:t>los </w:t>
      </w:r>
      <w:r>
        <w:rPr>
          <w:color w:val="231F20"/>
          <w:spacing w:val="-4"/>
        </w:rPr>
        <w:t>modos </w:t>
      </w:r>
      <w:r>
        <w:rPr>
          <w:color w:val="231F20"/>
        </w:rPr>
        <w:t>de </w:t>
      </w:r>
      <w:r>
        <w:rPr>
          <w:color w:val="231F20"/>
          <w:spacing w:val="-3"/>
        </w:rPr>
        <w:t>vida </w:t>
      </w:r>
      <w:r>
        <w:rPr>
          <w:color w:val="231F20"/>
          <w:spacing w:val="-4"/>
        </w:rPr>
        <w:t>(Randolph </w:t>
      </w:r>
      <w:r>
        <w:rPr>
          <w:rFonts w:ascii="Cambria" w:hAnsi="Cambria"/>
          <w:i/>
          <w:color w:val="231F20"/>
        </w:rPr>
        <w:t>et </w:t>
      </w:r>
      <w:r>
        <w:rPr>
          <w:rFonts w:ascii="Cambria" w:hAnsi="Cambria"/>
          <w:i/>
          <w:color w:val="231F20"/>
          <w:spacing w:val="-5"/>
        </w:rPr>
        <w:t>al</w:t>
      </w:r>
      <w:r>
        <w:rPr>
          <w:color w:val="231F20"/>
          <w:spacing w:val="-5"/>
        </w:rPr>
        <w:t>., </w:t>
      </w:r>
      <w:r>
        <w:rPr>
          <w:color w:val="231F20"/>
          <w:spacing w:val="-6"/>
        </w:rPr>
        <w:t>2007). </w:t>
      </w:r>
      <w:r>
        <w:rPr>
          <w:color w:val="231F20"/>
          <w:spacing w:val="-3"/>
        </w:rPr>
        <w:t>Así, los </w:t>
      </w:r>
      <w:r>
        <w:rPr>
          <w:color w:val="231F20"/>
          <w:spacing w:val="-4"/>
        </w:rPr>
        <w:t>activos </w:t>
      </w:r>
      <w:r>
        <w:rPr>
          <w:color w:val="231F20"/>
          <w:spacing w:val="-3"/>
        </w:rPr>
        <w:t>son </w:t>
      </w:r>
      <w:r>
        <w:rPr>
          <w:color w:val="231F20"/>
        </w:rPr>
        <w:t>el </w:t>
      </w:r>
      <w:r>
        <w:rPr>
          <w:color w:val="231F20"/>
          <w:spacing w:val="-4"/>
        </w:rPr>
        <w:t>punto </w:t>
      </w:r>
      <w:r>
        <w:rPr>
          <w:color w:val="231F20"/>
        </w:rPr>
        <w:t>de </w:t>
      </w:r>
      <w:r>
        <w:rPr>
          <w:color w:val="231F20"/>
          <w:spacing w:val="-3"/>
        </w:rPr>
        <w:t>partida para </w:t>
      </w:r>
      <w:r>
        <w:rPr>
          <w:color w:val="231F20"/>
          <w:spacing w:val="-4"/>
        </w:rPr>
        <w:t>el análisis </w:t>
      </w:r>
      <w:r>
        <w:rPr>
          <w:color w:val="231F20"/>
        </w:rPr>
        <w:t>de </w:t>
      </w:r>
      <w:r>
        <w:rPr>
          <w:color w:val="231F20"/>
          <w:spacing w:val="-3"/>
        </w:rPr>
        <w:t>los </w:t>
      </w:r>
      <w:r>
        <w:rPr>
          <w:color w:val="231F20"/>
          <w:spacing w:val="-4"/>
        </w:rPr>
        <w:t>modos </w:t>
      </w:r>
      <w:r>
        <w:rPr>
          <w:color w:val="231F20"/>
        </w:rPr>
        <w:t>de </w:t>
      </w:r>
      <w:r>
        <w:rPr>
          <w:color w:val="231F20"/>
          <w:spacing w:val="-4"/>
        </w:rPr>
        <w:t>vida, </w:t>
      </w:r>
      <w:r>
        <w:rPr>
          <w:color w:val="231F20"/>
          <w:spacing w:val="-3"/>
        </w:rPr>
        <w:t>los </w:t>
      </w:r>
      <w:r>
        <w:rPr>
          <w:color w:val="231F20"/>
          <w:spacing w:val="-4"/>
        </w:rPr>
        <w:t>bloques </w:t>
      </w:r>
      <w:r>
        <w:rPr>
          <w:color w:val="231F20"/>
        </w:rPr>
        <w:t>de </w:t>
      </w:r>
      <w:r>
        <w:rPr>
          <w:color w:val="231F20"/>
          <w:spacing w:val="-4"/>
        </w:rPr>
        <w:t>cons- trucción básicos sobre </w:t>
      </w:r>
      <w:r>
        <w:rPr>
          <w:color w:val="231F20"/>
          <w:spacing w:val="-3"/>
        </w:rPr>
        <w:t>los </w:t>
      </w:r>
      <w:r>
        <w:rPr>
          <w:color w:val="231F20"/>
          <w:spacing w:val="-4"/>
        </w:rPr>
        <w:t>cuales </w:t>
      </w:r>
      <w:r>
        <w:rPr>
          <w:color w:val="231F20"/>
          <w:spacing w:val="-3"/>
        </w:rPr>
        <w:t>los </w:t>
      </w:r>
      <w:r>
        <w:rPr>
          <w:color w:val="231F20"/>
          <w:spacing w:val="-4"/>
        </w:rPr>
        <w:t>hogares </w:t>
      </w:r>
      <w:r>
        <w:rPr>
          <w:color w:val="231F20"/>
          <w:spacing w:val="-3"/>
        </w:rPr>
        <w:t>son ca- </w:t>
      </w:r>
      <w:r>
        <w:rPr>
          <w:color w:val="231F20"/>
          <w:spacing w:val="-4"/>
        </w:rPr>
        <w:t>paces </w:t>
      </w:r>
      <w:r>
        <w:rPr>
          <w:color w:val="231F20"/>
        </w:rPr>
        <w:t>de </w:t>
      </w:r>
      <w:r>
        <w:rPr>
          <w:color w:val="231F20"/>
          <w:spacing w:val="-4"/>
        </w:rPr>
        <w:t>generar </w:t>
      </w:r>
      <w:r>
        <w:rPr>
          <w:color w:val="231F20"/>
          <w:spacing w:val="-3"/>
        </w:rPr>
        <w:t>sus </w:t>
      </w:r>
      <w:r>
        <w:rPr>
          <w:color w:val="231F20"/>
          <w:spacing w:val="-4"/>
        </w:rPr>
        <w:t>medios </w:t>
      </w:r>
      <w:r>
        <w:rPr>
          <w:color w:val="231F20"/>
        </w:rPr>
        <w:t>de   </w:t>
      </w:r>
      <w:r>
        <w:rPr>
          <w:color w:val="231F20"/>
          <w:spacing w:val="-4"/>
        </w:rPr>
        <w:t>supervivencia.</w:t>
      </w:r>
    </w:p>
    <w:p>
      <w:pPr>
        <w:pStyle w:val="BodyText"/>
      </w:pPr>
    </w:p>
    <w:p>
      <w:pPr>
        <w:pStyle w:val="BodyText"/>
        <w:spacing w:line="256" w:lineRule="auto" w:before="152"/>
        <w:ind w:left="1553" w:right="29"/>
        <w:jc w:val="both"/>
      </w:pPr>
      <w:r>
        <w:rPr>
          <w:color w:val="231F20"/>
          <w:spacing w:val="-6"/>
          <w:w w:val="110"/>
        </w:rPr>
        <w:t>LOS </w:t>
      </w:r>
      <w:r>
        <w:rPr>
          <w:color w:val="231F20"/>
          <w:spacing w:val="-3"/>
          <w:w w:val="110"/>
        </w:rPr>
        <w:t>ANIMALES </w:t>
      </w:r>
      <w:r>
        <w:rPr>
          <w:color w:val="231F20"/>
          <w:spacing w:val="-4"/>
          <w:w w:val="110"/>
        </w:rPr>
        <w:t>COMO </w:t>
      </w:r>
      <w:r>
        <w:rPr>
          <w:color w:val="231F20"/>
          <w:spacing w:val="-5"/>
          <w:w w:val="110"/>
        </w:rPr>
        <w:t>PUNTO </w:t>
      </w:r>
      <w:r>
        <w:rPr>
          <w:color w:val="231F20"/>
          <w:w w:val="110"/>
        </w:rPr>
        <w:t>DE </w:t>
      </w:r>
      <w:r>
        <w:rPr>
          <w:color w:val="231F20"/>
          <w:spacing w:val="-7"/>
          <w:w w:val="110"/>
        </w:rPr>
        <w:t>PARTIDA </w:t>
      </w:r>
      <w:r>
        <w:rPr>
          <w:color w:val="231F20"/>
          <w:spacing w:val="-6"/>
          <w:w w:val="110"/>
        </w:rPr>
        <w:t>PARA </w:t>
      </w:r>
      <w:r>
        <w:rPr>
          <w:color w:val="231F20"/>
          <w:w w:val="110"/>
        </w:rPr>
        <w:t>EL </w:t>
      </w:r>
      <w:r>
        <w:rPr>
          <w:color w:val="231F20"/>
          <w:spacing w:val="-5"/>
          <w:w w:val="110"/>
        </w:rPr>
        <w:t>DESARROLLO </w:t>
      </w:r>
      <w:r>
        <w:rPr>
          <w:color w:val="231F20"/>
          <w:w w:val="110"/>
        </w:rPr>
        <w:t>DE </w:t>
      </w:r>
      <w:r>
        <w:rPr>
          <w:color w:val="231F20"/>
          <w:spacing w:val="-6"/>
          <w:w w:val="110"/>
        </w:rPr>
        <w:t>LOS </w:t>
      </w:r>
      <w:r>
        <w:rPr>
          <w:color w:val="231F20"/>
          <w:spacing w:val="-4"/>
          <w:w w:val="110"/>
        </w:rPr>
        <w:t>MODOS </w:t>
      </w:r>
      <w:r>
        <w:rPr>
          <w:color w:val="231F20"/>
          <w:w w:val="110"/>
        </w:rPr>
        <w:t>DE </w:t>
      </w:r>
      <w:r>
        <w:rPr>
          <w:color w:val="231F20"/>
          <w:spacing w:val="29"/>
          <w:w w:val="110"/>
        </w:rPr>
        <w:t> </w:t>
      </w:r>
      <w:r>
        <w:rPr>
          <w:color w:val="231F20"/>
          <w:spacing w:val="-5"/>
          <w:w w:val="110"/>
        </w:rPr>
        <w:t>VIDA</w:t>
      </w:r>
    </w:p>
    <w:p>
      <w:pPr>
        <w:pStyle w:val="BodyText"/>
        <w:spacing w:line="256" w:lineRule="auto" w:before="113"/>
        <w:ind w:left="1553" w:right="1"/>
        <w:jc w:val="both"/>
      </w:pPr>
      <w:r>
        <w:rPr>
          <w:color w:val="231F20"/>
        </w:rPr>
        <w:t>El papel de los animales, entendidos como parte  de los activos, dentro de los modos de vida de </w:t>
      </w:r>
      <w:r>
        <w:rPr>
          <w:color w:val="231F20"/>
          <w:spacing w:val="-2"/>
        </w:rPr>
        <w:t>los </w:t>
      </w:r>
      <w:r>
        <w:rPr>
          <w:color w:val="231F20"/>
        </w:rPr>
        <w:t>productores pobres en </w:t>
      </w:r>
      <w:r>
        <w:rPr>
          <w:color w:val="231F20"/>
          <w:spacing w:val="-3"/>
        </w:rPr>
        <w:t>particular,  </w:t>
      </w:r>
      <w:r>
        <w:rPr>
          <w:color w:val="231F20"/>
        </w:rPr>
        <w:t>puede </w:t>
      </w:r>
      <w:r>
        <w:rPr>
          <w:color w:val="231F20"/>
          <w:spacing w:val="29"/>
        </w:rPr>
        <w:t> </w:t>
      </w:r>
      <w:r>
        <w:rPr>
          <w:color w:val="231F20"/>
        </w:rPr>
        <w:t>entonces</w:t>
      </w:r>
    </w:p>
    <w:p>
      <w:pPr>
        <w:pStyle w:val="BodyText"/>
        <w:spacing w:line="256" w:lineRule="auto" w:before="67"/>
        <w:ind w:left="413" w:right="1551"/>
        <w:jc w:val="both"/>
      </w:pPr>
      <w:r>
        <w:rPr/>
        <w:br w:type="column"/>
      </w:r>
      <w:r>
        <w:rPr>
          <w:color w:val="231F20"/>
        </w:rPr>
        <w:t>ser examinado en términos de la combinación de las funciones como activos que son y de sus atribu- tos.</w:t>
      </w:r>
      <w:r>
        <w:rPr>
          <w:color w:val="231F20"/>
          <w:spacing w:val="-6"/>
        </w:rPr>
        <w:t> </w:t>
      </w:r>
      <w:r>
        <w:rPr>
          <w:color w:val="231F20"/>
        </w:rPr>
        <w:t>Así,</w:t>
      </w:r>
      <w:r>
        <w:rPr>
          <w:color w:val="231F20"/>
          <w:spacing w:val="-6"/>
        </w:rPr>
        <w:t> </w:t>
      </w:r>
      <w:r>
        <w:rPr>
          <w:color w:val="231F20"/>
        </w:rPr>
        <w:t>la</w:t>
      </w:r>
      <w:r>
        <w:rPr>
          <w:color w:val="231F20"/>
          <w:spacing w:val="-6"/>
        </w:rPr>
        <w:t> </w:t>
      </w:r>
      <w:r>
        <w:rPr>
          <w:color w:val="231F20"/>
        </w:rPr>
        <w:t>cría</w:t>
      </w:r>
      <w:r>
        <w:rPr>
          <w:color w:val="231F20"/>
          <w:spacing w:val="-6"/>
        </w:rPr>
        <w:t> </w:t>
      </w:r>
      <w:r>
        <w:rPr>
          <w:color w:val="231F20"/>
        </w:rPr>
        <w:t>de</w:t>
      </w:r>
      <w:r>
        <w:rPr>
          <w:color w:val="231F20"/>
          <w:spacing w:val="-6"/>
        </w:rPr>
        <w:t> </w:t>
      </w:r>
      <w:r>
        <w:rPr>
          <w:color w:val="231F20"/>
        </w:rPr>
        <w:t>abejas</w:t>
      </w:r>
      <w:r>
        <w:rPr>
          <w:color w:val="231F20"/>
          <w:spacing w:val="-6"/>
        </w:rPr>
        <w:t> </w:t>
      </w:r>
      <w:r>
        <w:rPr>
          <w:color w:val="231F20"/>
        </w:rPr>
        <w:t>(o</w:t>
      </w:r>
      <w:r>
        <w:rPr>
          <w:color w:val="231F20"/>
          <w:spacing w:val="-6"/>
        </w:rPr>
        <w:t> </w:t>
      </w:r>
      <w:r>
        <w:rPr>
          <w:color w:val="231F20"/>
        </w:rPr>
        <w:t>su</w:t>
      </w:r>
      <w:r>
        <w:rPr>
          <w:color w:val="231F20"/>
          <w:spacing w:val="-6"/>
        </w:rPr>
        <w:t> </w:t>
      </w:r>
      <w:r>
        <w:rPr>
          <w:color w:val="231F20"/>
        </w:rPr>
        <w:t>potencial</w:t>
      </w:r>
      <w:r>
        <w:rPr>
          <w:color w:val="231F20"/>
          <w:spacing w:val="-6"/>
        </w:rPr>
        <w:t> </w:t>
      </w:r>
      <w:r>
        <w:rPr>
          <w:color w:val="231F20"/>
        </w:rPr>
        <w:t>propiedad), pollos, cabras o bovinos necesita ser considerada en términos de las interacciones de los atributos  de estos activos y de sus funciones como parte de todos</w:t>
      </w:r>
      <w:r>
        <w:rPr>
          <w:color w:val="231F20"/>
          <w:spacing w:val="-8"/>
        </w:rPr>
        <w:t> </w:t>
      </w:r>
      <w:r>
        <w:rPr>
          <w:color w:val="231F20"/>
        </w:rPr>
        <w:t>los</w:t>
      </w:r>
      <w:r>
        <w:rPr>
          <w:color w:val="231F20"/>
          <w:spacing w:val="-8"/>
        </w:rPr>
        <w:t> </w:t>
      </w:r>
      <w:r>
        <w:rPr>
          <w:color w:val="231F20"/>
        </w:rPr>
        <w:t>activos</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personas</w:t>
      </w:r>
      <w:r>
        <w:rPr>
          <w:color w:val="231F20"/>
          <w:spacing w:val="-8"/>
        </w:rPr>
        <w:t> </w:t>
      </w:r>
      <w:r>
        <w:rPr>
          <w:color w:val="231F20"/>
        </w:rPr>
        <w:t>tienen</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estra- tegias que siguen quienes los </w:t>
      </w:r>
      <w:r>
        <w:rPr>
          <w:color w:val="231F20"/>
          <w:spacing w:val="8"/>
        </w:rPr>
        <w:t> </w:t>
      </w:r>
      <w:r>
        <w:rPr>
          <w:color w:val="231F20"/>
        </w:rPr>
        <w:t>poseen.</w:t>
      </w:r>
    </w:p>
    <w:p>
      <w:pPr>
        <w:pStyle w:val="BodyText"/>
        <w:spacing w:line="256" w:lineRule="auto" w:before="112"/>
        <w:ind w:left="413" w:right="1551"/>
        <w:jc w:val="both"/>
      </w:pPr>
      <w:r>
        <w:rPr>
          <w:color w:val="231F20"/>
        </w:rPr>
        <w:t>Visto desde otro ángulo, la efectividad de un activo en particular para cumplir las funciones deseadas como</w:t>
      </w:r>
      <w:r>
        <w:rPr>
          <w:color w:val="231F20"/>
          <w:spacing w:val="-5"/>
        </w:rPr>
        <w:t> </w:t>
      </w:r>
      <w:r>
        <w:rPr>
          <w:color w:val="231F20"/>
        </w:rPr>
        <w:t>activo</w:t>
      </w:r>
      <w:r>
        <w:rPr>
          <w:color w:val="231F20"/>
          <w:spacing w:val="-5"/>
        </w:rPr>
        <w:t> </w:t>
      </w:r>
      <w:r>
        <w:rPr>
          <w:color w:val="231F20"/>
        </w:rPr>
        <w:t>es</w:t>
      </w:r>
      <w:r>
        <w:rPr>
          <w:color w:val="231F20"/>
          <w:spacing w:val="-5"/>
        </w:rPr>
        <w:t> </w:t>
      </w:r>
      <w:r>
        <w:rPr>
          <w:color w:val="231F20"/>
        </w:rPr>
        <w:t>determinada</w:t>
      </w:r>
      <w:r>
        <w:rPr>
          <w:color w:val="231F20"/>
          <w:spacing w:val="-5"/>
        </w:rPr>
        <w:t> </w:t>
      </w:r>
      <w:r>
        <w:rPr>
          <w:color w:val="231F20"/>
        </w:rPr>
        <w:t>por</w:t>
      </w:r>
      <w:r>
        <w:rPr>
          <w:color w:val="231F20"/>
          <w:spacing w:val="-5"/>
        </w:rPr>
        <w:t> </w:t>
      </w:r>
      <w:r>
        <w:rPr>
          <w:color w:val="231F20"/>
        </w:rPr>
        <w:t>sus</w:t>
      </w:r>
      <w:r>
        <w:rPr>
          <w:color w:val="231F20"/>
          <w:spacing w:val="-5"/>
        </w:rPr>
        <w:t> </w:t>
      </w:r>
      <w:r>
        <w:rPr>
          <w:color w:val="231F20"/>
        </w:rPr>
        <w:t>diferentes</w:t>
      </w:r>
      <w:r>
        <w:rPr>
          <w:color w:val="231F20"/>
          <w:spacing w:val="-5"/>
        </w:rPr>
        <w:t> </w:t>
      </w:r>
      <w:r>
        <w:rPr>
          <w:color w:val="231F20"/>
        </w:rPr>
        <w:t>atri- butos. A su vez, los atributos de un activo en par- ticular dependen de otros activos que se posean (complementario); de influencias  y  condiciones  en el medio ambiente natural, social, institucional, económico y político; y de otras características de las actividades tecnológicas y de los procesos que apoyan las funciones productivas, de consumo y  de conversión. La cría de pollos, por ejemplo, va- ría con el acceso a activos complementarios que deben utilizarse para criarlos (construcciones, ali- mento, mano de obra, medicinas, etc.), con as- pectos medioambientales (clima, prevalencia de enfermedades, papeles de género para criar po- llos, mercados) y con la tecnología utilizada (razas, edificios, control de enfermedades, alimentación y otros aspectos de la </w:t>
      </w:r>
      <w:r>
        <w:rPr>
          <w:color w:val="231F20"/>
          <w:spacing w:val="13"/>
        </w:rPr>
        <w:t> </w:t>
      </w:r>
      <w:r>
        <w:rPr>
          <w:color w:val="231F20"/>
        </w:rPr>
        <w:t>crianza).</w:t>
      </w:r>
    </w:p>
    <w:p>
      <w:pPr>
        <w:pStyle w:val="BodyText"/>
        <w:spacing w:line="256" w:lineRule="auto" w:before="112"/>
        <w:ind w:left="413" w:right="1551"/>
        <w:jc w:val="both"/>
      </w:pPr>
      <w:r>
        <w:rPr>
          <w:color w:val="231F20"/>
        </w:rPr>
        <w:t>El reconocimiento de las distintas  funciones  de  los activos nos lleva a considerar los atributos que determinan la efectividad de éstos para cumplir ta- les funciones. Los atributos relevantes para cada función se detallan en el  Cuadro  1.  Muchos  de  los atributos son relevantes, como puede esperar- se, para más de una función de los activos. Debe hacerse notar que algunas distinciones entre atri- butos y sus componentes son arbitrarias, y  que hay muchas complementariedades entre ellas, pero esta división es con el fin de asegurar que los atributos importantes sean incluidos. La definición conceptual de algunos de ellos presenta retos, es- pecialmente con los activos menos tangibles; sin embargo, un análisis explícito puede ser muy</w:t>
      </w:r>
      <w:r>
        <w:rPr>
          <w:color w:val="231F20"/>
          <w:spacing w:val="41"/>
        </w:rPr>
        <w:t> </w:t>
      </w:r>
      <w:r>
        <w:rPr>
          <w:color w:val="231F20"/>
        </w:rPr>
        <w:t>reve-</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1.      </w:t>
      </w:r>
      <w:r>
        <w:rPr>
          <w:color w:val="231F20"/>
          <w:spacing w:val="11"/>
          <w:sz w:val="18"/>
        </w:rPr>
        <w:t> </w:t>
      </w:r>
      <w:r>
        <w:rPr>
          <w:color w:val="231F20"/>
          <w:sz w:val="18"/>
        </w:rPr>
        <w:t>Contribución de la producción animal en pequeña escala a las estrategias de vida</w:t>
      </w:r>
      <w:r>
        <w:rPr>
          <w:color w:val="231F20"/>
          <w:spacing w:val="14"/>
          <w:sz w:val="18"/>
        </w:rPr>
        <w:t> </w:t>
      </w:r>
      <w:r>
        <w:rPr>
          <w:color w:val="231F20"/>
          <w:sz w:val="18"/>
        </w:rPr>
        <w:t>campesinas</w:t>
      </w:r>
      <w:r>
        <w:rPr>
          <w:color w:val="231F20"/>
          <w:sz w:val="22"/>
        </w:rPr>
        <w:tab/>
        <w:t>9</w:t>
      </w:r>
    </w:p>
    <w:p>
      <w:pPr>
        <w:spacing w:before="349"/>
        <w:ind w:left="1558" w:right="2503" w:firstLine="0"/>
        <w:jc w:val="left"/>
        <w:rPr>
          <w:sz w:val="18"/>
        </w:rPr>
      </w:pPr>
      <w:r>
        <w:rPr/>
        <w:pict>
          <v:shapetype id="_x0000_t202" o:spt="202" coordsize="21600,21600" path="m,l,21600r21600,l21600,xe">
            <v:stroke joinstyle="miter"/>
            <v:path gradientshapeok="t" o:connecttype="rect"/>
          </v:shapetype>
          <v:shape style="position:absolute;margin-left:77.917397pt;margin-top:35.688633pt;width:439.45pt;height:355.5pt;mso-position-horizontal-relative:page;mso-position-vertical-relative:paragraph;z-index:1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45"/>
                    <w:gridCol w:w="6744"/>
                  </w:tblGrid>
                  <w:tr>
                    <w:trPr>
                      <w:trHeight w:val="369" w:hRule="exact"/>
                    </w:trPr>
                    <w:tc>
                      <w:tcPr>
                        <w:tcW w:w="2045" w:type="dxa"/>
                        <w:tcBorders>
                          <w:top w:val="single" w:sz="4" w:space="0" w:color="231F20"/>
                          <w:bottom w:val="single" w:sz="4" w:space="0" w:color="231F20"/>
                        </w:tcBorders>
                      </w:tcPr>
                      <w:p>
                        <w:pPr>
                          <w:pStyle w:val="TableParagraph"/>
                          <w:spacing w:before="79"/>
                          <w:ind w:left="113"/>
                          <w:rPr>
                            <w:rFonts w:ascii="Cambria"/>
                            <w:i/>
                            <w:sz w:val="18"/>
                          </w:rPr>
                        </w:pPr>
                        <w:r>
                          <w:rPr>
                            <w:rFonts w:ascii="Cambria"/>
                            <w:i/>
                            <w:color w:val="231F20"/>
                            <w:sz w:val="18"/>
                          </w:rPr>
                          <w:t>Atributo principal</w:t>
                        </w:r>
                      </w:p>
                    </w:tc>
                    <w:tc>
                      <w:tcPr>
                        <w:tcW w:w="6744" w:type="dxa"/>
                        <w:tcBorders>
                          <w:top w:val="single" w:sz="4" w:space="0" w:color="231F20"/>
                          <w:bottom w:val="single" w:sz="4" w:space="0" w:color="231F20"/>
                        </w:tcBorders>
                      </w:tcPr>
                      <w:p>
                        <w:pPr>
                          <w:pStyle w:val="TableParagraph"/>
                          <w:spacing w:before="79"/>
                          <w:ind w:left="2983" w:right="2614"/>
                          <w:jc w:val="center"/>
                          <w:rPr>
                            <w:rFonts w:ascii="Cambria"/>
                            <w:i/>
                            <w:sz w:val="18"/>
                          </w:rPr>
                        </w:pPr>
                        <w:r>
                          <w:rPr>
                            <w:rFonts w:ascii="Cambria"/>
                            <w:i/>
                            <w:color w:val="231F20"/>
                            <w:w w:val="110"/>
                            <w:sz w:val="18"/>
                          </w:rPr>
                          <w:t>Componentes</w:t>
                        </w:r>
                      </w:p>
                    </w:tc>
                  </w:tr>
                  <w:tr>
                    <w:trPr>
                      <w:trHeight w:val="574" w:hRule="exact"/>
                    </w:trPr>
                    <w:tc>
                      <w:tcPr>
                        <w:tcW w:w="2045" w:type="dxa"/>
                        <w:tcBorders>
                          <w:top w:val="single" w:sz="4" w:space="0" w:color="231F20"/>
                          <w:bottom w:val="single" w:sz="4" w:space="0" w:color="231F20"/>
                        </w:tcBorders>
                      </w:tcPr>
                      <w:p>
                        <w:pPr>
                          <w:pStyle w:val="TableParagraph"/>
                          <w:ind w:left="113"/>
                          <w:rPr>
                            <w:sz w:val="17"/>
                          </w:rPr>
                        </w:pPr>
                        <w:r>
                          <w:rPr>
                            <w:color w:val="231F20"/>
                            <w:sz w:val="17"/>
                          </w:rPr>
                          <w:t>Productividad</w:t>
                        </w:r>
                      </w:p>
                    </w:tc>
                    <w:tc>
                      <w:tcPr>
                        <w:tcW w:w="6744" w:type="dxa"/>
                        <w:tcBorders>
                          <w:top w:val="single" w:sz="4" w:space="0" w:color="231F20"/>
                          <w:bottom w:val="single" w:sz="4" w:space="0" w:color="231F20"/>
                        </w:tcBorders>
                      </w:tcPr>
                      <w:p>
                        <w:pPr>
                          <w:pStyle w:val="TableParagraph"/>
                          <w:spacing w:line="254" w:lineRule="auto"/>
                          <w:ind w:left="482" w:right="186"/>
                          <w:rPr>
                            <w:sz w:val="17"/>
                          </w:rPr>
                        </w:pPr>
                        <w:r>
                          <w:rPr>
                            <w:color w:val="231F20"/>
                            <w:sz w:val="17"/>
                          </w:rPr>
                          <w:t>Productividad “normal”, variabilidad, sensibilidad, recuperación ante diferentes condi- ciones y probabilidad de diferentes  condiciones.</w:t>
                        </w:r>
                      </w:p>
                    </w:tc>
                  </w:tr>
                  <w:tr>
                    <w:trPr>
                      <w:trHeight w:val="574" w:hRule="exact"/>
                    </w:trPr>
                    <w:tc>
                      <w:tcPr>
                        <w:tcW w:w="2045" w:type="dxa"/>
                        <w:tcBorders>
                          <w:top w:val="single" w:sz="4" w:space="0" w:color="231F20"/>
                          <w:bottom w:val="single" w:sz="4" w:space="0" w:color="231F20"/>
                        </w:tcBorders>
                      </w:tcPr>
                      <w:p>
                        <w:pPr>
                          <w:pStyle w:val="TableParagraph"/>
                          <w:ind w:left="113"/>
                          <w:rPr>
                            <w:sz w:val="17"/>
                          </w:rPr>
                        </w:pPr>
                        <w:r>
                          <w:rPr>
                            <w:color w:val="231F20"/>
                            <w:sz w:val="17"/>
                          </w:rPr>
                          <w:t>Utilidad</w:t>
                        </w:r>
                      </w:p>
                    </w:tc>
                    <w:tc>
                      <w:tcPr>
                        <w:tcW w:w="6744" w:type="dxa"/>
                        <w:tcBorders>
                          <w:top w:val="single" w:sz="4" w:space="0" w:color="231F20"/>
                          <w:bottom w:val="single" w:sz="4" w:space="0" w:color="231F20"/>
                        </w:tcBorders>
                      </w:tcPr>
                      <w:p>
                        <w:pPr>
                          <w:pStyle w:val="TableParagraph"/>
                          <w:spacing w:line="254" w:lineRule="auto"/>
                          <w:ind w:left="482" w:right="186"/>
                          <w:rPr>
                            <w:sz w:val="17"/>
                          </w:rPr>
                        </w:pPr>
                        <w:r>
                          <w:rPr>
                            <w:color w:val="231F20"/>
                            <w:sz w:val="17"/>
                          </w:rPr>
                          <w:t>Utilidad “normal”, variabilidad, sensibilidad, recuperación ante diferentes condiciones y probabilidad de diferentes  condiciones.</w:t>
                        </w:r>
                      </w:p>
                    </w:tc>
                  </w:tr>
                  <w:tr>
                    <w:trPr>
                      <w:trHeight w:val="907" w:hRule="exact"/>
                    </w:trPr>
                    <w:tc>
                      <w:tcPr>
                        <w:tcW w:w="2045" w:type="dxa"/>
                        <w:tcBorders>
                          <w:top w:val="single" w:sz="4" w:space="0" w:color="231F20"/>
                          <w:bottom w:val="single" w:sz="4" w:space="0" w:color="231F20"/>
                        </w:tcBorders>
                      </w:tcPr>
                      <w:p>
                        <w:pPr>
                          <w:pStyle w:val="TableParagraph"/>
                          <w:ind w:left="113"/>
                          <w:rPr>
                            <w:sz w:val="17"/>
                          </w:rPr>
                        </w:pPr>
                        <w:r>
                          <w:rPr>
                            <w:color w:val="231F20"/>
                            <w:sz w:val="17"/>
                          </w:rPr>
                          <w:t>Seguridad</w:t>
                        </w:r>
                      </w:p>
                    </w:tc>
                    <w:tc>
                      <w:tcPr>
                        <w:tcW w:w="6744" w:type="dxa"/>
                        <w:tcBorders>
                          <w:top w:val="single" w:sz="4" w:space="0" w:color="231F20"/>
                          <w:bottom w:val="single" w:sz="4" w:space="0" w:color="231F20"/>
                        </w:tcBorders>
                      </w:tcPr>
                      <w:p>
                        <w:pPr>
                          <w:pStyle w:val="TableParagraph"/>
                          <w:spacing w:line="254" w:lineRule="auto"/>
                          <w:ind w:left="482" w:right="186"/>
                          <w:rPr>
                            <w:sz w:val="17"/>
                          </w:rPr>
                        </w:pPr>
                        <w:r>
                          <w:rPr>
                            <w:color w:val="231F20"/>
                            <w:sz w:val="17"/>
                          </w:rPr>
                          <w:t>Riesgo de robo, pérdida de control de acceso, susceptibilidad a enfermedad o a otra causa natural.</w:t>
                        </w:r>
                      </w:p>
                      <w:p>
                        <w:pPr>
                          <w:pStyle w:val="TableParagraph"/>
                          <w:spacing w:before="113"/>
                          <w:ind w:left="482" w:right="186"/>
                          <w:rPr>
                            <w:sz w:val="17"/>
                          </w:rPr>
                        </w:pPr>
                        <w:r>
                          <w:rPr>
                            <w:color w:val="231F20"/>
                            <w:sz w:val="17"/>
                          </w:rPr>
                          <w:t>Para deuda, riesgo a sustitutos colaterales.</w:t>
                        </w:r>
                      </w:p>
                    </w:tc>
                  </w:tr>
                  <w:tr>
                    <w:trPr>
                      <w:trHeight w:val="1681" w:hRule="exact"/>
                    </w:trPr>
                    <w:tc>
                      <w:tcPr>
                        <w:tcW w:w="2045" w:type="dxa"/>
                        <w:tcBorders>
                          <w:top w:val="single" w:sz="4" w:space="0" w:color="231F20"/>
                          <w:bottom w:val="single" w:sz="4" w:space="0" w:color="231F20"/>
                        </w:tcBorders>
                      </w:tcPr>
                      <w:p>
                        <w:pPr>
                          <w:pStyle w:val="TableParagraph"/>
                          <w:ind w:left="113"/>
                          <w:rPr>
                            <w:sz w:val="17"/>
                          </w:rPr>
                        </w:pPr>
                        <w:r>
                          <w:rPr>
                            <w:color w:val="231F20"/>
                            <w:w w:val="105"/>
                            <w:sz w:val="17"/>
                          </w:rPr>
                          <w:t>Costos</w:t>
                        </w:r>
                      </w:p>
                    </w:tc>
                    <w:tc>
                      <w:tcPr>
                        <w:tcW w:w="6744" w:type="dxa"/>
                        <w:tcBorders>
                          <w:top w:val="single" w:sz="4" w:space="0" w:color="231F20"/>
                          <w:bottom w:val="single" w:sz="4" w:space="0" w:color="231F20"/>
                        </w:tcBorders>
                      </w:tcPr>
                      <w:p>
                        <w:pPr>
                          <w:pStyle w:val="TableParagraph"/>
                          <w:spacing w:line="254" w:lineRule="auto"/>
                          <w:ind w:left="482" w:right="186"/>
                          <w:rPr>
                            <w:sz w:val="17"/>
                          </w:rPr>
                        </w:pPr>
                        <w:r>
                          <w:rPr>
                            <w:color w:val="231F20"/>
                            <w:sz w:val="17"/>
                          </w:rPr>
                          <w:t>Costos de insumos y mantenimiento bajo condiciones normales, y variabilidad bajo diferentes condiciones y probabilidad de diferentes   condiciones.</w:t>
                        </w:r>
                      </w:p>
                      <w:p>
                        <w:pPr>
                          <w:pStyle w:val="TableParagraph"/>
                          <w:spacing w:line="254" w:lineRule="auto" w:before="113"/>
                          <w:ind w:left="482" w:right="186"/>
                          <w:rPr>
                            <w:sz w:val="17"/>
                          </w:rPr>
                        </w:pPr>
                        <w:r>
                          <w:rPr>
                            <w:color w:val="231F20"/>
                            <w:sz w:val="17"/>
                          </w:rPr>
                          <w:t>Depreciación por su uso bajo condiciones normales, y variabilidad bajo diferentes condiciones y probabilidad de diferentes   condiciones.</w:t>
                        </w:r>
                      </w:p>
                      <w:p>
                        <w:pPr>
                          <w:pStyle w:val="TableParagraph"/>
                          <w:spacing w:line="254" w:lineRule="auto" w:before="113"/>
                          <w:ind w:left="482" w:right="186"/>
                          <w:rPr>
                            <w:sz w:val="17"/>
                          </w:rPr>
                        </w:pPr>
                        <w:r>
                          <w:rPr>
                            <w:color w:val="231F20"/>
                            <w:sz w:val="17"/>
                          </w:rPr>
                          <w:t>Depreciación en el tiempo bajo condiciones normales, y variabilidad bajo diferentes condiciones y probabilidad de diferentes   condiciones.</w:t>
                        </w:r>
                      </w:p>
                    </w:tc>
                  </w:tr>
                  <w:tr>
                    <w:trPr>
                      <w:trHeight w:val="574" w:hRule="exact"/>
                    </w:trPr>
                    <w:tc>
                      <w:tcPr>
                        <w:tcW w:w="2045" w:type="dxa"/>
                        <w:tcBorders>
                          <w:top w:val="single" w:sz="4" w:space="0" w:color="231F20"/>
                          <w:bottom w:val="single" w:sz="4" w:space="0" w:color="231F20"/>
                        </w:tcBorders>
                      </w:tcPr>
                      <w:p>
                        <w:pPr>
                          <w:pStyle w:val="TableParagraph"/>
                          <w:ind w:left="113"/>
                          <w:rPr>
                            <w:sz w:val="17"/>
                          </w:rPr>
                        </w:pPr>
                        <w:r>
                          <w:rPr>
                            <w:color w:val="231F20"/>
                            <w:sz w:val="17"/>
                          </w:rPr>
                          <w:t>Vida</w:t>
                        </w:r>
                      </w:p>
                    </w:tc>
                    <w:tc>
                      <w:tcPr>
                        <w:tcW w:w="6744" w:type="dxa"/>
                        <w:tcBorders>
                          <w:top w:val="single" w:sz="4" w:space="0" w:color="231F20"/>
                          <w:bottom w:val="single" w:sz="4" w:space="0" w:color="231F20"/>
                        </w:tcBorders>
                      </w:tcPr>
                      <w:p>
                        <w:pPr>
                          <w:pStyle w:val="TableParagraph"/>
                          <w:spacing w:line="254" w:lineRule="auto"/>
                          <w:ind w:left="482" w:right="186"/>
                          <w:rPr>
                            <w:sz w:val="17"/>
                          </w:rPr>
                        </w:pPr>
                        <w:r>
                          <w:rPr>
                            <w:color w:val="231F20"/>
                            <w:sz w:val="17"/>
                          </w:rPr>
                          <w:t>Periodo que se espera poseer el activo bajo condiciones normales, y variabilidad bajo diferentes condiciones y probabilidad de diferentes   condiciones.</w:t>
                        </w:r>
                      </w:p>
                    </w:tc>
                  </w:tr>
                  <w:tr>
                    <w:trPr>
                      <w:trHeight w:val="1461" w:hRule="exact"/>
                    </w:trPr>
                    <w:tc>
                      <w:tcPr>
                        <w:tcW w:w="2045" w:type="dxa"/>
                        <w:tcBorders>
                          <w:top w:val="single" w:sz="4" w:space="0" w:color="231F20"/>
                          <w:bottom w:val="single" w:sz="4" w:space="0" w:color="231F20"/>
                        </w:tcBorders>
                      </w:tcPr>
                      <w:p>
                        <w:pPr>
                          <w:pStyle w:val="TableParagraph"/>
                          <w:ind w:left="113"/>
                          <w:rPr>
                            <w:sz w:val="17"/>
                          </w:rPr>
                        </w:pPr>
                        <w:r>
                          <w:rPr>
                            <w:color w:val="231F20"/>
                            <w:sz w:val="17"/>
                          </w:rPr>
                          <w:t>Convertibilidad</w:t>
                        </w:r>
                      </w:p>
                    </w:tc>
                    <w:tc>
                      <w:tcPr>
                        <w:tcW w:w="6744" w:type="dxa"/>
                        <w:tcBorders>
                          <w:top w:val="single" w:sz="4" w:space="0" w:color="231F20"/>
                          <w:bottom w:val="single" w:sz="4" w:space="0" w:color="231F20"/>
                        </w:tcBorders>
                      </w:tcPr>
                      <w:p>
                        <w:pPr>
                          <w:pStyle w:val="TableParagraph"/>
                          <w:spacing w:line="254" w:lineRule="auto"/>
                          <w:ind w:left="482" w:right="186"/>
                          <w:rPr>
                            <w:sz w:val="17"/>
                          </w:rPr>
                        </w:pPr>
                        <w:r>
                          <w:rPr>
                            <w:color w:val="231F20"/>
                            <w:sz w:val="17"/>
                          </w:rPr>
                          <w:t>Costos de intercambio bajo condiciones normales, y variabilidad bajo diferentes condi- ciones y probabilidad de diferentes  condiciones.</w:t>
                        </w:r>
                      </w:p>
                      <w:p>
                        <w:pPr>
                          <w:pStyle w:val="TableParagraph"/>
                          <w:spacing w:before="113"/>
                          <w:ind w:left="482" w:right="186"/>
                          <w:rPr>
                            <w:sz w:val="17"/>
                          </w:rPr>
                        </w:pPr>
                        <w:r>
                          <w:rPr>
                            <w:color w:val="231F20"/>
                            <w:sz w:val="17"/>
                          </w:rPr>
                          <w:t>Costos de transacciones.</w:t>
                        </w:r>
                      </w:p>
                      <w:p>
                        <w:pPr>
                          <w:pStyle w:val="TableParagraph"/>
                          <w:spacing w:line="254" w:lineRule="auto" w:before="126"/>
                          <w:ind w:left="482" w:right="186"/>
                          <w:rPr>
                            <w:sz w:val="17"/>
                          </w:rPr>
                        </w:pPr>
                        <w:r>
                          <w:rPr>
                            <w:color w:val="231F20"/>
                            <w:sz w:val="17"/>
                          </w:rPr>
                          <w:t>Acceso bajo condiciones normales, y variabilidad bajo diferentes condiciones y proba- bilidad de diferentes  condiciones.</w:t>
                        </w:r>
                      </w:p>
                    </w:tc>
                  </w:tr>
                  <w:tr>
                    <w:trPr>
                      <w:trHeight w:val="354" w:hRule="exact"/>
                    </w:trPr>
                    <w:tc>
                      <w:tcPr>
                        <w:tcW w:w="2045" w:type="dxa"/>
                        <w:tcBorders>
                          <w:top w:val="single" w:sz="4" w:space="0" w:color="231F20"/>
                          <w:bottom w:val="single" w:sz="4" w:space="0" w:color="231F20"/>
                        </w:tcBorders>
                      </w:tcPr>
                      <w:p>
                        <w:pPr>
                          <w:pStyle w:val="TableParagraph"/>
                          <w:ind w:left="113"/>
                          <w:rPr>
                            <w:sz w:val="17"/>
                          </w:rPr>
                        </w:pPr>
                        <w:r>
                          <w:rPr>
                            <w:color w:val="231F20"/>
                            <w:sz w:val="17"/>
                          </w:rPr>
                          <w:t>Complementariedad</w:t>
                        </w:r>
                      </w:p>
                    </w:tc>
                    <w:tc>
                      <w:tcPr>
                        <w:tcW w:w="6744" w:type="dxa"/>
                        <w:tcBorders>
                          <w:top w:val="single" w:sz="4" w:space="0" w:color="231F20"/>
                          <w:bottom w:val="single" w:sz="4" w:space="0" w:color="231F20"/>
                        </w:tcBorders>
                      </w:tcPr>
                      <w:p>
                        <w:pPr>
                          <w:pStyle w:val="TableParagraph"/>
                          <w:ind w:left="482" w:right="186"/>
                          <w:rPr>
                            <w:sz w:val="17"/>
                          </w:rPr>
                        </w:pPr>
                        <w:r>
                          <w:rPr>
                            <w:color w:val="231F20"/>
                            <w:sz w:val="17"/>
                          </w:rPr>
                          <w:t>Efectos en otros activos y sus  funciones.</w:t>
                        </w:r>
                      </w:p>
                    </w:tc>
                  </w:tr>
                  <w:tr>
                    <w:trPr>
                      <w:trHeight w:val="354" w:hRule="exact"/>
                    </w:trPr>
                    <w:tc>
                      <w:tcPr>
                        <w:tcW w:w="2045" w:type="dxa"/>
                        <w:tcBorders>
                          <w:top w:val="single" w:sz="4" w:space="0" w:color="231F20"/>
                          <w:bottom w:val="single" w:sz="4" w:space="0" w:color="231F20"/>
                        </w:tcBorders>
                      </w:tcPr>
                      <w:p>
                        <w:pPr>
                          <w:pStyle w:val="TableParagraph"/>
                          <w:ind w:left="113"/>
                          <w:rPr>
                            <w:sz w:val="17"/>
                          </w:rPr>
                        </w:pPr>
                        <w:r>
                          <w:rPr>
                            <w:color w:val="231F20"/>
                            <w:sz w:val="17"/>
                          </w:rPr>
                          <w:t>Propiedad/control</w:t>
                        </w:r>
                      </w:p>
                    </w:tc>
                    <w:tc>
                      <w:tcPr>
                        <w:tcW w:w="6744" w:type="dxa"/>
                        <w:tcBorders>
                          <w:top w:val="single" w:sz="4" w:space="0" w:color="231F20"/>
                          <w:bottom w:val="single" w:sz="4" w:space="0" w:color="231F20"/>
                        </w:tcBorders>
                      </w:tcPr>
                      <w:p>
                        <w:pPr>
                          <w:pStyle w:val="TableParagraph"/>
                          <w:ind w:left="482" w:right="186"/>
                          <w:rPr>
                            <w:sz w:val="17"/>
                          </w:rPr>
                        </w:pPr>
                        <w:r>
                          <w:rPr>
                            <w:color w:val="231F20"/>
                            <w:sz w:val="17"/>
                          </w:rPr>
                          <w:t>Privado (individual, hogar), comunal,  público.</w:t>
                        </w:r>
                      </w:p>
                    </w:tc>
                  </w:tr>
                  <w:tr>
                    <w:trPr>
                      <w:trHeight w:val="258" w:hRule="exact"/>
                    </w:trPr>
                    <w:tc>
                      <w:tcPr>
                        <w:tcW w:w="2045" w:type="dxa"/>
                        <w:tcBorders>
                          <w:top w:val="single" w:sz="4" w:space="0" w:color="231F20"/>
                        </w:tcBorders>
                      </w:tcPr>
                      <w:p>
                        <w:pPr>
                          <w:pStyle w:val="TableParagraph"/>
                          <w:spacing w:before="77"/>
                          <w:ind w:left="113"/>
                          <w:rPr>
                            <w:sz w:val="15"/>
                          </w:rPr>
                        </w:pPr>
                        <w:r>
                          <w:rPr>
                            <w:color w:val="231F20"/>
                            <w:sz w:val="15"/>
                          </w:rPr>
                          <w:t>Fuente: Dorward </w:t>
                        </w:r>
                        <w:r>
                          <w:rPr>
                            <w:rFonts w:ascii="Cambria"/>
                            <w:i/>
                            <w:color w:val="231F20"/>
                            <w:sz w:val="15"/>
                          </w:rPr>
                          <w:t>et al.,  </w:t>
                        </w:r>
                        <w:r>
                          <w:rPr>
                            <w:color w:val="231F20"/>
                            <w:sz w:val="15"/>
                          </w:rPr>
                          <w:t>2001.</w:t>
                        </w:r>
                      </w:p>
                    </w:tc>
                    <w:tc>
                      <w:tcPr>
                        <w:tcW w:w="6744" w:type="dxa"/>
                        <w:tcBorders>
                          <w:top w:val="single" w:sz="4" w:space="0" w:color="231F20"/>
                        </w:tcBorders>
                      </w:tcPr>
                      <w:p>
                        <w:pPr/>
                      </w:p>
                    </w:tc>
                  </w:tr>
                </w:tbl>
                <w:p>
                  <w:pPr>
                    <w:pStyle w:val="BodyText"/>
                  </w:pPr>
                </w:p>
              </w:txbxContent>
            </v:textbox>
            <w10:wrap type="none"/>
          </v:shape>
        </w:pict>
      </w:r>
      <w:r>
        <w:rPr>
          <w:color w:val="231F20"/>
          <w:sz w:val="18"/>
        </w:rPr>
        <w:t>Cuadro 1.   Atributos de los activos y sus    componentes.</w:t>
      </w:r>
    </w:p>
    <w:p>
      <w:pPr>
        <w:spacing w:after="0"/>
        <w:jc w:val="left"/>
        <w:rPr>
          <w:sz w:val="18"/>
        </w:rPr>
        <w:sectPr>
          <w:pgSz w:w="11900" w:h="14450"/>
          <w:pgMar w:header="0" w:footer="222"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2"/>
        <w:rPr>
          <w:sz w:val="19"/>
        </w:rPr>
      </w:pPr>
    </w:p>
    <w:p>
      <w:pPr>
        <w:pStyle w:val="BodyText"/>
        <w:spacing w:line="283" w:lineRule="auto"/>
        <w:ind w:left="1553"/>
        <w:jc w:val="both"/>
      </w:pPr>
      <w:r>
        <w:rPr>
          <w:color w:val="231F20"/>
        </w:rPr>
        <w:t>lador al explorar las preferencias de la gente y su punto de vista al identificar puntos clave para un cambio en sus modos de vida. Algunas preferen- cias por los atributos pueden ser muy fáciles de entender (aunque no las interacciones de ellos). Así, una gran utilidad y un alto ingreso, seguridad, bajo costo y larga vida, serán casi universalmente deseables como atributos de los activos animales. No obstante, lo que es deseable en términos de convertibilidad y de control es mucho más ambi- guo y está determinado por el  contexto.</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2"/>
        <w:rPr>
          <w:sz w:val="19"/>
        </w:rPr>
      </w:pPr>
    </w:p>
    <w:p>
      <w:pPr>
        <w:pStyle w:val="BodyText"/>
        <w:spacing w:line="256" w:lineRule="auto"/>
        <w:ind w:left="412" w:right="1551"/>
        <w:jc w:val="both"/>
      </w:pPr>
      <w:r>
        <w:rPr>
          <w:color w:val="231F20"/>
        </w:rPr>
        <w:t>En teoría, una alta convertibilidad daría más</w:t>
      </w:r>
      <w:r>
        <w:rPr>
          <w:color w:val="231F20"/>
          <w:spacing w:val="-14"/>
        </w:rPr>
        <w:t> </w:t>
      </w:r>
      <w:r>
        <w:rPr>
          <w:color w:val="231F20"/>
        </w:rPr>
        <w:t>flexibi- lidad y menores costos, pero con frecuencia se ha reportado que la gente más pobre (no sólo pobre) a menudo impone disciplina y protección  sobre  sus ahorros para tener una inversión a más largo plazo para un consumo futuro. Así, colocan sus ahorros “fuera de un alcance fácil” para prevenir que sean cambiados por efectivo y gastado (por ellos mismos o por parientes), o  para  necesida- des de consumo inmediatas. Ejemplos de esto se observan en las pensiones de la gente en econo- mías</w:t>
      </w:r>
      <w:r>
        <w:rPr>
          <w:color w:val="231F20"/>
          <w:spacing w:val="33"/>
        </w:rPr>
        <w:t> </w:t>
      </w:r>
      <w:r>
        <w:rPr>
          <w:color w:val="231F20"/>
        </w:rPr>
        <w:t>más</w:t>
      </w:r>
      <w:r>
        <w:rPr>
          <w:color w:val="231F20"/>
          <w:spacing w:val="33"/>
        </w:rPr>
        <w:t> </w:t>
      </w:r>
      <w:r>
        <w:rPr>
          <w:color w:val="231F20"/>
        </w:rPr>
        <w:t>avanzadas,</w:t>
      </w:r>
      <w:r>
        <w:rPr>
          <w:color w:val="231F20"/>
          <w:spacing w:val="33"/>
        </w:rPr>
        <w:t> </w:t>
      </w:r>
      <w:r>
        <w:rPr>
          <w:color w:val="231F20"/>
        </w:rPr>
        <w:t>cuando</w:t>
      </w:r>
      <w:r>
        <w:rPr>
          <w:color w:val="231F20"/>
          <w:spacing w:val="33"/>
        </w:rPr>
        <w:t> </w:t>
      </w:r>
      <w:r>
        <w:rPr>
          <w:color w:val="231F20"/>
        </w:rPr>
        <w:t>se</w:t>
      </w:r>
      <w:r>
        <w:rPr>
          <w:color w:val="231F20"/>
          <w:spacing w:val="33"/>
        </w:rPr>
        <w:t> </w:t>
      </w:r>
      <w:r>
        <w:rPr>
          <w:color w:val="231F20"/>
        </w:rPr>
        <w:t>invierte</w:t>
      </w:r>
      <w:r>
        <w:rPr>
          <w:color w:val="231F20"/>
          <w:spacing w:val="33"/>
        </w:rPr>
        <w:t> </w:t>
      </w:r>
      <w:r>
        <w:rPr>
          <w:color w:val="231F20"/>
        </w:rPr>
        <w:t>poco</w:t>
      </w:r>
      <w:r>
        <w:rPr>
          <w:color w:val="231F20"/>
          <w:spacing w:val="33"/>
        </w:rPr>
        <w:t> </w:t>
      </w:r>
      <w:r>
        <w:rPr>
          <w:color w:val="231F20"/>
        </w:rPr>
        <w:t>en</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8643" w:val="left" w:leader="none"/>
        </w:tabs>
        <w:spacing w:before="64"/>
        <w:ind w:left="1551" w:right="0" w:firstLine="0"/>
        <w:jc w:val="left"/>
        <w:rPr>
          <w:sz w:val="12"/>
        </w:rPr>
      </w:pPr>
      <w:r>
        <w:rPr>
          <w:color w:val="231F20"/>
          <w:spacing w:val="-5"/>
          <w:w w:val="125"/>
          <w:sz w:val="22"/>
        </w:rPr>
        <w:t>10</w:t>
        <w:tab/>
      </w:r>
      <w:r>
        <w:rPr>
          <w:color w:val="231F20"/>
          <w:w w:val="125"/>
          <w:sz w:val="18"/>
        </w:rPr>
        <w:t>S</w:t>
      </w:r>
      <w:r>
        <w:rPr>
          <w:color w:val="231F20"/>
          <w:w w:val="125"/>
          <w:sz w:val="12"/>
        </w:rPr>
        <w:t>ección  </w:t>
      </w:r>
      <w:r>
        <w:rPr>
          <w:color w:val="231F20"/>
          <w:w w:val="125"/>
          <w:sz w:val="18"/>
        </w:rPr>
        <w:t>1.  </w:t>
      </w:r>
      <w:r>
        <w:rPr>
          <w:color w:val="231F20"/>
          <w:spacing w:val="15"/>
          <w:w w:val="125"/>
          <w:sz w:val="18"/>
        </w:rPr>
        <w:t> </w:t>
      </w:r>
      <w:r>
        <w:rPr>
          <w:color w:val="231F20"/>
          <w:w w:val="125"/>
          <w:sz w:val="18"/>
        </w:rPr>
        <w:t>i</w:t>
      </w:r>
      <w:r>
        <w:rPr>
          <w:color w:val="231F20"/>
          <w:w w:val="125"/>
          <w:sz w:val="12"/>
        </w:rPr>
        <w:t>ntroducción</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w w:val="105"/>
        </w:rPr>
        <w:t>activos “gastables”, tales como joyas o ganado,</w:t>
      </w:r>
      <w:r>
        <w:rPr>
          <w:color w:val="231F20"/>
          <w:spacing w:val="-18"/>
          <w:w w:val="105"/>
        </w:rPr>
        <w:t> </w:t>
      </w:r>
      <w:r>
        <w:rPr>
          <w:color w:val="231F20"/>
          <w:w w:val="105"/>
        </w:rPr>
        <w:t>o en ahorros informales (de grupo). Shipton</w:t>
      </w:r>
      <w:r>
        <w:rPr>
          <w:color w:val="231F20"/>
          <w:spacing w:val="-14"/>
          <w:w w:val="105"/>
        </w:rPr>
        <w:t> </w:t>
      </w:r>
      <w:r>
        <w:rPr>
          <w:color w:val="231F20"/>
          <w:w w:val="105"/>
        </w:rPr>
        <w:t>(1990) reporta que en comunidades rurales de </w:t>
      </w:r>
      <w:r>
        <w:rPr>
          <w:color w:val="231F20"/>
          <w:spacing w:val="38"/>
          <w:w w:val="105"/>
        </w:rPr>
        <w:t> </w:t>
      </w:r>
      <w:r>
        <w:rPr>
          <w:color w:val="231F20"/>
          <w:w w:val="105"/>
        </w:rPr>
        <w:t>Gambia</w:t>
      </w:r>
    </w:p>
    <w:p>
      <w:pPr>
        <w:pStyle w:val="BodyText"/>
        <w:spacing w:line="259" w:lineRule="auto"/>
        <w:ind w:left="1553"/>
        <w:jc w:val="both"/>
      </w:pPr>
      <w:r>
        <w:rPr>
          <w:color w:val="231F20"/>
        </w:rPr>
        <w:t>«el dinero es una cosa de la que hay que desha- cerse para convertirlo en formas más durables».</w:t>
      </w:r>
      <w:r>
        <w:rPr>
          <w:color w:val="231F20"/>
          <w:spacing w:val="-28"/>
        </w:rPr>
        <w:t> </w:t>
      </w:r>
      <w:r>
        <w:rPr>
          <w:color w:val="231F20"/>
        </w:rPr>
        <w:t>Al- gunas características hacen al dinero una manera inestable de riqueza en Gambia: su casi universal divisibilidad, portabilidad y convertibilidad. En las décadas de </w:t>
      </w:r>
      <w:r>
        <w:rPr>
          <w:color w:val="231F20"/>
          <w:spacing w:val="-3"/>
        </w:rPr>
        <w:t>1980 </w:t>
      </w:r>
      <w:r>
        <w:rPr>
          <w:color w:val="231F20"/>
        </w:rPr>
        <w:t>y 1990, en México se observa-  ron situaciones</w:t>
      </w:r>
      <w:r>
        <w:rPr>
          <w:color w:val="231F20"/>
          <w:spacing w:val="20"/>
        </w:rPr>
        <w:t> </w:t>
      </w:r>
      <w:r>
        <w:rPr>
          <w:color w:val="231F20"/>
        </w:rPr>
        <w:t>similares.</w:t>
      </w:r>
    </w:p>
    <w:p>
      <w:pPr>
        <w:pStyle w:val="BodyText"/>
        <w:spacing w:line="259" w:lineRule="auto" w:before="114"/>
        <w:ind w:left="1553"/>
        <w:jc w:val="both"/>
      </w:pPr>
      <w:r>
        <w:rPr>
          <w:color w:val="231F20"/>
          <w:spacing w:val="-4"/>
        </w:rPr>
        <w:t>Estas características hacen </w:t>
      </w:r>
      <w:r>
        <w:rPr>
          <w:color w:val="231F20"/>
          <w:spacing w:val="-3"/>
        </w:rPr>
        <w:t>que </w:t>
      </w:r>
      <w:r>
        <w:rPr>
          <w:color w:val="231F20"/>
        </w:rPr>
        <w:t>el </w:t>
      </w:r>
      <w:r>
        <w:rPr>
          <w:color w:val="231F20"/>
          <w:spacing w:val="-4"/>
        </w:rPr>
        <w:t>dinero </w:t>
      </w:r>
      <w:r>
        <w:rPr>
          <w:color w:val="231F20"/>
          <w:spacing w:val="-3"/>
        </w:rPr>
        <w:t>sea </w:t>
      </w:r>
      <w:r>
        <w:rPr>
          <w:color w:val="231F20"/>
          <w:spacing w:val="-4"/>
        </w:rPr>
        <w:t>poco aceptable. </w:t>
      </w:r>
      <w:r>
        <w:rPr>
          <w:color w:val="231F20"/>
          <w:spacing w:val="-3"/>
        </w:rPr>
        <w:t>Las </w:t>
      </w:r>
      <w:r>
        <w:rPr>
          <w:color w:val="231F20"/>
          <w:spacing w:val="-4"/>
        </w:rPr>
        <w:t>estrategias </w:t>
      </w:r>
      <w:r>
        <w:rPr>
          <w:color w:val="231F20"/>
        </w:rPr>
        <w:t>de </w:t>
      </w:r>
      <w:r>
        <w:rPr>
          <w:color w:val="231F20"/>
          <w:spacing w:val="-4"/>
        </w:rPr>
        <w:t>ahorro </w:t>
      </w:r>
      <w:r>
        <w:rPr>
          <w:color w:val="231F20"/>
        </w:rPr>
        <w:t>en </w:t>
      </w:r>
      <w:r>
        <w:rPr>
          <w:color w:val="231F20"/>
          <w:spacing w:val="-4"/>
        </w:rPr>
        <w:t>Gambia </w:t>
      </w:r>
      <w:r>
        <w:rPr>
          <w:color w:val="231F20"/>
          <w:spacing w:val="-3"/>
        </w:rPr>
        <w:t>es- tán </w:t>
      </w:r>
      <w:r>
        <w:rPr>
          <w:color w:val="231F20"/>
        </w:rPr>
        <w:t>en gran </w:t>
      </w:r>
      <w:r>
        <w:rPr>
          <w:color w:val="231F20"/>
          <w:spacing w:val="-4"/>
        </w:rPr>
        <w:t>medida encaminadas </w:t>
      </w:r>
      <w:r>
        <w:rPr>
          <w:color w:val="231F20"/>
        </w:rPr>
        <w:t>a </w:t>
      </w:r>
      <w:r>
        <w:rPr>
          <w:color w:val="231F20"/>
          <w:spacing w:val="-4"/>
        </w:rPr>
        <w:t>deshacerse de </w:t>
      </w:r>
      <w:r>
        <w:rPr>
          <w:color w:val="231F20"/>
          <w:spacing w:val="-3"/>
        </w:rPr>
        <w:t>esa </w:t>
      </w:r>
      <w:r>
        <w:rPr>
          <w:color w:val="231F20"/>
          <w:spacing w:val="-4"/>
        </w:rPr>
        <w:t>forma </w:t>
      </w:r>
      <w:r>
        <w:rPr>
          <w:color w:val="231F20"/>
        </w:rPr>
        <w:t>de </w:t>
      </w:r>
      <w:r>
        <w:rPr>
          <w:color w:val="231F20"/>
          <w:spacing w:val="-4"/>
        </w:rPr>
        <w:t>riqueza, </w:t>
      </w:r>
      <w:r>
        <w:rPr>
          <w:color w:val="231F20"/>
        </w:rPr>
        <w:t>la </w:t>
      </w:r>
      <w:r>
        <w:rPr>
          <w:color w:val="231F20"/>
          <w:spacing w:val="-3"/>
        </w:rPr>
        <w:t>cual </w:t>
      </w:r>
      <w:r>
        <w:rPr>
          <w:color w:val="231F20"/>
        </w:rPr>
        <w:t>es </w:t>
      </w:r>
      <w:r>
        <w:rPr>
          <w:color w:val="231F20"/>
          <w:spacing w:val="-4"/>
        </w:rPr>
        <w:t>fácilmente accesi-  </w:t>
      </w:r>
      <w:r>
        <w:rPr>
          <w:color w:val="231F20"/>
          <w:spacing w:val="-3"/>
        </w:rPr>
        <w:t>ble </w:t>
      </w:r>
      <w:r>
        <w:rPr>
          <w:color w:val="231F20"/>
        </w:rPr>
        <w:t>y </w:t>
      </w:r>
      <w:r>
        <w:rPr>
          <w:color w:val="231F20"/>
          <w:spacing w:val="-3"/>
        </w:rPr>
        <w:t>para </w:t>
      </w:r>
      <w:r>
        <w:rPr>
          <w:color w:val="231F20"/>
        </w:rPr>
        <w:t>no </w:t>
      </w:r>
      <w:r>
        <w:rPr>
          <w:color w:val="231F20"/>
          <w:spacing w:val="-4"/>
        </w:rPr>
        <w:t>parecer antisocial. </w:t>
      </w:r>
      <w:r>
        <w:rPr>
          <w:color w:val="231F20"/>
          <w:spacing w:val="-3"/>
        </w:rPr>
        <w:t>Así,  </w:t>
      </w:r>
      <w:r>
        <w:rPr>
          <w:color w:val="231F20"/>
        </w:rPr>
        <w:t>la </w:t>
      </w:r>
      <w:r>
        <w:rPr>
          <w:color w:val="231F20"/>
          <w:spacing w:val="-4"/>
        </w:rPr>
        <w:t>gente  trata </w:t>
      </w:r>
      <w:r>
        <w:rPr>
          <w:color w:val="231F20"/>
        </w:rPr>
        <w:t>de </w:t>
      </w:r>
      <w:r>
        <w:rPr>
          <w:color w:val="231F20"/>
          <w:spacing w:val="-4"/>
        </w:rPr>
        <w:t>mantener </w:t>
      </w:r>
      <w:r>
        <w:rPr>
          <w:color w:val="231F20"/>
        </w:rPr>
        <w:t>un </w:t>
      </w:r>
      <w:r>
        <w:rPr>
          <w:color w:val="231F20"/>
          <w:spacing w:val="-4"/>
        </w:rPr>
        <w:t>balance entre activos </w:t>
      </w:r>
      <w:r>
        <w:rPr>
          <w:color w:val="231F20"/>
          <w:spacing w:val="-3"/>
        </w:rPr>
        <w:t>más </w:t>
      </w:r>
      <w:r>
        <w:rPr>
          <w:color w:val="231F20"/>
        </w:rPr>
        <w:t>o </w:t>
      </w:r>
      <w:r>
        <w:rPr>
          <w:color w:val="231F20"/>
          <w:spacing w:val="-4"/>
        </w:rPr>
        <w:t>menos convertibles </w:t>
      </w:r>
      <w:r>
        <w:rPr>
          <w:color w:val="231F20"/>
          <w:spacing w:val="-3"/>
        </w:rPr>
        <w:t>para </w:t>
      </w:r>
      <w:r>
        <w:rPr>
          <w:color w:val="231F20"/>
          <w:spacing w:val="-4"/>
        </w:rPr>
        <w:t>permitirles </w:t>
      </w:r>
      <w:r>
        <w:rPr>
          <w:color w:val="231F20"/>
        </w:rPr>
        <w:t>un </w:t>
      </w:r>
      <w:r>
        <w:rPr>
          <w:color w:val="231F20"/>
          <w:spacing w:val="-4"/>
        </w:rPr>
        <w:t>consumo </w:t>
      </w:r>
      <w:r>
        <w:rPr>
          <w:color w:val="231F20"/>
          <w:spacing w:val="-5"/>
        </w:rPr>
        <w:t>regular, </w:t>
      </w:r>
      <w:r>
        <w:rPr>
          <w:color w:val="231F20"/>
          <w:spacing w:val="-4"/>
        </w:rPr>
        <w:t>mientras </w:t>
      </w:r>
      <w:r>
        <w:rPr>
          <w:color w:val="231F20"/>
          <w:spacing w:val="-3"/>
        </w:rPr>
        <w:t>que </w:t>
      </w:r>
      <w:r>
        <w:rPr>
          <w:color w:val="231F20"/>
        </w:rPr>
        <w:t>al </w:t>
      </w:r>
      <w:r>
        <w:rPr>
          <w:color w:val="231F20"/>
          <w:spacing w:val="-4"/>
        </w:rPr>
        <w:t>mismo tiempo protege </w:t>
      </w:r>
      <w:r>
        <w:rPr>
          <w:color w:val="231F20"/>
          <w:spacing w:val="-3"/>
        </w:rPr>
        <w:t>sus </w:t>
      </w:r>
      <w:r>
        <w:rPr>
          <w:color w:val="231F20"/>
          <w:spacing w:val="-4"/>
        </w:rPr>
        <w:t>ahorros </w:t>
      </w:r>
      <w:r>
        <w:rPr>
          <w:color w:val="231F20"/>
          <w:spacing w:val="-3"/>
        </w:rPr>
        <w:t>para </w:t>
      </w:r>
      <w:r>
        <w:rPr>
          <w:color w:val="231F20"/>
          <w:spacing w:val="-4"/>
        </w:rPr>
        <w:t>inversiones </w:t>
      </w:r>
      <w:r>
        <w:rPr>
          <w:color w:val="231F20"/>
        </w:rPr>
        <w:t>a </w:t>
      </w:r>
      <w:r>
        <w:rPr>
          <w:color w:val="231F20"/>
          <w:spacing w:val="-4"/>
        </w:rPr>
        <w:t>mayor escala </w:t>
      </w:r>
      <w:r>
        <w:rPr>
          <w:color w:val="231F20"/>
        </w:rPr>
        <w:t>o </w:t>
      </w:r>
      <w:r>
        <w:rPr>
          <w:color w:val="231F20"/>
          <w:spacing w:val="-3"/>
        </w:rPr>
        <w:t>para </w:t>
      </w:r>
      <w:r>
        <w:rPr>
          <w:color w:val="231F20"/>
          <w:spacing w:val="-4"/>
        </w:rPr>
        <w:t>satisfacer </w:t>
      </w:r>
      <w:r>
        <w:rPr>
          <w:color w:val="231F20"/>
          <w:spacing w:val="-3"/>
        </w:rPr>
        <w:t>ne- </w:t>
      </w:r>
      <w:r>
        <w:rPr>
          <w:color w:val="231F20"/>
          <w:spacing w:val="-4"/>
        </w:rPr>
        <w:t>cesidades </w:t>
      </w:r>
      <w:r>
        <w:rPr>
          <w:color w:val="231F20"/>
        </w:rPr>
        <w:t>de </w:t>
      </w:r>
      <w:r>
        <w:rPr>
          <w:color w:val="231F20"/>
          <w:spacing w:val="-4"/>
        </w:rPr>
        <w:t>consumo esperadas </w:t>
      </w:r>
      <w:r>
        <w:rPr>
          <w:color w:val="231F20"/>
        </w:rPr>
        <w:t>en el </w:t>
      </w:r>
      <w:r>
        <w:rPr>
          <w:color w:val="231F20"/>
          <w:spacing w:val="-4"/>
        </w:rPr>
        <w:t>futuro. En realidad, </w:t>
      </w:r>
      <w:r>
        <w:rPr>
          <w:color w:val="231F20"/>
        </w:rPr>
        <w:t>en </w:t>
      </w:r>
      <w:r>
        <w:rPr>
          <w:color w:val="231F20"/>
          <w:spacing w:val="-4"/>
        </w:rPr>
        <w:t>lugar </w:t>
      </w:r>
      <w:r>
        <w:rPr>
          <w:color w:val="231F20"/>
        </w:rPr>
        <w:t>de </w:t>
      </w:r>
      <w:r>
        <w:rPr>
          <w:color w:val="231F20"/>
          <w:spacing w:val="-4"/>
        </w:rPr>
        <w:t>recibir </w:t>
      </w:r>
      <w:r>
        <w:rPr>
          <w:color w:val="231F20"/>
          <w:spacing w:val="-3"/>
        </w:rPr>
        <w:t>ingreso por los </w:t>
      </w:r>
      <w:r>
        <w:rPr>
          <w:color w:val="231F20"/>
          <w:spacing w:val="-4"/>
        </w:rPr>
        <w:t>intereses </w:t>
      </w:r>
      <w:r>
        <w:rPr>
          <w:color w:val="231F20"/>
        </w:rPr>
        <w:t>de </w:t>
      </w:r>
      <w:r>
        <w:rPr>
          <w:color w:val="231F20"/>
          <w:spacing w:val="-3"/>
        </w:rPr>
        <w:t>sus </w:t>
      </w:r>
      <w:r>
        <w:rPr>
          <w:color w:val="231F20"/>
          <w:spacing w:val="-4"/>
        </w:rPr>
        <w:t>ahorros financieros </w:t>
      </w:r>
      <w:r>
        <w:rPr>
          <w:color w:val="231F20"/>
        </w:rPr>
        <w:t>en </w:t>
      </w:r>
      <w:r>
        <w:rPr>
          <w:color w:val="231F20"/>
          <w:spacing w:val="-4"/>
        </w:rPr>
        <w:t>animales, </w:t>
      </w:r>
      <w:r>
        <w:rPr>
          <w:color w:val="231F20"/>
        </w:rPr>
        <w:t>la </w:t>
      </w:r>
      <w:r>
        <w:rPr>
          <w:color w:val="231F20"/>
          <w:spacing w:val="-4"/>
        </w:rPr>
        <w:t>gente </w:t>
      </w:r>
      <w:r>
        <w:rPr>
          <w:color w:val="231F20"/>
          <w:spacing w:val="-3"/>
        </w:rPr>
        <w:t>po- bre </w:t>
      </w:r>
      <w:r>
        <w:rPr>
          <w:color w:val="231F20"/>
        </w:rPr>
        <w:t>a </w:t>
      </w:r>
      <w:r>
        <w:rPr>
          <w:color w:val="231F20"/>
          <w:spacing w:val="-4"/>
        </w:rPr>
        <w:t>menudo </w:t>
      </w:r>
      <w:r>
        <w:rPr>
          <w:color w:val="231F20"/>
          <w:spacing w:val="-3"/>
        </w:rPr>
        <w:t>paga </w:t>
      </w:r>
      <w:r>
        <w:rPr>
          <w:color w:val="231F20"/>
          <w:spacing w:val="-4"/>
        </w:rPr>
        <w:t>cuotas </w:t>
      </w:r>
      <w:r>
        <w:rPr>
          <w:color w:val="231F20"/>
          <w:spacing w:val="-3"/>
        </w:rPr>
        <w:t>por </w:t>
      </w:r>
      <w:r>
        <w:rPr>
          <w:color w:val="231F20"/>
          <w:spacing w:val="-4"/>
        </w:rPr>
        <w:t>depositar </w:t>
      </w:r>
      <w:r>
        <w:rPr>
          <w:color w:val="231F20"/>
          <w:spacing w:val="-3"/>
        </w:rPr>
        <w:t>sus </w:t>
      </w:r>
      <w:r>
        <w:rPr>
          <w:color w:val="231F20"/>
          <w:spacing w:val="-4"/>
        </w:rPr>
        <w:t>ahorros </w:t>
      </w:r>
      <w:r>
        <w:rPr>
          <w:color w:val="231F20"/>
        </w:rPr>
        <w:t>al </w:t>
      </w:r>
      <w:r>
        <w:rPr>
          <w:color w:val="231F20"/>
          <w:spacing w:val="-3"/>
        </w:rPr>
        <w:t>invertir </w:t>
      </w:r>
      <w:r>
        <w:rPr>
          <w:color w:val="231F20"/>
        </w:rPr>
        <w:t>en </w:t>
      </w:r>
      <w:r>
        <w:rPr>
          <w:color w:val="231F20"/>
          <w:spacing w:val="-4"/>
        </w:rPr>
        <w:t>mantenimiento </w:t>
      </w:r>
      <w:r>
        <w:rPr>
          <w:color w:val="231F20"/>
        </w:rPr>
        <w:t>de </w:t>
      </w:r>
      <w:r>
        <w:rPr>
          <w:color w:val="231F20"/>
          <w:spacing w:val="-3"/>
        </w:rPr>
        <w:t>los</w:t>
      </w:r>
      <w:r>
        <w:rPr>
          <w:color w:val="231F20"/>
          <w:spacing w:val="24"/>
        </w:rPr>
        <w:t> </w:t>
      </w:r>
      <w:r>
        <w:rPr>
          <w:color w:val="231F20"/>
          <w:spacing w:val="-4"/>
        </w:rPr>
        <w:t>animales.</w:t>
      </w:r>
    </w:p>
    <w:p>
      <w:pPr>
        <w:pStyle w:val="BodyText"/>
        <w:spacing w:line="259" w:lineRule="auto" w:before="114"/>
        <w:ind w:left="1553"/>
        <w:jc w:val="both"/>
      </w:pPr>
      <w:r>
        <w:rPr>
          <w:color w:val="231F20"/>
        </w:rPr>
        <w:t>Si se prefiere una baja convertibilidad, se  logra  con inversiones en activos  que  son  relativamen- te poco intercambiables o que tienen altos costos de transacción o barreras para su acceso. La baja intercambiabilidad está asociada con una reducida diversificación, con implicaciones de riesgos sub- secuentes (por pérdida o por venta forzada a bajo precio) y con dificultades (para los pobres) para acumular otros activos suficientes para obtenerlos. Las barreras de acceso pueden implicar alguna pérdida de control sobre un recurso, y eso tam- bién conlleva riesgo. Los altos costos de transac- ción pueden ser detrimentales para convertir en efectivo pequeños activos de valor, pero pueden ser importantes cuando esto sea </w:t>
      </w:r>
      <w:r>
        <w:rPr>
          <w:color w:val="231F20"/>
          <w:spacing w:val="36"/>
        </w:rPr>
        <w:t> </w:t>
      </w:r>
      <w:r>
        <w:rPr>
          <w:color w:val="231F20"/>
        </w:rPr>
        <w:t>necesario.</w:t>
      </w:r>
    </w:p>
    <w:p>
      <w:pPr>
        <w:pStyle w:val="BodyText"/>
        <w:spacing w:line="259" w:lineRule="auto" w:before="114"/>
        <w:ind w:left="1553"/>
        <w:jc w:val="both"/>
      </w:pPr>
      <w:r>
        <w:rPr>
          <w:color w:val="231F20"/>
        </w:rPr>
        <w:t>Lo anterior está determinado en gran medida por las instituciones, formales e informales, en el in-</w:t>
      </w:r>
    </w:p>
    <w:p>
      <w:pPr>
        <w:pStyle w:val="BodyText"/>
        <w:spacing w:line="256" w:lineRule="auto" w:before="67"/>
        <w:ind w:left="412" w:right="1551"/>
        <w:jc w:val="both"/>
      </w:pPr>
      <w:r>
        <w:rPr/>
        <w:br w:type="column"/>
      </w:r>
      <w:r>
        <w:rPr>
          <w:color w:val="231F20"/>
        </w:rPr>
        <w:t>terior de las comunidades campesinas. Estas ins- tituciones tienen reglas y leyes que determinan el acceso a recursos y activos, las transacciones entre los individuos y la actividad de grupos dentro de  las organizaciones. En las comunidades rurales po- bres los productores tienen que tomar decisiones en ambientes con un alto grado de incertidumbre, y estas decisiones están sujetas a una racionali- zación personal y de grupo. Aunque los animales por lo general pertenecen a un solo dueño, exis- ten otros recursos, como la tierra y el agua, de las cuales dependen los animales, que son de uso común, por lo que la decisión sobre qué hacer con los animales depende muchas veces del beneficio  o perjuicio de</w:t>
      </w:r>
      <w:r>
        <w:rPr>
          <w:color w:val="231F20"/>
          <w:spacing w:val="19"/>
        </w:rPr>
        <w:t> </w:t>
      </w:r>
      <w:r>
        <w:rPr>
          <w:color w:val="231F20"/>
        </w:rPr>
        <w:t>otros.</w:t>
      </w:r>
    </w:p>
    <w:p>
      <w:pPr>
        <w:pStyle w:val="BodyText"/>
        <w:spacing w:line="256" w:lineRule="auto" w:before="112"/>
        <w:ind w:left="412" w:right="1551"/>
        <w:jc w:val="both"/>
      </w:pPr>
      <w:r>
        <w:rPr>
          <w:color w:val="231F20"/>
        </w:rPr>
        <w:t>Cuando un productor  decide  realizar  la  compra, la venta o el intercambio de ganado, en la tran- sacción se usa información, regateo, contratación, compromiso y otras interrelaciones que determi- nan el resultado final.</w:t>
      </w:r>
    </w:p>
    <w:p>
      <w:pPr>
        <w:pStyle w:val="BodyText"/>
        <w:spacing w:line="256" w:lineRule="auto" w:before="112"/>
        <w:ind w:left="412" w:right="1551"/>
        <w:jc w:val="both"/>
      </w:pPr>
      <w:r>
        <w:rPr>
          <w:color w:val="231F20"/>
        </w:rPr>
        <w:t>Los animales pueden ser considerados como activos de capital, producidos en el pasado, que contribuyen a la producción futura. Invertir en</w:t>
      </w:r>
      <w:r>
        <w:rPr>
          <w:color w:val="231F20"/>
          <w:spacing w:val="-21"/>
        </w:rPr>
        <w:t> </w:t>
      </w:r>
      <w:r>
        <w:rPr>
          <w:color w:val="231F20"/>
        </w:rPr>
        <w:t>ellos o adquirirlos supone ahorro y solicitud de présta- mos, que se justifican por la esperanza de obte-  ner ganancias o ingreso en el futuro. Aparte de lo que implica tener un activo durable, es necesario tener capital circulante para completar los costos actuales de producción. Así, por ejemplo, aunque las funciones de ahorro, amortiguamiento y seguro por parte de los animales dentro de las estrategias de los modos de vida han sido bien reconocidas, la investigación y las intervenciones técnicas tienden todavía a poner énfasis en las mejoras productivas (LID, 1999). Para el caso de innovaciones en al- gunas especies animales, esto sin duda sería muy apropiado para que un específico tipo de gente pobre cambiara sus estrategias en sus modos de vida. Sin embargo, existe una gran mayoría de si- tuaciones en México en las cuales se necesitaría hacer un cuidadoso balance entre emprender una mejora</w:t>
      </w:r>
      <w:r>
        <w:rPr>
          <w:color w:val="231F20"/>
          <w:spacing w:val="31"/>
        </w:rPr>
        <w:t> </w:t>
      </w:r>
      <w:r>
        <w:rPr>
          <w:color w:val="231F20"/>
        </w:rPr>
        <w:t>productiva,</w:t>
      </w:r>
      <w:r>
        <w:rPr>
          <w:color w:val="231F20"/>
          <w:spacing w:val="31"/>
        </w:rPr>
        <w:t> </w:t>
      </w:r>
      <w:r>
        <w:rPr>
          <w:color w:val="231F20"/>
        </w:rPr>
        <w:t>por</w:t>
      </w:r>
      <w:r>
        <w:rPr>
          <w:color w:val="231F20"/>
          <w:spacing w:val="31"/>
        </w:rPr>
        <w:t> </w:t>
      </w:r>
      <w:r>
        <w:rPr>
          <w:color w:val="231F20"/>
        </w:rPr>
        <w:t>una</w:t>
      </w:r>
      <w:r>
        <w:rPr>
          <w:color w:val="231F20"/>
          <w:spacing w:val="31"/>
        </w:rPr>
        <w:t> </w:t>
      </w:r>
      <w:r>
        <w:rPr>
          <w:color w:val="231F20"/>
        </w:rPr>
        <w:t>parte,</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necesidad</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1.      </w:t>
      </w:r>
      <w:r>
        <w:rPr>
          <w:color w:val="231F20"/>
          <w:spacing w:val="24"/>
          <w:sz w:val="18"/>
        </w:rPr>
        <w:t> </w:t>
      </w:r>
      <w:r>
        <w:rPr>
          <w:color w:val="231F20"/>
          <w:sz w:val="18"/>
        </w:rPr>
        <w:t>Contribución de la producción animal en pequeña escala a las estrategias de vida</w:t>
      </w:r>
      <w:r>
        <w:rPr>
          <w:color w:val="231F20"/>
          <w:spacing w:val="15"/>
          <w:sz w:val="18"/>
        </w:rPr>
        <w:t> </w:t>
      </w:r>
      <w:r>
        <w:rPr>
          <w:color w:val="231F20"/>
          <w:sz w:val="18"/>
        </w:rPr>
        <w:t>campesinas</w:t>
      </w:r>
      <w:r>
        <w:rPr>
          <w:color w:val="231F20"/>
          <w:sz w:val="22"/>
        </w:rPr>
        <w:tab/>
      </w:r>
      <w:r>
        <w:rPr>
          <w:color w:val="231F20"/>
          <w:spacing w:val="-9"/>
          <w:sz w:val="22"/>
        </w:rPr>
        <w:t>11</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de asegurar para la gente el ahorro y la seguridad (seguro) que han logrado, por la otra. Así pues, se necesita un entendimiento más sofisticado sobre los efectos que tiene en la gente el realizar cam- bios en sus portafolios de activos y su acceso a los mercados, sobre sus beneficios al criar o cambiar   la forma de criar ganado. Muy a menudo es ne- cesario preguntarse cómo se comparan (y como afecta el uno al otro), por ejemplo, realizar cam- bios en la forma de criar animales y el acceso a sistemas microfinancieros para proveer de medios de ahorro y seguro a las familias </w:t>
      </w:r>
      <w:r>
        <w:rPr>
          <w:color w:val="231F20"/>
          <w:spacing w:val="40"/>
        </w:rPr>
        <w:t> </w:t>
      </w:r>
      <w:r>
        <w:rPr>
          <w:color w:val="231F20"/>
        </w:rPr>
        <w:t>pobres.</w:t>
      </w:r>
    </w:p>
    <w:p>
      <w:pPr>
        <w:pStyle w:val="BodyText"/>
        <w:spacing w:line="256" w:lineRule="auto" w:before="112"/>
        <w:ind w:left="1553"/>
        <w:jc w:val="both"/>
      </w:pPr>
      <w:r>
        <w:rPr>
          <w:color w:val="231F20"/>
        </w:rPr>
        <w:t>Un análisis de los animales como activos en los modos de vida rurales necesita, por lo tanto, exa- minar las funciones de los diferentes tipos de animales dentro de los portafolios de activos que posee la gente pobre, y que tienen distintas estra- tegias en sus modos de vida. Tal análisis debe lle- var hacia una categorización de los tipos de capital (como se enfatiza en el pentágono de capitales de los modos de vida sustentables) para identificar prioridades que guíen políticas, y para el apoyo a intervenciones tecnológicas de soporte y de acce- so a activos animales y otros elementos. Esta prio- rización deberá relacionar el acceso que la gente pobre tiene a diferentes tipos de activos, además de los animales, y las funciones que tienen esos activos con las estrategias dinámicas y cambiantes</w:t>
      </w:r>
      <w:r>
        <w:rPr>
          <w:color w:val="231F20"/>
          <w:w w:val="101"/>
        </w:rPr>
        <w:t> </w:t>
      </w:r>
      <w:r>
        <w:rPr>
          <w:color w:val="231F20"/>
        </w:rPr>
        <w:t>de los modos de vida, identificando entonces cuá- les serían las formas de desarrollo de esos modos de vida y cuáles serían los efectos de cambiar los</w:t>
      </w:r>
      <w:r>
        <w:rPr>
          <w:color w:val="231F20"/>
          <w:w w:val="101"/>
        </w:rPr>
        <w:t> </w:t>
      </w:r>
      <w:r>
        <w:rPr>
          <w:color w:val="231F20"/>
        </w:rPr>
        <w:t>papeles o funciones de los activos (los animales, por ejemplo) en esas nuevas   formas.</w:t>
      </w:r>
    </w:p>
    <w:p>
      <w:pPr>
        <w:pStyle w:val="BodyText"/>
        <w:spacing w:line="256" w:lineRule="auto" w:before="112"/>
        <w:ind w:left="1553"/>
        <w:jc w:val="both"/>
      </w:pPr>
      <w:r>
        <w:rPr>
          <w:color w:val="231F20"/>
        </w:rPr>
        <w:t>Así, regresando al análisis de los animales, interés de esta sección, es importante preguntarse por el papel del ganado en las estrategias de los modos de vida de los pobres. ¿La producción animal les ayudará a salir de la pobreza? ¿Qué tan importan- tes son las especies animales como formas de ahorro  e  ingreso  comparadas  con  otras fuentes?</w:t>
      </w:r>
    </w:p>
    <w:p>
      <w:pPr>
        <w:pStyle w:val="BodyText"/>
        <w:spacing w:line="256" w:lineRule="auto"/>
        <w:ind w:left="1553"/>
        <w:jc w:val="both"/>
      </w:pPr>
      <w:r>
        <w:rPr>
          <w:color w:val="231F20"/>
        </w:rPr>
        <w:t>¿Y cómo varía esta importancia entre las distintas especies animales, estrategias de vida y    estratos?</w:t>
      </w:r>
    </w:p>
    <w:p>
      <w:pPr>
        <w:pStyle w:val="BodyText"/>
        <w:spacing w:before="3"/>
        <w:rPr>
          <w:sz w:val="28"/>
        </w:rPr>
      </w:pPr>
      <w:r>
        <w:rPr/>
        <w:br w:type="column"/>
      </w:r>
      <w:r>
        <w:rPr>
          <w:sz w:val="28"/>
        </w:rPr>
      </w:r>
    </w:p>
    <w:p>
      <w:pPr>
        <w:pStyle w:val="BodyText"/>
        <w:spacing w:line="256" w:lineRule="auto"/>
        <w:ind w:left="412" w:right="1551"/>
        <w:jc w:val="both"/>
      </w:pPr>
      <w:r>
        <w:rPr>
          <w:color w:val="231F20"/>
        </w:rPr>
        <w:t>¿Cómo se comparan la producción animal y su ahorro con otras formas y actividades productivas</w:t>
      </w:r>
      <w:r>
        <w:rPr>
          <w:color w:val="231F20"/>
          <w:spacing w:val="-32"/>
        </w:rPr>
        <w:t> </w:t>
      </w:r>
      <w:r>
        <w:rPr>
          <w:color w:val="231F20"/>
        </w:rPr>
        <w:t>y de ahorro? ¿De qué manera la producción animal se complementa con la actividad agrícola y con las actividades no agropecuarias en su participación para generar ingreso y otros activos? Preguntas como éstas requieren un análisis  sistemático  de las funciones de los activos en las diversas estrate- gias de los modos de vida de la gente   </w:t>
      </w:r>
      <w:r>
        <w:rPr>
          <w:color w:val="231F20"/>
          <w:spacing w:val="28"/>
        </w:rPr>
        <w:t> </w:t>
      </w:r>
      <w:r>
        <w:rPr>
          <w:color w:val="231F20"/>
        </w:rPr>
        <w:t>pobre.</w:t>
      </w:r>
    </w:p>
    <w:p>
      <w:pPr>
        <w:pStyle w:val="BodyText"/>
        <w:spacing w:line="256" w:lineRule="auto" w:before="112"/>
        <w:ind w:left="412" w:right="1551"/>
        <w:jc w:val="both"/>
      </w:pPr>
      <w:r>
        <w:rPr>
          <w:color w:val="231F20"/>
          <w:spacing w:val="-3"/>
        </w:rPr>
        <w:t>Los </w:t>
      </w:r>
      <w:r>
        <w:rPr>
          <w:color w:val="231F20"/>
          <w:spacing w:val="-4"/>
        </w:rPr>
        <w:t>animales, entonces, </w:t>
      </w:r>
      <w:r>
        <w:rPr>
          <w:color w:val="231F20"/>
          <w:spacing w:val="-3"/>
        </w:rPr>
        <w:t>son </w:t>
      </w:r>
      <w:r>
        <w:rPr>
          <w:color w:val="231F20"/>
          <w:spacing w:val="-4"/>
        </w:rPr>
        <w:t>activos productivos </w:t>
      </w:r>
      <w:r>
        <w:rPr>
          <w:color w:val="231F20"/>
        </w:rPr>
        <w:t>o </w:t>
      </w:r>
      <w:r>
        <w:rPr>
          <w:color w:val="231F20"/>
          <w:spacing w:val="-4"/>
        </w:rPr>
        <w:t>de capital. </w:t>
      </w:r>
      <w:r>
        <w:rPr>
          <w:color w:val="231F20"/>
          <w:spacing w:val="-3"/>
        </w:rPr>
        <w:t>Una </w:t>
      </w:r>
      <w:r>
        <w:rPr>
          <w:color w:val="231F20"/>
          <w:spacing w:val="-4"/>
        </w:rPr>
        <w:t>parvada </w:t>
      </w:r>
      <w:r>
        <w:rPr>
          <w:color w:val="231F20"/>
        </w:rPr>
        <w:t>o </w:t>
      </w:r>
      <w:r>
        <w:rPr>
          <w:color w:val="231F20"/>
          <w:spacing w:val="-4"/>
        </w:rPr>
        <w:t>rebaño </w:t>
      </w:r>
      <w:r>
        <w:rPr>
          <w:color w:val="231F20"/>
        </w:rPr>
        <w:t>es un </w:t>
      </w:r>
      <w:r>
        <w:rPr>
          <w:color w:val="231F20"/>
          <w:spacing w:val="-4"/>
        </w:rPr>
        <w:t>capital </w:t>
      </w:r>
      <w:r>
        <w:rPr>
          <w:color w:val="231F20"/>
        </w:rPr>
        <w:t>en </w:t>
      </w:r>
      <w:r>
        <w:rPr>
          <w:color w:val="231F20"/>
          <w:spacing w:val="-3"/>
        </w:rPr>
        <w:t>re- </w:t>
      </w:r>
      <w:r>
        <w:rPr>
          <w:color w:val="231F20"/>
          <w:spacing w:val="-4"/>
        </w:rPr>
        <w:t>serva, resultado </w:t>
      </w:r>
      <w:r>
        <w:rPr>
          <w:color w:val="231F20"/>
        </w:rPr>
        <w:t>de </w:t>
      </w:r>
      <w:r>
        <w:rPr>
          <w:color w:val="231F20"/>
          <w:spacing w:val="-3"/>
        </w:rPr>
        <w:t>una </w:t>
      </w:r>
      <w:r>
        <w:rPr>
          <w:color w:val="231F20"/>
          <w:spacing w:val="-4"/>
        </w:rPr>
        <w:t>actividad productiva pasada, </w:t>
      </w:r>
      <w:r>
        <w:rPr>
          <w:color w:val="231F20"/>
          <w:spacing w:val="-3"/>
        </w:rPr>
        <w:t>que </w:t>
      </w:r>
      <w:r>
        <w:rPr>
          <w:color w:val="231F20"/>
        </w:rPr>
        <w:t>se </w:t>
      </w:r>
      <w:r>
        <w:rPr>
          <w:color w:val="231F20"/>
          <w:spacing w:val="-4"/>
        </w:rPr>
        <w:t>supone incrementará </w:t>
      </w:r>
      <w:r>
        <w:rPr>
          <w:color w:val="231F20"/>
        </w:rPr>
        <w:t>el </w:t>
      </w:r>
      <w:r>
        <w:rPr>
          <w:color w:val="231F20"/>
          <w:spacing w:val="-3"/>
        </w:rPr>
        <w:t>ingreso del </w:t>
      </w:r>
      <w:r>
        <w:rPr>
          <w:color w:val="231F20"/>
          <w:spacing w:val="-4"/>
        </w:rPr>
        <w:t>hogar </w:t>
      </w:r>
      <w:r>
        <w:rPr>
          <w:color w:val="231F20"/>
          <w:spacing w:val="-3"/>
        </w:rPr>
        <w:t>so- bre </w:t>
      </w:r>
      <w:r>
        <w:rPr>
          <w:color w:val="231F20"/>
          <w:spacing w:val="-4"/>
        </w:rPr>
        <w:t>aquellos derivados </w:t>
      </w:r>
      <w:r>
        <w:rPr>
          <w:color w:val="231F20"/>
        </w:rPr>
        <w:t>de </w:t>
      </w:r>
      <w:r>
        <w:rPr>
          <w:color w:val="231F20"/>
          <w:spacing w:val="-3"/>
        </w:rPr>
        <w:t>los </w:t>
      </w:r>
      <w:r>
        <w:rPr>
          <w:color w:val="231F20"/>
          <w:spacing w:val="-4"/>
        </w:rPr>
        <w:t>insumos </w:t>
      </w:r>
      <w:r>
        <w:rPr>
          <w:color w:val="231F20"/>
        </w:rPr>
        <w:t>y la </w:t>
      </w:r>
      <w:r>
        <w:rPr>
          <w:color w:val="231F20"/>
          <w:spacing w:val="-3"/>
        </w:rPr>
        <w:t>mano </w:t>
      </w:r>
      <w:r>
        <w:rPr>
          <w:color w:val="231F20"/>
          <w:spacing w:val="-4"/>
        </w:rPr>
        <w:t>de obra. </w:t>
      </w:r>
      <w:r>
        <w:rPr>
          <w:color w:val="231F20"/>
        </w:rPr>
        <w:t>La </w:t>
      </w:r>
      <w:r>
        <w:rPr>
          <w:color w:val="231F20"/>
          <w:spacing w:val="-4"/>
        </w:rPr>
        <w:t>familia tiene derechos </w:t>
      </w:r>
      <w:r>
        <w:rPr>
          <w:color w:val="231F20"/>
        </w:rPr>
        <w:t>y </w:t>
      </w:r>
      <w:r>
        <w:rPr>
          <w:color w:val="231F20"/>
          <w:spacing w:val="-4"/>
        </w:rPr>
        <w:t>control, asociados al ganado </w:t>
      </w:r>
      <w:r>
        <w:rPr>
          <w:color w:val="231F20"/>
        </w:rPr>
        <w:t>y al </w:t>
      </w:r>
      <w:r>
        <w:rPr>
          <w:color w:val="231F20"/>
          <w:spacing w:val="-3"/>
        </w:rPr>
        <w:t>uso </w:t>
      </w:r>
      <w:r>
        <w:rPr>
          <w:color w:val="231F20"/>
        </w:rPr>
        <w:t>de </w:t>
      </w:r>
      <w:r>
        <w:rPr>
          <w:color w:val="231F20"/>
          <w:spacing w:val="-3"/>
        </w:rPr>
        <w:t>sus </w:t>
      </w:r>
      <w:r>
        <w:rPr>
          <w:color w:val="231F20"/>
          <w:spacing w:val="-4"/>
        </w:rPr>
        <w:t>productos.  </w:t>
      </w:r>
      <w:r>
        <w:rPr>
          <w:color w:val="231F20"/>
        </w:rPr>
        <w:t>La </w:t>
      </w:r>
      <w:r>
        <w:rPr>
          <w:color w:val="231F20"/>
          <w:spacing w:val="-4"/>
        </w:rPr>
        <w:t>acumulación  </w:t>
      </w:r>
      <w:r>
        <w:rPr>
          <w:color w:val="231F20"/>
        </w:rPr>
        <w:t>de </w:t>
      </w:r>
      <w:r>
        <w:rPr>
          <w:color w:val="231F20"/>
          <w:spacing w:val="-4"/>
        </w:rPr>
        <w:t>capital, </w:t>
      </w:r>
      <w:r>
        <w:rPr>
          <w:color w:val="231F20"/>
        </w:rPr>
        <w:t>al </w:t>
      </w:r>
      <w:r>
        <w:rPr>
          <w:color w:val="231F20"/>
          <w:spacing w:val="-4"/>
        </w:rPr>
        <w:t>criar ganado, </w:t>
      </w:r>
      <w:r>
        <w:rPr>
          <w:color w:val="231F20"/>
        </w:rPr>
        <w:t>es </w:t>
      </w:r>
      <w:r>
        <w:rPr>
          <w:color w:val="231F20"/>
          <w:spacing w:val="-3"/>
        </w:rPr>
        <w:t>una </w:t>
      </w:r>
      <w:r>
        <w:rPr>
          <w:color w:val="231F20"/>
          <w:spacing w:val="-4"/>
        </w:rPr>
        <w:t>forma obvia </w:t>
      </w:r>
      <w:r>
        <w:rPr>
          <w:color w:val="231F20"/>
        </w:rPr>
        <w:t>de </w:t>
      </w:r>
      <w:r>
        <w:rPr>
          <w:color w:val="231F20"/>
          <w:spacing w:val="-3"/>
        </w:rPr>
        <w:t>in- </w:t>
      </w:r>
      <w:r>
        <w:rPr>
          <w:color w:val="231F20"/>
          <w:spacing w:val="-4"/>
        </w:rPr>
        <w:t>crementar </w:t>
      </w:r>
      <w:r>
        <w:rPr>
          <w:color w:val="231F20"/>
        </w:rPr>
        <w:t>la </w:t>
      </w:r>
      <w:r>
        <w:rPr>
          <w:color w:val="231F20"/>
          <w:spacing w:val="-4"/>
        </w:rPr>
        <w:t>productividad </w:t>
      </w:r>
      <w:r>
        <w:rPr>
          <w:color w:val="231F20"/>
        </w:rPr>
        <w:t>de la </w:t>
      </w:r>
      <w:r>
        <w:rPr>
          <w:color w:val="231F20"/>
          <w:spacing w:val="-4"/>
        </w:rPr>
        <w:t>unidad </w:t>
      </w:r>
      <w:r>
        <w:rPr>
          <w:color w:val="231F20"/>
        </w:rPr>
        <w:t>y el</w:t>
      </w:r>
      <w:r>
        <w:rPr>
          <w:color w:val="231F20"/>
          <w:spacing w:val="30"/>
        </w:rPr>
        <w:t> </w:t>
      </w:r>
      <w:r>
        <w:rPr>
          <w:color w:val="231F20"/>
          <w:spacing w:val="-4"/>
        </w:rPr>
        <w:t>ingreso.</w:t>
      </w:r>
    </w:p>
    <w:p>
      <w:pPr>
        <w:pStyle w:val="BodyText"/>
        <w:spacing w:line="256" w:lineRule="auto" w:before="112"/>
        <w:ind w:left="412" w:right="1551"/>
        <w:jc w:val="both"/>
      </w:pPr>
      <w:r>
        <w:rPr>
          <w:color w:val="231F20"/>
          <w:spacing w:val="-3"/>
        </w:rPr>
        <w:t>Randolph </w:t>
      </w:r>
      <w:r>
        <w:rPr>
          <w:rFonts w:ascii="Cambria" w:hAnsi="Cambria"/>
          <w:i/>
          <w:color w:val="231F20"/>
        </w:rPr>
        <w:t>et al</w:t>
      </w:r>
      <w:r>
        <w:rPr>
          <w:color w:val="231F20"/>
        </w:rPr>
        <w:t>. </w:t>
      </w:r>
      <w:r>
        <w:rPr>
          <w:color w:val="231F20"/>
          <w:spacing w:val="-5"/>
        </w:rPr>
        <w:t>(2007) </w:t>
      </w:r>
      <w:r>
        <w:rPr>
          <w:color w:val="231F20"/>
        </w:rPr>
        <w:t>y </w:t>
      </w:r>
      <w:r>
        <w:rPr>
          <w:color w:val="231F20"/>
          <w:spacing w:val="-4"/>
        </w:rPr>
        <w:t>Gómez </w:t>
      </w:r>
      <w:r>
        <w:rPr>
          <w:rFonts w:ascii="Cambria" w:hAnsi="Cambria"/>
          <w:i/>
          <w:color w:val="231F20"/>
        </w:rPr>
        <w:t>et al</w:t>
      </w:r>
      <w:r>
        <w:rPr>
          <w:color w:val="231F20"/>
        </w:rPr>
        <w:t>. </w:t>
      </w:r>
      <w:r>
        <w:rPr>
          <w:color w:val="231F20"/>
          <w:spacing w:val="-6"/>
        </w:rPr>
        <w:t>(2011), </w:t>
      </w:r>
      <w:r>
        <w:rPr>
          <w:color w:val="231F20"/>
          <w:spacing w:val="-3"/>
        </w:rPr>
        <w:t>así como </w:t>
      </w:r>
      <w:r>
        <w:rPr>
          <w:color w:val="231F20"/>
          <w:spacing w:val="-4"/>
        </w:rPr>
        <w:t>Sánchez </w:t>
      </w:r>
      <w:r>
        <w:rPr>
          <w:color w:val="231F20"/>
        </w:rPr>
        <w:t>y </w:t>
      </w:r>
      <w:r>
        <w:rPr>
          <w:color w:val="231F20"/>
          <w:spacing w:val="-3"/>
        </w:rPr>
        <w:t>Nava  </w:t>
      </w:r>
      <w:r>
        <w:rPr>
          <w:color w:val="231F20"/>
          <w:spacing w:val="-4"/>
        </w:rPr>
        <w:t>(2009),  </w:t>
      </w:r>
      <w:r>
        <w:rPr>
          <w:color w:val="231F20"/>
          <w:spacing w:val="-3"/>
        </w:rPr>
        <w:t>identifican  algunas  </w:t>
      </w:r>
      <w:r>
        <w:rPr>
          <w:color w:val="231F20"/>
        </w:rPr>
        <w:t>de las </w:t>
      </w:r>
      <w:r>
        <w:rPr>
          <w:color w:val="231F20"/>
          <w:spacing w:val="-3"/>
        </w:rPr>
        <w:t>contribuciones específicas </w:t>
      </w:r>
      <w:r>
        <w:rPr>
          <w:color w:val="231F20"/>
        </w:rPr>
        <w:t>de la </w:t>
      </w:r>
      <w:r>
        <w:rPr>
          <w:color w:val="231F20"/>
          <w:spacing w:val="-3"/>
        </w:rPr>
        <w:t>ganadería </w:t>
      </w:r>
      <w:r>
        <w:rPr>
          <w:color w:val="231F20"/>
        </w:rPr>
        <w:t>a </w:t>
      </w:r>
      <w:r>
        <w:rPr>
          <w:color w:val="231F20"/>
          <w:spacing w:val="-3"/>
        </w:rPr>
        <w:t>cada tipo </w:t>
      </w:r>
      <w:r>
        <w:rPr>
          <w:color w:val="231F20"/>
        </w:rPr>
        <w:t>de </w:t>
      </w:r>
      <w:r>
        <w:rPr>
          <w:color w:val="231F20"/>
          <w:spacing w:val="-3"/>
        </w:rPr>
        <w:t>capital. Ejemplifican </w:t>
      </w:r>
      <w:r>
        <w:rPr>
          <w:color w:val="231F20"/>
        </w:rPr>
        <w:t>que el </w:t>
      </w:r>
      <w:r>
        <w:rPr>
          <w:color w:val="231F20"/>
          <w:spacing w:val="-3"/>
        </w:rPr>
        <w:t>estiércol</w:t>
      </w:r>
      <w:r>
        <w:rPr>
          <w:color w:val="231F20"/>
          <w:spacing w:val="-15"/>
        </w:rPr>
        <w:t> </w:t>
      </w:r>
      <w:r>
        <w:rPr>
          <w:color w:val="231F20"/>
          <w:spacing w:val="-3"/>
        </w:rPr>
        <w:t>ani- </w:t>
      </w:r>
      <w:r>
        <w:rPr>
          <w:color w:val="231F20"/>
        </w:rPr>
        <w:t>mal </w:t>
      </w:r>
      <w:r>
        <w:rPr>
          <w:color w:val="231F20"/>
          <w:spacing w:val="-3"/>
        </w:rPr>
        <w:t>puede aumentar </w:t>
      </w:r>
      <w:r>
        <w:rPr>
          <w:color w:val="231F20"/>
        </w:rPr>
        <w:t>el </w:t>
      </w:r>
      <w:r>
        <w:rPr>
          <w:color w:val="231F20"/>
          <w:spacing w:val="-3"/>
        </w:rPr>
        <w:t>capital natural mediante un aumento </w:t>
      </w:r>
      <w:r>
        <w:rPr>
          <w:color w:val="231F20"/>
        </w:rPr>
        <w:t>de la </w:t>
      </w:r>
      <w:r>
        <w:rPr>
          <w:color w:val="231F20"/>
          <w:spacing w:val="-3"/>
        </w:rPr>
        <w:t>fertilidad </w:t>
      </w:r>
      <w:r>
        <w:rPr>
          <w:color w:val="231F20"/>
        </w:rPr>
        <w:t>del </w:t>
      </w:r>
      <w:r>
        <w:rPr>
          <w:color w:val="231F20"/>
          <w:spacing w:val="-3"/>
        </w:rPr>
        <w:t>suelo. </w:t>
      </w:r>
      <w:r>
        <w:rPr>
          <w:color w:val="231F20"/>
          <w:spacing w:val="-6"/>
        </w:rPr>
        <w:t>También </w:t>
      </w:r>
      <w:r>
        <w:rPr>
          <w:color w:val="231F20"/>
          <w:spacing w:val="-3"/>
        </w:rPr>
        <w:t>sugieren </w:t>
      </w:r>
      <w:r>
        <w:rPr>
          <w:color w:val="231F20"/>
        </w:rPr>
        <w:t>una </w:t>
      </w:r>
      <w:r>
        <w:rPr>
          <w:color w:val="231F20"/>
          <w:spacing w:val="-3"/>
        </w:rPr>
        <w:t>relación entre </w:t>
      </w:r>
      <w:r>
        <w:rPr>
          <w:color w:val="231F20"/>
        </w:rPr>
        <w:t>el </w:t>
      </w:r>
      <w:r>
        <w:rPr>
          <w:color w:val="231F20"/>
          <w:spacing w:val="-3"/>
        </w:rPr>
        <w:t>tamaño </w:t>
      </w:r>
      <w:r>
        <w:rPr>
          <w:color w:val="231F20"/>
        </w:rPr>
        <w:t>del </w:t>
      </w:r>
      <w:r>
        <w:rPr>
          <w:color w:val="231F20"/>
          <w:spacing w:val="-3"/>
        </w:rPr>
        <w:t>hato </w:t>
      </w:r>
      <w:r>
        <w:rPr>
          <w:color w:val="231F20"/>
        </w:rPr>
        <w:t>y el </w:t>
      </w:r>
      <w:r>
        <w:rPr>
          <w:color w:val="231F20"/>
          <w:spacing w:val="-3"/>
        </w:rPr>
        <w:t>capital físico, debido </w:t>
      </w:r>
      <w:r>
        <w:rPr>
          <w:color w:val="231F20"/>
        </w:rPr>
        <w:t>a que un </w:t>
      </w:r>
      <w:r>
        <w:rPr>
          <w:color w:val="231F20"/>
          <w:spacing w:val="-3"/>
        </w:rPr>
        <w:t>aumento </w:t>
      </w:r>
      <w:r>
        <w:rPr>
          <w:color w:val="231F20"/>
        </w:rPr>
        <w:t>de los </w:t>
      </w:r>
      <w:r>
        <w:rPr>
          <w:color w:val="231F20"/>
          <w:spacing w:val="-3"/>
        </w:rPr>
        <w:t>resultados productivos </w:t>
      </w:r>
      <w:r>
        <w:rPr>
          <w:color w:val="231F20"/>
        </w:rPr>
        <w:t>y del </w:t>
      </w:r>
      <w:r>
        <w:rPr>
          <w:color w:val="231F20"/>
          <w:spacing w:val="-3"/>
        </w:rPr>
        <w:t>tamaño </w:t>
      </w:r>
      <w:r>
        <w:rPr>
          <w:color w:val="231F20"/>
        </w:rPr>
        <w:t>de un </w:t>
      </w:r>
      <w:r>
        <w:rPr>
          <w:color w:val="231F20"/>
          <w:spacing w:val="-3"/>
        </w:rPr>
        <w:t>hato  </w:t>
      </w:r>
      <w:r>
        <w:rPr>
          <w:color w:val="231F20"/>
        </w:rPr>
        <w:t>se </w:t>
      </w:r>
      <w:r>
        <w:rPr>
          <w:color w:val="231F20"/>
          <w:spacing w:val="-3"/>
        </w:rPr>
        <w:t>traducen  </w:t>
      </w:r>
      <w:r>
        <w:rPr>
          <w:color w:val="231F20"/>
        </w:rPr>
        <w:t>en un </w:t>
      </w:r>
      <w:r>
        <w:rPr>
          <w:color w:val="231F20"/>
          <w:spacing w:val="-3"/>
        </w:rPr>
        <w:t>aumento </w:t>
      </w:r>
      <w:r>
        <w:rPr>
          <w:color w:val="231F20"/>
        </w:rPr>
        <w:t>del </w:t>
      </w:r>
      <w:r>
        <w:rPr>
          <w:color w:val="231F20"/>
          <w:spacing w:val="-3"/>
        </w:rPr>
        <w:t>capital físico. </w:t>
      </w:r>
      <w:r>
        <w:rPr>
          <w:color w:val="231F20"/>
        </w:rPr>
        <w:t>Los </w:t>
      </w:r>
      <w:r>
        <w:rPr>
          <w:color w:val="231F20"/>
          <w:spacing w:val="-3"/>
        </w:rPr>
        <w:t>productos de origen animal </w:t>
      </w:r>
      <w:r>
        <w:rPr>
          <w:color w:val="231F20"/>
        </w:rPr>
        <w:t>y las </w:t>
      </w:r>
      <w:r>
        <w:rPr>
          <w:color w:val="231F20"/>
          <w:spacing w:val="-3"/>
        </w:rPr>
        <w:t>proteínas contribuyen </w:t>
      </w:r>
      <w:r>
        <w:rPr>
          <w:color w:val="231F20"/>
        </w:rPr>
        <w:t>de </w:t>
      </w:r>
      <w:r>
        <w:rPr>
          <w:color w:val="231F20"/>
          <w:spacing w:val="-3"/>
        </w:rPr>
        <w:t>mane- </w:t>
      </w:r>
      <w:r>
        <w:rPr>
          <w:color w:val="231F20"/>
        </w:rPr>
        <w:t>ra </w:t>
      </w:r>
      <w:r>
        <w:rPr>
          <w:color w:val="231F20"/>
          <w:spacing w:val="-3"/>
        </w:rPr>
        <w:t>importante </w:t>
      </w:r>
      <w:r>
        <w:rPr>
          <w:color w:val="231F20"/>
        </w:rPr>
        <w:t>a la </w:t>
      </w:r>
      <w:r>
        <w:rPr>
          <w:color w:val="231F20"/>
          <w:spacing w:val="-3"/>
        </w:rPr>
        <w:t>nutrición humana </w:t>
      </w:r>
      <w:r>
        <w:rPr>
          <w:color w:val="231F20"/>
        </w:rPr>
        <w:t>y al </w:t>
      </w:r>
      <w:r>
        <w:rPr>
          <w:color w:val="231F20"/>
          <w:spacing w:val="-3"/>
        </w:rPr>
        <w:t>estado de salud, </w:t>
      </w:r>
      <w:r>
        <w:rPr>
          <w:color w:val="231F20"/>
        </w:rPr>
        <w:t>y por lo </w:t>
      </w:r>
      <w:r>
        <w:rPr>
          <w:color w:val="231F20"/>
          <w:spacing w:val="-3"/>
        </w:rPr>
        <w:t>tanto proporcionan </w:t>
      </w:r>
      <w:r>
        <w:rPr>
          <w:color w:val="231F20"/>
        </w:rPr>
        <w:t>un </w:t>
      </w:r>
      <w:r>
        <w:rPr>
          <w:color w:val="231F20"/>
          <w:spacing w:val="-3"/>
        </w:rPr>
        <w:t>medio para potenciar </w:t>
      </w:r>
      <w:r>
        <w:rPr>
          <w:color w:val="231F20"/>
        </w:rPr>
        <w:t>el </w:t>
      </w:r>
      <w:r>
        <w:rPr>
          <w:color w:val="231F20"/>
          <w:spacing w:val="-3"/>
        </w:rPr>
        <w:t>capital humano.  </w:t>
      </w:r>
      <w:r>
        <w:rPr>
          <w:color w:val="231F20"/>
        </w:rPr>
        <w:t>La </w:t>
      </w:r>
      <w:r>
        <w:rPr>
          <w:color w:val="231F20"/>
          <w:spacing w:val="-3"/>
        </w:rPr>
        <w:t>producción  animal </w:t>
      </w:r>
      <w:r>
        <w:rPr>
          <w:color w:val="231F20"/>
        </w:rPr>
        <w:t>o su </w:t>
      </w:r>
      <w:r>
        <w:rPr>
          <w:color w:val="231F20"/>
          <w:spacing w:val="-3"/>
        </w:rPr>
        <w:t>posesión </w:t>
      </w:r>
      <w:r>
        <w:rPr>
          <w:color w:val="231F20"/>
        </w:rPr>
        <w:t>no </w:t>
      </w:r>
      <w:r>
        <w:rPr>
          <w:color w:val="231F20"/>
          <w:spacing w:val="-3"/>
        </w:rPr>
        <w:t>productiva, como </w:t>
      </w:r>
      <w:r>
        <w:rPr>
          <w:color w:val="231F20"/>
        </w:rPr>
        <w:t>los </w:t>
      </w:r>
      <w:r>
        <w:rPr>
          <w:color w:val="231F20"/>
          <w:spacing w:val="-3"/>
        </w:rPr>
        <w:t>animales de trabajo, </w:t>
      </w:r>
      <w:r>
        <w:rPr>
          <w:color w:val="231F20"/>
        </w:rPr>
        <w:t>y la </w:t>
      </w:r>
      <w:r>
        <w:rPr>
          <w:color w:val="231F20"/>
          <w:spacing w:val="-3"/>
        </w:rPr>
        <w:t>renta </w:t>
      </w:r>
      <w:r>
        <w:rPr>
          <w:color w:val="231F20"/>
        </w:rPr>
        <w:t>o </w:t>
      </w:r>
      <w:r>
        <w:rPr>
          <w:color w:val="231F20"/>
          <w:spacing w:val="-3"/>
        </w:rPr>
        <w:t>venta </w:t>
      </w:r>
      <w:r>
        <w:rPr>
          <w:color w:val="231F20"/>
        </w:rPr>
        <w:t>de la </w:t>
      </w:r>
      <w:r>
        <w:rPr>
          <w:color w:val="231F20"/>
          <w:spacing w:val="-3"/>
        </w:rPr>
        <w:t>misma, </w:t>
      </w:r>
      <w:r>
        <w:rPr>
          <w:color w:val="231F20"/>
        </w:rPr>
        <w:t>es un </w:t>
      </w:r>
      <w:r>
        <w:rPr>
          <w:color w:val="231F20"/>
          <w:spacing w:val="-3"/>
        </w:rPr>
        <w:t>me- </w:t>
      </w:r>
      <w:r>
        <w:rPr>
          <w:color w:val="231F20"/>
        </w:rPr>
        <w:t>dio de </w:t>
      </w:r>
      <w:r>
        <w:rPr>
          <w:color w:val="231F20"/>
          <w:spacing w:val="-3"/>
        </w:rPr>
        <w:t>generación </w:t>
      </w:r>
      <w:r>
        <w:rPr>
          <w:color w:val="231F20"/>
        </w:rPr>
        <w:t>de </w:t>
      </w:r>
      <w:r>
        <w:rPr>
          <w:color w:val="231F20"/>
          <w:spacing w:val="-3"/>
        </w:rPr>
        <w:t>ingresos </w:t>
      </w:r>
      <w:r>
        <w:rPr>
          <w:color w:val="231F20"/>
        </w:rPr>
        <w:t>y con </w:t>
      </w:r>
      <w:r>
        <w:rPr>
          <w:color w:val="231F20"/>
          <w:spacing w:val="-3"/>
        </w:rPr>
        <w:t>ello  aumenta  </w:t>
      </w:r>
      <w:r>
        <w:rPr>
          <w:color w:val="231F20"/>
        </w:rPr>
        <w:t>el </w:t>
      </w:r>
      <w:r>
        <w:rPr>
          <w:color w:val="231F20"/>
          <w:spacing w:val="-3"/>
        </w:rPr>
        <w:t>capital financiero. </w:t>
      </w:r>
      <w:r>
        <w:rPr>
          <w:color w:val="231F20"/>
        </w:rPr>
        <w:t>La </w:t>
      </w:r>
      <w:r>
        <w:rPr>
          <w:color w:val="231F20"/>
          <w:spacing w:val="-3"/>
        </w:rPr>
        <w:t>clara vinculación entre criar ganado </w:t>
      </w:r>
      <w:r>
        <w:rPr>
          <w:color w:val="231F20"/>
        </w:rPr>
        <w:t>y la </w:t>
      </w:r>
      <w:r>
        <w:rPr>
          <w:color w:val="231F20"/>
          <w:spacing w:val="-3"/>
        </w:rPr>
        <w:t>situación social </w:t>
      </w:r>
      <w:r>
        <w:rPr>
          <w:color w:val="231F20"/>
        </w:rPr>
        <w:t>de las  </w:t>
      </w:r>
      <w:r>
        <w:rPr>
          <w:color w:val="231F20"/>
          <w:spacing w:val="-3"/>
        </w:rPr>
        <w:t>familias  indica </w:t>
      </w:r>
      <w:r>
        <w:rPr>
          <w:color w:val="231F20"/>
        </w:rPr>
        <w:t>que el </w:t>
      </w:r>
      <w:r>
        <w:rPr>
          <w:color w:val="231F20"/>
          <w:spacing w:val="-3"/>
        </w:rPr>
        <w:t>ganado ofrece implicaciones positivas para el mantenimiento </w:t>
      </w:r>
      <w:r>
        <w:rPr>
          <w:color w:val="231F20"/>
        </w:rPr>
        <w:t>y la </w:t>
      </w:r>
      <w:r>
        <w:rPr>
          <w:color w:val="231F20"/>
          <w:spacing w:val="-3"/>
        </w:rPr>
        <w:t>mejora </w:t>
      </w:r>
      <w:r>
        <w:rPr>
          <w:color w:val="231F20"/>
        </w:rPr>
        <w:t>del </w:t>
      </w:r>
      <w:r>
        <w:rPr>
          <w:color w:val="231F20"/>
          <w:spacing w:val="-3"/>
        </w:rPr>
        <w:t>capital social </w:t>
      </w:r>
      <w:r>
        <w:rPr>
          <w:color w:val="231F20"/>
          <w:spacing w:val="-4"/>
        </w:rPr>
        <w:t>(Perea </w:t>
      </w:r>
      <w:r>
        <w:rPr>
          <w:rFonts w:ascii="Cambria" w:hAnsi="Cambria"/>
          <w:i/>
          <w:color w:val="231F20"/>
        </w:rPr>
        <w:t>et </w:t>
      </w:r>
      <w:r>
        <w:rPr>
          <w:rFonts w:ascii="Cambria" w:hAnsi="Cambria"/>
          <w:i/>
          <w:color w:val="231F20"/>
          <w:spacing w:val="-3"/>
        </w:rPr>
        <w:t>al</w:t>
      </w:r>
      <w:r>
        <w:rPr>
          <w:color w:val="231F20"/>
          <w:spacing w:val="-3"/>
        </w:rPr>
        <w:t>., </w:t>
      </w:r>
      <w:r>
        <w:rPr>
          <w:color w:val="231F20"/>
          <w:spacing w:val="-7"/>
        </w:rPr>
        <w:t>2011). </w:t>
      </w:r>
      <w:r>
        <w:rPr>
          <w:color w:val="231F20"/>
        </w:rPr>
        <w:t>Un </w:t>
      </w:r>
      <w:r>
        <w:rPr>
          <w:color w:val="231F20"/>
          <w:spacing w:val="-3"/>
        </w:rPr>
        <w:t>estudio realizado </w:t>
      </w:r>
      <w:r>
        <w:rPr>
          <w:color w:val="231F20"/>
        </w:rPr>
        <w:t>por </w:t>
      </w:r>
      <w:r>
        <w:rPr>
          <w:color w:val="231F20"/>
          <w:spacing w:val="-3"/>
        </w:rPr>
        <w:t>Heffernan </w:t>
      </w:r>
      <w:r>
        <w:rPr>
          <w:color w:val="231F20"/>
        </w:rPr>
        <w:t>y </w:t>
      </w:r>
      <w:r>
        <w:rPr>
          <w:color w:val="231F20"/>
          <w:spacing w:val="-3"/>
        </w:rPr>
        <w:t>Misturelli </w:t>
      </w:r>
      <w:r>
        <w:rPr>
          <w:color w:val="231F20"/>
          <w:spacing w:val="-4"/>
        </w:rPr>
        <w:t>(2000) </w:t>
      </w:r>
      <w:r>
        <w:rPr>
          <w:color w:val="231F20"/>
        </w:rPr>
        <w:t>en </w:t>
      </w:r>
      <w:r>
        <w:rPr>
          <w:color w:val="231F20"/>
          <w:spacing w:val="-4"/>
        </w:rPr>
        <w:t>Kenia </w:t>
      </w:r>
      <w:r>
        <w:rPr>
          <w:color w:val="231F20"/>
          <w:spacing w:val="-3"/>
        </w:rPr>
        <w:t>demostró </w:t>
      </w:r>
      <w:r>
        <w:rPr>
          <w:color w:val="231F20"/>
        </w:rPr>
        <w:t>la gran </w:t>
      </w:r>
      <w:r>
        <w:rPr>
          <w:color w:val="231F20"/>
          <w:spacing w:val="-3"/>
        </w:rPr>
        <w:t>impor- tancia  </w:t>
      </w:r>
      <w:r>
        <w:rPr>
          <w:color w:val="231F20"/>
        </w:rPr>
        <w:t>de la </w:t>
      </w:r>
      <w:r>
        <w:rPr>
          <w:color w:val="231F20"/>
          <w:spacing w:val="-3"/>
        </w:rPr>
        <w:t>cría  </w:t>
      </w:r>
      <w:r>
        <w:rPr>
          <w:color w:val="231F20"/>
        </w:rPr>
        <w:t>de </w:t>
      </w:r>
      <w:r>
        <w:rPr>
          <w:color w:val="231F20"/>
          <w:spacing w:val="-3"/>
        </w:rPr>
        <w:t>ganado  </w:t>
      </w:r>
      <w:r>
        <w:rPr>
          <w:color w:val="231F20"/>
        </w:rPr>
        <w:t>en la </w:t>
      </w:r>
      <w:r>
        <w:rPr>
          <w:color w:val="231F20"/>
          <w:spacing w:val="-3"/>
        </w:rPr>
        <w:t>seguridad  </w:t>
      </w:r>
      <w:r>
        <w:rPr>
          <w:color w:val="231F20"/>
        </w:rPr>
        <w:t> </w:t>
      </w:r>
      <w:r>
        <w:rPr>
          <w:color w:val="231F20"/>
          <w:spacing w:val="-3"/>
        </w:rPr>
        <w:t>econó-</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8643" w:val="left" w:leader="none"/>
        </w:tabs>
        <w:spacing w:before="64"/>
        <w:ind w:left="1551" w:right="0" w:firstLine="0"/>
        <w:jc w:val="left"/>
        <w:rPr>
          <w:sz w:val="12"/>
        </w:rPr>
      </w:pPr>
      <w:r>
        <w:rPr>
          <w:color w:val="231F20"/>
          <w:spacing w:val="-5"/>
          <w:w w:val="125"/>
          <w:sz w:val="22"/>
        </w:rPr>
        <w:t>12</w:t>
        <w:tab/>
      </w:r>
      <w:r>
        <w:rPr>
          <w:color w:val="231F20"/>
          <w:w w:val="125"/>
          <w:sz w:val="18"/>
        </w:rPr>
        <w:t>S</w:t>
      </w:r>
      <w:r>
        <w:rPr>
          <w:color w:val="231F20"/>
          <w:w w:val="125"/>
          <w:sz w:val="12"/>
        </w:rPr>
        <w:t>ección  </w:t>
      </w:r>
      <w:r>
        <w:rPr>
          <w:color w:val="231F20"/>
          <w:w w:val="125"/>
          <w:sz w:val="18"/>
        </w:rPr>
        <w:t>1.  </w:t>
      </w:r>
      <w:r>
        <w:rPr>
          <w:color w:val="231F20"/>
          <w:spacing w:val="15"/>
          <w:w w:val="125"/>
          <w:sz w:val="18"/>
        </w:rPr>
        <w:t> </w:t>
      </w:r>
      <w:r>
        <w:rPr>
          <w:color w:val="231F20"/>
          <w:w w:val="125"/>
          <w:sz w:val="18"/>
        </w:rPr>
        <w:t>i</w:t>
      </w:r>
      <w:r>
        <w:rPr>
          <w:color w:val="231F20"/>
          <w:w w:val="125"/>
          <w:sz w:val="12"/>
        </w:rPr>
        <w:t>ntroducción</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spacing w:val="-3"/>
        </w:rPr>
        <w:t>mica </w:t>
      </w:r>
      <w:r>
        <w:rPr>
          <w:color w:val="231F20"/>
          <w:spacing w:val="-4"/>
        </w:rPr>
        <w:t>familiar. </w:t>
      </w:r>
      <w:r>
        <w:rPr>
          <w:color w:val="231F20"/>
        </w:rPr>
        <w:t>Se </w:t>
      </w:r>
      <w:r>
        <w:rPr>
          <w:color w:val="231F20"/>
          <w:spacing w:val="-3"/>
        </w:rPr>
        <w:t>encontró </w:t>
      </w:r>
      <w:r>
        <w:rPr>
          <w:color w:val="231F20"/>
        </w:rPr>
        <w:t>que los </w:t>
      </w:r>
      <w:r>
        <w:rPr>
          <w:color w:val="231F20"/>
          <w:spacing w:val="-3"/>
        </w:rPr>
        <w:t>hogares rurales identificaron </w:t>
      </w:r>
      <w:r>
        <w:rPr>
          <w:color w:val="231F20"/>
        </w:rPr>
        <w:t>la </w:t>
      </w:r>
      <w:r>
        <w:rPr>
          <w:color w:val="231F20"/>
          <w:spacing w:val="-3"/>
        </w:rPr>
        <w:t>cría </w:t>
      </w:r>
      <w:r>
        <w:rPr>
          <w:color w:val="231F20"/>
        </w:rPr>
        <w:t>de </w:t>
      </w:r>
      <w:r>
        <w:rPr>
          <w:color w:val="231F20"/>
          <w:spacing w:val="-3"/>
        </w:rPr>
        <w:t>ganado como </w:t>
      </w:r>
      <w:r>
        <w:rPr>
          <w:color w:val="231F20"/>
        </w:rPr>
        <w:t>su </w:t>
      </w:r>
      <w:r>
        <w:rPr>
          <w:color w:val="231F20"/>
          <w:spacing w:val="-3"/>
        </w:rPr>
        <w:t>fuente de ingresos </w:t>
      </w:r>
      <w:r>
        <w:rPr>
          <w:color w:val="231F20"/>
        </w:rPr>
        <w:t>más </w:t>
      </w:r>
      <w:r>
        <w:rPr>
          <w:color w:val="231F20"/>
          <w:spacing w:val="-3"/>
        </w:rPr>
        <w:t>importante. Dercon </w:t>
      </w:r>
      <w:r>
        <w:rPr>
          <w:color w:val="231F20"/>
          <w:spacing w:val="-4"/>
        </w:rPr>
        <w:t>(1998) </w:t>
      </w:r>
      <w:r>
        <w:rPr>
          <w:color w:val="231F20"/>
          <w:spacing w:val="-3"/>
        </w:rPr>
        <w:t>halló que, </w:t>
      </w:r>
      <w:r>
        <w:rPr>
          <w:color w:val="231F20"/>
        </w:rPr>
        <w:t>en </w:t>
      </w:r>
      <w:r>
        <w:rPr>
          <w:color w:val="231F20"/>
          <w:spacing w:val="-5"/>
        </w:rPr>
        <w:t>Tanzania, </w:t>
      </w:r>
      <w:r>
        <w:rPr>
          <w:color w:val="231F20"/>
        </w:rPr>
        <w:t>los </w:t>
      </w:r>
      <w:r>
        <w:rPr>
          <w:color w:val="231F20"/>
          <w:spacing w:val="-3"/>
        </w:rPr>
        <w:t>ingresos </w:t>
      </w:r>
      <w:r>
        <w:rPr>
          <w:color w:val="231F20"/>
        </w:rPr>
        <w:t>de los </w:t>
      </w:r>
      <w:r>
        <w:rPr>
          <w:color w:val="231F20"/>
          <w:spacing w:val="-3"/>
        </w:rPr>
        <w:t>hogares </w:t>
      </w:r>
      <w:r>
        <w:rPr>
          <w:color w:val="231F20"/>
        </w:rPr>
        <w:t>que </w:t>
      </w:r>
      <w:r>
        <w:rPr>
          <w:color w:val="231F20"/>
          <w:spacing w:val="-3"/>
        </w:rPr>
        <w:t>po- seían ganado eran significativamente </w:t>
      </w:r>
      <w:r>
        <w:rPr>
          <w:color w:val="231F20"/>
        </w:rPr>
        <w:t>más </w:t>
      </w:r>
      <w:r>
        <w:rPr>
          <w:color w:val="231F20"/>
          <w:spacing w:val="-3"/>
        </w:rPr>
        <w:t>altos que </w:t>
      </w:r>
      <w:r>
        <w:rPr>
          <w:color w:val="231F20"/>
        </w:rPr>
        <w:t>los de </w:t>
      </w:r>
      <w:r>
        <w:rPr>
          <w:color w:val="231F20"/>
          <w:spacing w:val="-3"/>
        </w:rPr>
        <w:t>aquellos hogares </w:t>
      </w:r>
      <w:r>
        <w:rPr>
          <w:color w:val="231F20"/>
        </w:rPr>
        <w:t>que no lo </w:t>
      </w:r>
      <w:r>
        <w:rPr>
          <w:color w:val="231F20"/>
          <w:spacing w:val="-3"/>
        </w:rPr>
        <w:t>poseían. </w:t>
      </w:r>
      <w:r>
        <w:rPr>
          <w:color w:val="231F20"/>
        </w:rPr>
        <w:t>Si </w:t>
      </w:r>
      <w:r>
        <w:rPr>
          <w:color w:val="231F20"/>
          <w:spacing w:val="-3"/>
        </w:rPr>
        <w:t>se supone </w:t>
      </w:r>
      <w:r>
        <w:rPr>
          <w:color w:val="231F20"/>
        </w:rPr>
        <w:t>que la </w:t>
      </w:r>
      <w:r>
        <w:rPr>
          <w:color w:val="231F20"/>
          <w:spacing w:val="-3"/>
        </w:rPr>
        <w:t>posesión </w:t>
      </w:r>
      <w:r>
        <w:rPr>
          <w:color w:val="231F20"/>
        </w:rPr>
        <w:t>y la </w:t>
      </w:r>
      <w:r>
        <w:rPr>
          <w:color w:val="231F20"/>
          <w:spacing w:val="-3"/>
        </w:rPr>
        <w:t>cría </w:t>
      </w:r>
      <w:r>
        <w:rPr>
          <w:color w:val="231F20"/>
        </w:rPr>
        <w:t>de </w:t>
      </w:r>
      <w:r>
        <w:rPr>
          <w:color w:val="231F20"/>
          <w:spacing w:val="-3"/>
        </w:rPr>
        <w:t>ganado tiene efectos positivos </w:t>
      </w:r>
      <w:r>
        <w:rPr>
          <w:color w:val="231F20"/>
        </w:rPr>
        <w:t>en los </w:t>
      </w:r>
      <w:r>
        <w:rPr>
          <w:color w:val="231F20"/>
          <w:spacing w:val="-3"/>
        </w:rPr>
        <w:t>modos </w:t>
      </w:r>
      <w:r>
        <w:rPr>
          <w:color w:val="231F20"/>
        </w:rPr>
        <w:t>de </w:t>
      </w:r>
      <w:r>
        <w:rPr>
          <w:color w:val="231F20"/>
          <w:spacing w:val="-3"/>
        </w:rPr>
        <w:t>vida, </w:t>
      </w:r>
      <w:r>
        <w:rPr>
          <w:color w:val="231F20"/>
        </w:rPr>
        <w:t>uno </w:t>
      </w:r>
      <w:r>
        <w:rPr>
          <w:color w:val="231F20"/>
          <w:spacing w:val="-3"/>
        </w:rPr>
        <w:t>podría preguntarse </w:t>
      </w:r>
      <w:r>
        <w:rPr>
          <w:color w:val="231F20"/>
        </w:rPr>
        <w:t>por qué no </w:t>
      </w:r>
      <w:r>
        <w:rPr>
          <w:color w:val="231F20"/>
          <w:spacing w:val="-3"/>
        </w:rPr>
        <w:t>todos </w:t>
      </w:r>
      <w:r>
        <w:rPr>
          <w:color w:val="231F20"/>
        </w:rPr>
        <w:t>los </w:t>
      </w:r>
      <w:r>
        <w:rPr>
          <w:color w:val="231F20"/>
          <w:spacing w:val="-3"/>
        </w:rPr>
        <w:t>hogares </w:t>
      </w:r>
      <w:r>
        <w:rPr>
          <w:color w:val="231F20"/>
        </w:rPr>
        <w:t>lo</w:t>
      </w:r>
      <w:r>
        <w:rPr>
          <w:color w:val="231F20"/>
          <w:spacing w:val="-25"/>
        </w:rPr>
        <w:t> </w:t>
      </w:r>
      <w:r>
        <w:rPr>
          <w:color w:val="231F20"/>
          <w:spacing w:val="-3"/>
        </w:rPr>
        <w:t>poseen. Dercon </w:t>
      </w:r>
      <w:r>
        <w:rPr>
          <w:color w:val="231F20"/>
          <w:spacing w:val="-4"/>
        </w:rPr>
        <w:t>(1998) </w:t>
      </w:r>
      <w:r>
        <w:rPr>
          <w:color w:val="231F20"/>
          <w:spacing w:val="-3"/>
        </w:rPr>
        <w:t>señaló </w:t>
      </w:r>
      <w:r>
        <w:rPr>
          <w:color w:val="231F20"/>
        </w:rPr>
        <w:t>que </w:t>
      </w:r>
      <w:r>
        <w:rPr>
          <w:color w:val="231F20"/>
          <w:spacing w:val="-3"/>
        </w:rPr>
        <w:t>algunas familias </w:t>
      </w:r>
      <w:r>
        <w:rPr>
          <w:color w:val="231F20"/>
        </w:rPr>
        <w:t>son </w:t>
      </w:r>
      <w:r>
        <w:rPr>
          <w:color w:val="231F20"/>
          <w:spacing w:val="-3"/>
        </w:rPr>
        <w:t>ex- cluidas </w:t>
      </w:r>
      <w:r>
        <w:rPr>
          <w:color w:val="231F20"/>
        </w:rPr>
        <w:t>de la </w:t>
      </w:r>
      <w:r>
        <w:rPr>
          <w:color w:val="231F20"/>
          <w:spacing w:val="-3"/>
        </w:rPr>
        <w:t>actividad económica  ganadera  debido </w:t>
      </w:r>
      <w:r>
        <w:rPr>
          <w:color w:val="231F20"/>
        </w:rPr>
        <w:t>a la </w:t>
      </w:r>
      <w:r>
        <w:rPr>
          <w:color w:val="231F20"/>
          <w:spacing w:val="-3"/>
        </w:rPr>
        <w:t>baja </w:t>
      </w:r>
      <w:r>
        <w:rPr>
          <w:color w:val="231F20"/>
        </w:rPr>
        <w:t>de </w:t>
      </w:r>
      <w:r>
        <w:rPr>
          <w:color w:val="231F20"/>
          <w:spacing w:val="-3"/>
        </w:rPr>
        <w:t>activos </w:t>
      </w:r>
      <w:r>
        <w:rPr>
          <w:color w:val="231F20"/>
        </w:rPr>
        <w:t>y de </w:t>
      </w:r>
      <w:r>
        <w:rPr>
          <w:color w:val="231F20"/>
          <w:spacing w:val="-3"/>
        </w:rPr>
        <w:t>dotación </w:t>
      </w:r>
      <w:r>
        <w:rPr>
          <w:color w:val="231F20"/>
        </w:rPr>
        <w:t>de </w:t>
      </w:r>
      <w:r>
        <w:rPr>
          <w:color w:val="231F20"/>
          <w:spacing w:val="-3"/>
        </w:rPr>
        <w:t>recursos. Esto </w:t>
      </w:r>
      <w:r>
        <w:rPr>
          <w:color w:val="231F20"/>
        </w:rPr>
        <w:t>sugiere la </w:t>
      </w:r>
      <w:r>
        <w:rPr>
          <w:color w:val="231F20"/>
          <w:spacing w:val="-3"/>
        </w:rPr>
        <w:t>presencia </w:t>
      </w:r>
      <w:r>
        <w:rPr>
          <w:color w:val="231F20"/>
        </w:rPr>
        <w:t>de </w:t>
      </w:r>
      <w:r>
        <w:rPr>
          <w:color w:val="231F20"/>
          <w:spacing w:val="-3"/>
        </w:rPr>
        <w:t>barreras </w:t>
      </w:r>
      <w:r>
        <w:rPr>
          <w:color w:val="231F20"/>
        </w:rPr>
        <w:t>de </w:t>
      </w:r>
      <w:r>
        <w:rPr>
          <w:color w:val="231F20"/>
          <w:spacing w:val="-3"/>
        </w:rPr>
        <w:t>entrada para la participación </w:t>
      </w:r>
      <w:r>
        <w:rPr>
          <w:color w:val="231F20"/>
        </w:rPr>
        <w:t>en la </w:t>
      </w:r>
      <w:r>
        <w:rPr>
          <w:color w:val="231F20"/>
          <w:spacing w:val="-3"/>
        </w:rPr>
        <w:t>cría </w:t>
      </w:r>
      <w:r>
        <w:rPr>
          <w:color w:val="231F20"/>
        </w:rPr>
        <w:t>de </w:t>
      </w:r>
      <w:r>
        <w:rPr>
          <w:color w:val="231F20"/>
          <w:spacing w:val="-3"/>
        </w:rPr>
        <w:t>ganado bovino.  Reardon </w:t>
      </w:r>
      <w:r>
        <w:rPr>
          <w:rFonts w:ascii="Cambria" w:hAnsi="Cambria"/>
          <w:i/>
          <w:color w:val="231F20"/>
        </w:rPr>
        <w:t>et </w:t>
      </w:r>
      <w:r>
        <w:rPr>
          <w:rFonts w:ascii="Cambria" w:hAnsi="Cambria"/>
          <w:i/>
          <w:color w:val="231F20"/>
          <w:spacing w:val="-3"/>
        </w:rPr>
        <w:t>al</w:t>
      </w:r>
      <w:r>
        <w:rPr>
          <w:color w:val="231F20"/>
          <w:spacing w:val="-3"/>
        </w:rPr>
        <w:t>. </w:t>
      </w:r>
      <w:r>
        <w:rPr>
          <w:color w:val="231F20"/>
          <w:spacing w:val="-4"/>
        </w:rPr>
        <w:t>(1992) </w:t>
      </w:r>
      <w:r>
        <w:rPr>
          <w:color w:val="231F20"/>
          <w:spacing w:val="-3"/>
        </w:rPr>
        <w:t>demostraron, </w:t>
      </w:r>
      <w:r>
        <w:rPr>
          <w:color w:val="231F20"/>
        </w:rPr>
        <w:t>en </w:t>
      </w:r>
      <w:r>
        <w:rPr>
          <w:color w:val="231F20"/>
          <w:spacing w:val="-3"/>
        </w:rPr>
        <w:t>Burkina </w:t>
      </w:r>
      <w:r>
        <w:rPr>
          <w:color w:val="231F20"/>
          <w:spacing w:val="-4"/>
        </w:rPr>
        <w:t>Faso, </w:t>
      </w:r>
      <w:r>
        <w:rPr>
          <w:color w:val="231F20"/>
        </w:rPr>
        <w:t>que </w:t>
      </w:r>
      <w:r>
        <w:rPr>
          <w:color w:val="231F20"/>
          <w:spacing w:val="-3"/>
        </w:rPr>
        <w:t>las explotaciones ganaderas </w:t>
      </w:r>
      <w:r>
        <w:rPr>
          <w:color w:val="231F20"/>
        </w:rPr>
        <w:t>con un </w:t>
      </w:r>
      <w:r>
        <w:rPr>
          <w:color w:val="231F20"/>
          <w:spacing w:val="-3"/>
        </w:rPr>
        <w:t>mayor tamaño que </w:t>
      </w:r>
      <w:r>
        <w:rPr>
          <w:color w:val="231F20"/>
        </w:rPr>
        <w:t>el </w:t>
      </w:r>
      <w:r>
        <w:rPr>
          <w:color w:val="231F20"/>
          <w:spacing w:val="-3"/>
        </w:rPr>
        <w:t>promedio </w:t>
      </w:r>
      <w:r>
        <w:rPr>
          <w:color w:val="231F20"/>
        </w:rPr>
        <w:t>se </w:t>
      </w:r>
      <w:r>
        <w:rPr>
          <w:color w:val="231F20"/>
          <w:spacing w:val="-3"/>
        </w:rPr>
        <w:t>vinculaban </w:t>
      </w:r>
      <w:r>
        <w:rPr>
          <w:color w:val="231F20"/>
        </w:rPr>
        <w:t>a una </w:t>
      </w:r>
      <w:r>
        <w:rPr>
          <w:color w:val="231F20"/>
          <w:spacing w:val="-3"/>
        </w:rPr>
        <w:t>mayor diversifica- ción, </w:t>
      </w:r>
      <w:r>
        <w:rPr>
          <w:color w:val="231F20"/>
        </w:rPr>
        <w:t>lo que </w:t>
      </w:r>
      <w:r>
        <w:rPr>
          <w:color w:val="231F20"/>
          <w:spacing w:val="-3"/>
        </w:rPr>
        <w:t>resultó </w:t>
      </w:r>
      <w:r>
        <w:rPr>
          <w:color w:val="231F20"/>
        </w:rPr>
        <w:t>en </w:t>
      </w:r>
      <w:r>
        <w:rPr>
          <w:color w:val="231F20"/>
          <w:spacing w:val="-3"/>
        </w:rPr>
        <w:t>estrategias para </w:t>
      </w:r>
      <w:r>
        <w:rPr>
          <w:color w:val="231F20"/>
        </w:rPr>
        <w:t>la </w:t>
      </w:r>
      <w:r>
        <w:rPr>
          <w:color w:val="231F20"/>
          <w:spacing w:val="-3"/>
        </w:rPr>
        <w:t>reducción </w:t>
      </w:r>
      <w:r>
        <w:rPr>
          <w:color w:val="231F20"/>
        </w:rPr>
        <w:t>de </w:t>
      </w:r>
      <w:r>
        <w:rPr>
          <w:color w:val="231F20"/>
          <w:spacing w:val="-3"/>
        </w:rPr>
        <w:t>riesgos, </w:t>
      </w:r>
      <w:r>
        <w:rPr>
          <w:color w:val="231F20"/>
        </w:rPr>
        <w:t>e </w:t>
      </w:r>
      <w:r>
        <w:rPr>
          <w:color w:val="231F20"/>
          <w:spacing w:val="-3"/>
        </w:rPr>
        <w:t>identificaron tres actividades diferentes </w:t>
      </w:r>
      <w:r>
        <w:rPr>
          <w:color w:val="231F20"/>
        </w:rPr>
        <w:t>que </w:t>
      </w:r>
      <w:r>
        <w:rPr>
          <w:color w:val="231F20"/>
          <w:spacing w:val="-3"/>
        </w:rPr>
        <w:t>conducen </w:t>
      </w:r>
      <w:r>
        <w:rPr>
          <w:color w:val="231F20"/>
        </w:rPr>
        <w:t>a </w:t>
      </w:r>
      <w:r>
        <w:rPr>
          <w:color w:val="231F20"/>
          <w:spacing w:val="-3"/>
        </w:rPr>
        <w:t>esta </w:t>
      </w:r>
      <w:r>
        <w:rPr>
          <w:color w:val="231F20"/>
          <w:spacing w:val="28"/>
        </w:rPr>
        <w:t> </w:t>
      </w:r>
      <w:r>
        <w:rPr>
          <w:color w:val="231F20"/>
          <w:spacing w:val="-3"/>
        </w:rPr>
        <w:t>reducción:</w:t>
      </w:r>
    </w:p>
    <w:p>
      <w:pPr>
        <w:pStyle w:val="ListParagraph"/>
        <w:numPr>
          <w:ilvl w:val="0"/>
          <w:numId w:val="3"/>
        </w:numPr>
        <w:tabs>
          <w:tab w:pos="1838" w:val="left" w:leader="none"/>
        </w:tabs>
        <w:spacing w:line="256" w:lineRule="auto" w:before="113" w:after="0"/>
        <w:ind w:left="1837" w:right="0" w:hanging="284"/>
        <w:jc w:val="both"/>
        <w:rPr>
          <w:sz w:val="20"/>
        </w:rPr>
      </w:pPr>
      <w:r>
        <w:rPr>
          <w:color w:val="231F20"/>
          <w:sz w:val="20"/>
        </w:rPr>
        <w:t>El ganado puede utilizarse como garantía de préstamos para iniciar empresas no agrícolas. Ellis (2000) describe la ganadería como un ac- tivo sustituible que puede ser vendido con el  fin de invertir en tierras o pequeños negocios,   y viceversa, el ingreso no agrícola puede ser utilizado para incrementar rebaños y obtener ingresos</w:t>
      </w:r>
      <w:r>
        <w:rPr>
          <w:color w:val="231F20"/>
          <w:spacing w:val="28"/>
          <w:sz w:val="20"/>
        </w:rPr>
        <w:t> </w:t>
      </w:r>
      <w:r>
        <w:rPr>
          <w:color w:val="231F20"/>
          <w:sz w:val="20"/>
        </w:rPr>
        <w:t>necesarios.</w:t>
      </w:r>
    </w:p>
    <w:p>
      <w:pPr>
        <w:pStyle w:val="ListParagraph"/>
        <w:numPr>
          <w:ilvl w:val="0"/>
          <w:numId w:val="3"/>
        </w:numPr>
        <w:tabs>
          <w:tab w:pos="1838" w:val="left" w:leader="none"/>
        </w:tabs>
        <w:spacing w:line="256" w:lineRule="auto" w:before="113" w:after="0"/>
        <w:ind w:left="1837" w:right="0" w:hanging="284"/>
        <w:jc w:val="both"/>
        <w:rPr>
          <w:sz w:val="20"/>
        </w:rPr>
      </w:pPr>
      <w:r>
        <w:rPr>
          <w:color w:val="231F20"/>
          <w:sz w:val="20"/>
        </w:rPr>
        <w:t>Se pueden obtener ingresos de la venta de ani- males y</w:t>
      </w:r>
      <w:r>
        <w:rPr>
          <w:color w:val="231F20"/>
          <w:spacing w:val="42"/>
          <w:sz w:val="20"/>
        </w:rPr>
        <w:t> </w:t>
      </w:r>
      <w:r>
        <w:rPr>
          <w:color w:val="231F20"/>
          <w:sz w:val="20"/>
        </w:rPr>
        <w:t>subproductos.</w:t>
      </w:r>
    </w:p>
    <w:p>
      <w:pPr>
        <w:pStyle w:val="ListParagraph"/>
        <w:numPr>
          <w:ilvl w:val="0"/>
          <w:numId w:val="3"/>
        </w:numPr>
        <w:tabs>
          <w:tab w:pos="1838" w:val="left" w:leader="none"/>
        </w:tabs>
        <w:spacing w:line="256" w:lineRule="auto" w:before="113" w:after="0"/>
        <w:ind w:left="1837" w:right="0" w:hanging="284"/>
        <w:jc w:val="both"/>
        <w:rPr>
          <w:sz w:val="20"/>
        </w:rPr>
      </w:pPr>
      <w:r>
        <w:rPr>
          <w:color w:val="231F20"/>
          <w:sz w:val="20"/>
        </w:rPr>
        <w:t>Los hogares con las explotaciones ganaderas más grandes parecen ser menos adversos al riesgo, y por lo tanto tal vez más dispuestos a invertir</w:t>
      </w:r>
      <w:r>
        <w:rPr>
          <w:color w:val="231F20"/>
          <w:spacing w:val="-18"/>
          <w:sz w:val="20"/>
        </w:rPr>
        <w:t> </w:t>
      </w:r>
      <w:r>
        <w:rPr>
          <w:color w:val="231F20"/>
          <w:sz w:val="20"/>
        </w:rPr>
        <w:t>y</w:t>
      </w:r>
      <w:r>
        <w:rPr>
          <w:color w:val="231F20"/>
          <w:spacing w:val="-18"/>
          <w:sz w:val="20"/>
        </w:rPr>
        <w:t> </w:t>
      </w:r>
      <w:r>
        <w:rPr>
          <w:color w:val="231F20"/>
          <w:sz w:val="20"/>
        </w:rPr>
        <w:t>diversificar</w:t>
      </w:r>
      <w:r>
        <w:rPr>
          <w:color w:val="231F20"/>
          <w:spacing w:val="-18"/>
          <w:sz w:val="20"/>
        </w:rPr>
        <w:t> </w:t>
      </w:r>
      <w:r>
        <w:rPr>
          <w:color w:val="231F20"/>
          <w:sz w:val="20"/>
        </w:rPr>
        <w:t>la</w:t>
      </w:r>
      <w:r>
        <w:rPr>
          <w:color w:val="231F20"/>
          <w:spacing w:val="-18"/>
          <w:sz w:val="20"/>
        </w:rPr>
        <w:t> </w:t>
      </w:r>
      <w:r>
        <w:rPr>
          <w:color w:val="231F20"/>
          <w:sz w:val="20"/>
        </w:rPr>
        <w:t>agricultura</w:t>
      </w:r>
      <w:r>
        <w:rPr>
          <w:color w:val="231F20"/>
          <w:spacing w:val="-18"/>
          <w:sz w:val="20"/>
        </w:rPr>
        <w:t> </w:t>
      </w:r>
      <w:r>
        <w:rPr>
          <w:color w:val="231F20"/>
          <w:sz w:val="20"/>
        </w:rPr>
        <w:t>hacia</w:t>
      </w:r>
      <w:r>
        <w:rPr>
          <w:color w:val="231F20"/>
          <w:spacing w:val="-18"/>
          <w:sz w:val="20"/>
        </w:rPr>
        <w:t> </w:t>
      </w:r>
      <w:r>
        <w:rPr>
          <w:color w:val="231F20"/>
          <w:sz w:val="20"/>
        </w:rPr>
        <w:t>activida- des externas a la</w:t>
      </w:r>
      <w:r>
        <w:rPr>
          <w:color w:val="231F20"/>
          <w:spacing w:val="33"/>
          <w:sz w:val="20"/>
        </w:rPr>
        <w:t> </w:t>
      </w:r>
      <w:r>
        <w:rPr>
          <w:color w:val="231F20"/>
          <w:sz w:val="20"/>
        </w:rPr>
        <w:t>finca.</w:t>
      </w:r>
    </w:p>
    <w:p>
      <w:pPr>
        <w:pStyle w:val="BodyText"/>
        <w:spacing w:line="256" w:lineRule="auto" w:before="113"/>
        <w:ind w:left="1553"/>
        <w:jc w:val="both"/>
      </w:pPr>
      <w:r>
        <w:rPr>
          <w:color w:val="231F20"/>
        </w:rPr>
        <w:t>Ellis (2000) afirma que los hogares sólo se dedi-  can a actividades económicas percibidas de alto riesgo si saben que pueden compensar este ries- go en las contingencias cuando cuentan con una reserva de apoyo social en situaciones en que las fuentes</w:t>
      </w:r>
      <w:r>
        <w:rPr>
          <w:color w:val="231F20"/>
          <w:spacing w:val="30"/>
        </w:rPr>
        <w:t> </w:t>
      </w:r>
      <w:r>
        <w:rPr>
          <w:color w:val="231F20"/>
        </w:rPr>
        <w:t>de</w:t>
      </w:r>
      <w:r>
        <w:rPr>
          <w:color w:val="231F20"/>
          <w:spacing w:val="30"/>
        </w:rPr>
        <w:t> </w:t>
      </w:r>
      <w:r>
        <w:rPr>
          <w:color w:val="231F20"/>
        </w:rPr>
        <w:t>ingreso</w:t>
      </w:r>
      <w:r>
        <w:rPr>
          <w:color w:val="231F20"/>
          <w:spacing w:val="30"/>
        </w:rPr>
        <w:t> </w:t>
      </w:r>
      <w:r>
        <w:rPr>
          <w:color w:val="231F20"/>
        </w:rPr>
        <w:t>y</w:t>
      </w:r>
      <w:r>
        <w:rPr>
          <w:color w:val="231F20"/>
          <w:spacing w:val="30"/>
        </w:rPr>
        <w:t> </w:t>
      </w:r>
      <w:r>
        <w:rPr>
          <w:color w:val="231F20"/>
        </w:rPr>
        <w:t>reservas</w:t>
      </w:r>
      <w:r>
        <w:rPr>
          <w:color w:val="231F20"/>
          <w:spacing w:val="30"/>
        </w:rPr>
        <w:t> </w:t>
      </w:r>
      <w:r>
        <w:rPr>
          <w:color w:val="231F20"/>
        </w:rPr>
        <w:t>fallen.</w:t>
      </w:r>
      <w:r>
        <w:rPr>
          <w:color w:val="231F20"/>
          <w:spacing w:val="30"/>
        </w:rPr>
        <w:t> </w:t>
      </w:r>
      <w:r>
        <w:rPr>
          <w:color w:val="231F20"/>
        </w:rPr>
        <w:t>Esto</w:t>
      </w:r>
      <w:r>
        <w:rPr>
          <w:color w:val="231F20"/>
          <w:spacing w:val="30"/>
        </w:rPr>
        <w:t> </w:t>
      </w:r>
      <w:r>
        <w:rPr>
          <w:color w:val="231F20"/>
        </w:rPr>
        <w:t>sugiere</w:t>
      </w:r>
    </w:p>
    <w:p>
      <w:pPr>
        <w:pStyle w:val="BodyText"/>
        <w:spacing w:line="259" w:lineRule="auto" w:before="67"/>
        <w:ind w:left="412" w:right="1551"/>
        <w:jc w:val="both"/>
      </w:pPr>
      <w:r>
        <w:rPr/>
        <w:br w:type="column"/>
      </w:r>
      <w:r>
        <w:rPr>
          <w:color w:val="231F20"/>
        </w:rPr>
        <w:t>la posibilidad de que, en las explotaciones con ga- nado, éste influya en las tomas de decisiones de una manera muy importante. Estos estudios llevan a la conclusión de que el ganado puede utilizarse para superar la vulnerabilidad, tanto de manera di- recta a través del ingreso de los productos anima- les y la venta en caso de necesidad, como indirecta al ofrecer oportunidades de obtener un crédito y facilitar la inversión al servir como seguros, aumen- tando así la capacidad para asumir  riesgos.</w:t>
      </w:r>
    </w:p>
    <w:p>
      <w:pPr>
        <w:pStyle w:val="BodyText"/>
        <w:spacing w:line="259" w:lineRule="auto" w:before="113"/>
        <w:ind w:left="412" w:right="1551"/>
        <w:jc w:val="both"/>
      </w:pPr>
      <w:r>
        <w:rPr>
          <w:color w:val="231F20"/>
        </w:rPr>
        <w:t>La investigación realizada en el Estado de México por Dorward </w:t>
      </w:r>
      <w:r>
        <w:rPr>
          <w:rFonts w:ascii="Cambria" w:hAnsi="Cambria"/>
          <w:i/>
          <w:color w:val="231F20"/>
        </w:rPr>
        <w:t>et al</w:t>
      </w:r>
      <w:r>
        <w:rPr>
          <w:color w:val="231F20"/>
        </w:rPr>
        <w:t>. (2009) sobre la relación entre estrategias y funciones de los animales reveló una cuestión importante. En este caso se refiere a la contribución que la cría de ganado hace a los mo- dos de vida de los pobres. Para contribuir a una estrategia de “mantenimiento”, la cría de ganado común tiene cuatro importantes funciones: 1) pro- veer al consumo de subsistencia (consumo en el hogar de carne, leche, huevos y fibra); 2) apoyo a las actividades complementarias, comúnmente de cultivo (proporciona fuerza de trabajo y  estiércol);</w:t>
      </w:r>
    </w:p>
    <w:p>
      <w:pPr>
        <w:pStyle w:val="ListParagraph"/>
        <w:numPr>
          <w:ilvl w:val="0"/>
          <w:numId w:val="4"/>
        </w:numPr>
        <w:tabs>
          <w:tab w:pos="666" w:val="left" w:leader="none"/>
        </w:tabs>
        <w:spacing w:line="259" w:lineRule="auto" w:before="0" w:after="0"/>
        <w:ind w:left="412" w:right="1551" w:firstLine="0"/>
        <w:jc w:val="both"/>
        <w:rPr>
          <w:sz w:val="20"/>
        </w:rPr>
      </w:pPr>
      <w:r>
        <w:rPr>
          <w:color w:val="231F20"/>
          <w:sz w:val="20"/>
        </w:rPr>
        <w:t>amortiguamiento contra la estacionalidad de</w:t>
      </w:r>
      <w:r>
        <w:rPr>
          <w:color w:val="231F20"/>
          <w:spacing w:val="-8"/>
          <w:sz w:val="20"/>
        </w:rPr>
        <w:t> </w:t>
      </w:r>
      <w:r>
        <w:rPr>
          <w:color w:val="231F20"/>
          <w:spacing w:val="-2"/>
          <w:sz w:val="20"/>
        </w:rPr>
        <w:t>los </w:t>
      </w:r>
      <w:r>
        <w:rPr>
          <w:color w:val="231F20"/>
          <w:sz w:val="20"/>
        </w:rPr>
        <w:t>ingresos</w:t>
      </w:r>
      <w:r>
        <w:rPr>
          <w:color w:val="231F20"/>
          <w:spacing w:val="-16"/>
          <w:sz w:val="20"/>
        </w:rPr>
        <w:t> </w:t>
      </w:r>
      <w:r>
        <w:rPr>
          <w:color w:val="231F20"/>
          <w:sz w:val="20"/>
        </w:rPr>
        <w:t>por</w:t>
      </w:r>
      <w:r>
        <w:rPr>
          <w:color w:val="231F20"/>
          <w:spacing w:val="-16"/>
          <w:sz w:val="20"/>
        </w:rPr>
        <w:t> </w:t>
      </w:r>
      <w:r>
        <w:rPr>
          <w:color w:val="231F20"/>
          <w:sz w:val="20"/>
        </w:rPr>
        <w:t>otras</w:t>
      </w:r>
      <w:r>
        <w:rPr>
          <w:color w:val="231F20"/>
          <w:spacing w:val="-16"/>
          <w:sz w:val="20"/>
        </w:rPr>
        <w:t> </w:t>
      </w:r>
      <w:r>
        <w:rPr>
          <w:color w:val="231F20"/>
          <w:sz w:val="20"/>
        </w:rPr>
        <w:t>actividades</w:t>
      </w:r>
      <w:r>
        <w:rPr>
          <w:color w:val="231F20"/>
          <w:spacing w:val="-16"/>
          <w:sz w:val="20"/>
        </w:rPr>
        <w:t> </w:t>
      </w:r>
      <w:r>
        <w:rPr>
          <w:color w:val="231F20"/>
          <w:sz w:val="20"/>
        </w:rPr>
        <w:t>(cultivos</w:t>
      </w:r>
      <w:r>
        <w:rPr>
          <w:color w:val="231F20"/>
          <w:spacing w:val="-16"/>
          <w:sz w:val="20"/>
        </w:rPr>
        <w:t> </w:t>
      </w:r>
      <w:r>
        <w:rPr>
          <w:color w:val="231F20"/>
          <w:sz w:val="20"/>
        </w:rPr>
        <w:t>o</w:t>
      </w:r>
      <w:r>
        <w:rPr>
          <w:color w:val="231F20"/>
          <w:spacing w:val="-16"/>
          <w:sz w:val="20"/>
        </w:rPr>
        <w:t> </w:t>
      </w:r>
      <w:r>
        <w:rPr>
          <w:color w:val="231F20"/>
          <w:sz w:val="20"/>
        </w:rPr>
        <w:t>actividades laborales de temporada); y 4) proporcionar</w:t>
      </w:r>
      <w:r>
        <w:rPr>
          <w:color w:val="231F20"/>
          <w:spacing w:val="-22"/>
          <w:sz w:val="20"/>
        </w:rPr>
        <w:t> </w:t>
      </w:r>
      <w:r>
        <w:rPr>
          <w:color w:val="231F20"/>
          <w:sz w:val="20"/>
        </w:rPr>
        <w:t>algunos activos como seguro contra demandas de efectivo impredecibles. Más allá de estas funciones de</w:t>
      </w:r>
      <w:r>
        <w:rPr>
          <w:color w:val="231F20"/>
          <w:spacing w:val="-14"/>
          <w:sz w:val="20"/>
        </w:rPr>
        <w:t> </w:t>
      </w:r>
      <w:r>
        <w:rPr>
          <w:color w:val="231F20"/>
          <w:sz w:val="20"/>
        </w:rPr>
        <w:t>man- tenimiento mínimas, la cría de ganado puede per- mitir</w:t>
      </w:r>
      <w:r>
        <w:rPr>
          <w:color w:val="231F20"/>
          <w:spacing w:val="-8"/>
          <w:sz w:val="20"/>
        </w:rPr>
        <w:t> </w:t>
      </w:r>
      <w:r>
        <w:rPr>
          <w:color w:val="231F20"/>
          <w:sz w:val="20"/>
        </w:rPr>
        <w:t>una</w:t>
      </w:r>
      <w:r>
        <w:rPr>
          <w:color w:val="231F20"/>
          <w:spacing w:val="-8"/>
          <w:sz w:val="20"/>
        </w:rPr>
        <w:t> </w:t>
      </w:r>
      <w:r>
        <w:rPr>
          <w:color w:val="231F20"/>
          <w:sz w:val="20"/>
        </w:rPr>
        <w:t>estrategia</w:t>
      </w:r>
      <w:r>
        <w:rPr>
          <w:color w:val="231F20"/>
          <w:spacing w:val="-8"/>
          <w:sz w:val="20"/>
        </w:rPr>
        <w:t> </w:t>
      </w:r>
      <w:r>
        <w:rPr>
          <w:color w:val="231F20"/>
          <w:sz w:val="20"/>
        </w:rPr>
        <w:t>de</w:t>
      </w:r>
      <w:r>
        <w:rPr>
          <w:color w:val="231F20"/>
          <w:spacing w:val="-8"/>
          <w:sz w:val="20"/>
        </w:rPr>
        <w:t> </w:t>
      </w:r>
      <w:r>
        <w:rPr>
          <w:color w:val="231F20"/>
          <w:sz w:val="20"/>
        </w:rPr>
        <w:t>“avance”</w:t>
      </w:r>
      <w:r>
        <w:rPr>
          <w:color w:val="231F20"/>
          <w:spacing w:val="-8"/>
          <w:sz w:val="20"/>
        </w:rPr>
        <w:t> </w:t>
      </w:r>
      <w:r>
        <w:rPr>
          <w:color w:val="231F20"/>
          <w:sz w:val="20"/>
        </w:rPr>
        <w:t>o</w:t>
      </w:r>
      <w:r>
        <w:rPr>
          <w:color w:val="231F20"/>
          <w:spacing w:val="-8"/>
          <w:sz w:val="20"/>
        </w:rPr>
        <w:t> </w:t>
      </w:r>
      <w:r>
        <w:rPr>
          <w:color w:val="231F20"/>
          <w:sz w:val="20"/>
        </w:rPr>
        <w:t>mejora</w:t>
      </w:r>
      <w:r>
        <w:rPr>
          <w:color w:val="231F20"/>
          <w:spacing w:val="-8"/>
          <w:sz w:val="20"/>
        </w:rPr>
        <w:t> </w:t>
      </w:r>
      <w:r>
        <w:rPr>
          <w:color w:val="231F20"/>
          <w:sz w:val="20"/>
        </w:rPr>
        <w:t>del</w:t>
      </w:r>
      <w:r>
        <w:rPr>
          <w:color w:val="231F20"/>
          <w:spacing w:val="-8"/>
          <w:sz w:val="20"/>
        </w:rPr>
        <w:t> </w:t>
      </w:r>
      <w:r>
        <w:rPr>
          <w:color w:val="231F20"/>
          <w:sz w:val="20"/>
        </w:rPr>
        <w:t>modo de</w:t>
      </w:r>
      <w:r>
        <w:rPr>
          <w:color w:val="231F20"/>
          <w:spacing w:val="-7"/>
          <w:sz w:val="20"/>
        </w:rPr>
        <w:t> </w:t>
      </w:r>
      <w:r>
        <w:rPr>
          <w:color w:val="231F20"/>
          <w:sz w:val="20"/>
        </w:rPr>
        <w:t>vida,</w:t>
      </w:r>
      <w:r>
        <w:rPr>
          <w:color w:val="231F20"/>
          <w:spacing w:val="-7"/>
          <w:sz w:val="20"/>
        </w:rPr>
        <w:t> </w:t>
      </w:r>
      <w:r>
        <w:rPr>
          <w:color w:val="231F20"/>
          <w:sz w:val="20"/>
        </w:rPr>
        <w:t>mediante</w:t>
      </w:r>
      <w:r>
        <w:rPr>
          <w:color w:val="231F20"/>
          <w:spacing w:val="-7"/>
          <w:sz w:val="20"/>
        </w:rPr>
        <w:t> </w:t>
      </w:r>
      <w:r>
        <w:rPr>
          <w:color w:val="231F20"/>
          <w:sz w:val="20"/>
        </w:rPr>
        <w:t>la</w:t>
      </w:r>
      <w:r>
        <w:rPr>
          <w:color w:val="231F20"/>
          <w:spacing w:val="-7"/>
          <w:sz w:val="20"/>
        </w:rPr>
        <w:t> </w:t>
      </w:r>
      <w:r>
        <w:rPr>
          <w:color w:val="231F20"/>
          <w:sz w:val="20"/>
        </w:rPr>
        <w:t>acumulación</w:t>
      </w:r>
      <w:r>
        <w:rPr>
          <w:color w:val="231F20"/>
          <w:spacing w:val="-7"/>
          <w:sz w:val="20"/>
        </w:rPr>
        <w:t> </w:t>
      </w:r>
      <w:r>
        <w:rPr>
          <w:color w:val="231F20"/>
          <w:sz w:val="20"/>
        </w:rPr>
        <w:t>con</w:t>
      </w:r>
      <w:r>
        <w:rPr>
          <w:color w:val="231F20"/>
          <w:spacing w:val="-7"/>
          <w:sz w:val="20"/>
        </w:rPr>
        <w:t> </w:t>
      </w:r>
      <w:r>
        <w:rPr>
          <w:color w:val="231F20"/>
          <w:sz w:val="20"/>
        </w:rPr>
        <w:t>cualquiera</w:t>
      </w:r>
      <w:r>
        <w:rPr>
          <w:color w:val="231F20"/>
          <w:spacing w:val="-7"/>
          <w:sz w:val="20"/>
        </w:rPr>
        <w:t> </w:t>
      </w:r>
      <w:r>
        <w:rPr>
          <w:color w:val="231F20"/>
          <w:sz w:val="20"/>
        </w:rPr>
        <w:t>de las especies animales más productivas (estrategia de “mejorar”) o de un conjunto de activos que tie- nen valor de ahorro, que se utilizarán para</w:t>
      </w:r>
      <w:r>
        <w:rPr>
          <w:color w:val="231F20"/>
          <w:spacing w:val="-20"/>
          <w:sz w:val="20"/>
        </w:rPr>
        <w:t> </w:t>
      </w:r>
      <w:r>
        <w:rPr>
          <w:color w:val="231F20"/>
          <w:sz w:val="20"/>
        </w:rPr>
        <w:t>comprar o</w:t>
      </w:r>
      <w:r>
        <w:rPr>
          <w:color w:val="231F20"/>
          <w:spacing w:val="-7"/>
          <w:sz w:val="20"/>
        </w:rPr>
        <w:t> </w:t>
      </w:r>
      <w:r>
        <w:rPr>
          <w:color w:val="231F20"/>
          <w:sz w:val="20"/>
        </w:rPr>
        <w:t>adquirir</w:t>
      </w:r>
      <w:r>
        <w:rPr>
          <w:color w:val="231F20"/>
          <w:spacing w:val="-7"/>
          <w:sz w:val="20"/>
        </w:rPr>
        <w:t> </w:t>
      </w:r>
      <w:r>
        <w:rPr>
          <w:color w:val="231F20"/>
          <w:sz w:val="20"/>
        </w:rPr>
        <w:t>otros</w:t>
      </w:r>
      <w:r>
        <w:rPr>
          <w:color w:val="231F20"/>
          <w:spacing w:val="-7"/>
          <w:sz w:val="20"/>
        </w:rPr>
        <w:t> </w:t>
      </w:r>
      <w:r>
        <w:rPr>
          <w:color w:val="231F20"/>
          <w:sz w:val="20"/>
        </w:rPr>
        <w:t>activos</w:t>
      </w:r>
      <w:r>
        <w:rPr>
          <w:color w:val="231F20"/>
          <w:spacing w:val="-7"/>
          <w:sz w:val="20"/>
        </w:rPr>
        <w:t> </w:t>
      </w:r>
      <w:r>
        <w:rPr>
          <w:color w:val="231F20"/>
          <w:sz w:val="20"/>
        </w:rPr>
        <w:t>necesarios</w:t>
      </w:r>
      <w:r>
        <w:rPr>
          <w:color w:val="231F20"/>
          <w:spacing w:val="-7"/>
          <w:sz w:val="20"/>
        </w:rPr>
        <w:t> </w:t>
      </w:r>
      <w:r>
        <w:rPr>
          <w:color w:val="231F20"/>
          <w:sz w:val="20"/>
        </w:rPr>
        <w:t>para</w:t>
      </w:r>
      <w:r>
        <w:rPr>
          <w:color w:val="231F20"/>
          <w:spacing w:val="-7"/>
          <w:sz w:val="20"/>
        </w:rPr>
        <w:t> </w:t>
      </w:r>
      <w:r>
        <w:rPr>
          <w:color w:val="231F20"/>
          <w:sz w:val="20"/>
        </w:rPr>
        <w:t>lograr</w:t>
      </w:r>
      <w:r>
        <w:rPr>
          <w:color w:val="231F20"/>
          <w:spacing w:val="-7"/>
          <w:sz w:val="20"/>
        </w:rPr>
        <w:t> </w:t>
      </w:r>
      <w:r>
        <w:rPr>
          <w:color w:val="231F20"/>
          <w:sz w:val="20"/>
        </w:rPr>
        <w:t>la</w:t>
      </w:r>
      <w:r>
        <w:rPr>
          <w:color w:val="231F20"/>
          <w:spacing w:val="-7"/>
          <w:sz w:val="20"/>
        </w:rPr>
        <w:t> </w:t>
      </w:r>
      <w:r>
        <w:rPr>
          <w:color w:val="231F20"/>
          <w:sz w:val="20"/>
        </w:rPr>
        <w:t>en- trada o el cambio a otras actividades de subsisten- cia</w:t>
      </w:r>
      <w:r>
        <w:rPr>
          <w:color w:val="231F20"/>
          <w:spacing w:val="-9"/>
          <w:sz w:val="20"/>
        </w:rPr>
        <w:t> </w:t>
      </w:r>
      <w:r>
        <w:rPr>
          <w:color w:val="231F20"/>
          <w:sz w:val="20"/>
        </w:rPr>
        <w:t>(estrategia</w:t>
      </w:r>
      <w:r>
        <w:rPr>
          <w:color w:val="231F20"/>
          <w:spacing w:val="-9"/>
          <w:sz w:val="20"/>
        </w:rPr>
        <w:t> </w:t>
      </w:r>
      <w:r>
        <w:rPr>
          <w:color w:val="231F20"/>
          <w:sz w:val="20"/>
        </w:rPr>
        <w:t>de</w:t>
      </w:r>
      <w:r>
        <w:rPr>
          <w:color w:val="231F20"/>
          <w:spacing w:val="-9"/>
          <w:sz w:val="20"/>
        </w:rPr>
        <w:t> </w:t>
      </w:r>
      <w:r>
        <w:rPr>
          <w:color w:val="231F20"/>
          <w:sz w:val="20"/>
        </w:rPr>
        <w:t>“salir”).</w:t>
      </w:r>
      <w:r>
        <w:rPr>
          <w:color w:val="231F20"/>
          <w:spacing w:val="-9"/>
          <w:sz w:val="20"/>
        </w:rPr>
        <w:t> </w:t>
      </w:r>
      <w:r>
        <w:rPr>
          <w:color w:val="231F20"/>
          <w:sz w:val="20"/>
        </w:rPr>
        <w:t>¿Qué</w:t>
      </w:r>
      <w:r>
        <w:rPr>
          <w:color w:val="231F20"/>
          <w:spacing w:val="-9"/>
          <w:sz w:val="20"/>
        </w:rPr>
        <w:t> </w:t>
      </w:r>
      <w:r>
        <w:rPr>
          <w:color w:val="231F20"/>
          <w:sz w:val="20"/>
        </w:rPr>
        <w:t>determina</w:t>
      </w:r>
      <w:r>
        <w:rPr>
          <w:color w:val="231F20"/>
          <w:spacing w:val="-9"/>
          <w:sz w:val="20"/>
        </w:rPr>
        <w:t> </w:t>
      </w:r>
      <w:r>
        <w:rPr>
          <w:color w:val="231F20"/>
          <w:sz w:val="20"/>
        </w:rPr>
        <w:t>cuáles</w:t>
      </w:r>
      <w:r>
        <w:rPr>
          <w:color w:val="231F20"/>
          <w:spacing w:val="-9"/>
          <w:sz w:val="20"/>
        </w:rPr>
        <w:t> </w:t>
      </w:r>
      <w:r>
        <w:rPr>
          <w:color w:val="231F20"/>
          <w:sz w:val="20"/>
        </w:rPr>
        <w:t>de estas contribuciones del ganado son importantes (o potencialmente importantes) para cada produc- tor de ganado en particular? Según los autores, </w:t>
      </w:r>
      <w:r>
        <w:rPr>
          <w:color w:val="231F20"/>
          <w:spacing w:val="-2"/>
          <w:sz w:val="20"/>
        </w:rPr>
        <w:t>las </w:t>
      </w:r>
      <w:r>
        <w:rPr>
          <w:color w:val="231F20"/>
          <w:sz w:val="20"/>
        </w:rPr>
        <w:t>estrategias de vida normalmente serán determina- das por la técnica, las oportunidades</w:t>
      </w:r>
      <w:r>
        <w:rPr>
          <w:color w:val="231F20"/>
          <w:spacing w:val="-27"/>
          <w:sz w:val="20"/>
        </w:rPr>
        <w:t> </w:t>
      </w:r>
      <w:r>
        <w:rPr>
          <w:color w:val="231F20"/>
          <w:sz w:val="20"/>
        </w:rPr>
        <w:t>institucionales y</w:t>
      </w:r>
      <w:r>
        <w:rPr>
          <w:color w:val="231F20"/>
          <w:spacing w:val="31"/>
          <w:sz w:val="20"/>
        </w:rPr>
        <w:t> </w:t>
      </w:r>
      <w:r>
        <w:rPr>
          <w:color w:val="231F20"/>
          <w:sz w:val="20"/>
        </w:rPr>
        <w:t>de</w:t>
      </w:r>
      <w:r>
        <w:rPr>
          <w:color w:val="231F20"/>
          <w:spacing w:val="31"/>
          <w:sz w:val="20"/>
        </w:rPr>
        <w:t> </w:t>
      </w:r>
      <w:r>
        <w:rPr>
          <w:color w:val="231F20"/>
          <w:sz w:val="20"/>
        </w:rPr>
        <w:t>mercado,</w:t>
      </w:r>
      <w:r>
        <w:rPr>
          <w:color w:val="231F20"/>
          <w:spacing w:val="31"/>
          <w:sz w:val="20"/>
        </w:rPr>
        <w:t> </w:t>
      </w:r>
      <w:r>
        <w:rPr>
          <w:color w:val="231F20"/>
          <w:sz w:val="20"/>
        </w:rPr>
        <w:t>y</w:t>
      </w:r>
      <w:r>
        <w:rPr>
          <w:color w:val="231F20"/>
          <w:spacing w:val="31"/>
          <w:sz w:val="20"/>
        </w:rPr>
        <w:t> </w:t>
      </w:r>
      <w:r>
        <w:rPr>
          <w:color w:val="231F20"/>
          <w:sz w:val="20"/>
        </w:rPr>
        <w:t>las</w:t>
      </w:r>
      <w:r>
        <w:rPr>
          <w:color w:val="231F20"/>
          <w:spacing w:val="31"/>
          <w:sz w:val="20"/>
        </w:rPr>
        <w:t> </w:t>
      </w:r>
      <w:r>
        <w:rPr>
          <w:color w:val="231F20"/>
          <w:sz w:val="20"/>
        </w:rPr>
        <w:t>dificultades</w:t>
      </w:r>
      <w:r>
        <w:rPr>
          <w:color w:val="231F20"/>
          <w:spacing w:val="31"/>
          <w:sz w:val="20"/>
        </w:rPr>
        <w:t> </w:t>
      </w:r>
      <w:r>
        <w:rPr>
          <w:color w:val="231F20"/>
          <w:sz w:val="20"/>
        </w:rPr>
        <w:t>que</w:t>
      </w:r>
      <w:r>
        <w:rPr>
          <w:color w:val="231F20"/>
          <w:spacing w:val="31"/>
          <w:sz w:val="20"/>
        </w:rPr>
        <w:t> </w:t>
      </w:r>
      <w:r>
        <w:rPr>
          <w:color w:val="231F20"/>
          <w:sz w:val="20"/>
        </w:rPr>
        <w:t>afrontan</w:t>
      </w:r>
      <w:r>
        <w:rPr>
          <w:color w:val="231F20"/>
          <w:spacing w:val="31"/>
          <w:sz w:val="20"/>
        </w:rPr>
        <w:t> </w:t>
      </w:r>
      <w:r>
        <w:rPr>
          <w:color w:val="231F20"/>
          <w:spacing w:val="-2"/>
          <w:sz w:val="20"/>
        </w:rPr>
        <w:t>las</w:t>
      </w:r>
    </w:p>
    <w:p>
      <w:pPr>
        <w:spacing w:after="0" w:line="259" w:lineRule="auto"/>
        <w:jc w:val="both"/>
        <w:rPr>
          <w:sz w:val="20"/>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1.      </w:t>
      </w:r>
      <w:r>
        <w:rPr>
          <w:color w:val="231F20"/>
          <w:spacing w:val="24"/>
          <w:sz w:val="18"/>
        </w:rPr>
        <w:t> </w:t>
      </w:r>
      <w:r>
        <w:rPr>
          <w:color w:val="231F20"/>
          <w:sz w:val="18"/>
        </w:rPr>
        <w:t>Contribución de la producción animal en pequeña escala a las estrategias de vida</w:t>
      </w:r>
      <w:r>
        <w:rPr>
          <w:color w:val="231F20"/>
          <w:spacing w:val="15"/>
          <w:sz w:val="18"/>
        </w:rPr>
        <w:t> </w:t>
      </w:r>
      <w:r>
        <w:rPr>
          <w:color w:val="231F20"/>
          <w:sz w:val="18"/>
        </w:rPr>
        <w:t>campesinas</w:t>
      </w:r>
      <w:r>
        <w:rPr>
          <w:color w:val="231F20"/>
          <w:sz w:val="22"/>
        </w:rPr>
        <w:tab/>
      </w:r>
      <w:r>
        <w:rPr>
          <w:color w:val="231F20"/>
          <w:spacing w:val="-9"/>
          <w:sz w:val="22"/>
        </w:rPr>
        <w:t>13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personas, y éstas a su  vez  dependen  del  acceso de los pobladores a los activos y del entorno social, económico y natural en que las personas se en- cuentran (Perea  </w:t>
      </w:r>
      <w:r>
        <w:rPr>
          <w:rFonts w:ascii="Cambria" w:hAnsi="Cambria"/>
          <w:i/>
          <w:color w:val="231F20"/>
        </w:rPr>
        <w:t>et al</w:t>
      </w:r>
      <w:r>
        <w:rPr>
          <w:color w:val="231F20"/>
        </w:rPr>
        <w:t>., 2011).</w:t>
      </w:r>
    </w:p>
    <w:p>
      <w:pPr>
        <w:pStyle w:val="BodyText"/>
      </w:pPr>
    </w:p>
    <w:p>
      <w:pPr>
        <w:pStyle w:val="BodyText"/>
        <w:spacing w:line="256" w:lineRule="auto" w:before="152"/>
        <w:ind w:left="1553"/>
      </w:pPr>
      <w:r>
        <w:rPr>
          <w:color w:val="231F20"/>
          <w:w w:val="110"/>
        </w:rPr>
        <w:t>FUNCIONES DE LOS ACTIVOS ANIMALES, MULTIFUNCIONALIDAD</w:t>
      </w:r>
    </w:p>
    <w:p>
      <w:pPr>
        <w:pStyle w:val="BodyText"/>
        <w:spacing w:line="244" w:lineRule="exact"/>
        <w:ind w:left="1553"/>
        <w:jc w:val="both"/>
      </w:pPr>
      <w:r>
        <w:rPr>
          <w:color w:val="231F20"/>
          <w:w w:val="110"/>
        </w:rPr>
        <w:t>Y REDUCCIÓN DEL  RIESGO</w:t>
      </w:r>
    </w:p>
    <w:p>
      <w:pPr>
        <w:pStyle w:val="BodyText"/>
        <w:spacing w:line="256" w:lineRule="auto" w:before="130"/>
        <w:ind w:left="1553"/>
        <w:jc w:val="both"/>
      </w:pPr>
      <w:r>
        <w:rPr>
          <w:color w:val="231F20"/>
        </w:rPr>
        <w:t>Las actividades ganaderas campesinas </w:t>
      </w:r>
      <w:r>
        <w:rPr>
          <w:rFonts w:ascii="Cambria" w:hAnsi="Cambria"/>
          <w:i/>
          <w:color w:val="231F20"/>
        </w:rPr>
        <w:t>per se,  </w:t>
      </w:r>
      <w:r>
        <w:rPr>
          <w:color w:val="231F20"/>
        </w:rPr>
        <w:t>en  su conceptualización original vista como una ga- nadería de traspatio o de autoconsumo, mas no como una ganadería empresarial, no constituyen  el principal soporte de los sistemas</w:t>
      </w:r>
      <w:r>
        <w:rPr>
          <w:color w:val="231F20"/>
          <w:spacing w:val="6"/>
        </w:rPr>
        <w:t> </w:t>
      </w:r>
      <w:r>
        <w:rPr>
          <w:color w:val="231F20"/>
        </w:rPr>
        <w:t>rurales,</w:t>
      </w:r>
      <w:r>
        <w:rPr>
          <w:color w:val="231F20"/>
          <w:spacing w:val="23"/>
        </w:rPr>
        <w:t> </w:t>
      </w:r>
      <w:r>
        <w:rPr>
          <w:color w:val="231F20"/>
        </w:rPr>
        <w:t>como</w:t>
      </w:r>
      <w:r>
        <w:rPr>
          <w:color w:val="231F20"/>
          <w:w w:val="104"/>
        </w:rPr>
        <w:t> </w:t>
      </w:r>
      <w:r>
        <w:rPr>
          <w:color w:val="231F20"/>
        </w:rPr>
        <w:t>tradicionalmente se pensó en décadas pasadas  (De Janvry y Sadoulet, 2004; Gómez </w:t>
      </w:r>
      <w:r>
        <w:rPr>
          <w:rFonts w:ascii="Cambria" w:hAnsi="Cambria"/>
          <w:i/>
          <w:color w:val="231F20"/>
        </w:rPr>
        <w:t>et  al</w:t>
      </w:r>
      <w:r>
        <w:rPr>
          <w:color w:val="231F20"/>
        </w:rPr>
        <w:t>.,    2009).</w:t>
      </w:r>
    </w:p>
    <w:p>
      <w:pPr>
        <w:pStyle w:val="BodyText"/>
        <w:spacing w:line="256" w:lineRule="auto" w:before="113"/>
        <w:ind w:left="1553"/>
        <w:jc w:val="both"/>
      </w:pPr>
      <w:r>
        <w:rPr>
          <w:color w:val="231F20"/>
        </w:rPr>
        <w:t>En general se reconoce que los hogares pobres de las zonas en vías de desarrollo son muy</w:t>
      </w:r>
      <w:r>
        <w:rPr>
          <w:color w:val="231F20"/>
          <w:spacing w:val="-6"/>
        </w:rPr>
        <w:t> </w:t>
      </w:r>
      <w:r>
        <w:rPr>
          <w:color w:val="231F20"/>
        </w:rPr>
        <w:t>vulnerables al riesgo (Nava, 2005). El riesgo es la exposición      a eventos con efectos inciertos y consecuencias potencialmente desfavorables (Hardaker </w:t>
      </w:r>
      <w:r>
        <w:rPr>
          <w:rFonts w:ascii="Cambria" w:hAnsi="Cambria"/>
          <w:i/>
          <w:color w:val="231F20"/>
        </w:rPr>
        <w:t>et al</w:t>
      </w:r>
      <w:r>
        <w:rPr>
          <w:color w:val="231F20"/>
        </w:rPr>
        <w:t>., </w:t>
      </w:r>
      <w:r>
        <w:rPr>
          <w:color w:val="231F20"/>
          <w:spacing w:val="-3"/>
        </w:rPr>
        <w:t>1997). </w:t>
      </w:r>
      <w:r>
        <w:rPr>
          <w:color w:val="231F20"/>
        </w:rPr>
        <w:t>Los dos eventos principales identificados  son los choques y tensiones. Los choques son grandes, imprevisibles, irregulares, disturbios; las tensiones son más pequeñas, previsibles, regula- res y a veces alteraciones continuas (Pearce </w:t>
      </w:r>
      <w:r>
        <w:rPr>
          <w:rFonts w:ascii="Cambria" w:hAnsi="Cambria"/>
          <w:i/>
          <w:color w:val="231F20"/>
        </w:rPr>
        <w:t>et al</w:t>
      </w:r>
      <w:r>
        <w:rPr>
          <w:color w:val="231F20"/>
        </w:rPr>
        <w:t>., 1989). Un hogar se dice que es vulnerable al ries- go cuando es propenso a la inseguridad alimen- taria y experimenta un alto grado de exposición a impactos y tensiones (Chambers, 1989; Davies, 1996). Esto se refiere tanto a las señales externas de las amenazas a la seguridad de los medios y     las capacidades internas de afrontamiento deter- minadas por los activos, la escasez de alimentos,    y el apoyo de familiares o de la comunidad, entre otros (Ellis, 2000; Nava, 2005). Frente a las ame- nazas externas, un hogar adaptará sus ingresos y actividades generadoras de alimentos de la mejor manera posible para minimizar el riesgo y alcanzar la seguridad alimentaria.</w:t>
      </w:r>
    </w:p>
    <w:p>
      <w:pPr>
        <w:pStyle w:val="BodyText"/>
        <w:spacing w:line="256" w:lineRule="auto" w:before="113"/>
        <w:ind w:left="1553"/>
        <w:jc w:val="both"/>
      </w:pPr>
      <w:r>
        <w:rPr>
          <w:color w:val="231F20"/>
        </w:rPr>
        <w:t>En estudios realizados en el Instituto de Ciencias Agropecuarias y Rurales de la Universidad  Autóno-</w:t>
      </w:r>
    </w:p>
    <w:p>
      <w:pPr>
        <w:pStyle w:val="BodyText"/>
        <w:spacing w:before="3"/>
        <w:rPr>
          <w:sz w:val="28"/>
        </w:rPr>
      </w:pPr>
      <w:r>
        <w:rPr/>
        <w:br w:type="column"/>
      </w:r>
      <w:r>
        <w:rPr>
          <w:sz w:val="28"/>
        </w:rPr>
      </w:r>
    </w:p>
    <w:p>
      <w:pPr>
        <w:pStyle w:val="BodyText"/>
        <w:spacing w:line="259" w:lineRule="auto"/>
        <w:ind w:left="413" w:right="1551"/>
        <w:jc w:val="both"/>
      </w:pPr>
      <w:r>
        <w:rPr>
          <w:color w:val="231F20"/>
        </w:rPr>
        <w:t>ma del Estado de México se ha utilizado el marco conceptual propuesto por Dorward </w:t>
      </w:r>
      <w:r>
        <w:rPr>
          <w:rFonts w:ascii="Cambria" w:hAnsi="Cambria"/>
          <w:i/>
          <w:color w:val="231F20"/>
        </w:rPr>
        <w:t>et al</w:t>
      </w:r>
      <w:r>
        <w:rPr>
          <w:color w:val="231F20"/>
        </w:rPr>
        <w:t>. </w:t>
      </w:r>
      <w:r>
        <w:rPr>
          <w:color w:val="231F20"/>
          <w:spacing w:val="-3"/>
        </w:rPr>
        <w:t>(2001) </w:t>
      </w:r>
      <w:r>
        <w:rPr>
          <w:color w:val="231F20"/>
        </w:rPr>
        <w:t>para el estudio de la contribución de los animales   a los modos de vida campesinos, con el fin de poder conjuntar la información empírica recolecta- da y reconocer y entender las relaciones entre las diferentes funciones de los activos agropecuarios y el ganado. El eje central de este enfoque muestra las actividades y procesos de ingreso/producción   al emplear activos productivos para generar recur- sos para consumo y reproducción social (Nava, 2005). Puede considerarse que representa pun-  tos de vista que toman en cuenta sólo una o dos fuentes de ingreso para la definición de pobreza     y de activos. Son bien conocidas las limitantes de tales enfoques, pero se pueden “desempacar”, por un lado, los elementos múltiples y a veces intangi- bles que componen los activos de las personas, y por el otro la necesidad de flujos de recursos para consumo con el objeto de acoplarse a los flujos de recursos necesarios para mantener un </w:t>
      </w:r>
      <w:r>
        <w:rPr>
          <w:color w:val="231F20"/>
          <w:spacing w:val="34"/>
        </w:rPr>
        <w:t> </w:t>
      </w:r>
      <w:r>
        <w:rPr>
          <w:color w:val="231F20"/>
        </w:rPr>
        <w:t>bien.</w:t>
      </w:r>
    </w:p>
    <w:p>
      <w:pPr>
        <w:pStyle w:val="BodyText"/>
        <w:spacing w:line="259" w:lineRule="auto" w:before="113"/>
        <w:ind w:left="413" w:right="1551"/>
        <w:jc w:val="both"/>
      </w:pPr>
      <w:r>
        <w:rPr>
          <w:color w:val="231F20"/>
        </w:rPr>
        <w:t>Al centrarse en este último aspecto, la mayoría de las actividades de los modos de vida, la produc- ción y el ingreso son discontinuos e inciertos en mayor o menor grado. Esta falta de continuidad    es particularmente notable para la producción que se basa en la temporada, y está asociada en mu- chas formas a las actividades extra agropecuarias que realiza la gente, aunque la estacionalidad afec- ta muchas otras actividades que generan ingreso (Gill, </w:t>
      </w:r>
      <w:r>
        <w:rPr>
          <w:color w:val="231F20"/>
          <w:spacing w:val="-3"/>
        </w:rPr>
        <w:t>1991). </w:t>
      </w:r>
      <w:r>
        <w:rPr>
          <w:color w:val="231F20"/>
        </w:rPr>
        <w:t>La incertidumbre en el ingreso puede ser resultado de la variabilidad en una gran diver- sidad de variables naturales, de mercado, políticas y sociales. Los flujos de recursos resultantes de este ingreso pueden no acoplarse a las demandas de recursos para el consumo. Estas demandas se componen de elementos razonablemente conti- nuos (por ejemplo, la comida diaria y otras ne- cesidades), elementos de consumo directo en periodos específicos (fiestas, cuotas de escuela, etc.), inversiones en tiempo específico para activos de consumo (por ejemplo construcción de   </w:t>
      </w:r>
      <w:r>
        <w:rPr>
          <w:color w:val="231F20"/>
          <w:spacing w:val="23"/>
        </w:rPr>
        <w:t> </w:t>
      </w:r>
      <w:r>
        <w:rPr>
          <w:color w:val="231F20"/>
        </w:rPr>
        <w:t>vivien-</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8643" w:val="left" w:leader="none"/>
        </w:tabs>
        <w:spacing w:before="64"/>
        <w:ind w:left="1551" w:right="0" w:firstLine="0"/>
        <w:jc w:val="left"/>
        <w:rPr>
          <w:sz w:val="12"/>
        </w:rPr>
      </w:pPr>
      <w:r>
        <w:rPr>
          <w:color w:val="231F20"/>
          <w:spacing w:val="-5"/>
          <w:w w:val="125"/>
          <w:sz w:val="22"/>
        </w:rPr>
        <w:t>14</w:t>
        <w:tab/>
      </w:r>
      <w:r>
        <w:rPr>
          <w:color w:val="231F20"/>
          <w:w w:val="125"/>
          <w:sz w:val="18"/>
        </w:rPr>
        <w:t>S</w:t>
      </w:r>
      <w:r>
        <w:rPr>
          <w:color w:val="231F20"/>
          <w:w w:val="125"/>
          <w:sz w:val="12"/>
        </w:rPr>
        <w:t>ección  </w:t>
      </w:r>
      <w:r>
        <w:rPr>
          <w:color w:val="231F20"/>
          <w:w w:val="125"/>
          <w:sz w:val="18"/>
        </w:rPr>
        <w:t>1.  </w:t>
      </w:r>
      <w:r>
        <w:rPr>
          <w:color w:val="231F20"/>
          <w:spacing w:val="15"/>
          <w:w w:val="125"/>
          <w:sz w:val="18"/>
        </w:rPr>
        <w:t> </w:t>
      </w:r>
      <w:r>
        <w:rPr>
          <w:color w:val="231F20"/>
          <w:w w:val="125"/>
          <w:sz w:val="18"/>
        </w:rPr>
        <w:t>i</w:t>
      </w:r>
      <w:r>
        <w:rPr>
          <w:color w:val="231F20"/>
          <w:w w:val="125"/>
          <w:sz w:val="12"/>
        </w:rPr>
        <w:t>ntroducción</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rPr>
        <w:t>da o reparaciones en cierta época, o algunos acti- vos que están disponibles sólo por temporadas),    e inversiones sin tiempo establecido para activos de consumo (activos que pueden obtenerse en mayor o menor grado cuando hay recursos dispo- nibles). Las demandas de consumo también están sujetas a la incertidumbre como resultado de com- promisos sociales, enfermedad, </w:t>
      </w:r>
      <w:r>
        <w:rPr>
          <w:color w:val="231F20"/>
          <w:spacing w:val="7"/>
        </w:rPr>
        <w:t> </w:t>
      </w:r>
      <w:r>
        <w:rPr>
          <w:color w:val="231F20"/>
        </w:rPr>
        <w:t>etc.</w:t>
      </w:r>
    </w:p>
    <w:p>
      <w:pPr>
        <w:pStyle w:val="BodyText"/>
        <w:spacing w:line="259" w:lineRule="auto" w:before="113"/>
        <w:ind w:left="1553"/>
        <w:jc w:val="both"/>
      </w:pPr>
      <w:r>
        <w:rPr>
          <w:color w:val="231F20"/>
        </w:rPr>
        <w:t>Las personas adoptan estrategias en sus modos de vida para tratar de compaginar  la  disponibilidad de recursos esperados con la demanda esperada mientras se permita la ocurrencia de disminucio- nes en el suministro de recursos o un incremento en la demanda. Esto lo llevan a cabo realizando ahorros con activos que después pueden ser con- vertidos en activos líquidos o de consumo, me- diante la obtención de préstamos para conseguir recursos a costa del pago de deudas futuras, y mediante el ajuste de sus patrones de consumo  (en el consumo diario y cambiando el tiempo de   su inversiones en activos de consumo). Además, tratan de seleccionar y diversificar sus actividades productivas, y especifican nuevos tiempos  para  sus inversiones en activos productivos para al me- nos igualar o amortiguar la disponibilidad de recur- sos. Por ejemplo, Velázquez-Beltran </w:t>
      </w:r>
      <w:r>
        <w:rPr>
          <w:rFonts w:ascii="Cambria" w:hAnsi="Cambria"/>
          <w:i/>
          <w:color w:val="231F20"/>
        </w:rPr>
        <w:t>et al</w:t>
      </w:r>
      <w:r>
        <w:rPr>
          <w:color w:val="231F20"/>
        </w:rPr>
        <w:t>. </w:t>
      </w:r>
      <w:r>
        <w:rPr>
          <w:color w:val="231F20"/>
          <w:spacing w:val="-4"/>
        </w:rPr>
        <w:t>(2011) </w:t>
      </w:r>
      <w:r>
        <w:rPr>
          <w:color w:val="231F20"/>
        </w:rPr>
        <w:t>encontraron que, en el Estado de México, los pro- ductores que poseen animales de trabajo tienden a adaptarse a las circunstancias socioeconómicas mediante cambios en el tipo de especies utilizadas para trabajar la tierra. En su estudio muestran la tendencia de que a mayor diversificación de las unidades de producción, menor es la presencia de équidos mayores y aumenta el número de équidos menores que realizan actividades no sólo agrope- cuarias. En contraste, a menor diversificación se quedan o prefieren équidos mayores que realizan solamente tareas agrícolas. Esto se explica y ejem- plifica con que cuando hay mayor diversificación     y posesión de animales los productores están en una posición económica que permite mantener más  animales  que  ayudan  a  mejorar  el  nivel</w:t>
      </w:r>
      <w:r>
        <w:rPr>
          <w:color w:val="231F20"/>
          <w:spacing w:val="34"/>
        </w:rPr>
        <w:t> </w:t>
      </w:r>
      <w:r>
        <w:rPr>
          <w:color w:val="231F20"/>
        </w:rPr>
        <w:t>de</w:t>
      </w:r>
    </w:p>
    <w:p>
      <w:pPr>
        <w:pStyle w:val="BodyText"/>
        <w:spacing w:line="256" w:lineRule="auto" w:before="67"/>
        <w:ind w:left="412" w:right="1551"/>
        <w:jc w:val="both"/>
      </w:pPr>
      <w:r>
        <w:rPr/>
        <w:br w:type="column"/>
      </w:r>
      <w:r>
        <w:rPr>
          <w:color w:val="231F20"/>
        </w:rPr>
        <w:t>sustento de los hogares. Nava (2005), en un estu- dio social y antropológico, encontró en zonas del Estado de México, al igual que lo observado en otras partes del país, que las unidades campesi-  nas deben considerarse  como  un  fenómeno  en  sí mismas, ya que poseen características, como la reciprocidad, el intercambio, la solidaridad y otros valores, que las hacen únicas. En estos contextos, el papel de los animales puede ser entendido so- lamente en términos sociales y culturales, que tie- nen igual o más importancia que los económicos en términos de lograr una mayor sustentabilidad de los modos de </w:t>
      </w:r>
      <w:r>
        <w:rPr>
          <w:color w:val="231F20"/>
          <w:spacing w:val="39"/>
        </w:rPr>
        <w:t> </w:t>
      </w:r>
      <w:r>
        <w:rPr>
          <w:color w:val="231F20"/>
        </w:rPr>
        <w:t>vida.</w:t>
      </w:r>
    </w:p>
    <w:p>
      <w:pPr>
        <w:pStyle w:val="BodyText"/>
        <w:spacing w:line="256" w:lineRule="auto" w:before="113"/>
        <w:ind w:left="412" w:right="1551"/>
        <w:jc w:val="both"/>
      </w:pPr>
      <w:r>
        <w:rPr>
          <w:color w:val="231F20"/>
        </w:rPr>
        <w:t>El mismo activo puede cumplir hasta tres o cuatro funciones en mayor o menor grado, pero los acti- vos difieren en su efectividad relativa para cumplir cada función. Los ahorros en activos altamente convertibles, como dinero en efectivo, no brindan beneficios productivos ni de consumo  directos.  Las inversiones pueden tomar muchas formas y estar o no asociadas a los beneficios de produc- ción y consumo. Los ahorros que se tienen en una cuenta corriente con intereses deberían producir ingreso (si la tasa de interés real es positiva). La productividad de los ahorros en animales varía con los mercados, la administración, el tipo de ganado, etc. (Perea </w:t>
      </w:r>
      <w:r>
        <w:rPr>
          <w:rFonts w:ascii="Cambria" w:hAnsi="Cambria"/>
          <w:i/>
          <w:color w:val="231F20"/>
        </w:rPr>
        <w:t>et al</w:t>
      </w:r>
      <w:r>
        <w:rPr>
          <w:color w:val="231F20"/>
        </w:rPr>
        <w:t>.  </w:t>
      </w:r>
      <w:r>
        <w:rPr>
          <w:color w:val="231F20"/>
          <w:spacing w:val="19"/>
        </w:rPr>
        <w:t> </w:t>
      </w:r>
      <w:r>
        <w:rPr>
          <w:color w:val="231F20"/>
          <w:spacing w:val="-4"/>
        </w:rPr>
        <w:t>2011).</w:t>
      </w:r>
    </w:p>
    <w:p>
      <w:pPr>
        <w:pStyle w:val="BodyText"/>
        <w:spacing w:line="256" w:lineRule="auto" w:before="113"/>
        <w:ind w:left="412" w:right="1551"/>
        <w:jc w:val="both"/>
      </w:pPr>
      <w:r>
        <w:rPr>
          <w:color w:val="231F20"/>
        </w:rPr>
        <w:t>Estos componentes y atributos son ampliamente reconocidos entre los practicantes del desarrollo    y los teóricos que trabajan en diferentes campos, y de este modo pueden ser unidos e   </w:t>
      </w:r>
      <w:r>
        <w:rPr>
          <w:color w:val="231F20"/>
          <w:spacing w:val="12"/>
        </w:rPr>
        <w:t> </w:t>
      </w:r>
      <w:r>
        <w:rPr>
          <w:color w:val="231F20"/>
        </w:rPr>
        <w:t>integrados.</w:t>
      </w:r>
    </w:p>
    <w:p>
      <w:pPr>
        <w:pStyle w:val="BodyText"/>
      </w:pPr>
    </w:p>
    <w:p>
      <w:pPr>
        <w:pStyle w:val="BodyText"/>
        <w:spacing w:line="256" w:lineRule="auto" w:before="152"/>
        <w:ind w:left="412" w:right="3055"/>
      </w:pPr>
      <w:r>
        <w:rPr>
          <w:color w:val="231F20"/>
          <w:w w:val="110"/>
        </w:rPr>
        <w:t>FUNCIONES DE LOS ACTIVOS Y MARCO CONCEPTUAL PARA</w:t>
      </w:r>
    </w:p>
    <w:p>
      <w:pPr>
        <w:pStyle w:val="BodyText"/>
        <w:spacing w:line="244" w:lineRule="exact"/>
        <w:ind w:left="412"/>
        <w:jc w:val="both"/>
      </w:pPr>
      <w:r>
        <w:rPr>
          <w:color w:val="231F20"/>
          <w:w w:val="110"/>
        </w:rPr>
        <w:t>LA INTEGRACIÓN DE ACTIVOS Y  PROCESOS</w:t>
      </w:r>
    </w:p>
    <w:p>
      <w:pPr>
        <w:pStyle w:val="BodyText"/>
        <w:spacing w:line="256" w:lineRule="auto" w:before="130"/>
        <w:ind w:left="412" w:right="1551"/>
        <w:jc w:val="both"/>
      </w:pPr>
      <w:r>
        <w:rPr>
          <w:color w:val="231F20"/>
        </w:rPr>
        <w:t>Quizás la característica más obvia del marco pre- sentado en este capítulo es el énfasis en la in- tegración de cuatro tipos diferentes de procesos (producción/ingreso, inversión, ahorro/cobro y préstamo) y cuatro funciones asociadas de los activos  para  las  estrategias  de  modos  de      vida</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1.      </w:t>
      </w:r>
      <w:r>
        <w:rPr>
          <w:color w:val="231F20"/>
          <w:spacing w:val="24"/>
          <w:sz w:val="18"/>
        </w:rPr>
        <w:t> </w:t>
      </w:r>
      <w:r>
        <w:rPr>
          <w:color w:val="231F20"/>
          <w:sz w:val="18"/>
        </w:rPr>
        <w:t>Contribución de la producción animal en pequeña escala a las estrategias de vida</w:t>
      </w:r>
      <w:r>
        <w:rPr>
          <w:color w:val="231F20"/>
          <w:spacing w:val="15"/>
          <w:sz w:val="18"/>
        </w:rPr>
        <w:t> </w:t>
      </w:r>
      <w:r>
        <w:rPr>
          <w:color w:val="231F20"/>
          <w:sz w:val="18"/>
        </w:rPr>
        <w:t>campesinas</w:t>
      </w:r>
      <w:r>
        <w:rPr>
          <w:color w:val="231F20"/>
          <w:sz w:val="22"/>
        </w:rPr>
        <w:tab/>
      </w:r>
      <w:r>
        <w:rPr>
          <w:color w:val="231F20"/>
          <w:spacing w:val="-9"/>
          <w:sz w:val="22"/>
        </w:rPr>
        <w:t>15</w:t>
      </w:r>
    </w:p>
    <w:p>
      <w:pPr>
        <w:spacing w:after="0"/>
        <w:jc w:val="left"/>
        <w:rPr>
          <w:sz w:val="22"/>
        </w:rPr>
        <w:sectPr>
          <w:pgSz w:w="11900" w:h="14450"/>
          <w:pgMar w:header="0" w:footer="222" w:top="420" w:bottom="420" w:left="0" w:right="0"/>
        </w:sectPr>
      </w:pPr>
    </w:p>
    <w:p>
      <w:pPr>
        <w:pStyle w:val="BodyText"/>
        <w:spacing w:line="259" w:lineRule="auto" w:before="345"/>
        <w:ind w:left="1553"/>
        <w:jc w:val="both"/>
      </w:pPr>
      <w:r>
        <w:rPr>
          <w:color w:val="231F20"/>
        </w:rPr>
        <w:t>efectivas. El balance entre estos procesos y las funciones de los activos, y el balance entre pro- cesos de distinta naturaleza y tipos de activos de capital (humano, natural, financiero, social o físico) en el cual se basan, varían en diferentes situacio- nes, pero pueden realizarse hipótesis sobre ciertos patrones amplios de cambio, asociados con mo- dos de vida que mejoran. Pueden sugerirse cuatro hipótesis relacionadas con la mejora de los modos de vida en situaciones de pobreza en el Estado de México: 1) una reducción proporcional de apoyo en los procesos naturales, de capital y procesos asociados; 2) un decline en la importancia relativa de los ahorros y en los activos convertibles; 3) un incremento de la integración de las funciones de los activos convertibles con activos convertibles o productivos; y 4) un incremento en la importan-  cia relativa de los procesos basados en el mer- cado y activos financieros. Estas hipótesis tienen implicaciones prácticas importantes y contribuyen al análisis de las formas en que diferentes tipos    de procesos y activos se relacionan con los mo-  dos de vida, lo cual puede contribuir al estableci- miento de un marco constructivo para desarrollar enfoques intersectoriales e interdisciplinarios para actividades de investigación y acción en apoyo a la consecución de modos de vida sustentables, así como una base para el desarrollo de indicadores  de cambio en los modos de  </w:t>
      </w:r>
      <w:r>
        <w:rPr>
          <w:color w:val="231F20"/>
          <w:spacing w:val="44"/>
        </w:rPr>
        <w:t> </w:t>
      </w:r>
      <w:r>
        <w:rPr>
          <w:color w:val="231F20"/>
        </w:rPr>
        <w:t>vida.</w:t>
      </w:r>
    </w:p>
    <w:p>
      <w:pPr>
        <w:pStyle w:val="BodyText"/>
        <w:spacing w:line="259" w:lineRule="auto" w:before="113"/>
        <w:ind w:left="1553"/>
        <w:jc w:val="both"/>
      </w:pPr>
      <w:r>
        <w:rPr>
          <w:color w:val="231F20"/>
        </w:rPr>
        <w:t>Sin embargo, en casos como las zonas campesi-  nas del Estado de México habrá que  considerar que los hogares campesinos son unidades de producción y consumo. Las transacciones y los derechos de propiedad están  gobernados,  como se dijo antes, por instituciones locales. Existen re- laciones entre hogares que implican cooperación    y conflicto. Los niveles de contacto interpersonal y el altruismo son mucho más altos que en muchos otros sistemas agropecuarios. El uso de terrenos, el ganado y el conocimiento suelen heredarse de   la generación anterior, y proveen capitales para el establecimiento  de  nuevas  unidades  de  </w:t>
      </w:r>
      <w:r>
        <w:rPr>
          <w:color w:val="231F20"/>
          <w:spacing w:val="3"/>
        </w:rPr>
        <w:t> </w:t>
      </w:r>
      <w:r>
        <w:rPr>
          <w:color w:val="231F20"/>
        </w:rPr>
        <w:t>produc-</w:t>
      </w:r>
    </w:p>
    <w:p>
      <w:pPr>
        <w:pStyle w:val="BodyText"/>
        <w:spacing w:before="3"/>
        <w:rPr>
          <w:sz w:val="28"/>
        </w:rPr>
      </w:pPr>
      <w:r>
        <w:rPr/>
        <w:br w:type="column"/>
      </w:r>
      <w:r>
        <w:rPr>
          <w:sz w:val="28"/>
        </w:rPr>
      </w:r>
    </w:p>
    <w:p>
      <w:pPr>
        <w:pStyle w:val="BodyText"/>
        <w:spacing w:line="259" w:lineRule="auto"/>
        <w:ind w:left="413" w:right="1551"/>
        <w:jc w:val="both"/>
      </w:pPr>
      <w:r>
        <w:rPr>
          <w:color w:val="231F20"/>
        </w:rPr>
        <w:t>ción. En ocasiones, la transferencia ocurre al ca- sarse. Las mujeres en raras ocasiones heredan el derecho a terrenos, pero pueden poseer ganado menor, como borregos y pollos, y tienen derecho   a utilizar el</w:t>
      </w:r>
      <w:r>
        <w:rPr>
          <w:color w:val="231F20"/>
          <w:spacing w:val="-5"/>
        </w:rPr>
        <w:t> </w:t>
      </w:r>
      <w:r>
        <w:rPr>
          <w:color w:val="231F20"/>
        </w:rPr>
        <w:t>producto.</w:t>
      </w:r>
    </w:p>
    <w:p>
      <w:pPr>
        <w:pStyle w:val="BodyText"/>
        <w:spacing w:line="259" w:lineRule="auto" w:before="113"/>
        <w:ind w:left="413" w:right="1551"/>
        <w:jc w:val="both"/>
      </w:pPr>
      <w:r>
        <w:rPr>
          <w:color w:val="231F20"/>
        </w:rPr>
        <w:t>Una gran ventaja del ganado como capital de</w:t>
      </w:r>
      <w:r>
        <w:rPr>
          <w:color w:val="231F20"/>
          <w:spacing w:val="-19"/>
        </w:rPr>
        <w:t> </w:t>
      </w:r>
      <w:r>
        <w:rPr>
          <w:color w:val="231F20"/>
        </w:rPr>
        <w:t>inver- sión es que los reemplazos se generan de manera natural mediante la reproducción. En los sistemas tradicionales, el núcleo fundador de los hatos o re- baños muchas veces se hereda o se recibe como regalo o donativo por parientes o amigos. En al- gunas comunidades rurales el ganado puede ser otorgado por los hogares más prósperos a aquellos que lo son menos. Así, el que recibe el  ganado tiene el derecho de apropiarse de parte de las crías (o la cría si es única) en algún momento. Sin em- bargo, si se quiere iniciar un nuevo rebaño o hato, o introducir material genético, se requieren recur- sos, ya sea con recursos de la unidad o median-     te crédito o préstamos (Nava, 2005). Es por esto que aún es necesario un mayor entendimiento de las funciones y del impacto positivo que las mo- dificaciones que se intente realizar puedan tener sobre los modos de vida de los hogares rurales.    Así mismo, será necesario desarrollar indicadores eficientes que permitan valorar la importancia de las funciones de los  animales  y  su  posible  efec- to en la reducción de la vulnerabilidad y la mejora del modo de vida de las familias, como sugieren Gómez  </w:t>
      </w:r>
      <w:r>
        <w:rPr>
          <w:rFonts w:ascii="Cambria" w:hAnsi="Cambria"/>
          <w:i/>
          <w:color w:val="231F20"/>
        </w:rPr>
        <w:t>et  al</w:t>
      </w:r>
      <w:r>
        <w:rPr>
          <w:color w:val="231F20"/>
        </w:rPr>
        <w:t>.</w:t>
      </w:r>
      <w:r>
        <w:rPr>
          <w:color w:val="231F20"/>
          <w:spacing w:val="43"/>
        </w:rPr>
        <w:t> </w:t>
      </w:r>
      <w:r>
        <w:rPr>
          <w:color w:val="231F20"/>
          <w:spacing w:val="-5"/>
        </w:rPr>
        <w:t>(2011).</w:t>
      </w:r>
    </w:p>
    <w:p>
      <w:pPr>
        <w:pStyle w:val="BodyText"/>
      </w:pPr>
    </w:p>
    <w:p>
      <w:pPr>
        <w:pStyle w:val="BodyText"/>
        <w:spacing w:before="152"/>
        <w:ind w:left="413"/>
        <w:jc w:val="both"/>
      </w:pPr>
      <w:r>
        <w:rPr>
          <w:color w:val="231F20"/>
          <w:w w:val="115"/>
        </w:rPr>
        <w:t>CONCLUSIONES</w:t>
      </w:r>
    </w:p>
    <w:p>
      <w:pPr>
        <w:pStyle w:val="BodyText"/>
        <w:spacing w:line="259" w:lineRule="auto" w:before="133"/>
        <w:ind w:left="413" w:right="1551"/>
        <w:jc w:val="both"/>
      </w:pPr>
      <w:r>
        <w:rPr>
          <w:color w:val="231F20"/>
        </w:rPr>
        <w:t>La producción animal en pequeña escala es un asunto complejo en los sistemas de zonas rurales pobres, no sólo en México sino en todo el mun-  do. No obstante, los sistemas campesinos repre- sentan un reto para ser entendidos con enfoques nuevos y tradicionales. Se necesitan visiones mul- tidisciplinarias y enfoques dinámicos que permitan integrar los diferentes aspectos que involucra la cría  de  animales  en  esos  sistemas,  si  es  que </w:t>
      </w:r>
      <w:r>
        <w:rPr>
          <w:color w:val="231F20"/>
          <w:spacing w:val="11"/>
        </w:rPr>
        <w:t> </w:t>
      </w:r>
      <w:r>
        <w:rPr>
          <w:color w:val="231F20"/>
        </w:rPr>
        <w:t>se</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8643" w:val="left" w:leader="none"/>
        </w:tabs>
        <w:spacing w:before="64"/>
        <w:ind w:left="1551" w:right="0" w:firstLine="0"/>
        <w:jc w:val="left"/>
        <w:rPr>
          <w:sz w:val="12"/>
        </w:rPr>
      </w:pPr>
      <w:r>
        <w:rPr>
          <w:color w:val="231F20"/>
          <w:spacing w:val="-5"/>
          <w:w w:val="125"/>
          <w:sz w:val="22"/>
        </w:rPr>
        <w:t>16</w:t>
        <w:tab/>
      </w:r>
      <w:r>
        <w:rPr>
          <w:color w:val="231F20"/>
          <w:w w:val="125"/>
          <w:sz w:val="18"/>
        </w:rPr>
        <w:t>S</w:t>
      </w:r>
      <w:r>
        <w:rPr>
          <w:color w:val="231F20"/>
          <w:w w:val="125"/>
          <w:sz w:val="12"/>
        </w:rPr>
        <w:t>ección  </w:t>
      </w:r>
      <w:r>
        <w:rPr>
          <w:color w:val="231F20"/>
          <w:w w:val="125"/>
          <w:sz w:val="18"/>
        </w:rPr>
        <w:t>1.  </w:t>
      </w:r>
      <w:r>
        <w:rPr>
          <w:color w:val="231F20"/>
          <w:spacing w:val="15"/>
          <w:w w:val="125"/>
          <w:sz w:val="18"/>
        </w:rPr>
        <w:t> </w:t>
      </w:r>
      <w:r>
        <w:rPr>
          <w:color w:val="231F20"/>
          <w:w w:val="125"/>
          <w:sz w:val="18"/>
        </w:rPr>
        <w:t>i</w:t>
      </w:r>
      <w:r>
        <w:rPr>
          <w:color w:val="231F20"/>
          <w:w w:val="125"/>
          <w:sz w:val="12"/>
        </w:rPr>
        <w:t>ntroducción</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1" w:lineRule="auto" w:before="67"/>
        <w:ind w:left="1553"/>
        <w:jc w:val="both"/>
      </w:pPr>
      <w:r>
        <w:rPr>
          <w:color w:val="231F20"/>
        </w:rPr>
        <w:t>quiere orientar la investigación hacia la mejora de los modos de vida. La incertidumbre es parte de la vida cotidiana para la mayoría de los hogares ru- rales en las zonas de escasos recursos. Para hacer frente a este riesgo y a la incertidumbre, los hoga- res rurales desarrollan diferentes estrategias para enfrentar</w:t>
      </w:r>
      <w:r>
        <w:rPr>
          <w:color w:val="231F20"/>
          <w:spacing w:val="-6"/>
        </w:rPr>
        <w:t> </w:t>
      </w:r>
      <w:r>
        <w:rPr>
          <w:color w:val="231F20"/>
        </w:rPr>
        <w:t>el</w:t>
      </w:r>
      <w:r>
        <w:rPr>
          <w:color w:val="231F20"/>
          <w:spacing w:val="-6"/>
        </w:rPr>
        <w:t> </w:t>
      </w:r>
      <w:r>
        <w:rPr>
          <w:color w:val="231F20"/>
        </w:rPr>
        <w:t>riesgo,</w:t>
      </w:r>
      <w:r>
        <w:rPr>
          <w:color w:val="231F20"/>
          <w:spacing w:val="-6"/>
        </w:rPr>
        <w:t> </w:t>
      </w:r>
      <w:r>
        <w:rPr>
          <w:color w:val="231F20"/>
        </w:rPr>
        <w:t>adaptar</w:t>
      </w:r>
      <w:r>
        <w:rPr>
          <w:color w:val="231F20"/>
          <w:spacing w:val="-6"/>
        </w:rPr>
        <w:t> </w:t>
      </w:r>
      <w:r>
        <w:rPr>
          <w:color w:val="231F20"/>
        </w:rPr>
        <w:t>sus</w:t>
      </w:r>
      <w:r>
        <w:rPr>
          <w:color w:val="231F20"/>
          <w:spacing w:val="-6"/>
        </w:rPr>
        <w:t> </w:t>
      </w:r>
      <w:r>
        <w:rPr>
          <w:color w:val="231F20"/>
        </w:rPr>
        <w:t>prácticas</w:t>
      </w:r>
      <w:r>
        <w:rPr>
          <w:color w:val="231F20"/>
          <w:spacing w:val="-6"/>
        </w:rPr>
        <w:t> </w:t>
      </w:r>
      <w:r>
        <w:rPr>
          <w:color w:val="231F20"/>
        </w:rPr>
        <w:t>de</w:t>
      </w:r>
      <w:r>
        <w:rPr>
          <w:color w:val="231F20"/>
          <w:spacing w:val="-6"/>
        </w:rPr>
        <w:t> </w:t>
      </w:r>
      <w:r>
        <w:rPr>
          <w:color w:val="231F20"/>
        </w:rPr>
        <w:t>gestión agropecuaria y la inversión en relaciones sociales y activos tangibles y de seguridad, como el ganado. La literatura describe a la ganadería como forma directa e indirecta de mantenimiento que reduce  la vulnerabilidad de los hogares rurales, y así los riesgos pueden ser mejor controlados. Esto puede ocurrir directamente no sólo a través de los ingre- sos obtenidos por la venta de productos de origen animal, sino también por las ventas de emergencia o no previstas de animales debido en ocasiones a los bajos niveles de producción de los animales.  Sin embargo, ésta podría no ser la contribución más importante de la ganadería a la subsistencia de los hogares como los del Estado de México. La poca información sobre el efecto de los  merca- dos para la venta de ganado no permite llegar a una conclusión en cuanto a la importancia real de las ventas de emergencia de animales como una estrategia de reducción de riesgos. Los casos pre- sentados indican que la contribución indirecta del ganado para el modo sostenible podría describirse como una facilitación de acceso al crédito, o ser-  vir como un seguro que, a su vez, podría propor- cionar incentivos para involucrarse en actividades de mayor riesgo y con posibilidades de mayores ganancias. En general, el acceso al crédito es casi inexistente, y el ganado permite mantener y facili- tar el acceso al crédito informal. Lo que sin</w:t>
      </w:r>
      <w:r>
        <w:rPr>
          <w:color w:val="231F20"/>
          <w:spacing w:val="12"/>
        </w:rPr>
        <w:t> </w:t>
      </w:r>
      <w:r>
        <w:rPr>
          <w:color w:val="231F20"/>
        </w:rPr>
        <w:t>duda</w:t>
      </w:r>
      <w:r>
        <w:rPr>
          <w:color w:val="231F20"/>
          <w:spacing w:val="1"/>
        </w:rPr>
        <w:t> </w:t>
      </w:r>
      <w:r>
        <w:rPr>
          <w:color w:val="231F20"/>
        </w:rPr>
        <w:t>es</w:t>
      </w:r>
      <w:r>
        <w:rPr>
          <w:color w:val="231F20"/>
          <w:w w:val="105"/>
        </w:rPr>
        <w:t> </w:t>
      </w:r>
      <w:r>
        <w:rPr>
          <w:color w:val="231F20"/>
        </w:rPr>
        <w:t>un hecho es que la producción ganadera ha sido     y seguirá siendo un elemento fundamental de las estrategias individuales y comunitarias dirigidas a  la mejora de los modos de vida para  que  sean  más sustentables en el futuro, y que los impactos en dicha producción serán un elemento de apoyo para las poblaciones rurales y sus </w:t>
      </w:r>
      <w:r>
        <w:rPr>
          <w:color w:val="231F20"/>
          <w:spacing w:val="41"/>
        </w:rPr>
        <w:t> </w:t>
      </w:r>
      <w:r>
        <w:rPr>
          <w:color w:val="231F20"/>
        </w:rPr>
        <w:t>aspiraciones.</w:t>
      </w:r>
    </w:p>
    <w:p>
      <w:pPr>
        <w:pStyle w:val="BodyText"/>
        <w:spacing w:line="259" w:lineRule="auto" w:before="67"/>
        <w:ind w:left="412" w:right="1551"/>
        <w:jc w:val="both"/>
      </w:pPr>
      <w:r>
        <w:rPr/>
        <w:br w:type="column"/>
      </w:r>
      <w:r>
        <w:rPr>
          <w:color w:val="231F20"/>
        </w:rPr>
        <w:t>La posesión de diferentes tipos de ganado tam- bién permite crear vínculos en los modos de vida y las estrategias, dentro y fuera de las fincas, al</w:t>
      </w:r>
      <w:r>
        <w:rPr>
          <w:color w:val="231F20"/>
          <w:spacing w:val="-30"/>
        </w:rPr>
        <w:t> </w:t>
      </w:r>
      <w:r>
        <w:rPr>
          <w:color w:val="231F20"/>
        </w:rPr>
        <w:t>incre- mentar la toma de decisiones de gestión. Se pue- de decir entonces que los hogares que  cuentan con ganado están en una mejor posición y más interesados en las inversiones  de  riesgo,  como  los cultivos, y en ocasiones tienen una mayor pro- babilidad de mejorar otros capitales. Los hogares involucrados en la cría de diferentes especies de ganado también pueden mantener una mayor participación en el</w:t>
      </w:r>
      <w:r>
        <w:rPr>
          <w:color w:val="231F20"/>
          <w:spacing w:val="36"/>
        </w:rPr>
        <w:t> </w:t>
      </w:r>
      <w:r>
        <w:rPr>
          <w:color w:val="231F20"/>
        </w:rPr>
        <w:t>comercio.</w:t>
      </w:r>
    </w:p>
    <w:p>
      <w:pPr>
        <w:pStyle w:val="BodyText"/>
        <w:spacing w:line="259" w:lineRule="auto" w:before="113"/>
        <w:ind w:left="412" w:right="1551"/>
        <w:jc w:val="both"/>
      </w:pPr>
      <w:r>
        <w:rPr>
          <w:color w:val="231F20"/>
        </w:rPr>
        <w:t>Estos resultados apoyan la tesis de que la ganade- ría desempeña un papel primordial en estos siste- mas, como elemento de seguridad y de aumento de la capacidad de los hogares con escasos recur- sos para asumir riesgos. Ser propietario de ganado, en especial si es diverso, otorga a los hogares un sentido de espacio de seguridad y la oportunidad para invertir en elementos y actividades de más riesgo, que pueden tener mayor  rentabilidad.</w:t>
      </w:r>
    </w:p>
    <w:p>
      <w:pPr>
        <w:pStyle w:val="BodyText"/>
        <w:spacing w:line="259" w:lineRule="auto" w:before="113"/>
        <w:ind w:left="412" w:right="1551"/>
        <w:jc w:val="both"/>
      </w:pPr>
      <w:r>
        <w:rPr>
          <w:color w:val="231F20"/>
        </w:rPr>
        <w:t>En resumen, puede concluirse que la ganadería contribuye de manera importante a la capacidad de los hogares para hacer frente a los riesgos y superar la vulnerabilidad, ya que proporciona un medio fiable de seguro de alto riesgo cuando los recursos  son</w:t>
      </w:r>
      <w:r>
        <w:rPr>
          <w:color w:val="231F20"/>
          <w:spacing w:val="11"/>
        </w:rPr>
        <w:t> </w:t>
      </w:r>
      <w:r>
        <w:rPr>
          <w:color w:val="231F20"/>
        </w:rPr>
        <w:t>escasos.</w:t>
      </w:r>
    </w:p>
    <w:p>
      <w:pPr>
        <w:pStyle w:val="BodyText"/>
      </w:pPr>
    </w:p>
    <w:p>
      <w:pPr>
        <w:pStyle w:val="BodyText"/>
        <w:spacing w:before="153"/>
        <w:ind w:left="412"/>
        <w:jc w:val="both"/>
      </w:pPr>
      <w:r>
        <w:rPr>
          <w:color w:val="231F20"/>
          <w:w w:val="110"/>
        </w:rPr>
        <w:t>BIBLIOGRAFÍA</w:t>
      </w:r>
    </w:p>
    <w:p>
      <w:pPr>
        <w:spacing w:line="266" w:lineRule="auto" w:before="132"/>
        <w:ind w:left="696" w:right="1551" w:hanging="284"/>
        <w:jc w:val="both"/>
        <w:rPr>
          <w:sz w:val="18"/>
        </w:rPr>
      </w:pPr>
      <w:r>
        <w:rPr>
          <w:color w:val="231F20"/>
          <w:sz w:val="18"/>
        </w:rPr>
        <w:t>Anderson S. (1999) Livestock/poverty interactions in Latin America: a review of research and impact eva- luation.</w:t>
      </w:r>
      <w:r>
        <w:rPr>
          <w:color w:val="231F20"/>
          <w:spacing w:val="-7"/>
          <w:sz w:val="18"/>
        </w:rPr>
        <w:t> </w:t>
      </w:r>
      <w:r>
        <w:rPr>
          <w:color w:val="231F20"/>
          <w:sz w:val="18"/>
        </w:rPr>
        <w:t>Deriving</w:t>
      </w:r>
      <w:r>
        <w:rPr>
          <w:color w:val="231F20"/>
          <w:spacing w:val="-7"/>
          <w:sz w:val="18"/>
        </w:rPr>
        <w:t> </w:t>
      </w:r>
      <w:r>
        <w:rPr>
          <w:color w:val="231F20"/>
          <w:sz w:val="18"/>
        </w:rPr>
        <w:t>researchable</w:t>
      </w:r>
      <w:r>
        <w:rPr>
          <w:color w:val="231F20"/>
          <w:spacing w:val="-7"/>
          <w:sz w:val="18"/>
        </w:rPr>
        <w:t> </w:t>
      </w:r>
      <w:r>
        <w:rPr>
          <w:color w:val="231F20"/>
          <w:sz w:val="18"/>
        </w:rPr>
        <w:t>constraints</w:t>
      </w:r>
      <w:r>
        <w:rPr>
          <w:color w:val="231F20"/>
          <w:spacing w:val="-7"/>
          <w:sz w:val="18"/>
        </w:rPr>
        <w:t> </w:t>
      </w:r>
      <w:r>
        <w:rPr>
          <w:color w:val="231F20"/>
          <w:sz w:val="18"/>
        </w:rPr>
        <w:t>to</w:t>
      </w:r>
      <w:r>
        <w:rPr>
          <w:color w:val="231F20"/>
          <w:spacing w:val="-7"/>
          <w:sz w:val="18"/>
        </w:rPr>
        <w:t> </w:t>
      </w:r>
      <w:r>
        <w:rPr>
          <w:color w:val="231F20"/>
          <w:sz w:val="18"/>
        </w:rPr>
        <w:t>livestock keeping from a poverty framework analysis. Comis- sioned Review for </w:t>
      </w:r>
      <w:r>
        <w:rPr>
          <w:color w:val="231F20"/>
          <w:spacing w:val="-3"/>
          <w:sz w:val="18"/>
        </w:rPr>
        <w:t>LPP, </w:t>
      </w:r>
      <w:r>
        <w:rPr>
          <w:color w:val="231F20"/>
          <w:sz w:val="18"/>
        </w:rPr>
        <w:t>DFID. Output 1. London, Uni- ted</w:t>
      </w:r>
      <w:r>
        <w:rPr>
          <w:color w:val="231F20"/>
          <w:spacing w:val="22"/>
          <w:sz w:val="18"/>
        </w:rPr>
        <w:t> </w:t>
      </w:r>
      <w:r>
        <w:rPr>
          <w:color w:val="231F20"/>
          <w:sz w:val="18"/>
        </w:rPr>
        <w:t>Kingdom.</w:t>
      </w:r>
    </w:p>
    <w:p>
      <w:pPr>
        <w:spacing w:line="266" w:lineRule="auto" w:before="56"/>
        <w:ind w:left="696" w:right="1551" w:hanging="284"/>
        <w:jc w:val="both"/>
        <w:rPr>
          <w:sz w:val="18"/>
        </w:rPr>
      </w:pPr>
      <w:r>
        <w:rPr>
          <w:color w:val="231F20"/>
          <w:sz w:val="18"/>
        </w:rPr>
        <w:t>Baker J (1995). Survival and accumulation strategies at the rural-urban interface in north west Tanzania. </w:t>
      </w:r>
      <w:r>
        <w:rPr>
          <w:rFonts w:ascii="Cambria"/>
          <w:i/>
          <w:color w:val="231F20"/>
          <w:sz w:val="18"/>
        </w:rPr>
        <w:t>En- </w:t>
      </w:r>
      <w:r>
        <w:rPr>
          <w:rFonts w:ascii="Cambria"/>
          <w:i/>
          <w:color w:val="231F20"/>
          <w:sz w:val="18"/>
        </w:rPr>
        <w:t>vironment  and  Urbanisation,  </w:t>
      </w:r>
      <w:r>
        <w:rPr>
          <w:color w:val="231F20"/>
          <w:sz w:val="18"/>
        </w:rPr>
        <w:t>7  (1): 117-132.</w:t>
      </w:r>
    </w:p>
    <w:p>
      <w:pPr>
        <w:spacing w:line="266" w:lineRule="auto" w:before="56"/>
        <w:ind w:left="696" w:right="1551" w:hanging="284"/>
        <w:jc w:val="both"/>
        <w:rPr>
          <w:sz w:val="18"/>
        </w:rPr>
      </w:pPr>
      <w:r>
        <w:rPr>
          <w:color w:val="231F20"/>
          <w:sz w:val="18"/>
        </w:rPr>
        <w:t>Carney D. (1998). Sustainable rural livelihoods: what contribution can we make? Department for Interna- tional Development. London, United  Kingdom.</w:t>
      </w:r>
    </w:p>
    <w:p>
      <w:pPr>
        <w:spacing w:after="0" w:line="26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1.      </w:t>
      </w:r>
      <w:r>
        <w:rPr>
          <w:color w:val="231F20"/>
          <w:spacing w:val="24"/>
          <w:sz w:val="18"/>
        </w:rPr>
        <w:t> </w:t>
      </w:r>
      <w:r>
        <w:rPr>
          <w:color w:val="231F20"/>
          <w:sz w:val="18"/>
        </w:rPr>
        <w:t>Contribución de la producción animal en pequeña escala a las estrategias de vida</w:t>
      </w:r>
      <w:r>
        <w:rPr>
          <w:color w:val="231F20"/>
          <w:spacing w:val="15"/>
          <w:sz w:val="18"/>
        </w:rPr>
        <w:t> </w:t>
      </w:r>
      <w:r>
        <w:rPr>
          <w:color w:val="231F20"/>
          <w:sz w:val="18"/>
        </w:rPr>
        <w:t>campesinas</w:t>
      </w:r>
      <w:r>
        <w:rPr>
          <w:color w:val="231F20"/>
          <w:sz w:val="22"/>
        </w:rPr>
        <w:tab/>
      </w:r>
      <w:r>
        <w:rPr>
          <w:color w:val="231F20"/>
          <w:spacing w:val="-9"/>
          <w:sz w:val="22"/>
        </w:rPr>
        <w:t>17</w:t>
      </w:r>
    </w:p>
    <w:p>
      <w:pPr>
        <w:spacing w:after="0"/>
        <w:jc w:val="left"/>
        <w:rPr>
          <w:sz w:val="22"/>
        </w:rPr>
        <w:sectPr>
          <w:pgSz w:w="11900" w:h="14450"/>
          <w:pgMar w:header="0" w:footer="222" w:top="420" w:bottom="420" w:left="0" w:right="0"/>
        </w:sectPr>
      </w:pPr>
    </w:p>
    <w:p>
      <w:pPr>
        <w:pStyle w:val="BodyText"/>
        <w:rPr>
          <w:sz w:val="18"/>
        </w:rPr>
      </w:pPr>
    </w:p>
    <w:p>
      <w:pPr>
        <w:spacing w:line="268" w:lineRule="auto" w:before="129"/>
        <w:ind w:left="1837" w:right="0" w:hanging="284"/>
        <w:jc w:val="both"/>
        <w:rPr>
          <w:sz w:val="18"/>
        </w:rPr>
      </w:pPr>
      <w:r>
        <w:rPr>
          <w:color w:val="231F20"/>
          <w:sz w:val="18"/>
        </w:rPr>
        <w:t>Chambers R. (1989). Editorial introduction: vulnerability, coping and policy. </w:t>
      </w:r>
      <w:r>
        <w:rPr>
          <w:rFonts w:ascii="Cambria"/>
          <w:i/>
          <w:color w:val="231F20"/>
          <w:sz w:val="18"/>
        </w:rPr>
        <w:t>IDS  Bulletin,  </w:t>
      </w:r>
      <w:r>
        <w:rPr>
          <w:color w:val="231F20"/>
          <w:sz w:val="18"/>
        </w:rPr>
        <w:t>20(2): 1-7.</w:t>
      </w:r>
    </w:p>
    <w:p>
      <w:pPr>
        <w:spacing w:line="268" w:lineRule="auto" w:before="55"/>
        <w:ind w:left="1837" w:right="0" w:hanging="284"/>
        <w:jc w:val="both"/>
        <w:rPr>
          <w:sz w:val="18"/>
        </w:rPr>
      </w:pPr>
      <w:r>
        <w:rPr>
          <w:color w:val="231F20"/>
          <w:sz w:val="18"/>
        </w:rPr>
        <w:t>Chambers R., Conway G.R. (1992). Sustainable rural livelihoods: practical concepts for the 21st century. IDS, IDS Discussion Paper No 296. London, United Kingdom.</w:t>
      </w:r>
    </w:p>
    <w:p>
      <w:pPr>
        <w:spacing w:line="268" w:lineRule="auto" w:before="55"/>
        <w:ind w:left="1837" w:right="0" w:hanging="284"/>
        <w:jc w:val="both"/>
        <w:rPr>
          <w:sz w:val="18"/>
        </w:rPr>
      </w:pPr>
      <w:r>
        <w:rPr>
          <w:color w:val="231F20"/>
          <w:sz w:val="18"/>
        </w:rPr>
        <w:t>Christiaensen L., Demery L., Kühl J. (2006). The role of agriculture in poverty of global poverty. World Bank Policy Research Working Paper 4199. World Bank, Washington D.C.</w:t>
      </w:r>
    </w:p>
    <w:p>
      <w:pPr>
        <w:spacing w:line="268" w:lineRule="auto" w:before="55"/>
        <w:ind w:left="1837" w:right="0" w:hanging="284"/>
        <w:jc w:val="both"/>
        <w:rPr>
          <w:sz w:val="18"/>
        </w:rPr>
      </w:pPr>
      <w:r>
        <w:rPr>
          <w:color w:val="231F20"/>
          <w:sz w:val="18"/>
        </w:rPr>
        <w:t>Corbett J. (1989). Poverty and sickness: the high cost of ill health. </w:t>
      </w:r>
      <w:r>
        <w:rPr>
          <w:rFonts w:ascii="Cambria"/>
          <w:i/>
          <w:color w:val="231F20"/>
          <w:sz w:val="18"/>
        </w:rPr>
        <w:t>IDS  Bulletin,  </w:t>
      </w:r>
      <w:r>
        <w:rPr>
          <w:color w:val="231F20"/>
          <w:sz w:val="18"/>
        </w:rPr>
        <w:t>20 (2):</w:t>
      </w:r>
      <w:r>
        <w:rPr>
          <w:color w:val="231F20"/>
          <w:spacing w:val="40"/>
          <w:sz w:val="18"/>
        </w:rPr>
        <w:t> </w:t>
      </w:r>
      <w:r>
        <w:rPr>
          <w:color w:val="231F20"/>
          <w:sz w:val="18"/>
        </w:rPr>
        <w:t>58-62.</w:t>
      </w:r>
    </w:p>
    <w:p>
      <w:pPr>
        <w:spacing w:line="268" w:lineRule="auto" w:before="55"/>
        <w:ind w:left="1544" w:right="0" w:firstLine="0"/>
        <w:jc w:val="right"/>
        <w:rPr>
          <w:sz w:val="18"/>
        </w:rPr>
      </w:pPr>
      <w:r>
        <w:rPr>
          <w:color w:val="231F20"/>
          <w:sz w:val="18"/>
        </w:rPr>
        <w:t>Cruz L.A., Martínez S.T. (2001). La tradición tecnológica</w:t>
      </w:r>
      <w:r>
        <w:rPr>
          <w:color w:val="231F20"/>
          <w:w w:val="99"/>
          <w:sz w:val="18"/>
        </w:rPr>
        <w:t> </w:t>
      </w:r>
      <w:r>
        <w:rPr>
          <w:color w:val="231F20"/>
          <w:sz w:val="18"/>
        </w:rPr>
        <w:t>de la tracción animal. Dirección de Centros Regio-</w:t>
      </w:r>
      <w:r>
        <w:rPr>
          <w:color w:val="231F20"/>
          <w:w w:val="95"/>
          <w:sz w:val="18"/>
        </w:rPr>
        <w:t> </w:t>
      </w:r>
      <w:r>
        <w:rPr>
          <w:color w:val="231F20"/>
          <w:sz w:val="18"/>
        </w:rPr>
        <w:t>nales, Universidad Autónoma de Chapingo,  México.</w:t>
      </w:r>
    </w:p>
    <w:p>
      <w:pPr>
        <w:spacing w:line="268" w:lineRule="auto" w:before="55"/>
        <w:ind w:left="1837" w:right="0" w:hanging="284"/>
        <w:jc w:val="both"/>
        <w:rPr>
          <w:sz w:val="18"/>
        </w:rPr>
      </w:pPr>
      <w:r>
        <w:rPr>
          <w:color w:val="231F20"/>
          <w:w w:val="105"/>
          <w:sz w:val="18"/>
        </w:rPr>
        <w:t>Datt</w:t>
      </w:r>
      <w:r>
        <w:rPr>
          <w:color w:val="231F20"/>
          <w:spacing w:val="-20"/>
          <w:w w:val="105"/>
          <w:sz w:val="18"/>
        </w:rPr>
        <w:t> </w:t>
      </w:r>
      <w:r>
        <w:rPr>
          <w:color w:val="231F20"/>
          <w:w w:val="105"/>
          <w:sz w:val="18"/>
        </w:rPr>
        <w:t>G.,</w:t>
      </w:r>
      <w:r>
        <w:rPr>
          <w:color w:val="231F20"/>
          <w:spacing w:val="-20"/>
          <w:w w:val="105"/>
          <w:sz w:val="18"/>
        </w:rPr>
        <w:t> </w:t>
      </w:r>
      <w:r>
        <w:rPr>
          <w:color w:val="231F20"/>
          <w:w w:val="105"/>
          <w:sz w:val="18"/>
        </w:rPr>
        <w:t>Ravallion</w:t>
      </w:r>
      <w:r>
        <w:rPr>
          <w:color w:val="231F20"/>
          <w:spacing w:val="-20"/>
          <w:w w:val="105"/>
          <w:sz w:val="18"/>
        </w:rPr>
        <w:t> </w:t>
      </w:r>
      <w:r>
        <w:rPr>
          <w:color w:val="231F20"/>
          <w:w w:val="105"/>
          <w:sz w:val="18"/>
        </w:rPr>
        <w:t>M.</w:t>
      </w:r>
      <w:r>
        <w:rPr>
          <w:color w:val="231F20"/>
          <w:spacing w:val="-20"/>
          <w:w w:val="105"/>
          <w:sz w:val="18"/>
        </w:rPr>
        <w:t> </w:t>
      </w:r>
      <w:r>
        <w:rPr>
          <w:color w:val="231F20"/>
          <w:w w:val="105"/>
          <w:sz w:val="18"/>
        </w:rPr>
        <w:t>(1998).</w:t>
      </w:r>
      <w:r>
        <w:rPr>
          <w:color w:val="231F20"/>
          <w:spacing w:val="-20"/>
          <w:w w:val="105"/>
          <w:sz w:val="18"/>
        </w:rPr>
        <w:t> </w:t>
      </w:r>
      <w:r>
        <w:rPr>
          <w:color w:val="231F20"/>
          <w:w w:val="105"/>
          <w:sz w:val="18"/>
        </w:rPr>
        <w:t>Farm</w:t>
      </w:r>
      <w:r>
        <w:rPr>
          <w:color w:val="231F20"/>
          <w:spacing w:val="-20"/>
          <w:w w:val="105"/>
          <w:sz w:val="18"/>
        </w:rPr>
        <w:t> </w:t>
      </w:r>
      <w:r>
        <w:rPr>
          <w:color w:val="231F20"/>
          <w:w w:val="105"/>
          <w:sz w:val="18"/>
        </w:rPr>
        <w:t>productivity</w:t>
      </w:r>
      <w:r>
        <w:rPr>
          <w:color w:val="231F20"/>
          <w:spacing w:val="-20"/>
          <w:w w:val="105"/>
          <w:sz w:val="18"/>
        </w:rPr>
        <w:t> </w:t>
      </w:r>
      <w:r>
        <w:rPr>
          <w:color w:val="231F20"/>
          <w:w w:val="105"/>
          <w:sz w:val="18"/>
        </w:rPr>
        <w:t>and</w:t>
      </w:r>
      <w:r>
        <w:rPr>
          <w:color w:val="231F20"/>
          <w:spacing w:val="-20"/>
          <w:w w:val="105"/>
          <w:sz w:val="18"/>
        </w:rPr>
        <w:t> </w:t>
      </w:r>
      <w:r>
        <w:rPr>
          <w:color w:val="231F20"/>
          <w:w w:val="105"/>
          <w:sz w:val="18"/>
        </w:rPr>
        <w:t>rural poverty</w:t>
      </w:r>
      <w:r>
        <w:rPr>
          <w:color w:val="231F20"/>
          <w:spacing w:val="-20"/>
          <w:w w:val="105"/>
          <w:sz w:val="18"/>
        </w:rPr>
        <w:t> </w:t>
      </w:r>
      <w:r>
        <w:rPr>
          <w:color w:val="231F20"/>
          <w:w w:val="105"/>
          <w:sz w:val="18"/>
        </w:rPr>
        <w:t>in</w:t>
      </w:r>
      <w:r>
        <w:rPr>
          <w:color w:val="231F20"/>
          <w:spacing w:val="-20"/>
          <w:w w:val="105"/>
          <w:sz w:val="18"/>
        </w:rPr>
        <w:t> </w:t>
      </w:r>
      <w:r>
        <w:rPr>
          <w:color w:val="231F20"/>
          <w:w w:val="105"/>
          <w:sz w:val="18"/>
        </w:rPr>
        <w:t>India.</w:t>
      </w:r>
      <w:r>
        <w:rPr>
          <w:color w:val="231F20"/>
          <w:spacing w:val="-20"/>
          <w:w w:val="105"/>
          <w:sz w:val="18"/>
        </w:rPr>
        <w:t> </w:t>
      </w:r>
      <w:r>
        <w:rPr>
          <w:rFonts w:ascii="Cambria"/>
          <w:i/>
          <w:color w:val="231F20"/>
          <w:w w:val="105"/>
          <w:sz w:val="18"/>
        </w:rPr>
        <w:t>Journal</w:t>
      </w:r>
      <w:r>
        <w:rPr>
          <w:rFonts w:ascii="Cambria"/>
          <w:i/>
          <w:color w:val="231F20"/>
          <w:spacing w:val="-19"/>
          <w:w w:val="105"/>
          <w:sz w:val="18"/>
        </w:rPr>
        <w:t> </w:t>
      </w:r>
      <w:r>
        <w:rPr>
          <w:rFonts w:ascii="Cambria"/>
          <w:i/>
          <w:color w:val="231F20"/>
          <w:w w:val="105"/>
          <w:sz w:val="18"/>
        </w:rPr>
        <w:t>of</w:t>
      </w:r>
      <w:r>
        <w:rPr>
          <w:rFonts w:ascii="Cambria"/>
          <w:i/>
          <w:color w:val="231F20"/>
          <w:spacing w:val="-19"/>
          <w:w w:val="105"/>
          <w:sz w:val="18"/>
        </w:rPr>
        <w:t> </w:t>
      </w:r>
      <w:r>
        <w:rPr>
          <w:rFonts w:ascii="Cambria"/>
          <w:i/>
          <w:color w:val="231F20"/>
          <w:w w:val="105"/>
          <w:sz w:val="18"/>
        </w:rPr>
        <w:t>Development</w:t>
      </w:r>
      <w:r>
        <w:rPr>
          <w:rFonts w:ascii="Cambria"/>
          <w:i/>
          <w:color w:val="231F20"/>
          <w:spacing w:val="-19"/>
          <w:w w:val="105"/>
          <w:sz w:val="18"/>
        </w:rPr>
        <w:t> </w:t>
      </w:r>
      <w:r>
        <w:rPr>
          <w:rFonts w:ascii="Cambria"/>
          <w:i/>
          <w:color w:val="231F20"/>
          <w:w w:val="105"/>
          <w:sz w:val="18"/>
        </w:rPr>
        <w:t>Studies,</w:t>
      </w:r>
      <w:r>
        <w:rPr>
          <w:rFonts w:ascii="Cambria"/>
          <w:i/>
          <w:color w:val="231F20"/>
          <w:spacing w:val="-19"/>
          <w:w w:val="105"/>
          <w:sz w:val="18"/>
        </w:rPr>
        <w:t> </w:t>
      </w:r>
      <w:r>
        <w:rPr>
          <w:color w:val="231F20"/>
          <w:spacing w:val="-4"/>
          <w:w w:val="105"/>
          <w:sz w:val="18"/>
        </w:rPr>
        <w:t>34 </w:t>
      </w:r>
      <w:r>
        <w:rPr>
          <w:color w:val="231F20"/>
          <w:w w:val="105"/>
          <w:sz w:val="18"/>
        </w:rPr>
        <w:t>(4): </w:t>
      </w:r>
      <w:r>
        <w:rPr>
          <w:color w:val="231F20"/>
          <w:spacing w:val="18"/>
          <w:w w:val="105"/>
          <w:sz w:val="18"/>
        </w:rPr>
        <w:t> </w:t>
      </w:r>
      <w:r>
        <w:rPr>
          <w:color w:val="231F20"/>
          <w:w w:val="105"/>
          <w:sz w:val="18"/>
        </w:rPr>
        <w:t>62-85.</w:t>
      </w:r>
    </w:p>
    <w:p>
      <w:pPr>
        <w:spacing w:line="268" w:lineRule="auto" w:before="55"/>
        <w:ind w:left="1837" w:right="0" w:hanging="284"/>
        <w:jc w:val="both"/>
        <w:rPr>
          <w:sz w:val="18"/>
        </w:rPr>
      </w:pPr>
      <w:r>
        <w:rPr>
          <w:color w:val="231F20"/>
          <w:sz w:val="18"/>
        </w:rPr>
        <w:t>Davies S. (1996). Adaptable livelihoods: coping with  food insecurity in the Malian Sahel. Macmillan Press, London,  United</w:t>
      </w:r>
      <w:r>
        <w:rPr>
          <w:color w:val="231F20"/>
          <w:spacing w:val="10"/>
          <w:sz w:val="18"/>
        </w:rPr>
        <w:t> </w:t>
      </w:r>
      <w:r>
        <w:rPr>
          <w:color w:val="231F20"/>
          <w:sz w:val="18"/>
        </w:rPr>
        <w:t>Kingdom.</w:t>
      </w:r>
    </w:p>
    <w:p>
      <w:pPr>
        <w:spacing w:line="268" w:lineRule="auto" w:before="55"/>
        <w:ind w:left="1837" w:right="0" w:hanging="284"/>
        <w:jc w:val="both"/>
        <w:rPr>
          <w:sz w:val="18"/>
        </w:rPr>
      </w:pPr>
      <w:r>
        <w:rPr>
          <w:color w:val="231F20"/>
          <w:w w:val="105"/>
          <w:sz w:val="18"/>
        </w:rPr>
        <w:t>De Janvry A., Sadoulet E. (2000). Rural poverty in La- tin-America</w:t>
      </w:r>
      <w:r>
        <w:rPr>
          <w:color w:val="231F20"/>
          <w:spacing w:val="-21"/>
          <w:w w:val="105"/>
          <w:sz w:val="18"/>
        </w:rPr>
        <w:t> </w:t>
      </w:r>
      <w:r>
        <w:rPr>
          <w:color w:val="231F20"/>
          <w:w w:val="105"/>
          <w:sz w:val="18"/>
        </w:rPr>
        <w:t>–</w:t>
      </w:r>
      <w:r>
        <w:rPr>
          <w:color w:val="231F20"/>
          <w:spacing w:val="-21"/>
          <w:w w:val="105"/>
          <w:sz w:val="18"/>
        </w:rPr>
        <w:t> </w:t>
      </w:r>
      <w:r>
        <w:rPr>
          <w:color w:val="231F20"/>
          <w:w w:val="105"/>
          <w:sz w:val="18"/>
        </w:rPr>
        <w:t>determinants</w:t>
      </w:r>
      <w:r>
        <w:rPr>
          <w:color w:val="231F20"/>
          <w:spacing w:val="-21"/>
          <w:w w:val="105"/>
          <w:sz w:val="18"/>
        </w:rPr>
        <w:t> </w:t>
      </w:r>
      <w:r>
        <w:rPr>
          <w:color w:val="231F20"/>
          <w:w w:val="105"/>
          <w:sz w:val="18"/>
        </w:rPr>
        <w:t>and</w:t>
      </w:r>
      <w:r>
        <w:rPr>
          <w:color w:val="231F20"/>
          <w:spacing w:val="-21"/>
          <w:w w:val="105"/>
          <w:sz w:val="18"/>
        </w:rPr>
        <w:t> </w:t>
      </w:r>
      <w:r>
        <w:rPr>
          <w:color w:val="231F20"/>
          <w:w w:val="105"/>
          <w:sz w:val="18"/>
        </w:rPr>
        <w:t>exit</w:t>
      </w:r>
      <w:r>
        <w:rPr>
          <w:color w:val="231F20"/>
          <w:spacing w:val="-21"/>
          <w:w w:val="105"/>
          <w:sz w:val="18"/>
        </w:rPr>
        <w:t> </w:t>
      </w:r>
      <w:r>
        <w:rPr>
          <w:color w:val="231F20"/>
          <w:w w:val="105"/>
          <w:sz w:val="18"/>
        </w:rPr>
        <w:t>paths.</w:t>
      </w:r>
      <w:r>
        <w:rPr>
          <w:color w:val="231F20"/>
          <w:spacing w:val="-21"/>
          <w:w w:val="105"/>
          <w:sz w:val="18"/>
        </w:rPr>
        <w:t> </w:t>
      </w:r>
      <w:r>
        <w:rPr>
          <w:rFonts w:ascii="Cambria" w:hAnsi="Cambria"/>
          <w:i/>
          <w:color w:val="231F20"/>
          <w:w w:val="105"/>
          <w:sz w:val="18"/>
        </w:rPr>
        <w:t>Food</w:t>
      </w:r>
      <w:r>
        <w:rPr>
          <w:rFonts w:ascii="Cambria" w:hAnsi="Cambria"/>
          <w:i/>
          <w:color w:val="231F20"/>
          <w:spacing w:val="-20"/>
          <w:w w:val="105"/>
          <w:sz w:val="18"/>
        </w:rPr>
        <w:t> </w:t>
      </w:r>
      <w:r>
        <w:rPr>
          <w:rFonts w:ascii="Cambria" w:hAnsi="Cambria"/>
          <w:i/>
          <w:color w:val="231F20"/>
          <w:w w:val="105"/>
          <w:sz w:val="18"/>
        </w:rPr>
        <w:t>Po- </w:t>
      </w:r>
      <w:r>
        <w:rPr>
          <w:rFonts w:ascii="Cambria" w:hAnsi="Cambria"/>
          <w:i/>
          <w:color w:val="231F20"/>
          <w:w w:val="105"/>
          <w:sz w:val="18"/>
        </w:rPr>
        <w:t>licy,  </w:t>
      </w:r>
      <w:r>
        <w:rPr>
          <w:color w:val="231F20"/>
          <w:w w:val="105"/>
          <w:sz w:val="18"/>
        </w:rPr>
        <w:t>25 (4):</w:t>
      </w:r>
      <w:r>
        <w:rPr>
          <w:color w:val="231F20"/>
          <w:spacing w:val="21"/>
          <w:w w:val="105"/>
          <w:sz w:val="18"/>
        </w:rPr>
        <w:t> </w:t>
      </w:r>
      <w:r>
        <w:rPr>
          <w:color w:val="231F20"/>
          <w:w w:val="105"/>
          <w:sz w:val="18"/>
        </w:rPr>
        <w:t>389-409.</w:t>
      </w:r>
    </w:p>
    <w:p>
      <w:pPr>
        <w:spacing w:line="268" w:lineRule="auto" w:before="55"/>
        <w:ind w:left="1837" w:right="0" w:hanging="284"/>
        <w:jc w:val="both"/>
        <w:rPr>
          <w:sz w:val="18"/>
        </w:rPr>
      </w:pPr>
      <w:r>
        <w:rPr>
          <w:color w:val="231F20"/>
          <w:sz w:val="18"/>
        </w:rPr>
        <w:t>De Janvry A., Sadoulet E. (2004). Hacia un enfoque territorial del desarrollo rural. Cuarto Foro Temático Regional de América Latina y el Caribe: “Cosechan- do oportunidades: desarrollo rural en el siglo 21”. Banco Mundial-Sociedad Civil, San José, Costa Rica, 19-21  de  octubre  de 2004.</w:t>
      </w:r>
    </w:p>
    <w:p>
      <w:pPr>
        <w:spacing w:line="268" w:lineRule="auto" w:before="55"/>
        <w:ind w:left="1837" w:right="0" w:hanging="284"/>
        <w:jc w:val="both"/>
        <w:rPr>
          <w:sz w:val="18"/>
        </w:rPr>
      </w:pPr>
      <w:r>
        <w:rPr>
          <w:color w:val="231F20"/>
          <w:w w:val="105"/>
          <w:sz w:val="18"/>
        </w:rPr>
        <w:t>Dercon</w:t>
      </w:r>
      <w:r>
        <w:rPr>
          <w:color w:val="231F20"/>
          <w:spacing w:val="-14"/>
          <w:w w:val="105"/>
          <w:sz w:val="18"/>
        </w:rPr>
        <w:t> </w:t>
      </w:r>
      <w:r>
        <w:rPr>
          <w:color w:val="231F20"/>
          <w:w w:val="105"/>
          <w:sz w:val="18"/>
        </w:rPr>
        <w:t>S.</w:t>
      </w:r>
      <w:r>
        <w:rPr>
          <w:color w:val="231F20"/>
          <w:spacing w:val="-14"/>
          <w:w w:val="105"/>
          <w:sz w:val="18"/>
        </w:rPr>
        <w:t> </w:t>
      </w:r>
      <w:r>
        <w:rPr>
          <w:color w:val="231F20"/>
          <w:w w:val="105"/>
          <w:sz w:val="18"/>
        </w:rPr>
        <w:t>(1998).</w:t>
      </w:r>
      <w:r>
        <w:rPr>
          <w:color w:val="231F20"/>
          <w:spacing w:val="-14"/>
          <w:w w:val="105"/>
          <w:sz w:val="18"/>
        </w:rPr>
        <w:t> </w:t>
      </w:r>
      <w:r>
        <w:rPr>
          <w:color w:val="231F20"/>
          <w:w w:val="105"/>
          <w:sz w:val="18"/>
        </w:rPr>
        <w:t>Wealth,</w:t>
      </w:r>
      <w:r>
        <w:rPr>
          <w:color w:val="231F20"/>
          <w:spacing w:val="-14"/>
          <w:w w:val="105"/>
          <w:sz w:val="18"/>
        </w:rPr>
        <w:t> </w:t>
      </w:r>
      <w:r>
        <w:rPr>
          <w:color w:val="231F20"/>
          <w:w w:val="105"/>
          <w:sz w:val="18"/>
        </w:rPr>
        <w:t>risk</w:t>
      </w:r>
      <w:r>
        <w:rPr>
          <w:color w:val="231F20"/>
          <w:spacing w:val="-14"/>
          <w:w w:val="105"/>
          <w:sz w:val="18"/>
        </w:rPr>
        <w:t> </w:t>
      </w:r>
      <w:r>
        <w:rPr>
          <w:color w:val="231F20"/>
          <w:w w:val="105"/>
          <w:sz w:val="18"/>
        </w:rPr>
        <w:t>and</w:t>
      </w:r>
      <w:r>
        <w:rPr>
          <w:color w:val="231F20"/>
          <w:spacing w:val="-14"/>
          <w:w w:val="105"/>
          <w:sz w:val="18"/>
        </w:rPr>
        <w:t> </w:t>
      </w:r>
      <w:r>
        <w:rPr>
          <w:color w:val="231F20"/>
          <w:w w:val="105"/>
          <w:sz w:val="18"/>
        </w:rPr>
        <w:t>activity</w:t>
      </w:r>
      <w:r>
        <w:rPr>
          <w:color w:val="231F20"/>
          <w:spacing w:val="-14"/>
          <w:w w:val="105"/>
          <w:sz w:val="18"/>
        </w:rPr>
        <w:t> </w:t>
      </w:r>
      <w:r>
        <w:rPr>
          <w:color w:val="231F20"/>
          <w:w w:val="105"/>
          <w:sz w:val="18"/>
        </w:rPr>
        <w:t>choice:</w:t>
      </w:r>
      <w:r>
        <w:rPr>
          <w:color w:val="231F20"/>
          <w:spacing w:val="-14"/>
          <w:w w:val="105"/>
          <w:sz w:val="18"/>
        </w:rPr>
        <w:t> </w:t>
      </w:r>
      <w:r>
        <w:rPr>
          <w:color w:val="231F20"/>
          <w:w w:val="105"/>
          <w:sz w:val="18"/>
        </w:rPr>
        <w:t>cattle in Western </w:t>
      </w:r>
      <w:r>
        <w:rPr>
          <w:color w:val="231F20"/>
          <w:spacing w:val="-3"/>
          <w:w w:val="105"/>
          <w:sz w:val="18"/>
        </w:rPr>
        <w:t>Tanzania. </w:t>
      </w:r>
      <w:r>
        <w:rPr>
          <w:rFonts w:ascii="Cambria"/>
          <w:i/>
          <w:color w:val="231F20"/>
          <w:w w:val="105"/>
          <w:sz w:val="18"/>
        </w:rPr>
        <w:t>Journal of Development Eco- </w:t>
      </w:r>
      <w:r>
        <w:rPr>
          <w:rFonts w:ascii="Cambria"/>
          <w:i/>
          <w:color w:val="231F20"/>
          <w:w w:val="105"/>
          <w:sz w:val="18"/>
        </w:rPr>
        <w:t>nomics, </w:t>
      </w:r>
      <w:r>
        <w:rPr>
          <w:color w:val="231F20"/>
          <w:w w:val="105"/>
          <w:sz w:val="18"/>
        </w:rPr>
        <w:t>55:</w:t>
      </w:r>
      <w:r>
        <w:rPr>
          <w:color w:val="231F20"/>
          <w:spacing w:val="18"/>
          <w:w w:val="105"/>
          <w:sz w:val="18"/>
        </w:rPr>
        <w:t> </w:t>
      </w:r>
      <w:r>
        <w:rPr>
          <w:color w:val="231F20"/>
          <w:w w:val="105"/>
          <w:sz w:val="18"/>
        </w:rPr>
        <w:t>1-42.</w:t>
      </w:r>
    </w:p>
    <w:p>
      <w:pPr>
        <w:spacing w:line="268" w:lineRule="auto" w:before="55"/>
        <w:ind w:left="1837" w:right="0" w:hanging="284"/>
        <w:jc w:val="both"/>
        <w:rPr>
          <w:sz w:val="18"/>
        </w:rPr>
      </w:pPr>
      <w:r>
        <w:rPr>
          <w:color w:val="231F20"/>
          <w:sz w:val="18"/>
        </w:rPr>
        <w:t>Dorward A., Anderson S., Clark S., Keane B., Moguel J. (2001). Asset functions and livelihood strategies: a framework for pro-poor analysis, policy and practice. Department for International Development (DFID). United Kingdom.</w:t>
      </w:r>
    </w:p>
    <w:p>
      <w:pPr>
        <w:spacing w:line="268" w:lineRule="auto" w:before="55"/>
        <w:ind w:left="1837" w:right="0" w:hanging="284"/>
        <w:jc w:val="both"/>
        <w:rPr>
          <w:sz w:val="18"/>
        </w:rPr>
      </w:pPr>
      <w:r>
        <w:rPr>
          <w:color w:val="231F20"/>
          <w:sz w:val="18"/>
        </w:rPr>
        <w:t>Dorward A., Anderson S, Nava </w:t>
      </w:r>
      <w:r>
        <w:rPr>
          <w:color w:val="231F20"/>
          <w:spacing w:val="-3"/>
          <w:sz w:val="18"/>
        </w:rPr>
        <w:t>B.Y., </w:t>
      </w:r>
      <w:r>
        <w:rPr>
          <w:color w:val="231F20"/>
          <w:spacing w:val="-2"/>
          <w:sz w:val="18"/>
        </w:rPr>
        <w:t>Sánchez-Vera </w:t>
      </w:r>
      <w:r>
        <w:rPr>
          <w:color w:val="231F20"/>
          <w:sz w:val="18"/>
        </w:rPr>
        <w:t>E., Rus- hton J., Pattison J., Paz R. (2009). Hanging in, step- ping up and stepping out: livelihood aspirations and strategies of the poor. </w:t>
      </w:r>
      <w:r>
        <w:rPr>
          <w:rFonts w:ascii="Cambria" w:hAnsi="Cambria"/>
          <w:i/>
          <w:color w:val="231F20"/>
          <w:sz w:val="18"/>
        </w:rPr>
        <w:t>Development in Practice,</w:t>
      </w:r>
      <w:r>
        <w:rPr>
          <w:color w:val="231F20"/>
          <w:sz w:val="18"/>
        </w:rPr>
        <w:t>19 (2):    </w:t>
      </w:r>
      <w:r>
        <w:rPr>
          <w:color w:val="231F20"/>
          <w:spacing w:val="-5"/>
          <w:sz w:val="18"/>
        </w:rPr>
        <w:t>240-247.</w:t>
      </w:r>
    </w:p>
    <w:p>
      <w:pPr>
        <w:pStyle w:val="BodyText"/>
        <w:rPr>
          <w:sz w:val="18"/>
        </w:rPr>
      </w:pPr>
      <w:r>
        <w:rPr/>
        <w:br w:type="column"/>
      </w:r>
      <w:r>
        <w:rPr>
          <w:sz w:val="18"/>
        </w:rPr>
      </w:r>
    </w:p>
    <w:p>
      <w:pPr>
        <w:spacing w:line="264" w:lineRule="auto" w:before="129"/>
        <w:ind w:left="696" w:right="1553" w:hanging="284"/>
        <w:jc w:val="both"/>
        <w:rPr>
          <w:sz w:val="18"/>
        </w:rPr>
      </w:pPr>
      <w:r>
        <w:rPr>
          <w:color w:val="231F20"/>
          <w:sz w:val="18"/>
        </w:rPr>
        <w:t>El Bashir I.H. </w:t>
      </w:r>
      <w:r>
        <w:rPr>
          <w:color w:val="231F20"/>
          <w:spacing w:val="-4"/>
          <w:sz w:val="18"/>
        </w:rPr>
        <w:t>(1997). </w:t>
      </w:r>
      <w:r>
        <w:rPr>
          <w:color w:val="231F20"/>
          <w:sz w:val="18"/>
        </w:rPr>
        <w:t>Coping with famine and poverty:  the</w:t>
      </w:r>
      <w:r>
        <w:rPr>
          <w:color w:val="231F20"/>
          <w:spacing w:val="-7"/>
          <w:sz w:val="18"/>
        </w:rPr>
        <w:t> </w:t>
      </w:r>
      <w:r>
        <w:rPr>
          <w:color w:val="231F20"/>
          <w:sz w:val="18"/>
        </w:rPr>
        <w:t>dynamics</w:t>
      </w:r>
      <w:r>
        <w:rPr>
          <w:color w:val="231F20"/>
          <w:spacing w:val="-7"/>
          <w:sz w:val="18"/>
        </w:rPr>
        <w:t> </w:t>
      </w:r>
      <w:r>
        <w:rPr>
          <w:color w:val="231F20"/>
          <w:sz w:val="18"/>
        </w:rPr>
        <w:t>of</w:t>
      </w:r>
      <w:r>
        <w:rPr>
          <w:color w:val="231F20"/>
          <w:spacing w:val="-7"/>
          <w:sz w:val="18"/>
        </w:rPr>
        <w:t> </w:t>
      </w:r>
      <w:r>
        <w:rPr>
          <w:color w:val="231F20"/>
          <w:sz w:val="18"/>
        </w:rPr>
        <w:t>non-agricultural</w:t>
      </w:r>
      <w:r>
        <w:rPr>
          <w:color w:val="231F20"/>
          <w:spacing w:val="-7"/>
          <w:sz w:val="18"/>
        </w:rPr>
        <w:t> </w:t>
      </w:r>
      <w:r>
        <w:rPr>
          <w:color w:val="231F20"/>
          <w:sz w:val="18"/>
        </w:rPr>
        <w:t>rural</w:t>
      </w:r>
      <w:r>
        <w:rPr>
          <w:color w:val="231F20"/>
          <w:spacing w:val="-7"/>
          <w:sz w:val="18"/>
        </w:rPr>
        <w:t> </w:t>
      </w:r>
      <w:r>
        <w:rPr>
          <w:color w:val="231F20"/>
          <w:sz w:val="18"/>
        </w:rPr>
        <w:t>employment</w:t>
      </w:r>
      <w:r>
        <w:rPr>
          <w:color w:val="231F20"/>
          <w:spacing w:val="-7"/>
          <w:sz w:val="18"/>
        </w:rPr>
        <w:t> </w:t>
      </w:r>
      <w:r>
        <w:rPr>
          <w:color w:val="231F20"/>
          <w:sz w:val="18"/>
        </w:rPr>
        <w:t>in </w:t>
      </w:r>
      <w:r>
        <w:rPr>
          <w:color w:val="231F20"/>
          <w:spacing w:val="-3"/>
          <w:sz w:val="18"/>
        </w:rPr>
        <w:t>Darfur, </w:t>
      </w:r>
      <w:r>
        <w:rPr>
          <w:color w:val="231F20"/>
          <w:sz w:val="18"/>
        </w:rPr>
        <w:t>Sudan. En: Bryceson </w:t>
      </w:r>
      <w:r>
        <w:rPr>
          <w:color w:val="231F20"/>
          <w:spacing w:val="-5"/>
          <w:sz w:val="18"/>
        </w:rPr>
        <w:t>D.F., </w:t>
      </w:r>
      <w:r>
        <w:rPr>
          <w:color w:val="231F20"/>
          <w:sz w:val="18"/>
        </w:rPr>
        <w:t>Jamal </w:t>
      </w:r>
      <w:r>
        <w:rPr>
          <w:color w:val="231F20"/>
          <w:spacing w:val="-7"/>
          <w:sz w:val="18"/>
        </w:rPr>
        <w:t>V., </w:t>
      </w:r>
      <w:r>
        <w:rPr>
          <w:color w:val="231F20"/>
          <w:sz w:val="18"/>
        </w:rPr>
        <w:t>editores. </w:t>
      </w:r>
      <w:r>
        <w:rPr>
          <w:color w:val="231F20"/>
          <w:spacing w:val="-3"/>
          <w:sz w:val="18"/>
        </w:rPr>
        <w:t>Farewell</w:t>
      </w:r>
      <w:r>
        <w:rPr>
          <w:color w:val="231F20"/>
          <w:spacing w:val="-18"/>
          <w:sz w:val="18"/>
        </w:rPr>
        <w:t> </w:t>
      </w:r>
      <w:r>
        <w:rPr>
          <w:color w:val="231F20"/>
          <w:sz w:val="18"/>
        </w:rPr>
        <w:t>to</w:t>
      </w:r>
      <w:r>
        <w:rPr>
          <w:color w:val="231F20"/>
          <w:spacing w:val="-18"/>
          <w:sz w:val="18"/>
        </w:rPr>
        <w:t> </w:t>
      </w:r>
      <w:r>
        <w:rPr>
          <w:color w:val="231F20"/>
          <w:sz w:val="18"/>
        </w:rPr>
        <w:t>farms:</w:t>
      </w:r>
      <w:r>
        <w:rPr>
          <w:color w:val="231F20"/>
          <w:spacing w:val="-18"/>
          <w:sz w:val="18"/>
        </w:rPr>
        <w:t> </w:t>
      </w:r>
      <w:r>
        <w:rPr>
          <w:color w:val="231F20"/>
          <w:sz w:val="18"/>
        </w:rPr>
        <w:t>de-agrarianisation</w:t>
      </w:r>
      <w:r>
        <w:rPr>
          <w:color w:val="231F20"/>
          <w:spacing w:val="-18"/>
          <w:sz w:val="18"/>
        </w:rPr>
        <w:t> </w:t>
      </w:r>
      <w:r>
        <w:rPr>
          <w:color w:val="231F20"/>
          <w:sz w:val="18"/>
        </w:rPr>
        <w:t>and</w:t>
      </w:r>
      <w:r>
        <w:rPr>
          <w:color w:val="231F20"/>
          <w:spacing w:val="-18"/>
          <w:sz w:val="18"/>
        </w:rPr>
        <w:t> </w:t>
      </w:r>
      <w:r>
        <w:rPr>
          <w:color w:val="231F20"/>
          <w:sz w:val="18"/>
        </w:rPr>
        <w:t>employment in Africa, </w:t>
      </w:r>
      <w:r>
        <w:rPr>
          <w:color w:val="231F20"/>
          <w:spacing w:val="-10"/>
          <w:sz w:val="18"/>
        </w:rPr>
        <w:t>1997. </w:t>
      </w:r>
      <w:r>
        <w:rPr>
          <w:color w:val="231F20"/>
          <w:sz w:val="18"/>
        </w:rPr>
        <w:t>Aldershot, Aldgate. pp.</w:t>
      </w:r>
      <w:r>
        <w:rPr>
          <w:color w:val="231F20"/>
          <w:spacing w:val="37"/>
          <w:sz w:val="18"/>
        </w:rPr>
        <w:t> </w:t>
      </w:r>
      <w:r>
        <w:rPr>
          <w:color w:val="231F20"/>
          <w:spacing w:val="-3"/>
          <w:sz w:val="18"/>
        </w:rPr>
        <w:t>23-40.</w:t>
      </w:r>
    </w:p>
    <w:p>
      <w:pPr>
        <w:spacing w:line="264" w:lineRule="auto" w:before="57"/>
        <w:ind w:left="696" w:right="1551" w:hanging="284"/>
        <w:jc w:val="both"/>
        <w:rPr>
          <w:sz w:val="18"/>
        </w:rPr>
      </w:pPr>
      <w:r>
        <w:rPr>
          <w:color w:val="231F20"/>
          <w:w w:val="105"/>
          <w:sz w:val="18"/>
        </w:rPr>
        <w:t>Ellis</w:t>
      </w:r>
      <w:r>
        <w:rPr>
          <w:color w:val="231F20"/>
          <w:spacing w:val="-11"/>
          <w:w w:val="105"/>
          <w:sz w:val="18"/>
        </w:rPr>
        <w:t> </w:t>
      </w:r>
      <w:r>
        <w:rPr>
          <w:color w:val="231F20"/>
          <w:spacing w:val="-8"/>
          <w:w w:val="105"/>
          <w:sz w:val="18"/>
        </w:rPr>
        <w:t>F.</w:t>
      </w:r>
      <w:r>
        <w:rPr>
          <w:color w:val="231F20"/>
          <w:spacing w:val="-11"/>
          <w:w w:val="105"/>
          <w:sz w:val="18"/>
        </w:rPr>
        <w:t> </w:t>
      </w:r>
      <w:r>
        <w:rPr>
          <w:color w:val="231F20"/>
          <w:w w:val="105"/>
          <w:sz w:val="18"/>
        </w:rPr>
        <w:t>(1998).</w:t>
      </w:r>
      <w:r>
        <w:rPr>
          <w:color w:val="231F20"/>
          <w:spacing w:val="-11"/>
          <w:w w:val="105"/>
          <w:sz w:val="18"/>
        </w:rPr>
        <w:t> </w:t>
      </w:r>
      <w:r>
        <w:rPr>
          <w:color w:val="231F20"/>
          <w:w w:val="105"/>
          <w:sz w:val="18"/>
        </w:rPr>
        <w:t>Household</w:t>
      </w:r>
      <w:r>
        <w:rPr>
          <w:color w:val="231F20"/>
          <w:spacing w:val="-11"/>
          <w:w w:val="105"/>
          <w:sz w:val="18"/>
        </w:rPr>
        <w:t> </w:t>
      </w:r>
      <w:r>
        <w:rPr>
          <w:color w:val="231F20"/>
          <w:w w:val="105"/>
          <w:sz w:val="18"/>
        </w:rPr>
        <w:t>strategies</w:t>
      </w:r>
      <w:r>
        <w:rPr>
          <w:color w:val="231F20"/>
          <w:spacing w:val="-11"/>
          <w:w w:val="105"/>
          <w:sz w:val="18"/>
        </w:rPr>
        <w:t> </w:t>
      </w:r>
      <w:r>
        <w:rPr>
          <w:color w:val="231F20"/>
          <w:w w:val="105"/>
          <w:sz w:val="18"/>
        </w:rPr>
        <w:t>and</w:t>
      </w:r>
      <w:r>
        <w:rPr>
          <w:color w:val="231F20"/>
          <w:spacing w:val="-11"/>
          <w:w w:val="105"/>
          <w:sz w:val="18"/>
        </w:rPr>
        <w:t> </w:t>
      </w:r>
      <w:r>
        <w:rPr>
          <w:color w:val="231F20"/>
          <w:w w:val="105"/>
          <w:sz w:val="18"/>
        </w:rPr>
        <w:t>rural</w:t>
      </w:r>
      <w:r>
        <w:rPr>
          <w:color w:val="231F20"/>
          <w:spacing w:val="-11"/>
          <w:w w:val="105"/>
          <w:sz w:val="18"/>
        </w:rPr>
        <w:t> </w:t>
      </w:r>
      <w:r>
        <w:rPr>
          <w:color w:val="231F20"/>
          <w:w w:val="105"/>
          <w:sz w:val="18"/>
        </w:rPr>
        <w:t>livelihood diversification. </w:t>
      </w:r>
      <w:r>
        <w:rPr>
          <w:rFonts w:ascii="Cambria"/>
          <w:i/>
          <w:color w:val="231F20"/>
          <w:w w:val="105"/>
          <w:sz w:val="18"/>
        </w:rPr>
        <w:t>Journal of Development Studies,</w:t>
      </w:r>
      <w:r>
        <w:rPr>
          <w:rFonts w:ascii="Cambria"/>
          <w:i/>
          <w:color w:val="231F20"/>
          <w:spacing w:val="-8"/>
          <w:w w:val="105"/>
          <w:sz w:val="18"/>
        </w:rPr>
        <w:t> </w:t>
      </w:r>
      <w:r>
        <w:rPr>
          <w:color w:val="231F20"/>
          <w:spacing w:val="-4"/>
          <w:w w:val="105"/>
          <w:sz w:val="18"/>
        </w:rPr>
        <w:t>35 </w:t>
      </w:r>
      <w:r>
        <w:rPr>
          <w:color w:val="231F20"/>
          <w:w w:val="105"/>
          <w:sz w:val="18"/>
        </w:rPr>
        <w:t>(1): </w:t>
      </w:r>
      <w:r>
        <w:rPr>
          <w:color w:val="231F20"/>
          <w:spacing w:val="12"/>
          <w:w w:val="105"/>
          <w:sz w:val="18"/>
        </w:rPr>
        <w:t> </w:t>
      </w:r>
      <w:r>
        <w:rPr>
          <w:color w:val="231F20"/>
          <w:spacing w:val="-3"/>
          <w:w w:val="105"/>
          <w:sz w:val="18"/>
        </w:rPr>
        <w:t>1-38.</w:t>
      </w:r>
    </w:p>
    <w:p>
      <w:pPr>
        <w:spacing w:line="264" w:lineRule="auto" w:before="57"/>
        <w:ind w:left="696" w:right="1552" w:hanging="284"/>
        <w:jc w:val="both"/>
        <w:rPr>
          <w:sz w:val="18"/>
        </w:rPr>
      </w:pPr>
      <w:r>
        <w:rPr>
          <w:color w:val="231F20"/>
          <w:sz w:val="18"/>
        </w:rPr>
        <w:t>Ellis F. (2000). Rural livelihoods and diversity in develop- ing countries. Oxford University Press, Oxford.</w:t>
      </w:r>
    </w:p>
    <w:p>
      <w:pPr>
        <w:spacing w:line="264" w:lineRule="auto" w:before="57"/>
        <w:ind w:left="696" w:right="1551" w:hanging="284"/>
        <w:jc w:val="both"/>
        <w:rPr>
          <w:sz w:val="18"/>
        </w:rPr>
      </w:pPr>
      <w:r>
        <w:rPr>
          <w:color w:val="231F20"/>
          <w:sz w:val="18"/>
        </w:rPr>
        <w:t>Estrada D.R. (1995). Incidencia de las políticas econó- micas en la conservación de los recursos naturales  de la zona andina. REPAAN,   </w:t>
      </w:r>
      <w:r>
        <w:rPr>
          <w:color w:val="231F20"/>
          <w:spacing w:val="3"/>
          <w:sz w:val="18"/>
        </w:rPr>
        <w:t> </w:t>
      </w:r>
      <w:r>
        <w:rPr>
          <w:color w:val="231F20"/>
          <w:sz w:val="18"/>
        </w:rPr>
        <w:t>CONDESAN.</w:t>
      </w:r>
    </w:p>
    <w:p>
      <w:pPr>
        <w:spacing w:line="264" w:lineRule="auto" w:before="57"/>
        <w:ind w:left="357" w:right="1551" w:firstLine="0"/>
        <w:jc w:val="right"/>
        <w:rPr>
          <w:sz w:val="18"/>
        </w:rPr>
      </w:pPr>
      <w:r>
        <w:rPr>
          <w:color w:val="231F20"/>
          <w:sz w:val="18"/>
        </w:rPr>
        <w:t>Gill G.J. (1991). Seasonality and agriculture in the develo-</w:t>
      </w:r>
      <w:r>
        <w:rPr>
          <w:color w:val="231F20"/>
          <w:w w:val="95"/>
          <w:sz w:val="18"/>
        </w:rPr>
        <w:t> </w:t>
      </w:r>
      <w:r>
        <w:rPr>
          <w:color w:val="231F20"/>
          <w:sz w:val="18"/>
        </w:rPr>
        <w:t>ping world. Cambridge University Press,  Cambridge.</w:t>
      </w:r>
    </w:p>
    <w:p>
      <w:pPr>
        <w:spacing w:line="264" w:lineRule="auto" w:before="57"/>
        <w:ind w:left="696" w:right="1551" w:hanging="284"/>
        <w:jc w:val="both"/>
        <w:rPr>
          <w:sz w:val="18"/>
        </w:rPr>
      </w:pPr>
      <w:r>
        <w:rPr>
          <w:color w:val="231F20"/>
          <w:sz w:val="18"/>
        </w:rPr>
        <w:t>Gómez D.W. (2011). Impacto de activos productivos en modos de vida y el desarrollo rural del Estado de México. Tesis de Doctorado. Universidad Autónoma del Estado de México, México.</w:t>
      </w:r>
    </w:p>
    <w:p>
      <w:pPr>
        <w:spacing w:line="264" w:lineRule="auto" w:before="57"/>
        <w:ind w:left="696" w:right="1551" w:hanging="284"/>
        <w:jc w:val="both"/>
        <w:rPr>
          <w:sz w:val="18"/>
        </w:rPr>
      </w:pPr>
      <w:r>
        <w:rPr>
          <w:color w:val="231F20"/>
          <w:sz w:val="18"/>
        </w:rPr>
        <w:t>Gómez D.W., Sánchez V.E., Castelán O.O., Nava B.G. (2009). Identificación de indicadores de impacto en un programa de gobierno y modos de vida rurales. </w:t>
      </w:r>
      <w:r>
        <w:rPr>
          <w:rFonts w:ascii="Cambria" w:hAnsi="Cambria"/>
          <w:i/>
          <w:color w:val="231F20"/>
          <w:sz w:val="18"/>
        </w:rPr>
        <w:t>Estudios  Sociales</w:t>
      </w:r>
      <w:r>
        <w:rPr>
          <w:color w:val="231F20"/>
          <w:sz w:val="18"/>
        </w:rPr>
        <w:t>,  17(34):  7-37.</w:t>
      </w:r>
    </w:p>
    <w:p>
      <w:pPr>
        <w:spacing w:line="264" w:lineRule="auto" w:before="57"/>
        <w:ind w:left="696" w:right="1551" w:hanging="284"/>
        <w:jc w:val="both"/>
        <w:rPr>
          <w:sz w:val="18"/>
        </w:rPr>
      </w:pPr>
      <w:r>
        <w:rPr>
          <w:color w:val="231F20"/>
          <w:sz w:val="18"/>
        </w:rPr>
        <w:t>Hardaker J.B., Huirne R.B.M., Anderson, J.R. (1997). Co- ping with risk in agriculture. CAB International, New York, USA.</w:t>
      </w:r>
    </w:p>
    <w:p>
      <w:pPr>
        <w:spacing w:line="264" w:lineRule="auto" w:before="57"/>
        <w:ind w:left="357" w:right="1551" w:firstLine="0"/>
        <w:jc w:val="right"/>
        <w:rPr>
          <w:sz w:val="18"/>
        </w:rPr>
      </w:pPr>
      <w:r>
        <w:rPr>
          <w:color w:val="231F20"/>
          <w:sz w:val="18"/>
        </w:rPr>
        <w:t>Heffernan C., Misturelli F. (2000). The delivery of veteri-</w:t>
      </w:r>
      <w:r>
        <w:rPr>
          <w:color w:val="231F20"/>
          <w:w w:val="95"/>
          <w:sz w:val="18"/>
        </w:rPr>
        <w:t> </w:t>
      </w:r>
      <w:r>
        <w:rPr>
          <w:color w:val="231F20"/>
          <w:sz w:val="18"/>
        </w:rPr>
        <w:t>nary services to the poor: preliminary findings from</w:t>
      </w:r>
      <w:r>
        <w:rPr>
          <w:color w:val="231F20"/>
          <w:w w:val="98"/>
          <w:sz w:val="18"/>
        </w:rPr>
        <w:t> </w:t>
      </w:r>
      <w:r>
        <w:rPr>
          <w:color w:val="231F20"/>
          <w:sz w:val="18"/>
        </w:rPr>
        <w:t>Kenya. Report for DFID’s Animal Health Programme.</w:t>
      </w:r>
      <w:r>
        <w:rPr>
          <w:color w:val="231F20"/>
          <w:w w:val="101"/>
          <w:sz w:val="18"/>
        </w:rPr>
        <w:t> </w:t>
      </w:r>
      <w:r>
        <w:rPr>
          <w:color w:val="231F20"/>
          <w:sz w:val="18"/>
        </w:rPr>
        <w:t>The University of Reading, Reading, United Kingdom.</w:t>
      </w:r>
    </w:p>
    <w:p>
      <w:pPr>
        <w:spacing w:line="264" w:lineRule="auto" w:before="57"/>
        <w:ind w:left="696" w:right="1551" w:hanging="284"/>
        <w:jc w:val="both"/>
        <w:rPr>
          <w:sz w:val="18"/>
        </w:rPr>
      </w:pPr>
      <w:r>
        <w:rPr>
          <w:color w:val="231F20"/>
          <w:sz w:val="18"/>
        </w:rPr>
        <w:t>Hess C.G. (1997). Hungry for hope: on the cultural and communicative dimensions of development in high- land Ecuador</w:t>
      </w:r>
      <w:r>
        <w:rPr>
          <w:rFonts w:ascii="Cambria"/>
          <w:i/>
          <w:color w:val="231F20"/>
          <w:sz w:val="18"/>
        </w:rPr>
        <w:t>. </w:t>
      </w:r>
      <w:r>
        <w:rPr>
          <w:color w:val="231F20"/>
          <w:sz w:val="18"/>
        </w:rPr>
        <w:t>IT Pubs,  London.</w:t>
      </w:r>
    </w:p>
    <w:p>
      <w:pPr>
        <w:spacing w:line="264" w:lineRule="auto" w:before="57"/>
        <w:ind w:left="696" w:right="1551" w:hanging="284"/>
        <w:jc w:val="both"/>
        <w:rPr>
          <w:sz w:val="18"/>
        </w:rPr>
      </w:pPr>
      <w:r>
        <w:rPr>
          <w:color w:val="231F20"/>
          <w:sz w:val="18"/>
        </w:rPr>
        <w:t>Lawrence </w:t>
      </w:r>
      <w:r>
        <w:rPr>
          <w:color w:val="231F20"/>
          <w:spacing w:val="-3"/>
          <w:sz w:val="18"/>
        </w:rPr>
        <w:t>P.R., </w:t>
      </w:r>
      <w:r>
        <w:rPr>
          <w:color w:val="231F20"/>
          <w:sz w:val="18"/>
        </w:rPr>
        <w:t>Pearson R.A. (2002). Use of draught ani- mal power on small mixed farms in Asia.</w:t>
      </w:r>
      <w:r>
        <w:rPr>
          <w:color w:val="231F20"/>
          <w:spacing w:val="-23"/>
          <w:sz w:val="18"/>
        </w:rPr>
        <w:t> </w:t>
      </w:r>
      <w:r>
        <w:rPr>
          <w:rFonts w:ascii="Cambria"/>
          <w:i/>
          <w:color w:val="231F20"/>
          <w:sz w:val="18"/>
        </w:rPr>
        <w:t>Agricultural </w:t>
      </w:r>
      <w:r>
        <w:rPr>
          <w:rFonts w:ascii="Cambria"/>
          <w:i/>
          <w:color w:val="231F20"/>
          <w:sz w:val="18"/>
        </w:rPr>
        <w:t>Systems,   </w:t>
      </w:r>
      <w:r>
        <w:rPr>
          <w:color w:val="231F20"/>
          <w:spacing w:val="-3"/>
          <w:sz w:val="18"/>
        </w:rPr>
        <w:t>71: </w:t>
      </w:r>
      <w:r>
        <w:rPr>
          <w:color w:val="231F20"/>
          <w:spacing w:val="15"/>
          <w:sz w:val="18"/>
        </w:rPr>
        <w:t> </w:t>
      </w:r>
      <w:r>
        <w:rPr>
          <w:color w:val="231F20"/>
          <w:spacing w:val="-3"/>
          <w:sz w:val="18"/>
        </w:rPr>
        <w:t>99-110.</w:t>
      </w:r>
    </w:p>
    <w:p>
      <w:pPr>
        <w:spacing w:before="57"/>
        <w:ind w:left="357" w:right="1551" w:firstLine="0"/>
        <w:jc w:val="right"/>
        <w:rPr>
          <w:sz w:val="18"/>
        </w:rPr>
      </w:pPr>
      <w:r>
        <w:rPr>
          <w:color w:val="231F20"/>
          <w:sz w:val="18"/>
        </w:rPr>
        <w:t>LID. (1999). Livestock in poverty-focused    development.</w:t>
      </w:r>
    </w:p>
    <w:p>
      <w:pPr>
        <w:spacing w:before="22"/>
        <w:ind w:left="696" w:right="1446" w:firstLine="0"/>
        <w:jc w:val="left"/>
        <w:rPr>
          <w:sz w:val="18"/>
        </w:rPr>
      </w:pPr>
      <w:r>
        <w:rPr>
          <w:color w:val="231F20"/>
          <w:sz w:val="18"/>
        </w:rPr>
        <w:t>LID, Crewkerne, Somerset, United  Kingdom.</w:t>
      </w:r>
    </w:p>
    <w:p>
      <w:pPr>
        <w:spacing w:line="264" w:lineRule="auto" w:before="79"/>
        <w:ind w:left="696" w:right="1551" w:hanging="284"/>
        <w:jc w:val="both"/>
        <w:rPr>
          <w:sz w:val="18"/>
        </w:rPr>
      </w:pPr>
      <w:r>
        <w:rPr>
          <w:color w:val="231F20"/>
          <w:sz w:val="18"/>
        </w:rPr>
        <w:t>Maxwell, </w:t>
      </w:r>
      <w:r>
        <w:rPr>
          <w:color w:val="231F20"/>
          <w:spacing w:val="-8"/>
          <w:sz w:val="18"/>
        </w:rPr>
        <w:t>P. </w:t>
      </w:r>
      <w:r>
        <w:rPr>
          <w:color w:val="231F20"/>
          <w:sz w:val="18"/>
        </w:rPr>
        <w:t>(1998). Saucy with the gods: nutrition and food security speak to poverty. </w:t>
      </w:r>
      <w:r>
        <w:rPr>
          <w:rFonts w:ascii="Cambria"/>
          <w:i/>
          <w:color w:val="231F20"/>
          <w:sz w:val="18"/>
        </w:rPr>
        <w:t>Food Policy,  </w:t>
      </w:r>
      <w:r>
        <w:rPr>
          <w:color w:val="231F20"/>
          <w:spacing w:val="-4"/>
          <w:sz w:val="18"/>
        </w:rPr>
        <w:t>23  </w:t>
      </w:r>
      <w:r>
        <w:rPr>
          <w:color w:val="231F20"/>
          <w:sz w:val="18"/>
        </w:rPr>
        <w:t>(3/4):   </w:t>
      </w:r>
      <w:r>
        <w:rPr>
          <w:color w:val="231F20"/>
          <w:spacing w:val="19"/>
          <w:sz w:val="18"/>
        </w:rPr>
        <w:t> </w:t>
      </w:r>
      <w:r>
        <w:rPr>
          <w:color w:val="231F20"/>
          <w:spacing w:val="-3"/>
          <w:sz w:val="18"/>
        </w:rPr>
        <w:t>215-230.</w:t>
      </w:r>
    </w:p>
    <w:p>
      <w:pPr>
        <w:spacing w:line="264" w:lineRule="auto" w:before="57"/>
        <w:ind w:left="696" w:right="1551" w:hanging="284"/>
        <w:jc w:val="both"/>
        <w:rPr>
          <w:sz w:val="18"/>
        </w:rPr>
      </w:pPr>
      <w:r>
        <w:rPr>
          <w:color w:val="231F20"/>
          <w:sz w:val="18"/>
        </w:rPr>
        <w:t>McCorkle C.M. (1992). The agropastoral dialectic  and the organization of labor in a Quechua   </w:t>
      </w:r>
      <w:r>
        <w:rPr>
          <w:color w:val="231F20"/>
          <w:spacing w:val="30"/>
          <w:sz w:val="18"/>
        </w:rPr>
        <w:t> </w:t>
      </w:r>
      <w:r>
        <w:rPr>
          <w:color w:val="231F20"/>
          <w:sz w:val="18"/>
        </w:rPr>
        <w:t>community.</w:t>
      </w:r>
    </w:p>
    <w:p>
      <w:pPr>
        <w:spacing w:after="0" w:line="264"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8643" w:val="left" w:leader="none"/>
        </w:tabs>
        <w:spacing w:before="64"/>
        <w:ind w:left="1551" w:right="0" w:firstLine="0"/>
        <w:jc w:val="left"/>
        <w:rPr>
          <w:sz w:val="12"/>
        </w:rPr>
      </w:pPr>
      <w:r>
        <w:rPr>
          <w:color w:val="231F20"/>
          <w:spacing w:val="-5"/>
          <w:w w:val="125"/>
          <w:sz w:val="22"/>
        </w:rPr>
        <w:t>18</w:t>
        <w:tab/>
      </w:r>
      <w:r>
        <w:rPr>
          <w:color w:val="231F20"/>
          <w:w w:val="125"/>
          <w:sz w:val="18"/>
        </w:rPr>
        <w:t>S</w:t>
      </w:r>
      <w:r>
        <w:rPr>
          <w:color w:val="231F20"/>
          <w:w w:val="125"/>
          <w:sz w:val="12"/>
        </w:rPr>
        <w:t>ección  </w:t>
      </w:r>
      <w:r>
        <w:rPr>
          <w:color w:val="231F20"/>
          <w:w w:val="125"/>
          <w:sz w:val="18"/>
        </w:rPr>
        <w:t>1.  </w:t>
      </w:r>
      <w:r>
        <w:rPr>
          <w:color w:val="231F20"/>
          <w:spacing w:val="15"/>
          <w:w w:val="125"/>
          <w:sz w:val="18"/>
        </w:rPr>
        <w:t> </w:t>
      </w:r>
      <w:r>
        <w:rPr>
          <w:color w:val="231F20"/>
          <w:w w:val="125"/>
          <w:sz w:val="18"/>
        </w:rPr>
        <w:t>i</w:t>
      </w:r>
      <w:r>
        <w:rPr>
          <w:color w:val="231F20"/>
          <w:w w:val="125"/>
          <w:sz w:val="12"/>
        </w:rPr>
        <w:t>ntroducción</w:t>
      </w:r>
    </w:p>
    <w:p>
      <w:pPr>
        <w:pStyle w:val="BodyText"/>
        <w:spacing w:before="10"/>
        <w:rPr>
          <w:sz w:val="22"/>
        </w:rPr>
      </w:pPr>
    </w:p>
    <w:p>
      <w:pPr>
        <w:spacing w:after="0"/>
        <w:rPr>
          <w:sz w:val="22"/>
        </w:rPr>
        <w:sectPr>
          <w:pgSz w:w="11900" w:h="14450"/>
          <w:pgMar w:header="0" w:footer="222" w:top="420" w:bottom="420" w:left="0" w:right="0"/>
        </w:sectPr>
      </w:pPr>
    </w:p>
    <w:p>
      <w:pPr>
        <w:spacing w:line="266" w:lineRule="auto" w:before="70"/>
        <w:ind w:left="1837" w:right="0" w:firstLine="0"/>
        <w:jc w:val="both"/>
        <w:rPr>
          <w:sz w:val="18"/>
        </w:rPr>
      </w:pPr>
      <w:r>
        <w:rPr>
          <w:color w:val="231F20"/>
          <w:sz w:val="18"/>
        </w:rPr>
        <w:t>En: McCorkle C.M., editor. Plants, animals and peo- ple: agropastoral systems research. Westview Press, Boulder.</w:t>
      </w:r>
    </w:p>
    <w:p>
      <w:pPr>
        <w:spacing w:line="266" w:lineRule="auto" w:before="56"/>
        <w:ind w:left="1837" w:right="0" w:hanging="284"/>
        <w:jc w:val="both"/>
        <w:rPr>
          <w:sz w:val="18"/>
        </w:rPr>
      </w:pPr>
      <w:r>
        <w:rPr>
          <w:color w:val="231F20"/>
          <w:sz w:val="18"/>
        </w:rPr>
        <w:t>Moll H.A.J. (2005). Costs and benefits of livestock sys- tems and the role of market and nonmarket rela- tionships. </w:t>
      </w:r>
      <w:r>
        <w:rPr>
          <w:rFonts w:ascii="Cambria"/>
          <w:i/>
          <w:color w:val="231F20"/>
          <w:sz w:val="18"/>
        </w:rPr>
        <w:t>Agricultural Economics</w:t>
      </w:r>
      <w:r>
        <w:rPr>
          <w:color w:val="231F20"/>
          <w:sz w:val="18"/>
        </w:rPr>
        <w:t>, 32:  181-193.</w:t>
      </w:r>
    </w:p>
    <w:p>
      <w:pPr>
        <w:spacing w:line="266" w:lineRule="auto" w:before="56"/>
        <w:ind w:left="1837" w:right="0" w:hanging="284"/>
        <w:jc w:val="both"/>
        <w:rPr>
          <w:sz w:val="18"/>
        </w:rPr>
      </w:pPr>
      <w:r>
        <w:rPr>
          <w:color w:val="231F20"/>
          <w:sz w:val="18"/>
        </w:rPr>
        <w:t>Mondragón H.R.  </w:t>
      </w:r>
      <w:r>
        <w:rPr>
          <w:color w:val="231F20"/>
          <w:spacing w:val="-3"/>
          <w:sz w:val="18"/>
        </w:rPr>
        <w:t>(2004).  </w:t>
      </w:r>
      <w:r>
        <w:rPr>
          <w:color w:val="231F20"/>
          <w:sz w:val="18"/>
        </w:rPr>
        <w:t>Productividades  marginales del </w:t>
      </w:r>
      <w:r>
        <w:rPr>
          <w:color w:val="231F20"/>
          <w:spacing w:val="-4"/>
          <w:sz w:val="18"/>
        </w:rPr>
        <w:t>trabajo </w:t>
      </w:r>
      <w:r>
        <w:rPr>
          <w:color w:val="231F20"/>
          <w:spacing w:val="-3"/>
          <w:sz w:val="18"/>
        </w:rPr>
        <w:t>agrícola </w:t>
      </w:r>
      <w:r>
        <w:rPr>
          <w:color w:val="231F20"/>
          <w:sz w:val="18"/>
        </w:rPr>
        <w:t>y </w:t>
      </w:r>
      <w:r>
        <w:rPr>
          <w:color w:val="231F20"/>
          <w:spacing w:val="-3"/>
          <w:sz w:val="18"/>
        </w:rPr>
        <w:t>del </w:t>
      </w:r>
      <w:r>
        <w:rPr>
          <w:color w:val="231F20"/>
          <w:sz w:val="18"/>
        </w:rPr>
        <w:t>no </w:t>
      </w:r>
      <w:r>
        <w:rPr>
          <w:color w:val="231F20"/>
          <w:spacing w:val="-3"/>
          <w:sz w:val="18"/>
        </w:rPr>
        <w:t>agrícola </w:t>
      </w:r>
      <w:r>
        <w:rPr>
          <w:color w:val="231F20"/>
          <w:sz w:val="18"/>
        </w:rPr>
        <w:t>y </w:t>
      </w:r>
      <w:r>
        <w:rPr>
          <w:color w:val="231F20"/>
          <w:spacing w:val="-4"/>
          <w:sz w:val="18"/>
        </w:rPr>
        <w:t>distribución del trabajo </w:t>
      </w:r>
      <w:r>
        <w:rPr>
          <w:color w:val="231F20"/>
          <w:spacing w:val="-3"/>
          <w:sz w:val="18"/>
        </w:rPr>
        <w:t>familiar </w:t>
      </w:r>
      <w:r>
        <w:rPr>
          <w:color w:val="231F20"/>
          <w:sz w:val="18"/>
        </w:rPr>
        <w:t>en unidades domésticas de una co- munidad rural: San Marcos de la Loma, </w:t>
      </w:r>
      <w:r>
        <w:rPr>
          <w:color w:val="231F20"/>
          <w:spacing w:val="-3"/>
          <w:sz w:val="18"/>
        </w:rPr>
        <w:t>Villa Victoria, </w:t>
      </w:r>
      <w:r>
        <w:rPr>
          <w:color w:val="231F20"/>
          <w:sz w:val="18"/>
        </w:rPr>
        <w:t>Estado de México. Colegio de Postgraduados,</w:t>
      </w:r>
      <w:r>
        <w:rPr>
          <w:color w:val="231F20"/>
          <w:spacing w:val="-10"/>
          <w:sz w:val="18"/>
        </w:rPr>
        <w:t> </w:t>
      </w:r>
      <w:r>
        <w:rPr>
          <w:color w:val="231F20"/>
          <w:sz w:val="18"/>
        </w:rPr>
        <w:t>Institu- to de Socioeconomía Estadística e Informática, Espe- cialidad en Economía, Estado de México. p.</w:t>
      </w:r>
      <w:r>
        <w:rPr>
          <w:color w:val="231F20"/>
          <w:spacing w:val="29"/>
          <w:sz w:val="18"/>
        </w:rPr>
        <w:t> </w:t>
      </w:r>
      <w:r>
        <w:rPr>
          <w:color w:val="231F20"/>
          <w:spacing w:val="-4"/>
          <w:sz w:val="18"/>
        </w:rPr>
        <w:t>58.</w:t>
      </w:r>
    </w:p>
    <w:p>
      <w:pPr>
        <w:spacing w:line="266" w:lineRule="auto" w:before="56"/>
        <w:ind w:left="1837" w:right="0" w:hanging="284"/>
        <w:jc w:val="both"/>
        <w:rPr>
          <w:sz w:val="18"/>
        </w:rPr>
      </w:pPr>
      <w:r>
        <w:rPr>
          <w:color w:val="231F20"/>
          <w:w w:val="105"/>
          <w:sz w:val="18"/>
        </w:rPr>
        <w:t>Moser</w:t>
      </w:r>
      <w:r>
        <w:rPr>
          <w:color w:val="231F20"/>
          <w:spacing w:val="-11"/>
          <w:w w:val="105"/>
          <w:sz w:val="18"/>
        </w:rPr>
        <w:t> </w:t>
      </w:r>
      <w:r>
        <w:rPr>
          <w:color w:val="231F20"/>
          <w:w w:val="105"/>
          <w:sz w:val="18"/>
        </w:rPr>
        <w:t>C.</w:t>
      </w:r>
      <w:r>
        <w:rPr>
          <w:color w:val="231F20"/>
          <w:spacing w:val="-11"/>
          <w:w w:val="105"/>
          <w:sz w:val="18"/>
        </w:rPr>
        <w:t> </w:t>
      </w:r>
      <w:r>
        <w:rPr>
          <w:color w:val="231F20"/>
          <w:w w:val="105"/>
          <w:sz w:val="18"/>
        </w:rPr>
        <w:t>(1998).</w:t>
      </w:r>
      <w:r>
        <w:rPr>
          <w:color w:val="231F20"/>
          <w:spacing w:val="-11"/>
          <w:w w:val="105"/>
          <w:sz w:val="18"/>
        </w:rPr>
        <w:t> </w:t>
      </w:r>
      <w:r>
        <w:rPr>
          <w:color w:val="231F20"/>
          <w:w w:val="105"/>
          <w:sz w:val="18"/>
        </w:rPr>
        <w:t>The</w:t>
      </w:r>
      <w:r>
        <w:rPr>
          <w:color w:val="231F20"/>
          <w:spacing w:val="-11"/>
          <w:w w:val="105"/>
          <w:sz w:val="18"/>
        </w:rPr>
        <w:t> </w:t>
      </w:r>
      <w:r>
        <w:rPr>
          <w:color w:val="231F20"/>
          <w:w w:val="105"/>
          <w:sz w:val="18"/>
        </w:rPr>
        <w:t>asset</w:t>
      </w:r>
      <w:r>
        <w:rPr>
          <w:color w:val="231F20"/>
          <w:spacing w:val="-11"/>
          <w:w w:val="105"/>
          <w:sz w:val="18"/>
        </w:rPr>
        <w:t> </w:t>
      </w:r>
      <w:r>
        <w:rPr>
          <w:color w:val="231F20"/>
          <w:w w:val="105"/>
          <w:sz w:val="18"/>
        </w:rPr>
        <w:t>vulnerability</w:t>
      </w:r>
      <w:r>
        <w:rPr>
          <w:color w:val="231F20"/>
          <w:spacing w:val="-11"/>
          <w:w w:val="105"/>
          <w:sz w:val="18"/>
        </w:rPr>
        <w:t> </w:t>
      </w:r>
      <w:r>
        <w:rPr>
          <w:color w:val="231F20"/>
          <w:w w:val="105"/>
          <w:sz w:val="18"/>
        </w:rPr>
        <w:t>framework:</w:t>
      </w:r>
      <w:r>
        <w:rPr>
          <w:color w:val="231F20"/>
          <w:spacing w:val="-11"/>
          <w:w w:val="105"/>
          <w:sz w:val="18"/>
        </w:rPr>
        <w:t> </w:t>
      </w:r>
      <w:r>
        <w:rPr>
          <w:color w:val="231F20"/>
          <w:w w:val="105"/>
          <w:sz w:val="18"/>
        </w:rPr>
        <w:t>re- </w:t>
      </w:r>
      <w:r>
        <w:rPr>
          <w:color w:val="231F20"/>
          <w:sz w:val="18"/>
        </w:rPr>
        <w:t>assessing urban poverty reduction strategies. </w:t>
      </w:r>
      <w:r>
        <w:rPr>
          <w:rFonts w:ascii="Cambria"/>
          <w:i/>
          <w:color w:val="231F20"/>
          <w:sz w:val="18"/>
        </w:rPr>
        <w:t>World </w:t>
      </w:r>
      <w:r>
        <w:rPr>
          <w:rFonts w:ascii="Cambria"/>
          <w:i/>
          <w:color w:val="231F20"/>
          <w:w w:val="105"/>
          <w:sz w:val="18"/>
        </w:rPr>
        <w:t>Development,  </w:t>
      </w:r>
      <w:r>
        <w:rPr>
          <w:color w:val="231F20"/>
          <w:w w:val="105"/>
          <w:sz w:val="18"/>
        </w:rPr>
        <w:t>26  (1):</w:t>
      </w:r>
      <w:r>
        <w:rPr>
          <w:color w:val="231F20"/>
          <w:spacing w:val="-7"/>
          <w:w w:val="105"/>
          <w:sz w:val="18"/>
        </w:rPr>
        <w:t> </w:t>
      </w:r>
      <w:r>
        <w:rPr>
          <w:color w:val="231F20"/>
          <w:spacing w:val="-4"/>
          <w:w w:val="105"/>
          <w:sz w:val="18"/>
        </w:rPr>
        <w:t>1-19.</w:t>
      </w:r>
    </w:p>
    <w:p>
      <w:pPr>
        <w:spacing w:line="266" w:lineRule="auto" w:before="56"/>
        <w:ind w:left="1837" w:right="0" w:hanging="284"/>
        <w:jc w:val="both"/>
        <w:rPr>
          <w:sz w:val="18"/>
        </w:rPr>
      </w:pPr>
      <w:r>
        <w:rPr>
          <w:color w:val="231F20"/>
          <w:sz w:val="18"/>
        </w:rPr>
        <w:t>Muñoz G.O. (2004). Propuestas tecnológicas partici- pativas para la ovino-cultura de dos comunidades marginadas del Estado de México. Tesis de  Maes- tría. Universidad Autónoma del Estado de México, México.</w:t>
      </w:r>
    </w:p>
    <w:p>
      <w:pPr>
        <w:spacing w:line="266" w:lineRule="auto" w:before="56"/>
        <w:ind w:left="1837" w:right="0" w:hanging="284"/>
        <w:jc w:val="both"/>
        <w:rPr>
          <w:sz w:val="18"/>
        </w:rPr>
      </w:pPr>
      <w:r>
        <w:rPr>
          <w:color w:val="231F20"/>
          <w:sz w:val="18"/>
        </w:rPr>
        <w:t>Nava </w:t>
      </w:r>
      <w:r>
        <w:rPr>
          <w:color w:val="231F20"/>
          <w:spacing w:val="-4"/>
          <w:sz w:val="18"/>
        </w:rPr>
        <w:t>B.Y. </w:t>
      </w:r>
      <w:r>
        <w:rPr>
          <w:color w:val="231F20"/>
          <w:sz w:val="18"/>
        </w:rPr>
        <w:t>(2005).  Organización  social  y  economía  en  la transferencia tecnológica pecuaria en San  Mar- cos de la Loma, Municipio de Villa Victoria. </w:t>
      </w:r>
      <w:r>
        <w:rPr>
          <w:color w:val="231F20"/>
          <w:spacing w:val="-4"/>
          <w:sz w:val="18"/>
        </w:rPr>
        <w:t>Tesis </w:t>
      </w:r>
      <w:r>
        <w:rPr>
          <w:color w:val="231F20"/>
          <w:sz w:val="18"/>
        </w:rPr>
        <w:t>de Maestría. Universidad Iberoamericana, México </w:t>
      </w:r>
      <w:r>
        <w:rPr>
          <w:color w:val="231F20"/>
          <w:spacing w:val="-3"/>
          <w:sz w:val="18"/>
        </w:rPr>
        <w:t>D.F., </w:t>
      </w:r>
      <w:r>
        <w:rPr>
          <w:color w:val="231F20"/>
          <w:sz w:val="18"/>
        </w:rPr>
        <w:t>México.</w:t>
      </w:r>
    </w:p>
    <w:p>
      <w:pPr>
        <w:spacing w:line="266" w:lineRule="auto" w:before="56"/>
        <w:ind w:left="1837" w:right="0" w:hanging="284"/>
        <w:jc w:val="both"/>
        <w:rPr>
          <w:sz w:val="18"/>
        </w:rPr>
      </w:pPr>
      <w:r>
        <w:rPr>
          <w:color w:val="231F20"/>
          <w:sz w:val="18"/>
        </w:rPr>
        <w:t>Navarrete D.N., Sánchez </w:t>
      </w:r>
      <w:r>
        <w:rPr>
          <w:color w:val="231F20"/>
          <w:spacing w:val="-3"/>
          <w:sz w:val="18"/>
        </w:rPr>
        <w:t>V.E., </w:t>
      </w:r>
      <w:r>
        <w:rPr>
          <w:color w:val="231F20"/>
          <w:sz w:val="18"/>
        </w:rPr>
        <w:t>Espinoza O.A., Nava B.G. (2007). Determinación de la importancia económi-  ca de la cría de animales dentro de las unidades de producción campesina, a través de un modelo eco- nómico. En: Cavalloti </w:t>
      </w:r>
      <w:r>
        <w:rPr>
          <w:color w:val="231F20"/>
          <w:spacing w:val="-5"/>
          <w:sz w:val="18"/>
        </w:rPr>
        <w:t>V., </w:t>
      </w:r>
      <w:r>
        <w:rPr>
          <w:color w:val="231F20"/>
          <w:sz w:val="18"/>
        </w:rPr>
        <w:t>Ramírez </w:t>
      </w:r>
      <w:r>
        <w:rPr>
          <w:color w:val="231F20"/>
          <w:spacing w:val="-3"/>
          <w:sz w:val="18"/>
        </w:rPr>
        <w:t>V.B., </w:t>
      </w:r>
      <w:r>
        <w:rPr>
          <w:color w:val="231F20"/>
          <w:sz w:val="18"/>
        </w:rPr>
        <w:t>Marcof </w:t>
      </w:r>
      <w:r>
        <w:rPr>
          <w:color w:val="231F20"/>
          <w:spacing w:val="-3"/>
          <w:sz w:val="18"/>
        </w:rPr>
        <w:t>A.C.F., </w:t>
      </w:r>
      <w:r>
        <w:rPr>
          <w:color w:val="231F20"/>
          <w:sz w:val="18"/>
        </w:rPr>
        <w:t>editores. Alternativas para el</w:t>
      </w:r>
      <w:r>
        <w:rPr>
          <w:color w:val="231F20"/>
          <w:spacing w:val="40"/>
          <w:sz w:val="18"/>
        </w:rPr>
        <w:t> </w:t>
      </w:r>
      <w:r>
        <w:rPr>
          <w:color w:val="231F20"/>
          <w:sz w:val="18"/>
        </w:rPr>
        <w:t>desarrollo</w:t>
      </w:r>
      <w:r>
        <w:rPr>
          <w:color w:val="231F20"/>
          <w:spacing w:val="20"/>
          <w:sz w:val="18"/>
        </w:rPr>
        <w:t> </w:t>
      </w:r>
      <w:r>
        <w:rPr>
          <w:color w:val="231F20"/>
          <w:sz w:val="18"/>
        </w:rPr>
        <w:t>sustentable</w:t>
      </w:r>
      <w:r>
        <w:rPr>
          <w:color w:val="231F20"/>
          <w:w w:val="99"/>
          <w:sz w:val="18"/>
        </w:rPr>
        <w:t> </w:t>
      </w:r>
      <w:r>
        <w:rPr>
          <w:color w:val="231F20"/>
          <w:sz w:val="18"/>
        </w:rPr>
        <w:t>de la ganadería: respuestas de los productores y la perspectiva académica. Universidad Autónoma de Chapingo,  Chapingo,  México.  pp.</w:t>
      </w:r>
      <w:r>
        <w:rPr>
          <w:color w:val="231F20"/>
          <w:spacing w:val="-8"/>
          <w:sz w:val="18"/>
        </w:rPr>
        <w:t> </w:t>
      </w:r>
      <w:r>
        <w:rPr>
          <w:color w:val="231F20"/>
          <w:sz w:val="18"/>
        </w:rPr>
        <w:t>253-263.</w:t>
      </w:r>
    </w:p>
    <w:p>
      <w:pPr>
        <w:spacing w:line="266" w:lineRule="auto" w:before="56"/>
        <w:ind w:left="1837" w:right="0" w:hanging="284"/>
        <w:jc w:val="both"/>
        <w:rPr>
          <w:sz w:val="18"/>
        </w:rPr>
      </w:pPr>
      <w:r>
        <w:rPr>
          <w:color w:val="231F20"/>
          <w:sz w:val="18"/>
        </w:rPr>
        <w:t>Pearce D.W., Markandya A., Barbier E.B. (1989). Blue- print for a green economy. Earthscan, London, Uni- ted Kingdom.</w:t>
      </w:r>
    </w:p>
    <w:p>
      <w:pPr>
        <w:spacing w:line="266" w:lineRule="auto" w:before="56"/>
        <w:ind w:left="1837" w:right="0" w:hanging="284"/>
        <w:jc w:val="both"/>
        <w:rPr>
          <w:sz w:val="18"/>
        </w:rPr>
      </w:pPr>
      <w:r>
        <w:rPr>
          <w:color w:val="231F20"/>
          <w:sz w:val="18"/>
        </w:rPr>
        <w:t>Perea </w:t>
      </w:r>
      <w:r>
        <w:rPr>
          <w:color w:val="231F20"/>
          <w:spacing w:val="-3"/>
          <w:sz w:val="18"/>
        </w:rPr>
        <w:t>P.M., </w:t>
      </w:r>
      <w:r>
        <w:rPr>
          <w:color w:val="231F20"/>
          <w:sz w:val="18"/>
        </w:rPr>
        <w:t>Espinoza O.A., Sánchez </w:t>
      </w:r>
      <w:r>
        <w:rPr>
          <w:color w:val="231F20"/>
          <w:spacing w:val="-4"/>
          <w:sz w:val="18"/>
        </w:rPr>
        <w:t>V.E. </w:t>
      </w:r>
      <w:r>
        <w:rPr>
          <w:color w:val="231F20"/>
          <w:spacing w:val="-3"/>
          <w:sz w:val="18"/>
        </w:rPr>
        <w:t>(2011). </w:t>
      </w:r>
      <w:r>
        <w:rPr>
          <w:color w:val="231F20"/>
          <w:sz w:val="18"/>
        </w:rPr>
        <w:t>Los ca- pitales social, humano y físico en los procesos de innovación tecnológica de los sistemas campesinos de producción ovina en Michoacán. En: Cavalloti </w:t>
      </w:r>
      <w:r>
        <w:rPr>
          <w:color w:val="231F20"/>
          <w:spacing w:val="-3"/>
          <w:sz w:val="18"/>
        </w:rPr>
        <w:t>V.B.A.,</w:t>
      </w:r>
      <w:r>
        <w:rPr>
          <w:color w:val="231F20"/>
          <w:spacing w:val="-12"/>
          <w:sz w:val="18"/>
        </w:rPr>
        <w:t> </w:t>
      </w:r>
      <w:r>
        <w:rPr>
          <w:color w:val="231F20"/>
          <w:sz w:val="18"/>
        </w:rPr>
        <w:t>Ramírez</w:t>
      </w:r>
      <w:r>
        <w:rPr>
          <w:color w:val="231F20"/>
          <w:spacing w:val="-12"/>
          <w:sz w:val="18"/>
        </w:rPr>
        <w:t> </w:t>
      </w:r>
      <w:r>
        <w:rPr>
          <w:color w:val="231F20"/>
          <w:spacing w:val="-3"/>
          <w:sz w:val="18"/>
        </w:rPr>
        <w:t>V.B.,</w:t>
      </w:r>
      <w:r>
        <w:rPr>
          <w:color w:val="231F20"/>
          <w:spacing w:val="-12"/>
          <w:sz w:val="18"/>
        </w:rPr>
        <w:t> </w:t>
      </w:r>
      <w:r>
        <w:rPr>
          <w:color w:val="231F20"/>
          <w:sz w:val="18"/>
        </w:rPr>
        <w:t>Martínez</w:t>
      </w:r>
      <w:r>
        <w:rPr>
          <w:color w:val="231F20"/>
          <w:spacing w:val="-12"/>
          <w:sz w:val="18"/>
        </w:rPr>
        <w:t> </w:t>
      </w:r>
      <w:r>
        <w:rPr>
          <w:color w:val="231F20"/>
          <w:spacing w:val="-3"/>
          <w:sz w:val="18"/>
        </w:rPr>
        <w:t>C.F.E.,</w:t>
      </w:r>
      <w:r>
        <w:rPr>
          <w:color w:val="231F20"/>
          <w:spacing w:val="-12"/>
          <w:sz w:val="18"/>
        </w:rPr>
        <w:t> </w:t>
      </w:r>
      <w:r>
        <w:rPr>
          <w:color w:val="231F20"/>
          <w:sz w:val="18"/>
        </w:rPr>
        <w:t>Marcof</w:t>
      </w:r>
      <w:r>
        <w:rPr>
          <w:color w:val="231F20"/>
          <w:spacing w:val="-12"/>
          <w:sz w:val="18"/>
        </w:rPr>
        <w:t> </w:t>
      </w:r>
      <w:r>
        <w:rPr>
          <w:color w:val="231F20"/>
          <w:spacing w:val="-3"/>
          <w:sz w:val="18"/>
        </w:rPr>
        <w:t>A.C.F.,</w:t>
      </w:r>
      <w:r>
        <w:rPr>
          <w:color w:val="231F20"/>
          <w:spacing w:val="-12"/>
          <w:sz w:val="18"/>
        </w:rPr>
        <w:t> </w:t>
      </w:r>
      <w:r>
        <w:rPr>
          <w:color w:val="231F20"/>
          <w:sz w:val="18"/>
        </w:rPr>
        <w:t>Ce- sín </w:t>
      </w:r>
      <w:r>
        <w:rPr>
          <w:color w:val="231F20"/>
          <w:spacing w:val="-3"/>
          <w:sz w:val="18"/>
        </w:rPr>
        <w:t>V.A.,  </w:t>
      </w:r>
      <w:r>
        <w:rPr>
          <w:color w:val="231F20"/>
          <w:sz w:val="18"/>
        </w:rPr>
        <w:t>editores. La ganadería ante el  </w:t>
      </w:r>
      <w:r>
        <w:rPr>
          <w:color w:val="231F20"/>
          <w:spacing w:val="12"/>
          <w:sz w:val="18"/>
        </w:rPr>
        <w:t> </w:t>
      </w:r>
      <w:r>
        <w:rPr>
          <w:color w:val="231F20"/>
          <w:sz w:val="18"/>
        </w:rPr>
        <w:t>agotamiento</w:t>
      </w:r>
    </w:p>
    <w:p>
      <w:pPr>
        <w:spacing w:line="266" w:lineRule="auto" w:before="70"/>
        <w:ind w:left="696" w:right="1551" w:firstLine="0"/>
        <w:jc w:val="both"/>
        <w:rPr>
          <w:sz w:val="18"/>
        </w:rPr>
      </w:pPr>
      <w:r>
        <w:rPr/>
        <w:br w:type="column"/>
      </w:r>
      <w:r>
        <w:rPr>
          <w:color w:val="231F20"/>
          <w:sz w:val="18"/>
        </w:rPr>
        <w:t>de los paradigmas dominantes. Universidad Autóno- ma de Chapingo, Chapingo, México. pp.     101-112.</w:t>
      </w:r>
    </w:p>
    <w:p>
      <w:pPr>
        <w:spacing w:line="266" w:lineRule="auto" w:before="56"/>
        <w:ind w:left="696" w:right="1551" w:hanging="284"/>
        <w:jc w:val="both"/>
        <w:rPr>
          <w:sz w:val="18"/>
        </w:rPr>
      </w:pPr>
      <w:r>
        <w:rPr>
          <w:color w:val="231F20"/>
          <w:sz w:val="18"/>
        </w:rPr>
        <w:t>Randolph </w:t>
      </w:r>
      <w:r>
        <w:rPr>
          <w:color w:val="231F20"/>
          <w:spacing w:val="-6"/>
          <w:sz w:val="18"/>
        </w:rPr>
        <w:t>T.F., </w:t>
      </w:r>
      <w:r>
        <w:rPr>
          <w:color w:val="231F20"/>
          <w:sz w:val="18"/>
        </w:rPr>
        <w:t>Schelling E., Grace D., Nicholson </w:t>
      </w:r>
      <w:r>
        <w:rPr>
          <w:color w:val="231F20"/>
          <w:spacing w:val="-3"/>
          <w:sz w:val="18"/>
        </w:rPr>
        <w:t>C.F.,  </w:t>
      </w:r>
      <w:r>
        <w:rPr>
          <w:color w:val="231F20"/>
          <w:sz w:val="18"/>
        </w:rPr>
        <w:t>Leroy J.L., Cole D.C., Demment </w:t>
      </w:r>
      <w:r>
        <w:rPr>
          <w:color w:val="231F20"/>
          <w:spacing w:val="-3"/>
          <w:sz w:val="18"/>
        </w:rPr>
        <w:t>M.W., </w:t>
      </w:r>
      <w:r>
        <w:rPr>
          <w:color w:val="231F20"/>
          <w:sz w:val="18"/>
        </w:rPr>
        <w:t>Omore A., Zinsstag J., Ruel M. (2007). Invited review: role of livestock in human nutrition and health for poverty reduction in developing countries. </w:t>
      </w:r>
      <w:r>
        <w:rPr>
          <w:rFonts w:ascii="Cambria"/>
          <w:i/>
          <w:color w:val="231F20"/>
          <w:sz w:val="18"/>
        </w:rPr>
        <w:t>Journal of Animal </w:t>
      </w:r>
      <w:r>
        <w:rPr>
          <w:rFonts w:ascii="Cambria"/>
          <w:i/>
          <w:color w:val="231F20"/>
          <w:sz w:val="18"/>
        </w:rPr>
        <w:t>Science,   </w:t>
      </w:r>
      <w:r>
        <w:rPr>
          <w:color w:val="231F20"/>
          <w:sz w:val="18"/>
        </w:rPr>
        <w:t>85: </w:t>
      </w:r>
      <w:r>
        <w:rPr>
          <w:color w:val="231F20"/>
          <w:spacing w:val="33"/>
          <w:sz w:val="18"/>
        </w:rPr>
        <w:t> </w:t>
      </w:r>
      <w:r>
        <w:rPr>
          <w:color w:val="231F20"/>
          <w:sz w:val="18"/>
        </w:rPr>
        <w:t>2788-2800.</w:t>
      </w:r>
    </w:p>
    <w:p>
      <w:pPr>
        <w:spacing w:line="266" w:lineRule="auto" w:before="56"/>
        <w:ind w:left="696" w:right="1551" w:hanging="284"/>
        <w:jc w:val="both"/>
        <w:rPr>
          <w:sz w:val="18"/>
        </w:rPr>
      </w:pPr>
      <w:r>
        <w:rPr>
          <w:color w:val="231F20"/>
          <w:sz w:val="18"/>
        </w:rPr>
        <w:t>Ravallion M., Chen S., Sangraula P. (2007). New evi- dence on the urbanization. World Bank, Washington D.C.</w:t>
      </w:r>
    </w:p>
    <w:p>
      <w:pPr>
        <w:spacing w:line="266" w:lineRule="auto" w:before="56"/>
        <w:ind w:left="696" w:right="1551" w:hanging="284"/>
        <w:jc w:val="both"/>
        <w:rPr>
          <w:sz w:val="18"/>
        </w:rPr>
      </w:pPr>
      <w:r>
        <w:rPr>
          <w:color w:val="231F20"/>
          <w:sz w:val="18"/>
        </w:rPr>
        <w:t>Reardon T., Delgado C., Matlon P. (1992). Determinants and effects of income diversification amongst farm households in Burkina Faso. </w:t>
      </w:r>
      <w:r>
        <w:rPr>
          <w:rFonts w:ascii="Cambria"/>
          <w:i/>
          <w:color w:val="231F20"/>
          <w:sz w:val="18"/>
        </w:rPr>
        <w:t>Journal of Develop- </w:t>
      </w:r>
      <w:r>
        <w:rPr>
          <w:rFonts w:ascii="Cambria"/>
          <w:i/>
          <w:color w:val="231F20"/>
          <w:sz w:val="18"/>
        </w:rPr>
        <w:t>ment  studies,  </w:t>
      </w:r>
      <w:r>
        <w:rPr>
          <w:color w:val="231F20"/>
          <w:sz w:val="18"/>
        </w:rPr>
        <w:t>28  (1):  264-296.</w:t>
      </w:r>
    </w:p>
    <w:p>
      <w:pPr>
        <w:spacing w:line="266" w:lineRule="auto" w:before="56"/>
        <w:ind w:left="696" w:right="1551" w:hanging="284"/>
        <w:jc w:val="both"/>
        <w:rPr>
          <w:sz w:val="18"/>
        </w:rPr>
      </w:pPr>
      <w:r>
        <w:rPr>
          <w:color w:val="231F20"/>
          <w:sz w:val="18"/>
        </w:rPr>
        <w:t>Reardon </w:t>
      </w:r>
      <w:r>
        <w:rPr>
          <w:color w:val="231F20"/>
          <w:spacing w:val="-8"/>
          <w:sz w:val="18"/>
        </w:rPr>
        <w:t>T. </w:t>
      </w:r>
      <w:r>
        <w:rPr>
          <w:color w:val="231F20"/>
          <w:spacing w:val="-3"/>
          <w:sz w:val="18"/>
        </w:rPr>
        <w:t>(1997). </w:t>
      </w:r>
      <w:r>
        <w:rPr>
          <w:color w:val="231F20"/>
          <w:sz w:val="18"/>
        </w:rPr>
        <w:t>Using evidence of household  in-  come diversification to inform study of the rural</w:t>
      </w:r>
      <w:r>
        <w:rPr>
          <w:color w:val="231F20"/>
          <w:spacing w:val="-13"/>
          <w:sz w:val="18"/>
        </w:rPr>
        <w:t> </w:t>
      </w:r>
      <w:r>
        <w:rPr>
          <w:color w:val="231F20"/>
          <w:sz w:val="18"/>
        </w:rPr>
        <w:t>non- farm labor market in Africa. </w:t>
      </w:r>
      <w:r>
        <w:rPr>
          <w:rFonts w:ascii="Cambria"/>
          <w:i/>
          <w:color w:val="231F20"/>
          <w:sz w:val="18"/>
        </w:rPr>
        <w:t>World Development, </w:t>
      </w:r>
      <w:r>
        <w:rPr>
          <w:color w:val="231F20"/>
          <w:spacing w:val="-4"/>
          <w:sz w:val="18"/>
        </w:rPr>
        <w:t>25 </w:t>
      </w:r>
      <w:r>
        <w:rPr>
          <w:color w:val="231F20"/>
          <w:sz w:val="18"/>
        </w:rPr>
        <w:t>(5):   </w:t>
      </w:r>
      <w:r>
        <w:rPr>
          <w:color w:val="231F20"/>
          <w:spacing w:val="8"/>
          <w:sz w:val="18"/>
        </w:rPr>
        <w:t> </w:t>
      </w:r>
      <w:r>
        <w:rPr>
          <w:color w:val="231F20"/>
          <w:spacing w:val="-3"/>
          <w:sz w:val="18"/>
        </w:rPr>
        <w:t>735-748.</w:t>
      </w:r>
    </w:p>
    <w:p>
      <w:pPr>
        <w:spacing w:line="266" w:lineRule="auto" w:before="56"/>
        <w:ind w:left="696" w:right="1551" w:hanging="284"/>
        <w:jc w:val="both"/>
        <w:rPr>
          <w:sz w:val="18"/>
        </w:rPr>
      </w:pPr>
      <w:r>
        <w:rPr>
          <w:color w:val="231F20"/>
          <w:sz w:val="18"/>
        </w:rPr>
        <w:t>Reardon </w:t>
      </w:r>
      <w:r>
        <w:rPr>
          <w:color w:val="231F20"/>
          <w:spacing w:val="-5"/>
          <w:sz w:val="18"/>
        </w:rPr>
        <w:t>T., </w:t>
      </w:r>
      <w:r>
        <w:rPr>
          <w:color w:val="231F20"/>
          <w:spacing w:val="-4"/>
          <w:sz w:val="18"/>
        </w:rPr>
        <w:t>Taylor </w:t>
      </w:r>
      <w:r>
        <w:rPr>
          <w:color w:val="231F20"/>
          <w:sz w:val="18"/>
        </w:rPr>
        <w:t>E.J., Stamoulis K., Lanjouw </w:t>
      </w:r>
      <w:r>
        <w:rPr>
          <w:color w:val="231F20"/>
          <w:spacing w:val="-5"/>
          <w:sz w:val="18"/>
        </w:rPr>
        <w:t>P., </w:t>
      </w:r>
      <w:r>
        <w:rPr>
          <w:color w:val="231F20"/>
          <w:sz w:val="18"/>
        </w:rPr>
        <w:t>Bali- sacan A. (1998). Effects of  non-farm  employment  on rural income inequality in developing countries: an investment perspective. Invited paper for sym- posium on “Rural diversification in the developing </w:t>
      </w:r>
      <w:r>
        <w:rPr>
          <w:color w:val="231F20"/>
          <w:spacing w:val="-3"/>
          <w:sz w:val="18"/>
        </w:rPr>
        <w:t>world”. </w:t>
      </w:r>
      <w:r>
        <w:rPr>
          <w:color w:val="231F20"/>
          <w:sz w:val="18"/>
        </w:rPr>
        <w:t>Agricultural Economics Society Conference, Reading</w:t>
      </w:r>
      <w:r>
        <w:rPr>
          <w:color w:val="231F20"/>
          <w:spacing w:val="13"/>
          <w:sz w:val="18"/>
        </w:rPr>
        <w:t> </w:t>
      </w:r>
      <w:r>
        <w:rPr>
          <w:color w:val="231F20"/>
          <w:sz w:val="18"/>
        </w:rPr>
        <w:t>United.</w:t>
      </w:r>
    </w:p>
    <w:p>
      <w:pPr>
        <w:spacing w:before="56"/>
        <w:ind w:left="412" w:right="1446" w:firstLine="0"/>
        <w:jc w:val="left"/>
        <w:rPr>
          <w:sz w:val="18"/>
        </w:rPr>
      </w:pPr>
      <w:r>
        <w:rPr>
          <w:color w:val="231F20"/>
          <w:sz w:val="18"/>
        </w:rPr>
        <w:t>Reardon T., Taylor J.E., Stamoulis K., Lanjouw P.,   Baliscan</w:t>
      </w:r>
    </w:p>
    <w:p>
      <w:pPr>
        <w:pStyle w:val="ListParagraph"/>
        <w:numPr>
          <w:ilvl w:val="1"/>
          <w:numId w:val="4"/>
        </w:numPr>
        <w:tabs>
          <w:tab w:pos="886" w:val="left" w:leader="none"/>
        </w:tabs>
        <w:spacing w:line="266" w:lineRule="auto" w:before="23" w:after="0"/>
        <w:ind w:left="696" w:right="1551" w:firstLine="0"/>
        <w:jc w:val="both"/>
        <w:rPr>
          <w:sz w:val="18"/>
        </w:rPr>
      </w:pPr>
      <w:r>
        <w:rPr>
          <w:color w:val="231F20"/>
          <w:sz w:val="18"/>
        </w:rPr>
        <w:t>(2000). Effects of non-farm employment on rural income inequality in developing countries: an invest- ment</w:t>
      </w:r>
      <w:r>
        <w:rPr>
          <w:color w:val="231F20"/>
          <w:spacing w:val="-11"/>
          <w:sz w:val="18"/>
        </w:rPr>
        <w:t> </w:t>
      </w:r>
      <w:r>
        <w:rPr>
          <w:color w:val="231F20"/>
          <w:sz w:val="18"/>
        </w:rPr>
        <w:t>perspective.</w:t>
      </w:r>
      <w:r>
        <w:rPr>
          <w:color w:val="231F20"/>
          <w:spacing w:val="-11"/>
          <w:sz w:val="18"/>
        </w:rPr>
        <w:t> </w:t>
      </w:r>
      <w:r>
        <w:rPr>
          <w:rFonts w:ascii="Cambria"/>
          <w:i/>
          <w:color w:val="231F20"/>
          <w:sz w:val="18"/>
        </w:rPr>
        <w:t>Journal</w:t>
      </w:r>
      <w:r>
        <w:rPr>
          <w:rFonts w:ascii="Cambria"/>
          <w:i/>
          <w:color w:val="231F20"/>
          <w:spacing w:val="-10"/>
          <w:sz w:val="18"/>
        </w:rPr>
        <w:t> </w:t>
      </w:r>
      <w:r>
        <w:rPr>
          <w:rFonts w:ascii="Cambria"/>
          <w:i/>
          <w:color w:val="231F20"/>
          <w:sz w:val="18"/>
        </w:rPr>
        <w:t>of</w:t>
      </w:r>
      <w:r>
        <w:rPr>
          <w:rFonts w:ascii="Cambria"/>
          <w:i/>
          <w:color w:val="231F20"/>
          <w:spacing w:val="-10"/>
          <w:sz w:val="18"/>
        </w:rPr>
        <w:t> </w:t>
      </w:r>
      <w:r>
        <w:rPr>
          <w:rFonts w:ascii="Cambria"/>
          <w:i/>
          <w:color w:val="231F20"/>
          <w:sz w:val="18"/>
        </w:rPr>
        <w:t>Agricultural</w:t>
      </w:r>
      <w:r>
        <w:rPr>
          <w:rFonts w:ascii="Cambria"/>
          <w:i/>
          <w:color w:val="231F20"/>
          <w:spacing w:val="-10"/>
          <w:sz w:val="18"/>
        </w:rPr>
        <w:t> </w:t>
      </w:r>
      <w:r>
        <w:rPr>
          <w:rFonts w:ascii="Cambria"/>
          <w:i/>
          <w:color w:val="231F20"/>
          <w:sz w:val="18"/>
        </w:rPr>
        <w:t>Economics, </w:t>
      </w:r>
      <w:r>
        <w:rPr>
          <w:color w:val="231F20"/>
          <w:sz w:val="18"/>
        </w:rPr>
        <w:t>51   (2): </w:t>
      </w:r>
      <w:r>
        <w:rPr>
          <w:color w:val="231F20"/>
          <w:spacing w:val="31"/>
          <w:sz w:val="18"/>
        </w:rPr>
        <w:t> </w:t>
      </w:r>
      <w:r>
        <w:rPr>
          <w:color w:val="231F20"/>
          <w:sz w:val="18"/>
        </w:rPr>
        <w:t>266-288.</w:t>
      </w:r>
    </w:p>
    <w:p>
      <w:pPr>
        <w:spacing w:line="266" w:lineRule="auto" w:before="56"/>
        <w:ind w:left="696" w:right="1551" w:hanging="284"/>
        <w:jc w:val="both"/>
        <w:rPr>
          <w:sz w:val="18"/>
        </w:rPr>
      </w:pPr>
      <w:r>
        <w:rPr>
          <w:color w:val="231F20"/>
          <w:sz w:val="18"/>
        </w:rPr>
        <w:t>Sánchez V.E., Nava B.Y., Martínez G.C., García D.X., Cue- vas E.R., Navarrete D.N. (2005). Informe final del proyecto: análisis e implementación de acciones concertadas para la producción animal campesina (CALL). Centro de Investigación en Ciencias Agro- pecuarias, Universidad Autónoma del Estado de México.</w:t>
      </w:r>
    </w:p>
    <w:p>
      <w:pPr>
        <w:spacing w:line="266" w:lineRule="auto" w:before="56"/>
        <w:ind w:left="696" w:right="1551" w:hanging="284"/>
        <w:jc w:val="both"/>
        <w:rPr>
          <w:sz w:val="18"/>
        </w:rPr>
      </w:pPr>
      <w:r>
        <w:rPr>
          <w:color w:val="231F20"/>
          <w:sz w:val="18"/>
        </w:rPr>
        <w:t>Sánchez V.E., Nava B.Y. (2009). Estudio de la contribu- ción de los animales en las estrategias de los modos de vida en comunidades pobres bajo un marco con- ceptual de funciones de bienes. En: Reyes R.G.B., editor. Acercamientos conceptuales y metodoló- gicos para el estudio de la realidad agropecuaria y</w:t>
      </w:r>
    </w:p>
    <w:p>
      <w:pPr>
        <w:spacing w:after="0" w:line="26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1.      </w:t>
      </w:r>
      <w:r>
        <w:rPr>
          <w:color w:val="231F20"/>
          <w:spacing w:val="24"/>
          <w:sz w:val="18"/>
        </w:rPr>
        <w:t> </w:t>
      </w:r>
      <w:r>
        <w:rPr>
          <w:color w:val="231F20"/>
          <w:sz w:val="18"/>
        </w:rPr>
        <w:t>Contribución de la producción animal en pequeña escala a las estrategias de vida</w:t>
      </w:r>
      <w:r>
        <w:rPr>
          <w:color w:val="231F20"/>
          <w:spacing w:val="15"/>
          <w:sz w:val="18"/>
        </w:rPr>
        <w:t> </w:t>
      </w:r>
      <w:r>
        <w:rPr>
          <w:color w:val="231F20"/>
          <w:sz w:val="18"/>
        </w:rPr>
        <w:t>campesinas</w:t>
      </w:r>
      <w:r>
        <w:rPr>
          <w:color w:val="231F20"/>
          <w:sz w:val="22"/>
        </w:rPr>
        <w:tab/>
      </w:r>
      <w:r>
        <w:rPr>
          <w:color w:val="231F20"/>
          <w:spacing w:val="-9"/>
          <w:sz w:val="22"/>
        </w:rPr>
        <w:t>19</w:t>
      </w:r>
    </w:p>
    <w:p>
      <w:pPr>
        <w:spacing w:after="0"/>
        <w:jc w:val="left"/>
        <w:rPr>
          <w:sz w:val="22"/>
        </w:rPr>
        <w:sectPr>
          <w:footerReference w:type="default" r:id="rId34"/>
          <w:pgSz w:w="11900" w:h="14450"/>
          <w:pgMar w:footer="222" w:header="0" w:top="420" w:bottom="420" w:left="0" w:right="0"/>
        </w:sectPr>
      </w:pPr>
    </w:p>
    <w:p>
      <w:pPr>
        <w:pStyle w:val="BodyText"/>
        <w:rPr>
          <w:sz w:val="18"/>
        </w:rPr>
      </w:pPr>
    </w:p>
    <w:p>
      <w:pPr>
        <w:spacing w:line="271" w:lineRule="auto" w:before="129"/>
        <w:ind w:left="1837" w:right="0" w:firstLine="0"/>
        <w:jc w:val="left"/>
        <w:rPr>
          <w:sz w:val="18"/>
        </w:rPr>
      </w:pPr>
      <w:r>
        <w:rPr>
          <w:color w:val="231F20"/>
          <w:sz w:val="18"/>
        </w:rPr>
        <w:t>rural de México. Universidad Autónoma del Estado de México, México. pp.   197-238.</w:t>
      </w:r>
    </w:p>
    <w:p>
      <w:pPr>
        <w:spacing w:line="271" w:lineRule="auto" w:before="56"/>
        <w:ind w:left="1837" w:right="0" w:hanging="284"/>
        <w:jc w:val="both"/>
        <w:rPr>
          <w:sz w:val="18"/>
        </w:rPr>
      </w:pPr>
      <w:r>
        <w:rPr>
          <w:color w:val="231F20"/>
          <w:sz w:val="18"/>
        </w:rPr>
        <w:t>Scoones I. (1998). Sustainable rural livelihoods: a fra- mework for analysis. Working Paper no. 72. Institu- te for Development Studies, University of Sussex, Brighton, United Kingdom.</w:t>
      </w:r>
    </w:p>
    <w:p>
      <w:pPr>
        <w:spacing w:line="271" w:lineRule="auto" w:before="56"/>
        <w:ind w:left="1837" w:right="0" w:hanging="284"/>
        <w:jc w:val="both"/>
        <w:rPr>
          <w:sz w:val="18"/>
        </w:rPr>
      </w:pPr>
      <w:r>
        <w:rPr>
          <w:color w:val="231F20"/>
          <w:sz w:val="18"/>
        </w:rPr>
        <w:t>Sen A. (1981). Poverty and famines: an essay on en- titlement and deprivation. Clarendon Press, Oxford.</w:t>
      </w:r>
    </w:p>
    <w:p>
      <w:pPr>
        <w:spacing w:line="271" w:lineRule="auto" w:before="56"/>
        <w:ind w:left="1837" w:right="0" w:hanging="284"/>
        <w:jc w:val="both"/>
        <w:rPr>
          <w:sz w:val="18"/>
        </w:rPr>
      </w:pPr>
      <w:r>
        <w:rPr>
          <w:color w:val="231F20"/>
          <w:sz w:val="18"/>
        </w:rPr>
        <w:t>Shackleton C.M., Shackleton S.E., Cousins B. (2001). The role of land based strategies in rural livelihoods: the contribution of arable production, animal husbandry and natural resource harvesting in communal areas</w:t>
      </w:r>
      <w:r>
        <w:rPr>
          <w:color w:val="231F20"/>
          <w:w w:val="99"/>
          <w:sz w:val="18"/>
        </w:rPr>
        <w:t> </w:t>
      </w:r>
      <w:r>
        <w:rPr>
          <w:color w:val="231F20"/>
          <w:sz w:val="18"/>
        </w:rPr>
        <w:t>in South Africa. </w:t>
      </w:r>
      <w:r>
        <w:rPr>
          <w:rFonts w:ascii="Cambria"/>
          <w:i/>
          <w:color w:val="231F20"/>
          <w:sz w:val="18"/>
        </w:rPr>
        <w:t>Development Southern Africa, </w:t>
      </w:r>
      <w:r>
        <w:rPr>
          <w:color w:val="231F20"/>
          <w:sz w:val="18"/>
        </w:rPr>
        <w:t>18: 581-604.</w:t>
      </w:r>
    </w:p>
    <w:p>
      <w:pPr>
        <w:pStyle w:val="BodyText"/>
        <w:rPr>
          <w:sz w:val="18"/>
        </w:rPr>
      </w:pPr>
      <w:r>
        <w:rPr/>
        <w:br w:type="column"/>
      </w:r>
      <w:r>
        <w:rPr>
          <w:sz w:val="18"/>
        </w:rPr>
      </w:r>
    </w:p>
    <w:p>
      <w:pPr>
        <w:spacing w:line="271" w:lineRule="auto" w:before="129"/>
        <w:ind w:left="696" w:right="1551" w:hanging="284"/>
        <w:jc w:val="both"/>
        <w:rPr>
          <w:sz w:val="18"/>
        </w:rPr>
      </w:pPr>
      <w:r>
        <w:rPr>
          <w:color w:val="231F20"/>
          <w:sz w:val="18"/>
        </w:rPr>
        <w:t>Shipton A. (1990). How Gambians save and what their strategies</w:t>
      </w:r>
      <w:r>
        <w:rPr>
          <w:color w:val="231F20"/>
          <w:spacing w:val="-8"/>
          <w:sz w:val="18"/>
        </w:rPr>
        <w:t> </w:t>
      </w:r>
      <w:r>
        <w:rPr>
          <w:color w:val="231F20"/>
          <w:sz w:val="18"/>
        </w:rPr>
        <w:t>imply</w:t>
      </w:r>
      <w:r>
        <w:rPr>
          <w:color w:val="231F20"/>
          <w:spacing w:val="-8"/>
          <w:sz w:val="18"/>
        </w:rPr>
        <w:t> </w:t>
      </w:r>
      <w:r>
        <w:rPr>
          <w:color w:val="231F20"/>
          <w:sz w:val="18"/>
        </w:rPr>
        <w:t>for</w:t>
      </w:r>
      <w:r>
        <w:rPr>
          <w:color w:val="231F20"/>
          <w:spacing w:val="-8"/>
          <w:sz w:val="18"/>
        </w:rPr>
        <w:t> </w:t>
      </w:r>
      <w:r>
        <w:rPr>
          <w:color w:val="231F20"/>
          <w:sz w:val="18"/>
        </w:rPr>
        <w:t>international</w:t>
      </w:r>
      <w:r>
        <w:rPr>
          <w:color w:val="231F20"/>
          <w:spacing w:val="-8"/>
          <w:sz w:val="18"/>
        </w:rPr>
        <w:t> </w:t>
      </w:r>
      <w:r>
        <w:rPr>
          <w:color w:val="231F20"/>
          <w:sz w:val="18"/>
        </w:rPr>
        <w:t>aid.</w:t>
      </w:r>
      <w:r>
        <w:rPr>
          <w:color w:val="231F20"/>
          <w:spacing w:val="-8"/>
          <w:sz w:val="18"/>
        </w:rPr>
        <w:t> </w:t>
      </w:r>
      <w:r>
        <w:rPr>
          <w:color w:val="231F20"/>
          <w:sz w:val="18"/>
        </w:rPr>
        <w:t>World</w:t>
      </w:r>
      <w:r>
        <w:rPr>
          <w:color w:val="231F20"/>
          <w:spacing w:val="-8"/>
          <w:sz w:val="18"/>
        </w:rPr>
        <w:t> </w:t>
      </w:r>
      <w:r>
        <w:rPr>
          <w:color w:val="231F20"/>
          <w:sz w:val="18"/>
        </w:rPr>
        <w:t>Bank,</w:t>
      </w:r>
      <w:r>
        <w:rPr>
          <w:color w:val="231F20"/>
          <w:spacing w:val="-8"/>
          <w:sz w:val="18"/>
        </w:rPr>
        <w:t> </w:t>
      </w:r>
      <w:r>
        <w:rPr>
          <w:color w:val="231F20"/>
          <w:sz w:val="18"/>
        </w:rPr>
        <w:t>Po- licy Research and Extension Affairs, Working Papers: Agricultural Policies</w:t>
      </w:r>
      <w:r>
        <w:rPr>
          <w:color w:val="231F20"/>
          <w:spacing w:val="-8"/>
          <w:sz w:val="18"/>
        </w:rPr>
        <w:t> </w:t>
      </w:r>
      <w:r>
        <w:rPr>
          <w:color w:val="231F20"/>
          <w:sz w:val="18"/>
        </w:rPr>
        <w:t>WPS.</w:t>
      </w:r>
    </w:p>
    <w:p>
      <w:pPr>
        <w:spacing w:line="271" w:lineRule="auto" w:before="56"/>
        <w:ind w:left="696" w:right="1551" w:hanging="284"/>
        <w:jc w:val="both"/>
        <w:rPr>
          <w:sz w:val="18"/>
        </w:rPr>
      </w:pPr>
      <w:r>
        <w:rPr>
          <w:color w:val="231F20"/>
          <w:sz w:val="18"/>
        </w:rPr>
        <w:t>Swift J. (1989). Why are rural people vulnerable to fam- ine? </w:t>
      </w:r>
      <w:r>
        <w:rPr>
          <w:rFonts w:ascii="Cambria"/>
          <w:i/>
          <w:color w:val="231F20"/>
          <w:sz w:val="18"/>
        </w:rPr>
        <w:t>IDS  Bulletin,  </w:t>
      </w:r>
      <w:r>
        <w:rPr>
          <w:color w:val="231F20"/>
          <w:sz w:val="18"/>
        </w:rPr>
        <w:t>20 (2): 8-15.</w:t>
      </w:r>
    </w:p>
    <w:p>
      <w:pPr>
        <w:spacing w:line="271" w:lineRule="auto" w:before="56"/>
        <w:ind w:left="696" w:right="1551" w:hanging="284"/>
        <w:jc w:val="both"/>
        <w:rPr>
          <w:sz w:val="18"/>
        </w:rPr>
      </w:pPr>
      <w:r>
        <w:rPr>
          <w:color w:val="231F20"/>
          <w:sz w:val="18"/>
        </w:rPr>
        <w:t>Velázquez-Beltrán L., </w:t>
      </w:r>
      <w:r>
        <w:rPr>
          <w:color w:val="231F20"/>
          <w:spacing w:val="-2"/>
          <w:sz w:val="18"/>
        </w:rPr>
        <w:t>Sánchez-Vera </w:t>
      </w:r>
      <w:r>
        <w:rPr>
          <w:color w:val="231F20"/>
          <w:sz w:val="18"/>
        </w:rPr>
        <w:t>E., Nava-Bernal E.G., Arriaga-Jordán C.M. </w:t>
      </w:r>
      <w:r>
        <w:rPr>
          <w:color w:val="231F20"/>
          <w:spacing w:val="-3"/>
          <w:sz w:val="18"/>
        </w:rPr>
        <w:t>(2011). </w:t>
      </w:r>
      <w:r>
        <w:rPr>
          <w:color w:val="231F20"/>
          <w:sz w:val="18"/>
        </w:rPr>
        <w:t>The role of working equines to livelihoods in current day </w:t>
      </w:r>
      <w:r>
        <w:rPr>
          <w:rFonts w:ascii="Cambria" w:hAnsi="Cambria"/>
          <w:i/>
          <w:color w:val="231F20"/>
          <w:sz w:val="18"/>
        </w:rPr>
        <w:t>campesino </w:t>
      </w:r>
      <w:r>
        <w:rPr>
          <w:color w:val="231F20"/>
          <w:sz w:val="18"/>
        </w:rPr>
        <w:t>hill-slope communities in central Mexico. </w:t>
      </w:r>
      <w:r>
        <w:rPr>
          <w:rFonts w:ascii="Cambria" w:hAnsi="Cambria"/>
          <w:i/>
          <w:color w:val="231F20"/>
          <w:sz w:val="18"/>
        </w:rPr>
        <w:t>Tropical </w:t>
      </w:r>
      <w:r>
        <w:rPr>
          <w:rFonts w:ascii="Cambria" w:hAnsi="Cambria"/>
          <w:i/>
          <w:color w:val="231F20"/>
          <w:sz w:val="18"/>
        </w:rPr>
        <w:t>Animal  Health  and  Production,  </w:t>
      </w:r>
      <w:r>
        <w:rPr>
          <w:color w:val="231F20"/>
          <w:sz w:val="18"/>
        </w:rPr>
        <w:t>43  (8): </w:t>
      </w:r>
      <w:r>
        <w:rPr>
          <w:color w:val="231F20"/>
          <w:spacing w:val="-3"/>
          <w:sz w:val="18"/>
        </w:rPr>
        <w:t>1623-1632.</w:t>
      </w:r>
    </w:p>
    <w:p>
      <w:pPr>
        <w:spacing w:line="271" w:lineRule="auto" w:before="56"/>
        <w:ind w:left="696" w:right="1551" w:hanging="284"/>
        <w:jc w:val="both"/>
        <w:rPr>
          <w:sz w:val="18"/>
        </w:rPr>
      </w:pPr>
      <w:r>
        <w:rPr>
          <w:color w:val="231F20"/>
          <w:sz w:val="18"/>
        </w:rPr>
        <w:t>World Bank (2008). World development report 2008. Agriculture for Development. World Bank, Washing- ton D.C.</w:t>
      </w:r>
    </w:p>
    <w:p>
      <w:pPr>
        <w:spacing w:after="0" w:line="271" w:lineRule="auto"/>
        <w:jc w:val="both"/>
        <w:rPr>
          <w:sz w:val="18"/>
        </w:rPr>
        <w:sectPr>
          <w:type w:val="continuous"/>
          <w:pgSz w:w="11900" w:h="14450"/>
          <w:pgMar w:top="420" w:bottom="420" w:left="0" w:right="0"/>
          <w:cols w:num="2" w:equalWidth="0">
            <w:col w:w="5722" w:space="40"/>
            <w:col w:w="6138"/>
          </w:cols>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2"/>
        <w:rPr>
          <w:rFonts w:ascii="Times New Roman"/>
          <w:sz w:val="16"/>
        </w:rPr>
      </w:pPr>
    </w:p>
    <w:p>
      <w:pPr>
        <w:pStyle w:val="Heading1"/>
        <w:spacing w:line="950" w:lineRule="exact"/>
        <w:rPr>
          <w:sz w:val="80"/>
        </w:rPr>
      </w:pPr>
      <w:r>
        <w:rPr>
          <w:color w:val="231F20"/>
          <w:w w:val="115"/>
        </w:rPr>
        <w:t>SECCIÓN </w:t>
      </w:r>
      <w:r>
        <w:rPr>
          <w:color w:val="231F20"/>
          <w:w w:val="115"/>
          <w:sz w:val="80"/>
        </w:rPr>
        <w:t>2</w:t>
      </w:r>
    </w:p>
    <w:p>
      <w:pPr>
        <w:spacing w:line="252" w:lineRule="auto" w:before="572"/>
        <w:ind w:left="1553" w:right="6529" w:firstLine="0"/>
        <w:jc w:val="left"/>
        <w:rPr>
          <w:sz w:val="50"/>
        </w:rPr>
      </w:pPr>
      <w:r>
        <w:rPr>
          <w:color w:val="231F20"/>
          <w:sz w:val="50"/>
        </w:rPr>
        <w:t>Producción bovina en pequeña escala y  su  contribución al desarrollo rural</w:t>
      </w:r>
    </w:p>
    <w:p>
      <w:pPr>
        <w:pStyle w:val="BodyText"/>
      </w:pPr>
    </w:p>
    <w:p>
      <w:pPr>
        <w:pStyle w:val="BodyText"/>
      </w:pPr>
    </w:p>
    <w:p>
      <w:pPr>
        <w:pStyle w:val="BodyText"/>
        <w:spacing w:before="11"/>
        <w:rPr>
          <w:sz w:val="12"/>
        </w:rPr>
      </w:pPr>
      <w:r>
        <w:rPr/>
        <w:pict>
          <v:line style="position:absolute;mso-position-horizontal-relative:page;mso-position-vertical-relative:paragraph;z-index:1312;mso-wrap-distance-left:0;mso-wrap-distance-right:0" from="77.692902pt,10.115780pt" to="517.062902pt,10.115780pt" stroked="true" strokeweight=".5pt" strokecolor="#231f20">
            <w10:wrap type="topAndBottom"/>
          </v:line>
        </w:pict>
      </w:r>
    </w:p>
    <w:p>
      <w:pPr>
        <w:pStyle w:val="Heading2"/>
        <w:numPr>
          <w:ilvl w:val="2"/>
          <w:numId w:val="4"/>
        </w:numPr>
        <w:tabs>
          <w:tab w:pos="2087" w:val="left" w:leader="none"/>
        </w:tabs>
        <w:spacing w:line="240" w:lineRule="auto" w:before="143" w:after="0"/>
        <w:ind w:left="2086" w:right="0" w:hanging="533"/>
        <w:jc w:val="left"/>
      </w:pPr>
      <w:r>
        <w:rPr>
          <w:color w:val="6D6E71"/>
          <w:w w:val="105"/>
        </w:rPr>
        <w:t>Sistemas de producción de</w:t>
      </w:r>
      <w:r>
        <w:rPr>
          <w:color w:val="6D6E71"/>
          <w:spacing w:val="-46"/>
          <w:w w:val="105"/>
        </w:rPr>
        <w:t> </w:t>
      </w:r>
      <w:r>
        <w:rPr>
          <w:color w:val="6D6E71"/>
          <w:w w:val="105"/>
        </w:rPr>
        <w:t>leche</w:t>
      </w:r>
    </w:p>
    <w:p>
      <w:pPr>
        <w:pStyle w:val="ListParagraph"/>
        <w:numPr>
          <w:ilvl w:val="2"/>
          <w:numId w:val="4"/>
        </w:numPr>
        <w:tabs>
          <w:tab w:pos="2098" w:val="left" w:leader="none"/>
        </w:tabs>
        <w:spacing w:line="240" w:lineRule="auto" w:before="207" w:after="0"/>
        <w:ind w:left="2097" w:right="0" w:hanging="544"/>
        <w:jc w:val="left"/>
        <w:rPr>
          <w:sz w:val="40"/>
        </w:rPr>
      </w:pPr>
      <w:r>
        <w:rPr>
          <w:color w:val="6D6E71"/>
          <w:sz w:val="40"/>
        </w:rPr>
        <w:t>Sistemas  de  doble</w:t>
      </w:r>
      <w:r>
        <w:rPr>
          <w:color w:val="6D6E71"/>
          <w:spacing w:val="-40"/>
          <w:sz w:val="40"/>
        </w:rPr>
        <w:t> </w:t>
      </w:r>
      <w:r>
        <w:rPr>
          <w:color w:val="6D6E71"/>
          <w:sz w:val="40"/>
        </w:rPr>
        <w:t>propósito</w:t>
      </w:r>
    </w:p>
    <w:p>
      <w:pPr>
        <w:pStyle w:val="ListParagraph"/>
        <w:numPr>
          <w:ilvl w:val="2"/>
          <w:numId w:val="4"/>
        </w:numPr>
        <w:tabs>
          <w:tab w:pos="2110" w:val="left" w:leader="none"/>
        </w:tabs>
        <w:spacing w:line="240" w:lineRule="auto" w:before="207" w:after="0"/>
        <w:ind w:left="2109" w:right="0" w:hanging="556"/>
        <w:jc w:val="left"/>
        <w:rPr>
          <w:sz w:val="40"/>
        </w:rPr>
      </w:pPr>
      <w:r>
        <w:rPr>
          <w:color w:val="6D6E71"/>
          <w:sz w:val="40"/>
        </w:rPr>
        <w:t>Sistemas de bovinos productores de  </w:t>
      </w:r>
      <w:r>
        <w:rPr>
          <w:color w:val="6D6E71"/>
          <w:spacing w:val="31"/>
          <w:sz w:val="40"/>
        </w:rPr>
        <w:t> </w:t>
      </w:r>
      <w:r>
        <w:rPr>
          <w:color w:val="6D6E71"/>
          <w:sz w:val="40"/>
        </w:rPr>
        <w:t>carne</w:t>
      </w:r>
    </w:p>
    <w:p>
      <w:pPr>
        <w:spacing w:after="0" w:line="240" w:lineRule="auto"/>
        <w:jc w:val="left"/>
        <w:rPr>
          <w:sz w:val="40"/>
        </w:rPr>
        <w:sectPr>
          <w:pgSz w:w="11900" w:h="14450"/>
          <w:pgMar w:header="0" w:footer="222" w:top="420" w:bottom="420" w:left="0" w:right="0"/>
        </w:sectPr>
      </w:pPr>
    </w:p>
    <w:p>
      <w:pPr>
        <w:pStyle w:val="BodyText"/>
        <w:spacing w:before="4"/>
        <w:rPr>
          <w:rFonts w:ascii="Times New Roman"/>
          <w:sz w:val="17"/>
        </w:rPr>
      </w:pPr>
    </w:p>
    <w:p>
      <w:pPr>
        <w:spacing w:after="0"/>
        <w:rPr>
          <w:rFonts w:ascii="Times New Roman"/>
          <w:sz w:val="17"/>
        </w:rPr>
        <w:sectPr>
          <w:footerReference w:type="default" r:id="rId35"/>
          <w:pgSz w:w="11900" w:h="14450"/>
          <w:pgMar w:footer="222" w:header="0"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before="154"/>
        <w:ind w:left="1553" w:right="0" w:firstLine="0"/>
        <w:jc w:val="both"/>
        <w:rPr>
          <w:sz w:val="28"/>
        </w:rPr>
      </w:pPr>
      <w:r>
        <w:rPr>
          <w:color w:val="6D6E71"/>
          <w:w w:val="120"/>
          <w:sz w:val="54"/>
        </w:rPr>
        <w:t>A. </w:t>
      </w:r>
      <w:r>
        <w:rPr>
          <w:color w:val="6D6E71"/>
          <w:w w:val="120"/>
          <w:sz w:val="40"/>
        </w:rPr>
        <w:t>S</w:t>
      </w:r>
      <w:r>
        <w:rPr>
          <w:color w:val="6D6E71"/>
          <w:w w:val="120"/>
          <w:sz w:val="28"/>
        </w:rPr>
        <w:t>iStemAS de producción de  leche</w:t>
      </w:r>
    </w:p>
    <w:p>
      <w:pPr>
        <w:spacing w:before="290"/>
        <w:ind w:left="1553" w:right="0" w:firstLine="0"/>
        <w:jc w:val="both"/>
        <w:rPr>
          <w:sz w:val="60"/>
        </w:rPr>
      </w:pPr>
      <w:r>
        <w:rPr>
          <w:color w:val="231F20"/>
          <w:w w:val="110"/>
          <w:sz w:val="36"/>
        </w:rPr>
        <w:t>CAPÍTULO </w:t>
      </w:r>
      <w:r>
        <w:rPr>
          <w:color w:val="231F20"/>
          <w:w w:val="110"/>
          <w:sz w:val="60"/>
        </w:rPr>
        <w:t>2</w:t>
      </w:r>
    </w:p>
    <w:p>
      <w:pPr>
        <w:spacing w:before="276"/>
        <w:ind w:left="1553" w:right="4475" w:firstLine="0"/>
        <w:jc w:val="left"/>
        <w:rPr>
          <w:sz w:val="36"/>
        </w:rPr>
      </w:pPr>
      <w:r>
        <w:rPr>
          <w:color w:val="231F20"/>
          <w:w w:val="105"/>
          <w:sz w:val="36"/>
        </w:rPr>
        <w:t>BUENAS PRÁCTICAS DE ORDEÑO, CONTROL DE LA MASTITIS</w:t>
      </w:r>
    </w:p>
    <w:p>
      <w:pPr>
        <w:spacing w:before="0"/>
        <w:ind w:left="1553" w:right="2778" w:firstLine="0"/>
        <w:jc w:val="left"/>
        <w:rPr>
          <w:sz w:val="36"/>
        </w:rPr>
      </w:pPr>
      <w:r>
        <w:rPr>
          <w:color w:val="231F20"/>
          <w:w w:val="105"/>
          <w:sz w:val="36"/>
        </w:rPr>
        <w:t>E </w:t>
      </w:r>
      <w:r>
        <w:rPr>
          <w:color w:val="231F20"/>
          <w:spacing w:val="-6"/>
          <w:w w:val="105"/>
          <w:sz w:val="36"/>
        </w:rPr>
        <w:t>IMPACTO </w:t>
      </w:r>
      <w:r>
        <w:rPr>
          <w:color w:val="231F20"/>
          <w:w w:val="105"/>
          <w:sz w:val="36"/>
        </w:rPr>
        <w:t>EN </w:t>
      </w:r>
      <w:r>
        <w:rPr>
          <w:color w:val="231F20"/>
          <w:spacing w:val="-5"/>
          <w:w w:val="105"/>
          <w:sz w:val="36"/>
        </w:rPr>
        <w:t>LOS </w:t>
      </w:r>
      <w:r>
        <w:rPr>
          <w:color w:val="231F20"/>
          <w:w w:val="105"/>
          <w:sz w:val="36"/>
        </w:rPr>
        <w:t>SISTEMAS DE PRODUCCIÓN DE LECHE EN PEQUEÑA </w:t>
      </w:r>
      <w:r>
        <w:rPr>
          <w:color w:val="231F20"/>
          <w:spacing w:val="70"/>
          <w:w w:val="105"/>
          <w:sz w:val="36"/>
        </w:rPr>
        <w:t> </w:t>
      </w:r>
      <w:r>
        <w:rPr>
          <w:color w:val="231F20"/>
          <w:w w:val="105"/>
          <w:sz w:val="36"/>
        </w:rPr>
        <w:t>ESCALA</w:t>
      </w:r>
    </w:p>
    <w:p>
      <w:pPr>
        <w:pStyle w:val="Heading4"/>
        <w:spacing w:line="240" w:lineRule="auto" w:before="297"/>
        <w:rPr>
          <w:i/>
        </w:rPr>
      </w:pPr>
      <w:r>
        <w:rPr>
          <w:i/>
          <w:color w:val="231F20"/>
        </w:rPr>
        <w:t>Humberto Alfredo Soto Castilla</w:t>
      </w:r>
      <w:r>
        <w:rPr>
          <w:i/>
          <w:color w:val="231F20"/>
          <w:position w:val="9"/>
          <w:sz w:val="16"/>
        </w:rPr>
        <w:t>*  </w:t>
      </w:r>
      <w:r>
        <w:rPr>
          <w:i/>
          <w:color w:val="231F20"/>
        </w:rPr>
        <w:t>y Georgina Aidé Arias   </w:t>
      </w:r>
      <w:r>
        <w:rPr>
          <w:i/>
          <w:color w:val="231F20"/>
          <w:spacing w:val="57"/>
        </w:rPr>
        <w:t> </w:t>
      </w:r>
      <w:r>
        <w:rPr>
          <w:i/>
          <w:color w:val="231F20"/>
        </w:rPr>
        <w:t>Ramírez</w:t>
      </w:r>
    </w:p>
    <w:p>
      <w:pPr>
        <w:pStyle w:val="BodyText"/>
        <w:spacing w:before="164"/>
        <w:ind w:left="1553"/>
        <w:jc w:val="both"/>
      </w:pPr>
      <w:r>
        <w:rPr>
          <w:color w:val="231F20"/>
        </w:rPr>
        <w:t>Centro Universitario Amecameca, Universidad Autónoma del Estado de   México.</w:t>
      </w:r>
    </w:p>
    <w:p>
      <w:pPr>
        <w:pStyle w:val="BodyText"/>
        <w:spacing w:before="16"/>
        <w:ind w:left="1553"/>
        <w:jc w:val="both"/>
      </w:pPr>
      <w:r>
        <w:rPr>
          <w:color w:val="231F20"/>
        </w:rPr>
        <w:t>Km 2,5 Carretera Amecameca-Ayapango. Amecameca, Estado de México, C.P. 56900</w:t>
      </w:r>
    </w:p>
    <w:p>
      <w:pPr>
        <w:pStyle w:val="BodyText"/>
      </w:pPr>
    </w:p>
    <w:p>
      <w:pPr>
        <w:pStyle w:val="BodyText"/>
      </w:pPr>
    </w:p>
    <w:p>
      <w:pPr>
        <w:pStyle w:val="BodyText"/>
        <w:spacing w:before="2"/>
        <w:rPr>
          <w:sz w:val="29"/>
        </w:rPr>
      </w:pPr>
      <w:r>
        <w:rPr/>
        <w:pict>
          <v:line style="position:absolute;mso-position-horizontal-relative:page;mso-position-vertical-relative:paragraph;z-index:1336;mso-wrap-distance-left:0;mso-wrap-distance-right:0" from="77.692902pt,20.044888pt" to="517.062902pt,20.044888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1"/>
        <w:jc w:val="both"/>
      </w:pPr>
      <w:r>
        <w:rPr>
          <w:color w:val="231F20"/>
        </w:rPr>
        <w:t>Se evaluaron 50 hatos productores de leche en pequeña escala en la zona Oriente del Estado de México,   en los cuales se observaron las prácticas de ordeño tradicionales y la forma en que el productor controla     la mastitis, y se buscó que éste comprendiera las ventajas que se obtienen llevando un buen manejo du- rante el ordeño, mecánico o manual, ya que por muchos años la mastitis bovina no se ha tomado como     un elemento esencial para garantizar una adecuada producción y rentabilidad. Se recomendó el manejo adecuado mediante la metodología establecida para el diagnóstico integral de la mastitis (Ávila, </w:t>
      </w:r>
      <w:r>
        <w:rPr>
          <w:color w:val="231F20"/>
          <w:spacing w:val="-3"/>
        </w:rPr>
        <w:t>2001),          </w:t>
      </w:r>
      <w:r>
        <w:rPr>
          <w:color w:val="231F20"/>
        </w:rPr>
        <w:t>la correcta prevención de la mastitis y el adecuado manejo del proceso de ordeña, con lo cual se brinda apoyo a productores con pérdidas económicas anuales, por el desconocimiento, por ejemplo, de la prueba California (CMT), la prueba Wisconsin (WMT) o el conteo microscópico de células somáticas (CMCS). Sin embargo, algunos productores no aceptaron las recomendaciones, por lo que no fue posible disminuir         el problema que viven cotidianamente, ya que no confían en que los cambios ofrecidos disminuyan el número de vacas con </w:t>
      </w:r>
      <w:r>
        <w:rPr>
          <w:color w:val="231F20"/>
          <w:spacing w:val="21"/>
        </w:rPr>
        <w:t> </w:t>
      </w:r>
      <w:r>
        <w:rPr>
          <w:color w:val="231F20"/>
        </w:rPr>
        <w:t>mastitis.</w:t>
      </w:r>
    </w:p>
    <w:p>
      <w:pPr>
        <w:pStyle w:val="BodyText"/>
        <w:spacing w:before="114"/>
        <w:ind w:left="1553"/>
        <w:jc w:val="both"/>
      </w:pPr>
      <w:r>
        <w:rPr>
          <w:color w:val="231F20"/>
        </w:rPr>
        <w:t>Palabras clave: Mastitis - Prueba California - Prueba Wisconsin - Conteo microscópico de células   somáticas.</w:t>
      </w:r>
    </w:p>
    <w:p>
      <w:pPr>
        <w:pStyle w:val="BodyText"/>
        <w:spacing w:before="3"/>
      </w:pPr>
      <w:r>
        <w:rPr/>
        <w:pict>
          <v:line style="position:absolute;mso-position-horizontal-relative:page;mso-position-vertical-relative:paragraph;z-index:1360;mso-wrap-distance-left:0;mso-wrap-distance-right:0" from="77.692902pt,14.572256pt" to="517.062902pt,14.572256pt" stroked="true" strokeweight=".5pt" strokecolor="#231f20">
            <w10:wrap type="topAndBottom"/>
          </v:line>
        </w:pict>
      </w:r>
    </w:p>
    <w:p>
      <w:pPr>
        <w:pStyle w:val="BodyText"/>
      </w:pPr>
    </w:p>
    <w:p>
      <w:pPr>
        <w:pStyle w:val="BodyText"/>
        <w:spacing w:before="5"/>
        <w:rPr>
          <w:sz w:val="21"/>
        </w:rPr>
      </w:pPr>
      <w:r>
        <w:rPr/>
        <w:pict>
          <v:group style="position:absolute;margin-left:77.692902pt;margin-top:15.033969pt;width:70.9pt;height:.5pt;mso-position-horizontal-relative:page;mso-position-vertical-relative:paragraph;z-index:1384;mso-wrap-distance-left:0;mso-wrap-distance-right:0" coordorigin="1554,301" coordsize="1418,10">
            <v:line style="position:absolute" from="1589,306" to="2951,306" stroked="true" strokeweight=".5pt" strokecolor="#231f20">
              <v:stroke dashstyle="dash"/>
            </v:line>
            <v:line style="position:absolute" from="1559,306" to="1559,306" stroked="true" strokeweight=".5pt" strokecolor="#231f20"/>
            <v:line style="position:absolute" from="2966,306" to="2966,306" stroked="true" strokeweight=".5pt" strokecolor="#231f20"/>
            <w10:wrap type="topAndBottom"/>
          </v:group>
        </w:pict>
      </w:r>
    </w:p>
    <w:p>
      <w:pPr>
        <w:spacing w:before="70"/>
        <w:ind w:left="1553" w:right="2503" w:firstLine="0"/>
        <w:jc w:val="left"/>
        <w:rPr>
          <w:sz w:val="16"/>
        </w:rPr>
      </w:pPr>
      <w:r>
        <w:rPr>
          <w:color w:val="231F20"/>
          <w:sz w:val="16"/>
        </w:rPr>
        <w:t>* Para correspondencia: </w:t>
      </w:r>
      <w:hyperlink r:id="rId36">
        <w:r>
          <w:rPr>
            <w:color w:val="231F20"/>
            <w:sz w:val="16"/>
          </w:rPr>
          <w:t>hsotoc@uaemex.mx</w:t>
        </w:r>
      </w:hyperlink>
    </w:p>
    <w:p>
      <w:pPr>
        <w:pStyle w:val="Heading5"/>
        <w:spacing w:before="129"/>
        <w:ind w:right="1556"/>
      </w:pPr>
      <w:r>
        <w:rPr>
          <w:color w:val="231F20"/>
          <w:w w:val="115"/>
        </w:rPr>
        <w:t>23</w:t>
      </w:r>
    </w:p>
    <w:p>
      <w:pPr>
        <w:spacing w:after="0"/>
        <w:sectPr>
          <w:pgSz w:w="11900" w:h="14450"/>
          <w:pgMar w:header="0" w:footer="222" w:top="420" w:bottom="420" w:left="0" w:right="0"/>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spacing w:val="-3"/>
          <w:w w:val="120"/>
          <w:sz w:val="22"/>
        </w:rPr>
        <w:t>24</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5"/>
        <w:rPr>
          <w:sz w:val="23"/>
        </w:rPr>
      </w:pPr>
    </w:p>
    <w:p>
      <w:pPr>
        <w:spacing w:after="0"/>
        <w:rPr>
          <w:sz w:val="23"/>
        </w:rPr>
        <w:sectPr>
          <w:pgSz w:w="11900" w:h="14450"/>
          <w:pgMar w:header="0" w:footer="222" w:top="420" w:bottom="420" w:left="0" w:right="0"/>
        </w:sectPr>
      </w:pPr>
    </w:p>
    <w:p>
      <w:pPr>
        <w:pStyle w:val="BodyText"/>
        <w:spacing w:before="68"/>
        <w:ind w:left="1553"/>
        <w:jc w:val="both"/>
      </w:pPr>
      <w:r>
        <w:rPr>
          <w:color w:val="231F20"/>
          <w:w w:val="110"/>
        </w:rPr>
        <w:t>INTRODUCCIÓN</w:t>
      </w:r>
    </w:p>
    <w:p>
      <w:pPr>
        <w:pStyle w:val="BodyText"/>
        <w:spacing w:line="256" w:lineRule="auto" w:before="130"/>
        <w:ind w:left="1553"/>
        <w:jc w:val="both"/>
      </w:pPr>
      <w:r>
        <w:rPr>
          <w:color w:val="231F20"/>
        </w:rPr>
        <w:t>Cualquier lesión del tejido interno de la glándu-     la mamaria provoca una respuesta inflamatoria o mastitis (Fig. 1). La forma más común se inicia </w:t>
      </w:r>
      <w:r>
        <w:rPr>
          <w:color w:val="231F20"/>
          <w:spacing w:val="-2"/>
        </w:rPr>
        <w:t>por </w:t>
      </w:r>
      <w:r>
        <w:rPr>
          <w:color w:val="231F20"/>
        </w:rPr>
        <w:t>la penetración de una bacteria a través del orificio del </w:t>
      </w:r>
      <w:r>
        <w:rPr>
          <w:color w:val="231F20"/>
          <w:spacing w:val="-3"/>
        </w:rPr>
        <w:t>pezón </w:t>
      </w:r>
      <w:r>
        <w:rPr>
          <w:color w:val="231F20"/>
        </w:rPr>
        <w:t>al interior de la glándula mamaria. De </w:t>
      </w:r>
      <w:r>
        <w:rPr>
          <w:color w:val="231F20"/>
          <w:spacing w:val="-2"/>
        </w:rPr>
        <w:t>ser </w:t>
      </w:r>
      <w:r>
        <w:rPr>
          <w:color w:val="231F20"/>
        </w:rPr>
        <w:t>favorable el medio en el interior de la glándula, el microorganismo se multiplica y los productos </w:t>
      </w:r>
      <w:r>
        <w:rPr>
          <w:color w:val="231F20"/>
          <w:spacing w:val="-2"/>
        </w:rPr>
        <w:t>del </w:t>
      </w:r>
      <w:r>
        <w:rPr>
          <w:color w:val="231F20"/>
        </w:rPr>
        <w:t>metabolismo de éste lesionan los tejidos internos de la glándula, causando la inflamación (Fig. </w:t>
      </w:r>
      <w:r>
        <w:rPr>
          <w:color w:val="231F20"/>
          <w:spacing w:val="6"/>
        </w:rPr>
        <w:t> </w:t>
      </w:r>
      <w:r>
        <w:rPr>
          <w:color w:val="231F20"/>
          <w:spacing w:val="-2"/>
        </w:rPr>
        <w:t>2).</w:t>
      </w:r>
    </w:p>
    <w:p>
      <w:pPr>
        <w:pStyle w:val="BodyText"/>
        <w:spacing w:line="256" w:lineRule="auto" w:before="113"/>
        <w:ind w:left="1553"/>
        <w:jc w:val="center"/>
      </w:pPr>
      <w:r>
        <w:rPr>
          <w:color w:val="231F20"/>
        </w:rPr>
        <w:t>La</w:t>
      </w:r>
      <w:r>
        <w:rPr>
          <w:color w:val="231F20"/>
          <w:spacing w:val="-13"/>
        </w:rPr>
        <w:t> </w:t>
      </w:r>
      <w:r>
        <w:rPr>
          <w:color w:val="231F20"/>
        </w:rPr>
        <w:t>mastitis</w:t>
      </w:r>
      <w:r>
        <w:rPr>
          <w:color w:val="231F20"/>
          <w:spacing w:val="-13"/>
        </w:rPr>
        <w:t> </w:t>
      </w:r>
      <w:r>
        <w:rPr>
          <w:color w:val="231F20"/>
        </w:rPr>
        <w:t>(del</w:t>
      </w:r>
      <w:r>
        <w:rPr>
          <w:color w:val="231F20"/>
          <w:spacing w:val="-13"/>
        </w:rPr>
        <w:t> </w:t>
      </w:r>
      <w:r>
        <w:rPr>
          <w:color w:val="231F20"/>
        </w:rPr>
        <w:t>griego</w:t>
      </w:r>
      <w:r>
        <w:rPr>
          <w:color w:val="231F20"/>
          <w:spacing w:val="-13"/>
        </w:rPr>
        <w:t> </w:t>
      </w:r>
      <w:r>
        <w:rPr>
          <w:i/>
          <w:color w:val="231F20"/>
        </w:rPr>
        <w:t>mastos,</w:t>
      </w:r>
      <w:r>
        <w:rPr>
          <w:i/>
          <w:color w:val="231F20"/>
          <w:spacing w:val="-13"/>
        </w:rPr>
        <w:t> </w:t>
      </w:r>
      <w:r>
        <w:rPr>
          <w:color w:val="231F20"/>
        </w:rPr>
        <w:t>que</w:t>
      </w:r>
      <w:r>
        <w:rPr>
          <w:color w:val="231F20"/>
          <w:spacing w:val="-13"/>
        </w:rPr>
        <w:t> </w:t>
      </w:r>
      <w:r>
        <w:rPr>
          <w:color w:val="231F20"/>
        </w:rPr>
        <w:t>significa</w:t>
      </w:r>
      <w:r>
        <w:rPr>
          <w:color w:val="231F20"/>
          <w:spacing w:val="-13"/>
        </w:rPr>
        <w:t> </w:t>
      </w:r>
      <w:r>
        <w:rPr>
          <w:color w:val="231F20"/>
          <w:spacing w:val="-5"/>
        </w:rPr>
        <w:t>“mama”,</w:t>
      </w:r>
      <w:r>
        <w:rPr>
          <w:color w:val="231F20"/>
          <w:w w:val="83"/>
        </w:rPr>
        <w:t> </w:t>
      </w:r>
      <w:r>
        <w:rPr>
          <w:color w:val="231F20"/>
        </w:rPr>
        <w:t>y el sufijo </w:t>
      </w:r>
      <w:r>
        <w:rPr>
          <w:i/>
          <w:color w:val="231F20"/>
        </w:rPr>
        <w:t>itis, </w:t>
      </w:r>
      <w:r>
        <w:rPr>
          <w:color w:val="231F20"/>
        </w:rPr>
        <w:t>que significa “inflamación”) se</w:t>
      </w:r>
      <w:r>
        <w:rPr>
          <w:color w:val="231F20"/>
          <w:spacing w:val="-2"/>
        </w:rPr>
        <w:t> </w:t>
      </w:r>
      <w:r>
        <w:rPr>
          <w:color w:val="231F20"/>
        </w:rPr>
        <w:t>define como una inflamación de la glándula</w:t>
      </w:r>
      <w:r>
        <w:rPr>
          <w:color w:val="231F20"/>
          <w:spacing w:val="13"/>
        </w:rPr>
        <w:t> </w:t>
      </w:r>
      <w:r>
        <w:rPr>
          <w:color w:val="231F20"/>
        </w:rPr>
        <w:t>mamaria</w:t>
      </w:r>
      <w:r>
        <w:rPr>
          <w:color w:val="231F20"/>
          <w:spacing w:val="2"/>
        </w:rPr>
        <w:t> </w:t>
      </w:r>
      <w:r>
        <w:rPr>
          <w:color w:val="231F20"/>
        </w:rPr>
        <w:t>que,</w:t>
      </w:r>
      <w:r>
        <w:rPr>
          <w:color w:val="231F20"/>
          <w:spacing w:val="-2"/>
          <w:w w:val="100"/>
        </w:rPr>
        <w:t> </w:t>
      </w:r>
      <w:r>
        <w:rPr>
          <w:color w:val="231F20"/>
        </w:rPr>
        <w:t>por lo general, se presenta como respuesta a la invasión por microorganismos y se caracteriza </w:t>
      </w:r>
      <w:r>
        <w:rPr>
          <w:color w:val="231F20"/>
          <w:spacing w:val="-2"/>
        </w:rPr>
        <w:t>por </w:t>
      </w:r>
      <w:r>
        <w:rPr>
          <w:color w:val="231F20"/>
        </w:rPr>
        <w:t>daños en el epitelio glandular (Fig. 3), seguidos</w:t>
      </w:r>
      <w:r>
        <w:rPr>
          <w:color w:val="231F20"/>
          <w:spacing w:val="42"/>
        </w:rPr>
        <w:t> </w:t>
      </w:r>
      <w:r>
        <w:rPr>
          <w:color w:val="231F20"/>
          <w:spacing w:val="-2"/>
        </w:rPr>
        <w:t>por</w:t>
      </w:r>
    </w:p>
    <w:p>
      <w:pPr>
        <w:pStyle w:val="BodyText"/>
        <w:spacing w:before="3"/>
        <w:rPr>
          <w:sz w:val="19"/>
        </w:rPr>
      </w:pPr>
      <w:r>
        <w:rPr/>
        <w:drawing>
          <wp:anchor distT="0" distB="0" distL="0" distR="0" allowOverlap="1" layoutInCell="1" locked="0" behindDoc="0" simplePos="0" relativeHeight="1408">
            <wp:simplePos x="0" y="0"/>
            <wp:positionH relativeFrom="page">
              <wp:posOffset>988190</wp:posOffset>
            </wp:positionH>
            <wp:positionV relativeFrom="paragraph">
              <wp:posOffset>174287</wp:posOffset>
            </wp:positionV>
            <wp:extent cx="2638733" cy="1473612"/>
            <wp:effectExtent l="0" t="0" r="0" b="0"/>
            <wp:wrapTopAndBottom/>
            <wp:docPr id="1" name="image14.png" descr=""/>
            <wp:cNvGraphicFramePr>
              <a:graphicFrameLocks noChangeAspect="1"/>
            </wp:cNvGraphicFramePr>
            <a:graphic>
              <a:graphicData uri="http://schemas.openxmlformats.org/drawingml/2006/picture">
                <pic:pic>
                  <pic:nvPicPr>
                    <pic:cNvPr id="2" name="image14.png"/>
                    <pic:cNvPicPr/>
                  </pic:nvPicPr>
                  <pic:blipFill>
                    <a:blip r:embed="rId37" cstate="print"/>
                    <a:stretch>
                      <a:fillRect/>
                    </a:stretch>
                  </pic:blipFill>
                  <pic:spPr>
                    <a:xfrm>
                      <a:off x="0" y="0"/>
                      <a:ext cx="2638733" cy="1473612"/>
                    </a:xfrm>
                    <a:prstGeom prst="rect">
                      <a:avLst/>
                    </a:prstGeom>
                  </pic:spPr>
                </pic:pic>
              </a:graphicData>
            </a:graphic>
          </wp:anchor>
        </w:drawing>
      </w:r>
    </w:p>
    <w:p>
      <w:pPr>
        <w:spacing w:before="120"/>
        <w:ind w:left="1553" w:right="0" w:firstLine="0"/>
        <w:jc w:val="center"/>
        <w:rPr>
          <w:sz w:val="18"/>
        </w:rPr>
      </w:pPr>
      <w:r>
        <w:rPr>
          <w:color w:val="231F20"/>
          <w:w w:val="105"/>
          <w:sz w:val="18"/>
        </w:rPr>
        <w:t>Figura 1. Glándula mamaria con mastitis.</w:t>
      </w:r>
    </w:p>
    <w:p>
      <w:pPr>
        <w:pStyle w:val="BodyText"/>
        <w:spacing w:before="3"/>
      </w:pPr>
      <w:r>
        <w:rPr/>
        <w:drawing>
          <wp:anchor distT="0" distB="0" distL="0" distR="0" allowOverlap="1" layoutInCell="1" locked="0" behindDoc="0" simplePos="0" relativeHeight="1432">
            <wp:simplePos x="0" y="0"/>
            <wp:positionH relativeFrom="page">
              <wp:posOffset>986701</wp:posOffset>
            </wp:positionH>
            <wp:positionV relativeFrom="paragraph">
              <wp:posOffset>182204</wp:posOffset>
            </wp:positionV>
            <wp:extent cx="2615796" cy="1957387"/>
            <wp:effectExtent l="0" t="0" r="0" b="0"/>
            <wp:wrapTopAndBottom/>
            <wp:docPr id="3" name="image15.png" descr=""/>
            <wp:cNvGraphicFramePr>
              <a:graphicFrameLocks noChangeAspect="1"/>
            </wp:cNvGraphicFramePr>
            <a:graphic>
              <a:graphicData uri="http://schemas.openxmlformats.org/drawingml/2006/picture">
                <pic:pic>
                  <pic:nvPicPr>
                    <pic:cNvPr id="4" name="image15.png"/>
                    <pic:cNvPicPr/>
                  </pic:nvPicPr>
                  <pic:blipFill>
                    <a:blip r:embed="rId38" cstate="print"/>
                    <a:stretch>
                      <a:fillRect/>
                    </a:stretch>
                  </pic:blipFill>
                  <pic:spPr>
                    <a:xfrm>
                      <a:off x="0" y="0"/>
                      <a:ext cx="2615796" cy="1957387"/>
                    </a:xfrm>
                    <a:prstGeom prst="rect">
                      <a:avLst/>
                    </a:prstGeom>
                  </pic:spPr>
                </pic:pic>
              </a:graphicData>
            </a:graphic>
          </wp:anchor>
        </w:drawing>
      </w:r>
    </w:p>
    <w:p>
      <w:pPr>
        <w:spacing w:before="152"/>
        <w:ind w:left="1553" w:right="0" w:firstLine="0"/>
        <w:jc w:val="center"/>
        <w:rPr>
          <w:sz w:val="18"/>
        </w:rPr>
      </w:pPr>
      <w:r>
        <w:rPr>
          <w:color w:val="231F20"/>
          <w:w w:val="105"/>
          <w:sz w:val="18"/>
        </w:rPr>
        <w:t>Figura 2. Glándula mamaria con mastitis.</w:t>
      </w:r>
    </w:p>
    <w:p>
      <w:pPr>
        <w:pStyle w:val="BodyText"/>
        <w:spacing w:before="2"/>
        <w:rPr>
          <w:sz w:val="8"/>
        </w:rPr>
      </w:pPr>
      <w:r>
        <w:rPr/>
        <w:br w:type="column"/>
      </w:r>
      <w:r>
        <w:rPr>
          <w:sz w:val="8"/>
        </w:rPr>
      </w:r>
    </w:p>
    <w:p>
      <w:pPr>
        <w:pStyle w:val="BodyText"/>
        <w:ind w:left="413"/>
      </w:pPr>
      <w:r>
        <w:rPr/>
        <w:drawing>
          <wp:inline distT="0" distB="0" distL="0" distR="0">
            <wp:extent cx="2646818" cy="1980628"/>
            <wp:effectExtent l="0" t="0" r="0" b="0"/>
            <wp:docPr id="5" name="image16.png" descr=""/>
            <wp:cNvGraphicFramePr>
              <a:graphicFrameLocks noChangeAspect="1"/>
            </wp:cNvGraphicFramePr>
            <a:graphic>
              <a:graphicData uri="http://schemas.openxmlformats.org/drawingml/2006/picture">
                <pic:pic>
                  <pic:nvPicPr>
                    <pic:cNvPr id="6" name="image16.png"/>
                    <pic:cNvPicPr/>
                  </pic:nvPicPr>
                  <pic:blipFill>
                    <a:blip r:embed="rId39" cstate="print"/>
                    <a:stretch>
                      <a:fillRect/>
                    </a:stretch>
                  </pic:blipFill>
                  <pic:spPr>
                    <a:xfrm>
                      <a:off x="0" y="0"/>
                      <a:ext cx="2646818" cy="1980628"/>
                    </a:xfrm>
                    <a:prstGeom prst="rect">
                      <a:avLst/>
                    </a:prstGeom>
                  </pic:spPr>
                </pic:pic>
              </a:graphicData>
            </a:graphic>
          </wp:inline>
        </w:drawing>
      </w:r>
      <w:r>
        <w:rPr/>
      </w:r>
    </w:p>
    <w:p>
      <w:pPr>
        <w:spacing w:line="283" w:lineRule="auto" w:before="144"/>
        <w:ind w:left="413" w:right="1551" w:firstLine="0"/>
        <w:jc w:val="both"/>
        <w:rPr>
          <w:sz w:val="18"/>
        </w:rPr>
      </w:pPr>
      <w:r>
        <w:rPr>
          <w:color w:val="231F20"/>
          <w:sz w:val="18"/>
        </w:rPr>
        <w:t>Figura 3. Epitelio glandular de una glándula  mamaria con mastitis. (Fuente: Quintanilla </w:t>
      </w:r>
      <w:r>
        <w:rPr>
          <w:i/>
          <w:color w:val="231F20"/>
          <w:sz w:val="18"/>
        </w:rPr>
        <w:t>et al.</w:t>
      </w:r>
      <w:r>
        <w:rPr>
          <w:color w:val="231F20"/>
          <w:sz w:val="18"/>
        </w:rPr>
        <w:t>,  </w:t>
      </w:r>
      <w:r>
        <w:rPr>
          <w:color w:val="231F20"/>
          <w:spacing w:val="19"/>
          <w:sz w:val="18"/>
        </w:rPr>
        <w:t> </w:t>
      </w:r>
      <w:r>
        <w:rPr>
          <w:color w:val="231F20"/>
          <w:sz w:val="18"/>
        </w:rPr>
        <w:t>2002.)</w:t>
      </w:r>
    </w:p>
    <w:p>
      <w:pPr>
        <w:pStyle w:val="BodyText"/>
        <w:spacing w:before="7"/>
        <w:rPr>
          <w:sz w:val="28"/>
        </w:rPr>
      </w:pPr>
      <w:r>
        <w:rPr/>
        <w:drawing>
          <wp:anchor distT="0" distB="0" distL="0" distR="0" allowOverlap="1" layoutInCell="1" locked="0" behindDoc="0" simplePos="0" relativeHeight="1456">
            <wp:simplePos x="0" y="0"/>
            <wp:positionH relativeFrom="page">
              <wp:posOffset>3920700</wp:posOffset>
            </wp:positionH>
            <wp:positionV relativeFrom="paragraph">
              <wp:posOffset>246723</wp:posOffset>
            </wp:positionV>
            <wp:extent cx="2611958" cy="1954529"/>
            <wp:effectExtent l="0" t="0" r="0" b="0"/>
            <wp:wrapTopAndBottom/>
            <wp:docPr id="7" name="image17.png" descr=""/>
            <wp:cNvGraphicFramePr>
              <a:graphicFrameLocks noChangeAspect="1"/>
            </wp:cNvGraphicFramePr>
            <a:graphic>
              <a:graphicData uri="http://schemas.openxmlformats.org/drawingml/2006/picture">
                <pic:pic>
                  <pic:nvPicPr>
                    <pic:cNvPr id="8" name="image17.png"/>
                    <pic:cNvPicPr/>
                  </pic:nvPicPr>
                  <pic:blipFill>
                    <a:blip r:embed="rId40" cstate="print"/>
                    <a:stretch>
                      <a:fillRect/>
                    </a:stretch>
                  </pic:blipFill>
                  <pic:spPr>
                    <a:xfrm>
                      <a:off x="0" y="0"/>
                      <a:ext cx="2611958" cy="1954529"/>
                    </a:xfrm>
                    <a:prstGeom prst="rect">
                      <a:avLst/>
                    </a:prstGeom>
                  </pic:spPr>
                </pic:pic>
              </a:graphicData>
            </a:graphic>
          </wp:anchor>
        </w:drawing>
      </w:r>
    </w:p>
    <w:p>
      <w:pPr>
        <w:spacing w:before="156"/>
        <w:ind w:left="878" w:right="1446" w:firstLine="0"/>
        <w:jc w:val="left"/>
        <w:rPr>
          <w:sz w:val="18"/>
        </w:rPr>
      </w:pPr>
      <w:r>
        <w:rPr>
          <w:color w:val="231F20"/>
          <w:w w:val="105"/>
          <w:sz w:val="18"/>
        </w:rPr>
        <w:t>Figura 4.  Cambios patológicos localizados.</w:t>
      </w:r>
    </w:p>
    <w:p>
      <w:pPr>
        <w:pStyle w:val="BodyText"/>
        <w:rPr>
          <w:sz w:val="18"/>
        </w:rPr>
      </w:pPr>
    </w:p>
    <w:p>
      <w:pPr>
        <w:pStyle w:val="BodyText"/>
        <w:spacing w:line="268" w:lineRule="auto" w:before="153"/>
        <w:ind w:left="413" w:right="1551"/>
        <w:jc w:val="both"/>
      </w:pPr>
      <w:r>
        <w:rPr>
          <w:color w:val="231F20"/>
          <w:w w:val="105"/>
        </w:rPr>
        <w:t>una</w:t>
      </w:r>
      <w:r>
        <w:rPr>
          <w:color w:val="231F20"/>
          <w:spacing w:val="-26"/>
          <w:w w:val="105"/>
        </w:rPr>
        <w:t> </w:t>
      </w:r>
      <w:r>
        <w:rPr>
          <w:color w:val="231F20"/>
          <w:w w:val="105"/>
        </w:rPr>
        <w:t>inflamación</w:t>
      </w:r>
      <w:r>
        <w:rPr>
          <w:color w:val="231F20"/>
          <w:spacing w:val="-26"/>
          <w:w w:val="105"/>
        </w:rPr>
        <w:t> </w:t>
      </w:r>
      <w:r>
        <w:rPr>
          <w:color w:val="231F20"/>
          <w:w w:val="105"/>
        </w:rPr>
        <w:t>clínica</w:t>
      </w:r>
      <w:r>
        <w:rPr>
          <w:color w:val="231F20"/>
          <w:spacing w:val="-26"/>
          <w:w w:val="105"/>
        </w:rPr>
        <w:t> </w:t>
      </w:r>
      <w:r>
        <w:rPr>
          <w:color w:val="231F20"/>
          <w:w w:val="105"/>
        </w:rPr>
        <w:t>o</w:t>
      </w:r>
      <w:r>
        <w:rPr>
          <w:color w:val="231F20"/>
          <w:spacing w:val="-26"/>
          <w:w w:val="105"/>
        </w:rPr>
        <w:t> </w:t>
      </w:r>
      <w:r>
        <w:rPr>
          <w:color w:val="231F20"/>
          <w:w w:val="105"/>
        </w:rPr>
        <w:t>subclínica.</w:t>
      </w:r>
      <w:r>
        <w:rPr>
          <w:color w:val="231F20"/>
          <w:spacing w:val="-26"/>
          <w:w w:val="105"/>
        </w:rPr>
        <w:t> </w:t>
      </w:r>
      <w:r>
        <w:rPr>
          <w:color w:val="231F20"/>
          <w:w w:val="105"/>
        </w:rPr>
        <w:t>Puede</w:t>
      </w:r>
      <w:r>
        <w:rPr>
          <w:color w:val="231F20"/>
          <w:spacing w:val="-26"/>
          <w:w w:val="105"/>
        </w:rPr>
        <w:t> </w:t>
      </w:r>
      <w:r>
        <w:rPr>
          <w:color w:val="231F20"/>
          <w:w w:val="105"/>
        </w:rPr>
        <w:t>presen- tarse</w:t>
      </w:r>
      <w:r>
        <w:rPr>
          <w:color w:val="231F20"/>
          <w:spacing w:val="-12"/>
          <w:w w:val="105"/>
        </w:rPr>
        <w:t> </w:t>
      </w:r>
      <w:r>
        <w:rPr>
          <w:color w:val="231F20"/>
          <w:w w:val="105"/>
        </w:rPr>
        <w:t>con</w:t>
      </w:r>
      <w:r>
        <w:rPr>
          <w:color w:val="231F20"/>
          <w:spacing w:val="-12"/>
          <w:w w:val="105"/>
        </w:rPr>
        <w:t> </w:t>
      </w:r>
      <w:r>
        <w:rPr>
          <w:color w:val="231F20"/>
          <w:w w:val="105"/>
        </w:rPr>
        <w:t>cambios</w:t>
      </w:r>
      <w:r>
        <w:rPr>
          <w:color w:val="231F20"/>
          <w:spacing w:val="-12"/>
          <w:w w:val="105"/>
        </w:rPr>
        <w:t> </w:t>
      </w:r>
      <w:r>
        <w:rPr>
          <w:color w:val="231F20"/>
          <w:w w:val="105"/>
        </w:rPr>
        <w:t>patológicos</w:t>
      </w:r>
      <w:r>
        <w:rPr>
          <w:color w:val="231F20"/>
          <w:spacing w:val="-12"/>
          <w:w w:val="105"/>
        </w:rPr>
        <w:t> </w:t>
      </w:r>
      <w:r>
        <w:rPr>
          <w:color w:val="231F20"/>
          <w:w w:val="105"/>
        </w:rPr>
        <w:t>localizados</w:t>
      </w:r>
      <w:r>
        <w:rPr>
          <w:color w:val="231F20"/>
          <w:spacing w:val="-12"/>
          <w:w w:val="105"/>
        </w:rPr>
        <w:t> </w:t>
      </w:r>
      <w:r>
        <w:rPr>
          <w:color w:val="231F20"/>
          <w:w w:val="105"/>
        </w:rPr>
        <w:t>o</w:t>
      </w:r>
      <w:r>
        <w:rPr>
          <w:color w:val="231F20"/>
          <w:spacing w:val="-12"/>
          <w:w w:val="105"/>
        </w:rPr>
        <w:t> </w:t>
      </w:r>
      <w:r>
        <w:rPr>
          <w:color w:val="231F20"/>
          <w:w w:val="105"/>
        </w:rPr>
        <w:t>gene- ralizados</w:t>
      </w:r>
      <w:r>
        <w:rPr>
          <w:color w:val="231F20"/>
          <w:spacing w:val="-19"/>
          <w:w w:val="105"/>
        </w:rPr>
        <w:t> </w:t>
      </w:r>
      <w:r>
        <w:rPr>
          <w:color w:val="231F20"/>
          <w:w w:val="105"/>
        </w:rPr>
        <w:t>(Figs.</w:t>
      </w:r>
      <w:r>
        <w:rPr>
          <w:color w:val="231F20"/>
          <w:spacing w:val="-19"/>
          <w:w w:val="105"/>
        </w:rPr>
        <w:t> </w:t>
      </w:r>
      <w:r>
        <w:rPr>
          <w:color w:val="231F20"/>
          <w:w w:val="105"/>
        </w:rPr>
        <w:t>4</w:t>
      </w:r>
      <w:r>
        <w:rPr>
          <w:color w:val="231F20"/>
          <w:spacing w:val="-19"/>
          <w:w w:val="105"/>
        </w:rPr>
        <w:t> </w:t>
      </w:r>
      <w:r>
        <w:rPr>
          <w:color w:val="231F20"/>
          <w:w w:val="105"/>
        </w:rPr>
        <w:t>y</w:t>
      </w:r>
      <w:r>
        <w:rPr>
          <w:color w:val="231F20"/>
          <w:spacing w:val="-19"/>
          <w:w w:val="105"/>
        </w:rPr>
        <w:t> </w:t>
      </w:r>
      <w:r>
        <w:rPr>
          <w:color w:val="231F20"/>
          <w:w w:val="105"/>
        </w:rPr>
        <w:t>5),</w:t>
      </w:r>
      <w:r>
        <w:rPr>
          <w:color w:val="231F20"/>
          <w:spacing w:val="-19"/>
          <w:w w:val="105"/>
        </w:rPr>
        <w:t> </w:t>
      </w:r>
      <w:r>
        <w:rPr>
          <w:color w:val="231F20"/>
          <w:w w:val="105"/>
        </w:rPr>
        <w:t>dependiendo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magnitud del daño (Gieseck,</w:t>
      </w:r>
      <w:r>
        <w:rPr>
          <w:color w:val="231F20"/>
          <w:spacing w:val="17"/>
          <w:w w:val="105"/>
        </w:rPr>
        <w:t> </w:t>
      </w:r>
      <w:r>
        <w:rPr>
          <w:color w:val="231F20"/>
          <w:spacing w:val="-7"/>
          <w:w w:val="105"/>
        </w:rPr>
        <w:t>1975).</w:t>
      </w:r>
    </w:p>
    <w:p>
      <w:pPr>
        <w:pStyle w:val="BodyText"/>
        <w:spacing w:line="268" w:lineRule="auto" w:before="112"/>
        <w:ind w:left="413" w:right="1551"/>
        <w:jc w:val="both"/>
      </w:pPr>
      <w:r>
        <w:rPr>
          <w:color w:val="231F20"/>
        </w:rPr>
        <w:t>La gravedad de la inflamación dependerá, hasta cierto punto, de la virulencia del microorganismo, de la resistencia de la vaca, de la práctica de orde- ño y de factores ambientales (Fig. 6). La presen- tación de la mastitis en la vaca es propiciada por diversos factores que favorecen la diseminación del   microorganismo   patógeno   entre   ellas.</w:t>
      </w:r>
      <w:r>
        <w:rPr>
          <w:color w:val="231F20"/>
          <w:spacing w:val="20"/>
        </w:rPr>
        <w:t> </w:t>
      </w:r>
      <w:r>
        <w:rPr>
          <w:color w:val="231F20"/>
        </w:rPr>
        <w:t>Esto</w:t>
      </w:r>
    </w:p>
    <w:p>
      <w:pPr>
        <w:spacing w:after="0" w:line="268"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4"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7"/>
          <w:sz w:val="22"/>
        </w:rPr>
        <w:t>25</w:t>
      </w:r>
    </w:p>
    <w:p>
      <w:pPr>
        <w:spacing w:after="0"/>
        <w:jc w:val="left"/>
        <w:rPr>
          <w:sz w:val="22"/>
        </w:rPr>
        <w:sectPr>
          <w:pgSz w:w="11900" w:h="14450"/>
          <w:pgMar w:header="0" w:footer="222" w:top="420" w:bottom="420" w:left="0" w:right="0"/>
        </w:sectPr>
      </w:pPr>
    </w:p>
    <w:p>
      <w:pPr>
        <w:pStyle w:val="BodyText"/>
      </w:pPr>
    </w:p>
    <w:p>
      <w:pPr>
        <w:pStyle w:val="BodyText"/>
        <w:spacing w:before="7"/>
        <w:rPr>
          <w:sz w:val="11"/>
        </w:rPr>
      </w:pPr>
    </w:p>
    <w:p>
      <w:pPr>
        <w:pStyle w:val="BodyText"/>
        <w:ind w:left="1553" w:right="-35"/>
      </w:pPr>
      <w:r>
        <w:rPr/>
        <w:drawing>
          <wp:inline distT="0" distB="0" distL="0" distR="0">
            <wp:extent cx="2642518" cy="1977389"/>
            <wp:effectExtent l="0" t="0" r="0" b="0"/>
            <wp:docPr id="9" name="image18.png" descr=""/>
            <wp:cNvGraphicFramePr>
              <a:graphicFrameLocks noChangeAspect="1"/>
            </wp:cNvGraphicFramePr>
            <a:graphic>
              <a:graphicData uri="http://schemas.openxmlformats.org/drawingml/2006/picture">
                <pic:pic>
                  <pic:nvPicPr>
                    <pic:cNvPr id="10" name="image18.png"/>
                    <pic:cNvPicPr/>
                  </pic:nvPicPr>
                  <pic:blipFill>
                    <a:blip r:embed="rId41" cstate="print"/>
                    <a:stretch>
                      <a:fillRect/>
                    </a:stretch>
                  </pic:blipFill>
                  <pic:spPr>
                    <a:xfrm>
                      <a:off x="0" y="0"/>
                      <a:ext cx="2642518" cy="1977389"/>
                    </a:xfrm>
                    <a:prstGeom prst="rect">
                      <a:avLst/>
                    </a:prstGeom>
                  </pic:spPr>
                </pic:pic>
              </a:graphicData>
            </a:graphic>
          </wp:inline>
        </w:drawing>
      </w:r>
      <w:r>
        <w:rPr/>
      </w:r>
    </w:p>
    <w:p>
      <w:pPr>
        <w:spacing w:before="149"/>
        <w:ind w:left="2019" w:right="0" w:firstLine="0"/>
        <w:jc w:val="left"/>
        <w:rPr>
          <w:sz w:val="18"/>
        </w:rPr>
      </w:pPr>
      <w:r>
        <w:rPr/>
        <w:drawing>
          <wp:anchor distT="0" distB="0" distL="0" distR="0" allowOverlap="1" layoutInCell="1" locked="0" behindDoc="0" simplePos="0" relativeHeight="1504">
            <wp:simplePos x="0" y="0"/>
            <wp:positionH relativeFrom="page">
              <wp:posOffset>986701</wp:posOffset>
            </wp:positionH>
            <wp:positionV relativeFrom="paragraph">
              <wp:posOffset>511191</wp:posOffset>
            </wp:positionV>
            <wp:extent cx="2647737" cy="1981295"/>
            <wp:effectExtent l="0" t="0" r="0" b="0"/>
            <wp:wrapNone/>
            <wp:docPr id="11" name="image19.png" descr=""/>
            <wp:cNvGraphicFramePr>
              <a:graphicFrameLocks noChangeAspect="1"/>
            </wp:cNvGraphicFramePr>
            <a:graphic>
              <a:graphicData uri="http://schemas.openxmlformats.org/drawingml/2006/picture">
                <pic:pic>
                  <pic:nvPicPr>
                    <pic:cNvPr id="12" name="image19.png"/>
                    <pic:cNvPicPr/>
                  </pic:nvPicPr>
                  <pic:blipFill>
                    <a:blip r:embed="rId42" cstate="print"/>
                    <a:stretch>
                      <a:fillRect/>
                    </a:stretch>
                  </pic:blipFill>
                  <pic:spPr>
                    <a:xfrm>
                      <a:off x="0" y="0"/>
                      <a:ext cx="2647737" cy="1981295"/>
                    </a:xfrm>
                    <a:prstGeom prst="rect">
                      <a:avLst/>
                    </a:prstGeom>
                  </pic:spPr>
                </pic:pic>
              </a:graphicData>
            </a:graphic>
          </wp:anchor>
        </w:drawing>
      </w:r>
      <w:r>
        <w:rPr>
          <w:color w:val="231F20"/>
          <w:w w:val="105"/>
          <w:sz w:val="18"/>
        </w:rPr>
        <w:t>Figura 5.  Cambios patológicos localizados.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5"/>
        </w:rPr>
      </w:pPr>
    </w:p>
    <w:p>
      <w:pPr>
        <w:spacing w:line="283" w:lineRule="auto" w:before="0"/>
        <w:ind w:left="1553" w:right="0" w:firstLine="0"/>
        <w:jc w:val="both"/>
        <w:rPr>
          <w:sz w:val="18"/>
        </w:rPr>
      </w:pPr>
      <w:r>
        <w:rPr>
          <w:color w:val="231F20"/>
          <w:sz w:val="18"/>
        </w:rPr>
        <w:t>Figura 6. Factores ambientales que predisponen a pa- decer mastitis.</w:t>
      </w:r>
    </w:p>
    <w:p>
      <w:pPr>
        <w:pStyle w:val="BodyText"/>
        <w:spacing w:before="11"/>
        <w:rPr>
          <w:sz w:val="21"/>
        </w:rPr>
      </w:pPr>
    </w:p>
    <w:p>
      <w:pPr>
        <w:pStyle w:val="BodyText"/>
        <w:spacing w:line="273" w:lineRule="auto"/>
        <w:ind w:left="1553"/>
        <w:jc w:val="both"/>
      </w:pPr>
      <w:r>
        <w:rPr>
          <w:color w:val="231F20"/>
        </w:rPr>
        <w:t>sucede principalmente durante el ordeño (Fig. 7)    y por debilitamiento de la resistencia natural del conducto del pezón (Schalm </w:t>
      </w:r>
      <w:r>
        <w:rPr>
          <w:i/>
          <w:color w:val="231F20"/>
        </w:rPr>
        <w:t>et al</w:t>
      </w:r>
      <w:r>
        <w:rPr>
          <w:color w:val="231F20"/>
        </w:rPr>
        <w:t>.,    </w:t>
      </w:r>
      <w:r>
        <w:rPr>
          <w:color w:val="231F20"/>
          <w:spacing w:val="24"/>
        </w:rPr>
        <w:t> </w:t>
      </w:r>
      <w:r>
        <w:rPr>
          <w:color w:val="231F20"/>
          <w:spacing w:val="-3"/>
        </w:rPr>
        <w:t>2001).</w:t>
      </w:r>
    </w:p>
    <w:p>
      <w:pPr>
        <w:pStyle w:val="BodyText"/>
        <w:spacing w:before="1"/>
        <w:rPr>
          <w:sz w:val="23"/>
        </w:rPr>
      </w:pPr>
    </w:p>
    <w:p>
      <w:pPr>
        <w:pStyle w:val="BodyText"/>
        <w:spacing w:before="1"/>
        <w:ind w:left="1553"/>
        <w:jc w:val="both"/>
      </w:pPr>
      <w:r>
        <w:rPr>
          <w:color w:val="231F20"/>
          <w:w w:val="110"/>
        </w:rPr>
        <w:t>ANTECEDENTES</w:t>
      </w:r>
    </w:p>
    <w:p>
      <w:pPr>
        <w:pStyle w:val="BodyText"/>
        <w:spacing w:line="273" w:lineRule="auto" w:before="146"/>
        <w:ind w:left="1553"/>
        <w:jc w:val="both"/>
      </w:pPr>
      <w:r>
        <w:rPr>
          <w:color w:val="231F20"/>
        </w:rPr>
        <w:t>La mastitis ha sido señalada como una causa de deficiencia en la producción de leche, y también  ha sido de las más subestimadas. En el ganado lechero, la mastitis se considera una de las enfer- medades más costosas, aunque estos costos por   lo</w:t>
      </w:r>
      <w:r>
        <w:rPr>
          <w:color w:val="231F20"/>
          <w:spacing w:val="34"/>
        </w:rPr>
        <w:t> </w:t>
      </w:r>
      <w:r>
        <w:rPr>
          <w:color w:val="231F20"/>
        </w:rPr>
        <w:t>general</w:t>
      </w:r>
      <w:r>
        <w:rPr>
          <w:color w:val="231F20"/>
          <w:spacing w:val="34"/>
        </w:rPr>
        <w:t> </w:t>
      </w:r>
      <w:r>
        <w:rPr>
          <w:color w:val="231F20"/>
        </w:rPr>
        <w:t>no</w:t>
      </w:r>
      <w:r>
        <w:rPr>
          <w:color w:val="231F20"/>
          <w:spacing w:val="34"/>
        </w:rPr>
        <w:t> </w:t>
      </w:r>
      <w:r>
        <w:rPr>
          <w:color w:val="231F20"/>
        </w:rPr>
        <w:t>son</w:t>
      </w:r>
      <w:r>
        <w:rPr>
          <w:color w:val="231F20"/>
          <w:spacing w:val="34"/>
        </w:rPr>
        <w:t> </w:t>
      </w:r>
      <w:r>
        <w:rPr>
          <w:color w:val="231F20"/>
        </w:rPr>
        <w:t>reconocidos;</w:t>
      </w:r>
      <w:r>
        <w:rPr>
          <w:color w:val="231F20"/>
          <w:spacing w:val="34"/>
        </w:rPr>
        <w:t> </w:t>
      </w:r>
      <w:r>
        <w:rPr>
          <w:color w:val="231F20"/>
        </w:rPr>
        <w:t>sin</w:t>
      </w:r>
      <w:r>
        <w:rPr>
          <w:color w:val="231F20"/>
          <w:spacing w:val="34"/>
        </w:rPr>
        <w:t> </w:t>
      </w:r>
      <w:r>
        <w:rPr>
          <w:color w:val="231F20"/>
        </w:rPr>
        <w:t>embargo,</w:t>
      </w:r>
      <w:r>
        <w:rPr>
          <w:color w:val="231F20"/>
          <w:spacing w:val="34"/>
        </w:rPr>
        <w:t> </w:t>
      </w:r>
      <w:r>
        <w:rPr>
          <w:color w:val="231F20"/>
        </w:rPr>
        <w:t>son</w:t>
      </w:r>
    </w:p>
    <w:p>
      <w:pPr>
        <w:pStyle w:val="BodyText"/>
        <w:spacing w:before="5" w:after="39"/>
        <w:rPr>
          <w:sz w:val="28"/>
        </w:rPr>
      </w:pPr>
      <w:r>
        <w:rPr/>
        <w:br w:type="column"/>
      </w:r>
      <w:r>
        <w:rPr>
          <w:sz w:val="28"/>
        </w:rPr>
      </w:r>
    </w:p>
    <w:p>
      <w:pPr>
        <w:pStyle w:val="BodyText"/>
        <w:ind w:left="413"/>
      </w:pPr>
      <w:r>
        <w:rPr/>
        <w:drawing>
          <wp:inline distT="0" distB="0" distL="0" distR="0">
            <wp:extent cx="2676604" cy="2002917"/>
            <wp:effectExtent l="0" t="0" r="0" b="0"/>
            <wp:docPr id="13" name="image20.png" descr=""/>
            <wp:cNvGraphicFramePr>
              <a:graphicFrameLocks noChangeAspect="1"/>
            </wp:cNvGraphicFramePr>
            <a:graphic>
              <a:graphicData uri="http://schemas.openxmlformats.org/drawingml/2006/picture">
                <pic:pic>
                  <pic:nvPicPr>
                    <pic:cNvPr id="14" name="image20.png"/>
                    <pic:cNvPicPr/>
                  </pic:nvPicPr>
                  <pic:blipFill>
                    <a:blip r:embed="rId43" cstate="print"/>
                    <a:stretch>
                      <a:fillRect/>
                    </a:stretch>
                  </pic:blipFill>
                  <pic:spPr>
                    <a:xfrm>
                      <a:off x="0" y="0"/>
                      <a:ext cx="2676604" cy="2002917"/>
                    </a:xfrm>
                    <a:prstGeom prst="rect">
                      <a:avLst/>
                    </a:prstGeom>
                  </pic:spPr>
                </pic:pic>
              </a:graphicData>
            </a:graphic>
          </wp:inline>
        </w:drawing>
      </w:r>
      <w:r>
        <w:rPr/>
      </w:r>
    </w:p>
    <w:p>
      <w:pPr>
        <w:spacing w:line="283" w:lineRule="auto" w:before="108"/>
        <w:ind w:left="413" w:right="1551" w:firstLine="0"/>
        <w:jc w:val="both"/>
        <w:rPr>
          <w:sz w:val="18"/>
        </w:rPr>
      </w:pPr>
      <w:r>
        <w:rPr>
          <w:color w:val="231F20"/>
          <w:sz w:val="18"/>
        </w:rPr>
        <w:t>Figura 7. Ordeño como factor predisponente de  mas- titis.</w:t>
      </w:r>
    </w:p>
    <w:p>
      <w:pPr>
        <w:pStyle w:val="BodyText"/>
        <w:spacing w:before="3"/>
        <w:rPr>
          <w:sz w:val="17"/>
        </w:rPr>
      </w:pPr>
    </w:p>
    <w:p>
      <w:pPr>
        <w:pStyle w:val="BodyText"/>
        <w:spacing w:line="259" w:lineRule="auto" w:before="1"/>
        <w:ind w:left="413" w:right="1551"/>
        <w:jc w:val="both"/>
      </w:pPr>
      <w:r>
        <w:rPr>
          <w:color w:val="231F20"/>
        </w:rPr>
        <w:t>reales y afectan las ganancias netas del produc-   tor (Corona, 2009). En  un  estudio  realizado  en  un hato del Estado de México con 500 animales   en ordeño, se determinó que el costo anual por mastitis clínica fue de </w:t>
      </w:r>
      <w:r>
        <w:rPr>
          <w:color w:val="231F20"/>
          <w:spacing w:val="-3"/>
        </w:rPr>
        <w:t>$244797,  </w:t>
      </w:r>
      <w:r>
        <w:rPr>
          <w:color w:val="231F20"/>
        </w:rPr>
        <w:t>que equivalen a    la producción por lactancia (305 días) de 43 vacas con 6000 kg/vaca (Ávila </w:t>
      </w:r>
      <w:r>
        <w:rPr>
          <w:i/>
          <w:color w:val="231F20"/>
        </w:rPr>
        <w:t>et al</w:t>
      </w:r>
      <w:r>
        <w:rPr>
          <w:color w:val="231F20"/>
        </w:rPr>
        <w:t>.,    </w:t>
      </w:r>
      <w:r>
        <w:rPr>
          <w:color w:val="231F20"/>
          <w:spacing w:val="21"/>
        </w:rPr>
        <w:t> </w:t>
      </w:r>
      <w:r>
        <w:rPr>
          <w:color w:val="231F20"/>
        </w:rPr>
        <w:t>1993).</w:t>
      </w:r>
    </w:p>
    <w:p>
      <w:pPr>
        <w:pStyle w:val="BodyText"/>
        <w:spacing w:line="259" w:lineRule="auto" w:before="114"/>
        <w:ind w:left="413" w:right="1551"/>
        <w:jc w:val="both"/>
      </w:pPr>
      <w:r>
        <w:rPr>
          <w:color w:val="231F20"/>
          <w:spacing w:val="-3"/>
        </w:rPr>
        <w:t>Gaytán </w:t>
      </w:r>
      <w:r>
        <w:rPr>
          <w:color w:val="231F20"/>
          <w:spacing w:val="-5"/>
        </w:rPr>
        <w:t>(1992) </w:t>
      </w:r>
      <w:r>
        <w:rPr>
          <w:color w:val="231F20"/>
          <w:spacing w:val="-3"/>
        </w:rPr>
        <w:t>reportó </w:t>
      </w:r>
      <w:r>
        <w:rPr>
          <w:color w:val="231F20"/>
        </w:rPr>
        <w:t>en </w:t>
      </w:r>
      <w:r>
        <w:rPr>
          <w:color w:val="231F20"/>
          <w:spacing w:val="-4"/>
        </w:rPr>
        <w:t>México </w:t>
      </w:r>
      <w:r>
        <w:rPr>
          <w:color w:val="231F20"/>
          <w:spacing w:val="-3"/>
        </w:rPr>
        <w:t>una </w:t>
      </w:r>
      <w:r>
        <w:rPr>
          <w:color w:val="231F20"/>
          <w:spacing w:val="-4"/>
        </w:rPr>
        <w:t>frecuencia de mastitis </w:t>
      </w:r>
      <w:r>
        <w:rPr>
          <w:color w:val="231F20"/>
          <w:spacing w:val="-3"/>
        </w:rPr>
        <w:t>por </w:t>
      </w:r>
      <w:r>
        <w:rPr>
          <w:color w:val="231F20"/>
          <w:spacing w:val="-4"/>
        </w:rPr>
        <w:t>coliformes </w:t>
      </w:r>
      <w:r>
        <w:rPr>
          <w:color w:val="231F20"/>
          <w:spacing w:val="-3"/>
        </w:rPr>
        <w:t>del </w:t>
      </w:r>
      <w:r>
        <w:rPr>
          <w:color w:val="231F20"/>
          <w:spacing w:val="-6"/>
        </w:rPr>
        <w:t>14%,  </w:t>
      </w:r>
      <w:r>
        <w:rPr>
          <w:color w:val="231F20"/>
        </w:rPr>
        <w:t>lo </w:t>
      </w:r>
      <w:r>
        <w:rPr>
          <w:color w:val="231F20"/>
          <w:spacing w:val="-3"/>
        </w:rPr>
        <w:t>que  </w:t>
      </w:r>
      <w:r>
        <w:rPr>
          <w:color w:val="231F20"/>
          <w:spacing w:val="-4"/>
        </w:rPr>
        <w:t>representó </w:t>
      </w:r>
      <w:r>
        <w:rPr>
          <w:color w:val="231F20"/>
        </w:rPr>
        <w:t>en </w:t>
      </w:r>
      <w:r>
        <w:rPr>
          <w:color w:val="231F20"/>
          <w:spacing w:val="-3"/>
        </w:rPr>
        <w:t>esos </w:t>
      </w:r>
      <w:r>
        <w:rPr>
          <w:color w:val="231F20"/>
          <w:spacing w:val="-4"/>
        </w:rPr>
        <w:t>animales </w:t>
      </w:r>
      <w:r>
        <w:rPr>
          <w:color w:val="231F20"/>
          <w:spacing w:val="-3"/>
        </w:rPr>
        <w:t>una  </w:t>
      </w:r>
      <w:r>
        <w:rPr>
          <w:color w:val="231F20"/>
          <w:spacing w:val="-4"/>
        </w:rPr>
        <w:t>considerable  disminución  de </w:t>
      </w:r>
      <w:r>
        <w:rPr>
          <w:color w:val="231F20"/>
        </w:rPr>
        <w:t>la </w:t>
      </w:r>
      <w:r>
        <w:rPr>
          <w:color w:val="231F20"/>
          <w:spacing w:val="-4"/>
        </w:rPr>
        <w:t>producción </w:t>
      </w:r>
      <w:r>
        <w:rPr>
          <w:color w:val="231F20"/>
        </w:rPr>
        <w:t>de </w:t>
      </w:r>
      <w:r>
        <w:rPr>
          <w:color w:val="231F20"/>
          <w:spacing w:val="-4"/>
        </w:rPr>
        <w:t>leche, </w:t>
      </w:r>
      <w:r>
        <w:rPr>
          <w:color w:val="231F20"/>
          <w:spacing w:val="-3"/>
        </w:rPr>
        <w:t>con </w:t>
      </w:r>
      <w:r>
        <w:rPr>
          <w:color w:val="231F20"/>
          <w:spacing w:val="-4"/>
        </w:rPr>
        <w:t>frecuente pérdida glan- dular </w:t>
      </w:r>
      <w:r>
        <w:rPr>
          <w:color w:val="231F20"/>
        </w:rPr>
        <w:t>y en </w:t>
      </w:r>
      <w:r>
        <w:rPr>
          <w:color w:val="231F20"/>
          <w:spacing w:val="-4"/>
        </w:rPr>
        <w:t>algunos casos </w:t>
      </w:r>
      <w:r>
        <w:rPr>
          <w:color w:val="231F20"/>
        </w:rPr>
        <w:t>la </w:t>
      </w:r>
      <w:r>
        <w:rPr>
          <w:color w:val="231F20"/>
          <w:spacing w:val="-3"/>
        </w:rPr>
        <w:t>muerte </w:t>
      </w:r>
      <w:r>
        <w:rPr>
          <w:color w:val="231F20"/>
        </w:rPr>
        <w:t>de la </w:t>
      </w:r>
      <w:r>
        <w:rPr>
          <w:color w:val="231F20"/>
          <w:spacing w:val="-3"/>
        </w:rPr>
        <w:t>vaca </w:t>
      </w:r>
      <w:r>
        <w:rPr>
          <w:color w:val="231F20"/>
          <w:spacing w:val="-4"/>
        </w:rPr>
        <w:t>(Fig. 8).</w:t>
      </w:r>
    </w:p>
    <w:p>
      <w:pPr>
        <w:pStyle w:val="BodyText"/>
        <w:spacing w:before="5"/>
        <w:rPr>
          <w:sz w:val="24"/>
        </w:rPr>
      </w:pPr>
      <w:r>
        <w:rPr/>
        <w:drawing>
          <wp:anchor distT="0" distB="0" distL="0" distR="0" allowOverlap="1" layoutInCell="1" locked="0" behindDoc="0" simplePos="0" relativeHeight="1480">
            <wp:simplePos x="0" y="0"/>
            <wp:positionH relativeFrom="page">
              <wp:posOffset>3920700</wp:posOffset>
            </wp:positionH>
            <wp:positionV relativeFrom="paragraph">
              <wp:posOffset>214246</wp:posOffset>
            </wp:positionV>
            <wp:extent cx="2632579" cy="1969960"/>
            <wp:effectExtent l="0" t="0" r="0" b="0"/>
            <wp:wrapTopAndBottom/>
            <wp:docPr id="15" name="image21.png" descr=""/>
            <wp:cNvGraphicFramePr>
              <a:graphicFrameLocks noChangeAspect="1"/>
            </wp:cNvGraphicFramePr>
            <a:graphic>
              <a:graphicData uri="http://schemas.openxmlformats.org/drawingml/2006/picture">
                <pic:pic>
                  <pic:nvPicPr>
                    <pic:cNvPr id="16" name="image21.png"/>
                    <pic:cNvPicPr/>
                  </pic:nvPicPr>
                  <pic:blipFill>
                    <a:blip r:embed="rId44" cstate="print"/>
                    <a:stretch>
                      <a:fillRect/>
                    </a:stretch>
                  </pic:blipFill>
                  <pic:spPr>
                    <a:xfrm>
                      <a:off x="0" y="0"/>
                      <a:ext cx="2632579" cy="1969960"/>
                    </a:xfrm>
                    <a:prstGeom prst="rect">
                      <a:avLst/>
                    </a:prstGeom>
                  </pic:spPr>
                </pic:pic>
              </a:graphicData>
            </a:graphic>
          </wp:anchor>
        </w:drawing>
      </w:r>
    </w:p>
    <w:p>
      <w:pPr>
        <w:spacing w:before="132"/>
        <w:ind w:left="1244" w:right="1542" w:firstLine="0"/>
        <w:jc w:val="left"/>
        <w:rPr>
          <w:sz w:val="18"/>
        </w:rPr>
      </w:pPr>
      <w:r>
        <w:rPr>
          <w:color w:val="231F20"/>
          <w:sz w:val="18"/>
        </w:rPr>
        <w:t>Figura 8.   Glándula  improductiva.</w:t>
      </w:r>
    </w:p>
    <w:p>
      <w:pPr>
        <w:spacing w:after="0"/>
        <w:jc w:val="left"/>
        <w:rPr>
          <w:sz w:val="18"/>
        </w:rPr>
        <w:sectPr>
          <w:type w:val="continuous"/>
          <w:pgSz w:w="11900" w:h="14450"/>
          <w:pgMar w:top="420" w:bottom="420" w:left="0" w:right="0"/>
          <w:cols w:num="2" w:equalWidth="0">
            <w:col w:w="5721" w:space="40"/>
            <w:col w:w="6139"/>
          </w:cols>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spacing w:val="-3"/>
          <w:w w:val="120"/>
          <w:sz w:val="22"/>
        </w:rPr>
        <w:t>26</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1" w:lineRule="auto" w:before="67"/>
        <w:ind w:left="1553"/>
        <w:jc w:val="both"/>
      </w:pPr>
      <w:r>
        <w:rPr>
          <w:color w:val="231F20"/>
        </w:rPr>
        <w:t>Lo </w:t>
      </w:r>
      <w:r>
        <w:rPr>
          <w:color w:val="231F20"/>
          <w:spacing w:val="-4"/>
        </w:rPr>
        <w:t>dramático </w:t>
      </w:r>
      <w:r>
        <w:rPr>
          <w:color w:val="231F20"/>
        </w:rPr>
        <w:t>en </w:t>
      </w:r>
      <w:r>
        <w:rPr>
          <w:color w:val="231F20"/>
          <w:spacing w:val="-4"/>
        </w:rPr>
        <w:t>cuanto </w:t>
      </w:r>
      <w:r>
        <w:rPr>
          <w:color w:val="231F20"/>
        </w:rPr>
        <w:t>a </w:t>
      </w:r>
      <w:r>
        <w:rPr>
          <w:color w:val="231F20"/>
          <w:spacing w:val="-3"/>
        </w:rPr>
        <w:t>los </w:t>
      </w:r>
      <w:r>
        <w:rPr>
          <w:color w:val="231F20"/>
          <w:spacing w:val="-4"/>
        </w:rPr>
        <w:t>costos </w:t>
      </w:r>
      <w:r>
        <w:rPr>
          <w:color w:val="231F20"/>
          <w:spacing w:val="-3"/>
        </w:rPr>
        <w:t>por </w:t>
      </w:r>
      <w:r>
        <w:rPr>
          <w:color w:val="231F20"/>
          <w:spacing w:val="-4"/>
        </w:rPr>
        <w:t>mastitis es </w:t>
      </w:r>
      <w:r>
        <w:rPr>
          <w:color w:val="231F20"/>
          <w:spacing w:val="-3"/>
        </w:rPr>
        <w:t>que por </w:t>
      </w:r>
      <w:r>
        <w:rPr>
          <w:color w:val="231F20"/>
        </w:rPr>
        <w:t>lo </w:t>
      </w:r>
      <w:r>
        <w:rPr>
          <w:color w:val="231F20"/>
          <w:spacing w:val="-4"/>
        </w:rPr>
        <w:t>general </w:t>
      </w:r>
      <w:r>
        <w:rPr>
          <w:color w:val="231F20"/>
        </w:rPr>
        <w:t>el </w:t>
      </w:r>
      <w:r>
        <w:rPr>
          <w:color w:val="231F20"/>
          <w:spacing w:val="-4"/>
        </w:rPr>
        <w:t>ganadero </w:t>
      </w:r>
      <w:r>
        <w:rPr>
          <w:color w:val="231F20"/>
        </w:rPr>
        <w:t>no </w:t>
      </w:r>
      <w:r>
        <w:rPr>
          <w:color w:val="231F20"/>
          <w:spacing w:val="-4"/>
        </w:rPr>
        <w:t>reconoce </w:t>
      </w:r>
      <w:r>
        <w:rPr>
          <w:color w:val="231F20"/>
          <w:spacing w:val="-3"/>
        </w:rPr>
        <w:t>que </w:t>
      </w:r>
      <w:r>
        <w:rPr>
          <w:color w:val="231F20"/>
          <w:spacing w:val="-4"/>
        </w:rPr>
        <w:t>las </w:t>
      </w:r>
      <w:r>
        <w:rPr>
          <w:color w:val="231F20"/>
          <w:spacing w:val="-3"/>
        </w:rPr>
        <w:t>dos </w:t>
      </w:r>
      <w:r>
        <w:rPr>
          <w:color w:val="231F20"/>
          <w:spacing w:val="-4"/>
        </w:rPr>
        <w:t>pérdidas </w:t>
      </w:r>
      <w:r>
        <w:rPr>
          <w:color w:val="231F20"/>
          <w:spacing w:val="-3"/>
        </w:rPr>
        <w:t>más </w:t>
      </w:r>
      <w:r>
        <w:rPr>
          <w:color w:val="231F20"/>
          <w:spacing w:val="-4"/>
        </w:rPr>
        <w:t>importantes </w:t>
      </w:r>
      <w:r>
        <w:rPr>
          <w:color w:val="231F20"/>
          <w:spacing w:val="-3"/>
        </w:rPr>
        <w:t>son </w:t>
      </w:r>
      <w:r>
        <w:rPr>
          <w:color w:val="231F20"/>
        </w:rPr>
        <w:t>la </w:t>
      </w:r>
      <w:r>
        <w:rPr>
          <w:color w:val="231F20"/>
          <w:spacing w:val="-4"/>
        </w:rPr>
        <w:t>pérdida por producción </w:t>
      </w:r>
      <w:r>
        <w:rPr>
          <w:color w:val="231F20"/>
        </w:rPr>
        <w:t>de </w:t>
      </w:r>
      <w:r>
        <w:rPr>
          <w:color w:val="231F20"/>
          <w:spacing w:val="-4"/>
        </w:rPr>
        <w:t>leche </w:t>
      </w:r>
      <w:r>
        <w:rPr>
          <w:color w:val="231F20"/>
        </w:rPr>
        <w:t>y la </w:t>
      </w:r>
      <w:r>
        <w:rPr>
          <w:color w:val="231F20"/>
          <w:spacing w:val="-4"/>
        </w:rPr>
        <w:t>pérdida </w:t>
      </w:r>
      <w:r>
        <w:rPr>
          <w:color w:val="231F20"/>
        </w:rPr>
        <w:t>de </w:t>
      </w:r>
      <w:r>
        <w:rPr>
          <w:color w:val="231F20"/>
          <w:spacing w:val="-4"/>
        </w:rPr>
        <w:t>vacas, </w:t>
      </w:r>
      <w:r>
        <w:rPr>
          <w:color w:val="231F20"/>
          <w:spacing w:val="-3"/>
        </w:rPr>
        <w:t>que </w:t>
      </w:r>
      <w:r>
        <w:rPr>
          <w:color w:val="231F20"/>
        </w:rPr>
        <w:t>en </w:t>
      </w:r>
      <w:r>
        <w:rPr>
          <w:color w:val="231F20"/>
          <w:spacing w:val="-4"/>
        </w:rPr>
        <w:t>la mayoría </w:t>
      </w:r>
      <w:r>
        <w:rPr>
          <w:color w:val="231F20"/>
        </w:rPr>
        <w:t>de </w:t>
      </w:r>
      <w:r>
        <w:rPr>
          <w:color w:val="231F20"/>
          <w:spacing w:val="-3"/>
        </w:rPr>
        <w:t>los </w:t>
      </w:r>
      <w:r>
        <w:rPr>
          <w:color w:val="231F20"/>
          <w:spacing w:val="-4"/>
        </w:rPr>
        <w:t>casos </w:t>
      </w:r>
      <w:r>
        <w:rPr>
          <w:color w:val="231F20"/>
          <w:spacing w:val="-3"/>
        </w:rPr>
        <w:t>son </w:t>
      </w:r>
      <w:r>
        <w:rPr>
          <w:color w:val="231F20"/>
          <w:spacing w:val="-4"/>
        </w:rPr>
        <w:t>altas productoras. Muchos ganaderos contabilizan </w:t>
      </w:r>
      <w:r>
        <w:rPr>
          <w:color w:val="231F20"/>
          <w:spacing w:val="-3"/>
        </w:rPr>
        <w:t>sus </w:t>
      </w:r>
      <w:r>
        <w:rPr>
          <w:color w:val="231F20"/>
          <w:spacing w:val="-4"/>
        </w:rPr>
        <w:t>pérdidas </w:t>
      </w:r>
      <w:r>
        <w:rPr>
          <w:color w:val="231F20"/>
          <w:spacing w:val="-3"/>
        </w:rPr>
        <w:t>por </w:t>
      </w:r>
      <w:r>
        <w:rPr>
          <w:color w:val="231F20"/>
          <w:spacing w:val="-4"/>
        </w:rPr>
        <w:t>mastitis </w:t>
      </w:r>
      <w:r>
        <w:rPr>
          <w:color w:val="231F20"/>
          <w:spacing w:val="-3"/>
        </w:rPr>
        <w:t>con- </w:t>
      </w:r>
      <w:r>
        <w:rPr>
          <w:color w:val="231F20"/>
          <w:spacing w:val="-4"/>
        </w:rPr>
        <w:t>siderando </w:t>
      </w:r>
      <w:r>
        <w:rPr>
          <w:color w:val="231F20"/>
          <w:spacing w:val="-3"/>
        </w:rPr>
        <w:t>los </w:t>
      </w:r>
      <w:r>
        <w:rPr>
          <w:color w:val="231F20"/>
          <w:spacing w:val="-4"/>
        </w:rPr>
        <w:t>gastos </w:t>
      </w:r>
      <w:r>
        <w:rPr>
          <w:color w:val="231F20"/>
          <w:spacing w:val="-3"/>
        </w:rPr>
        <w:t>por </w:t>
      </w:r>
      <w:r>
        <w:rPr>
          <w:color w:val="231F20"/>
          <w:spacing w:val="-4"/>
        </w:rPr>
        <w:t>servicio médico veterinario, medicamentos </w:t>
      </w:r>
      <w:r>
        <w:rPr>
          <w:color w:val="231F20"/>
        </w:rPr>
        <w:t>y </w:t>
      </w:r>
      <w:r>
        <w:rPr>
          <w:color w:val="231F20"/>
          <w:spacing w:val="-4"/>
        </w:rPr>
        <w:t>leche desechada, </w:t>
      </w:r>
      <w:r>
        <w:rPr>
          <w:color w:val="231F20"/>
        </w:rPr>
        <w:t>lo </w:t>
      </w:r>
      <w:r>
        <w:rPr>
          <w:color w:val="231F20"/>
          <w:spacing w:val="-3"/>
        </w:rPr>
        <w:t>que </w:t>
      </w:r>
      <w:r>
        <w:rPr>
          <w:color w:val="231F20"/>
          <w:spacing w:val="-4"/>
        </w:rPr>
        <w:t>representa </w:t>
      </w:r>
      <w:r>
        <w:rPr>
          <w:color w:val="231F20"/>
        </w:rPr>
        <w:t>un </w:t>
      </w:r>
      <w:r>
        <w:rPr>
          <w:color w:val="231F20"/>
          <w:spacing w:val="-4"/>
        </w:rPr>
        <w:t>gasto diario </w:t>
      </w:r>
      <w:r>
        <w:rPr>
          <w:color w:val="231F20"/>
          <w:spacing w:val="-3"/>
        </w:rPr>
        <w:t>muy </w:t>
      </w:r>
      <w:r>
        <w:rPr>
          <w:color w:val="231F20"/>
          <w:spacing w:val="-4"/>
        </w:rPr>
        <w:t>aparente, </w:t>
      </w:r>
      <w:r>
        <w:rPr>
          <w:color w:val="231F20"/>
          <w:spacing w:val="-3"/>
        </w:rPr>
        <w:t>pero casi </w:t>
      </w:r>
      <w:r>
        <w:rPr>
          <w:color w:val="231F20"/>
          <w:spacing w:val="-4"/>
        </w:rPr>
        <w:t>insignificante </w:t>
      </w:r>
      <w:r>
        <w:rPr>
          <w:color w:val="231F20"/>
        </w:rPr>
        <w:t>en </w:t>
      </w:r>
      <w:r>
        <w:rPr>
          <w:color w:val="231F20"/>
          <w:spacing w:val="-4"/>
        </w:rPr>
        <w:t>comparación </w:t>
      </w:r>
      <w:r>
        <w:rPr>
          <w:color w:val="231F20"/>
          <w:spacing w:val="-3"/>
        </w:rPr>
        <w:t>con las </w:t>
      </w:r>
      <w:r>
        <w:rPr>
          <w:color w:val="231F20"/>
          <w:spacing w:val="-4"/>
        </w:rPr>
        <w:t>pérdidas </w:t>
      </w:r>
      <w:r>
        <w:rPr>
          <w:color w:val="231F20"/>
        </w:rPr>
        <w:t>en </w:t>
      </w:r>
      <w:r>
        <w:rPr>
          <w:color w:val="231F20"/>
          <w:spacing w:val="-4"/>
        </w:rPr>
        <w:t>producción de leche </w:t>
      </w:r>
      <w:r>
        <w:rPr>
          <w:color w:val="231F20"/>
        </w:rPr>
        <w:t>y </w:t>
      </w:r>
      <w:r>
        <w:rPr>
          <w:color w:val="231F20"/>
          <w:spacing w:val="-3"/>
        </w:rPr>
        <w:t>por </w:t>
      </w:r>
      <w:r>
        <w:rPr>
          <w:color w:val="231F20"/>
          <w:spacing w:val="-4"/>
        </w:rPr>
        <w:t>reemplazos </w:t>
      </w:r>
      <w:r>
        <w:rPr>
          <w:color w:val="231F20"/>
        </w:rPr>
        <w:t>de  </w:t>
      </w:r>
      <w:r>
        <w:rPr>
          <w:color w:val="231F20"/>
          <w:spacing w:val="-4"/>
        </w:rPr>
        <w:t>ganado.</w:t>
      </w:r>
    </w:p>
    <w:p>
      <w:pPr>
        <w:pStyle w:val="BodyText"/>
        <w:spacing w:line="261" w:lineRule="auto" w:before="113"/>
        <w:ind w:left="1553"/>
        <w:jc w:val="both"/>
      </w:pPr>
      <w:r>
        <w:rPr>
          <w:color w:val="231F20"/>
        </w:rPr>
        <w:t>Los daños originados por la mastitis pueden agru- parse en:</w:t>
      </w:r>
    </w:p>
    <w:p>
      <w:pPr>
        <w:pStyle w:val="ListParagraph"/>
        <w:numPr>
          <w:ilvl w:val="0"/>
          <w:numId w:val="5"/>
        </w:numPr>
        <w:tabs>
          <w:tab w:pos="1838" w:val="left" w:leader="none"/>
        </w:tabs>
        <w:spacing w:line="240" w:lineRule="auto" w:before="113" w:after="0"/>
        <w:ind w:left="1837" w:right="0" w:hanging="284"/>
        <w:jc w:val="both"/>
        <w:rPr>
          <w:sz w:val="20"/>
        </w:rPr>
      </w:pPr>
      <w:r>
        <w:rPr>
          <w:color w:val="231F20"/>
          <w:sz w:val="20"/>
        </w:rPr>
        <w:t>Pérdidas en la producción de  </w:t>
      </w:r>
      <w:r>
        <w:rPr>
          <w:color w:val="231F20"/>
          <w:spacing w:val="4"/>
          <w:sz w:val="20"/>
        </w:rPr>
        <w:t> </w:t>
      </w:r>
      <w:r>
        <w:rPr>
          <w:color w:val="231F20"/>
          <w:sz w:val="20"/>
        </w:rPr>
        <w:t>leche.</w:t>
      </w:r>
    </w:p>
    <w:p>
      <w:pPr>
        <w:pStyle w:val="ListParagraph"/>
        <w:numPr>
          <w:ilvl w:val="0"/>
          <w:numId w:val="5"/>
        </w:numPr>
        <w:tabs>
          <w:tab w:pos="1838" w:val="left" w:leader="none"/>
        </w:tabs>
        <w:spacing w:line="240" w:lineRule="auto" w:before="78" w:after="0"/>
        <w:ind w:left="1837" w:right="0" w:hanging="284"/>
        <w:jc w:val="both"/>
        <w:rPr>
          <w:sz w:val="20"/>
        </w:rPr>
      </w:pPr>
      <w:r>
        <w:rPr>
          <w:color w:val="231F20"/>
          <w:spacing w:val="-3"/>
          <w:sz w:val="20"/>
        </w:rPr>
        <w:t>Trabajo </w:t>
      </w:r>
      <w:r>
        <w:rPr>
          <w:color w:val="231F20"/>
          <w:sz w:val="20"/>
        </w:rPr>
        <w:t>y mano de obra</w:t>
      </w:r>
      <w:r>
        <w:rPr>
          <w:color w:val="231F20"/>
          <w:spacing w:val="40"/>
          <w:sz w:val="20"/>
        </w:rPr>
        <w:t> </w:t>
      </w:r>
      <w:r>
        <w:rPr>
          <w:color w:val="231F20"/>
          <w:sz w:val="20"/>
        </w:rPr>
        <w:t>extra.</w:t>
      </w:r>
    </w:p>
    <w:p>
      <w:pPr>
        <w:pStyle w:val="ListParagraph"/>
        <w:numPr>
          <w:ilvl w:val="0"/>
          <w:numId w:val="5"/>
        </w:numPr>
        <w:tabs>
          <w:tab w:pos="1838" w:val="left" w:leader="none"/>
        </w:tabs>
        <w:spacing w:line="240" w:lineRule="auto" w:before="78" w:after="0"/>
        <w:ind w:left="1837" w:right="0" w:hanging="284"/>
        <w:jc w:val="both"/>
        <w:rPr>
          <w:sz w:val="20"/>
        </w:rPr>
      </w:pPr>
      <w:r>
        <w:rPr>
          <w:color w:val="231F20"/>
          <w:sz w:val="20"/>
        </w:rPr>
        <w:t>Leche</w:t>
      </w:r>
      <w:r>
        <w:rPr>
          <w:color w:val="231F20"/>
          <w:spacing w:val="38"/>
          <w:sz w:val="20"/>
        </w:rPr>
        <w:t> </w:t>
      </w:r>
      <w:r>
        <w:rPr>
          <w:color w:val="231F20"/>
          <w:sz w:val="20"/>
        </w:rPr>
        <w:t>desperdiciada.</w:t>
      </w:r>
    </w:p>
    <w:p>
      <w:pPr>
        <w:pStyle w:val="ListParagraph"/>
        <w:numPr>
          <w:ilvl w:val="0"/>
          <w:numId w:val="5"/>
        </w:numPr>
        <w:tabs>
          <w:tab w:pos="1838" w:val="left" w:leader="none"/>
        </w:tabs>
        <w:spacing w:line="240" w:lineRule="auto" w:before="78" w:after="0"/>
        <w:ind w:left="1837" w:right="0" w:hanging="284"/>
        <w:jc w:val="both"/>
        <w:rPr>
          <w:sz w:val="20"/>
        </w:rPr>
      </w:pPr>
      <w:r>
        <w:rPr>
          <w:color w:val="231F20"/>
          <w:sz w:val="20"/>
        </w:rPr>
        <w:t>Gastos  por</w:t>
      </w:r>
      <w:r>
        <w:rPr>
          <w:color w:val="231F20"/>
          <w:spacing w:val="10"/>
          <w:sz w:val="20"/>
        </w:rPr>
        <w:t> </w:t>
      </w:r>
      <w:r>
        <w:rPr>
          <w:color w:val="231F20"/>
          <w:sz w:val="20"/>
        </w:rPr>
        <w:t>medicamentos.</w:t>
      </w:r>
    </w:p>
    <w:p>
      <w:pPr>
        <w:pStyle w:val="ListParagraph"/>
        <w:numPr>
          <w:ilvl w:val="0"/>
          <w:numId w:val="5"/>
        </w:numPr>
        <w:tabs>
          <w:tab w:pos="1837" w:val="left" w:leader="none"/>
          <w:tab w:pos="1838" w:val="left" w:leader="none"/>
        </w:tabs>
        <w:spacing w:line="261" w:lineRule="auto" w:before="78" w:after="0"/>
        <w:ind w:left="1837" w:right="0" w:hanging="284"/>
        <w:jc w:val="left"/>
        <w:rPr>
          <w:sz w:val="20"/>
        </w:rPr>
      </w:pPr>
      <w:r>
        <w:rPr>
          <w:color w:val="231F20"/>
          <w:sz w:val="20"/>
        </w:rPr>
        <w:t>Erogaciones por servicios profesionales veteri- narios.</w:t>
      </w:r>
    </w:p>
    <w:p>
      <w:pPr>
        <w:pStyle w:val="ListParagraph"/>
        <w:numPr>
          <w:ilvl w:val="0"/>
          <w:numId w:val="5"/>
        </w:numPr>
        <w:tabs>
          <w:tab w:pos="1837" w:val="left" w:leader="none"/>
          <w:tab w:pos="1838" w:val="left" w:leader="none"/>
        </w:tabs>
        <w:spacing w:line="261" w:lineRule="auto" w:before="56" w:after="0"/>
        <w:ind w:left="1837" w:right="0" w:hanging="284"/>
        <w:jc w:val="left"/>
        <w:rPr>
          <w:sz w:val="20"/>
        </w:rPr>
      </w:pPr>
      <w:r>
        <w:rPr>
          <w:color w:val="231F20"/>
          <w:sz w:val="20"/>
        </w:rPr>
        <w:t>Incremento en los gastos por concepto de re- emplazos  (Fig.</w:t>
      </w:r>
      <w:r>
        <w:rPr>
          <w:color w:val="231F20"/>
          <w:spacing w:val="39"/>
          <w:sz w:val="20"/>
        </w:rPr>
        <w:t> </w:t>
      </w:r>
      <w:r>
        <w:rPr>
          <w:color w:val="231F20"/>
          <w:sz w:val="20"/>
        </w:rPr>
        <w:t>9).</w:t>
      </w:r>
    </w:p>
    <w:p>
      <w:pPr>
        <w:pStyle w:val="BodyText"/>
        <w:spacing w:line="261" w:lineRule="auto" w:before="113"/>
        <w:ind w:left="1553"/>
        <w:jc w:val="both"/>
      </w:pPr>
      <w:r>
        <w:rPr>
          <w:color w:val="231F20"/>
        </w:rPr>
        <w:t>Diferentes investigadores han reportado que los porcentajes  de  vacas  eliminadas  por  causa  de   la mastitis varían anualmente entre el 1,3% y el 25,0%,  y  Schalm  </w:t>
      </w:r>
      <w:r>
        <w:rPr>
          <w:i/>
          <w:color w:val="231F20"/>
        </w:rPr>
        <w:t>et  al</w:t>
      </w:r>
      <w:r>
        <w:rPr>
          <w:color w:val="231F20"/>
        </w:rPr>
        <w:t>.  </w:t>
      </w:r>
      <w:r>
        <w:rPr>
          <w:color w:val="231F20"/>
          <w:spacing w:val="-3"/>
        </w:rPr>
        <w:t>(2001)   </w:t>
      </w:r>
      <w:r>
        <w:rPr>
          <w:color w:val="231F20"/>
        </w:rPr>
        <w:t>señalan  que    </w:t>
      </w:r>
      <w:r>
        <w:rPr>
          <w:color w:val="231F20"/>
          <w:spacing w:val="22"/>
        </w:rPr>
        <w:t> </w:t>
      </w:r>
      <w:r>
        <w:rPr>
          <w:color w:val="231F20"/>
        </w:rPr>
        <w:t>las</w:t>
      </w:r>
    </w:p>
    <w:p>
      <w:pPr>
        <w:pStyle w:val="BodyText"/>
        <w:spacing w:line="261" w:lineRule="auto" w:before="67"/>
        <w:ind w:left="413" w:right="1551"/>
        <w:jc w:val="both"/>
      </w:pPr>
      <w:r>
        <w:rPr/>
        <w:br w:type="column"/>
      </w:r>
      <w:r>
        <w:rPr>
          <w:color w:val="231F20"/>
        </w:rPr>
        <w:t>pérdidas por mastitis subclínica pueden ser del 6,0%   al  24,5%.</w:t>
      </w:r>
    </w:p>
    <w:p>
      <w:pPr>
        <w:pStyle w:val="BodyText"/>
        <w:spacing w:line="261" w:lineRule="auto" w:before="114"/>
        <w:ind w:left="413" w:right="1551"/>
        <w:jc w:val="both"/>
      </w:pPr>
      <w:r>
        <w:rPr>
          <w:color w:val="231F20"/>
          <w:spacing w:val="-4"/>
        </w:rPr>
        <w:t>Foster </w:t>
      </w:r>
      <w:r>
        <w:rPr>
          <w:i/>
          <w:color w:val="231F20"/>
        </w:rPr>
        <w:t>et </w:t>
      </w:r>
      <w:r>
        <w:rPr>
          <w:i/>
          <w:color w:val="231F20"/>
          <w:spacing w:val="-3"/>
        </w:rPr>
        <w:t>al</w:t>
      </w:r>
      <w:r>
        <w:rPr>
          <w:color w:val="231F20"/>
          <w:spacing w:val="-3"/>
        </w:rPr>
        <w:t>. </w:t>
      </w:r>
      <w:r>
        <w:rPr>
          <w:color w:val="231F20"/>
          <w:spacing w:val="-5"/>
        </w:rPr>
        <w:t>(1967) </w:t>
      </w:r>
      <w:r>
        <w:rPr>
          <w:color w:val="231F20"/>
          <w:spacing w:val="-3"/>
        </w:rPr>
        <w:t>compararon </w:t>
      </w:r>
      <w:r>
        <w:rPr>
          <w:color w:val="231F20"/>
        </w:rPr>
        <w:t>la </w:t>
      </w:r>
      <w:r>
        <w:rPr>
          <w:color w:val="231F20"/>
          <w:spacing w:val="-3"/>
        </w:rPr>
        <w:t>producción entre glándulas mamarias opuestas </w:t>
      </w:r>
      <w:r>
        <w:rPr>
          <w:color w:val="231F20"/>
        </w:rPr>
        <w:t>con </w:t>
      </w:r>
      <w:r>
        <w:rPr>
          <w:color w:val="231F20"/>
          <w:spacing w:val="-3"/>
        </w:rPr>
        <w:t>diferentes califica- ciones </w:t>
      </w:r>
      <w:r>
        <w:rPr>
          <w:color w:val="231F20"/>
        </w:rPr>
        <w:t>en la </w:t>
      </w:r>
      <w:r>
        <w:rPr>
          <w:color w:val="231F20"/>
          <w:spacing w:val="-3"/>
        </w:rPr>
        <w:t>prueba </w:t>
      </w:r>
      <w:r>
        <w:rPr>
          <w:color w:val="231F20"/>
        </w:rPr>
        <w:t>de </w:t>
      </w:r>
      <w:r>
        <w:rPr>
          <w:color w:val="231F20"/>
          <w:spacing w:val="-3"/>
        </w:rPr>
        <w:t>California para mastitis, </w:t>
      </w:r>
      <w:r>
        <w:rPr>
          <w:color w:val="231F20"/>
        </w:rPr>
        <w:t>y </w:t>
      </w:r>
      <w:r>
        <w:rPr>
          <w:color w:val="231F20"/>
          <w:spacing w:val="-3"/>
        </w:rPr>
        <w:t>los resultados mostraron pérdidas </w:t>
      </w:r>
      <w:r>
        <w:rPr>
          <w:color w:val="231F20"/>
        </w:rPr>
        <w:t>del </w:t>
      </w:r>
      <w:r>
        <w:rPr>
          <w:color w:val="231F20"/>
          <w:spacing w:val="-3"/>
        </w:rPr>
        <w:t>9,0% </w:t>
      </w:r>
      <w:r>
        <w:rPr>
          <w:color w:val="231F20"/>
        </w:rPr>
        <w:t>al </w:t>
      </w:r>
      <w:r>
        <w:rPr>
          <w:color w:val="231F20"/>
          <w:spacing w:val="-3"/>
        </w:rPr>
        <w:t>43,0% para casos positivos </w:t>
      </w:r>
      <w:r>
        <w:rPr>
          <w:color w:val="231F20"/>
        </w:rPr>
        <w:t>a con </w:t>
      </w:r>
      <w:r>
        <w:rPr>
          <w:color w:val="231F20"/>
          <w:spacing w:val="-3"/>
        </w:rPr>
        <w:t>calificación positiva </w:t>
      </w:r>
      <w:r>
        <w:rPr>
          <w:color w:val="231F20"/>
        </w:rPr>
        <w:t>a </w:t>
      </w:r>
      <w:r>
        <w:rPr>
          <w:color w:val="231F20"/>
          <w:spacing w:val="-3"/>
        </w:rPr>
        <w:t>trazas </w:t>
      </w:r>
      <w:r>
        <w:rPr>
          <w:color w:val="231F20"/>
        </w:rPr>
        <w:t>y </w:t>
      </w:r>
      <w:r>
        <w:rPr>
          <w:color w:val="231F20"/>
          <w:spacing w:val="-3"/>
        </w:rPr>
        <w:t>nivel </w:t>
      </w:r>
      <w:r>
        <w:rPr>
          <w:color w:val="231F20"/>
        </w:rPr>
        <w:t>3, </w:t>
      </w:r>
      <w:r>
        <w:rPr>
          <w:color w:val="231F20"/>
          <w:spacing w:val="-3"/>
        </w:rPr>
        <w:t>respectivamente. </w:t>
      </w:r>
      <w:r>
        <w:rPr>
          <w:color w:val="231F20"/>
          <w:spacing w:val="-4"/>
        </w:rPr>
        <w:t>Chávez </w:t>
      </w:r>
      <w:r>
        <w:rPr>
          <w:color w:val="231F20"/>
          <w:spacing w:val="-5"/>
        </w:rPr>
        <w:t>(1989), </w:t>
      </w:r>
      <w:r>
        <w:rPr>
          <w:color w:val="231F20"/>
          <w:spacing w:val="-3"/>
        </w:rPr>
        <w:t>trabajando </w:t>
      </w:r>
      <w:r>
        <w:rPr>
          <w:color w:val="231F20"/>
        </w:rPr>
        <w:t>con </w:t>
      </w:r>
      <w:r>
        <w:rPr>
          <w:color w:val="231F20"/>
          <w:spacing w:val="-3"/>
        </w:rPr>
        <w:t>ganado </w:t>
      </w:r>
      <w:r>
        <w:rPr>
          <w:color w:val="231F20"/>
        </w:rPr>
        <w:t>de </w:t>
      </w:r>
      <w:r>
        <w:rPr>
          <w:color w:val="231F20"/>
          <w:spacing w:val="-3"/>
        </w:rPr>
        <w:t>doble propósito </w:t>
      </w:r>
      <w:r>
        <w:rPr>
          <w:color w:val="231F20"/>
        </w:rPr>
        <w:t>en </w:t>
      </w:r>
      <w:r>
        <w:rPr>
          <w:color w:val="231F20"/>
          <w:spacing w:val="-3"/>
        </w:rPr>
        <w:t>una </w:t>
      </w:r>
      <w:r>
        <w:rPr>
          <w:color w:val="231F20"/>
        </w:rPr>
        <w:t>región del </w:t>
      </w:r>
      <w:r>
        <w:rPr>
          <w:color w:val="231F20"/>
          <w:spacing w:val="-3"/>
        </w:rPr>
        <w:t>trópico húmedo </w:t>
      </w:r>
      <w:r>
        <w:rPr>
          <w:color w:val="231F20"/>
        </w:rPr>
        <w:t>de </w:t>
      </w:r>
      <w:r>
        <w:rPr>
          <w:color w:val="231F20"/>
          <w:spacing w:val="-3"/>
        </w:rPr>
        <w:t>México, encontró pér- didas </w:t>
      </w:r>
      <w:r>
        <w:rPr>
          <w:color w:val="231F20"/>
        </w:rPr>
        <w:t>por </w:t>
      </w:r>
      <w:r>
        <w:rPr>
          <w:color w:val="231F20"/>
          <w:spacing w:val="-3"/>
        </w:rPr>
        <w:t>mastitis subclínica  </w:t>
      </w:r>
      <w:r>
        <w:rPr>
          <w:color w:val="231F20"/>
        </w:rPr>
        <w:t>que </w:t>
      </w:r>
      <w:r>
        <w:rPr>
          <w:color w:val="231F20"/>
          <w:spacing w:val="-3"/>
        </w:rPr>
        <w:t>variaron  </w:t>
      </w:r>
      <w:r>
        <w:rPr>
          <w:color w:val="231F20"/>
        </w:rPr>
        <w:t>del </w:t>
      </w:r>
      <w:r>
        <w:rPr>
          <w:color w:val="231F20"/>
          <w:spacing w:val="-3"/>
        </w:rPr>
        <w:t>2,8% </w:t>
      </w:r>
      <w:r>
        <w:rPr>
          <w:color w:val="231F20"/>
        </w:rPr>
        <w:t>al </w:t>
      </w:r>
      <w:r>
        <w:rPr>
          <w:color w:val="231F20"/>
          <w:spacing w:val="-3"/>
        </w:rPr>
        <w:t>42,0% para calificaciones postivas </w:t>
      </w:r>
      <w:r>
        <w:rPr>
          <w:color w:val="231F20"/>
        </w:rPr>
        <w:t>a </w:t>
      </w:r>
      <w:r>
        <w:rPr>
          <w:color w:val="231F20"/>
          <w:spacing w:val="-7"/>
        </w:rPr>
        <w:t>Traza  </w:t>
      </w:r>
      <w:r>
        <w:rPr>
          <w:color w:val="231F20"/>
        </w:rPr>
        <w:t>y </w:t>
      </w:r>
      <w:r>
        <w:rPr>
          <w:color w:val="231F20"/>
          <w:spacing w:val="-3"/>
        </w:rPr>
        <w:t>Nivel  </w:t>
      </w:r>
      <w:r>
        <w:rPr>
          <w:color w:val="231F20"/>
        </w:rPr>
        <w:t>3  </w:t>
      </w:r>
      <w:r>
        <w:rPr>
          <w:color w:val="231F20"/>
          <w:spacing w:val="-3"/>
        </w:rPr>
        <w:t>respectivamente  (Fig.</w:t>
      </w:r>
      <w:r>
        <w:rPr>
          <w:color w:val="231F20"/>
          <w:spacing w:val="8"/>
        </w:rPr>
        <w:t> </w:t>
      </w:r>
      <w:r>
        <w:rPr>
          <w:color w:val="231F20"/>
          <w:spacing w:val="-6"/>
        </w:rPr>
        <w:t>10).</w:t>
      </w:r>
    </w:p>
    <w:p>
      <w:pPr>
        <w:pStyle w:val="BodyText"/>
        <w:spacing w:line="261" w:lineRule="auto" w:before="114"/>
        <w:ind w:left="413" w:right="1553"/>
        <w:jc w:val="both"/>
      </w:pPr>
      <w:r>
        <w:rPr>
          <w:color w:val="231F20"/>
        </w:rPr>
        <w:t>Además de afectar a la glándula mamaria, la leche contaminada pone en peligro la salud de quienes  la consumen. En el caso del hombre, cobra gran importancia la diseminación de bacterias</w:t>
      </w:r>
      <w:r>
        <w:rPr>
          <w:color w:val="231F20"/>
          <w:spacing w:val="-16"/>
        </w:rPr>
        <w:t> </w:t>
      </w:r>
      <w:r>
        <w:rPr>
          <w:color w:val="231F20"/>
        </w:rPr>
        <w:t>causantes de enfermedades como la tuberculosis (Fig. </w:t>
      </w:r>
      <w:r>
        <w:rPr>
          <w:color w:val="231F20"/>
          <w:spacing w:val="-4"/>
        </w:rPr>
        <w:t>11), </w:t>
      </w:r>
      <w:r>
        <w:rPr>
          <w:color w:val="231F20"/>
        </w:rPr>
        <w:t>la brucelosis o la faringitis estreptocócica, entre otras (Blood  </w:t>
      </w:r>
      <w:r>
        <w:rPr>
          <w:i/>
          <w:color w:val="231F20"/>
        </w:rPr>
        <w:t>et  al</w:t>
      </w:r>
      <w:r>
        <w:rPr>
          <w:color w:val="231F20"/>
        </w:rPr>
        <w:t>.,</w:t>
      </w:r>
      <w:r>
        <w:rPr>
          <w:color w:val="231F20"/>
          <w:spacing w:val="3"/>
        </w:rPr>
        <w:t> </w:t>
      </w:r>
      <w:r>
        <w:rPr>
          <w:color w:val="231F20"/>
          <w:spacing w:val="-4"/>
        </w:rPr>
        <w:t>1992).</w:t>
      </w:r>
    </w:p>
    <w:p>
      <w:pPr>
        <w:pStyle w:val="BodyText"/>
        <w:spacing w:line="261" w:lineRule="auto" w:before="114"/>
        <w:ind w:left="413" w:right="1551"/>
        <w:jc w:val="both"/>
      </w:pPr>
      <w:r>
        <w:rPr>
          <w:color w:val="231F20"/>
        </w:rPr>
        <w:t>La vaca lactante tiene una fuerte tendencia a pro- ducir leche de composición uniforme según el grupo genético al que corresponda, pero al darse un proceso inflamatorio en  la  glándula  mamaria se altera la permeabilidad vascular, hay exudados   y  se  modifica  la  composición  de  la  leche, </w:t>
      </w:r>
      <w:r>
        <w:rPr>
          <w:color w:val="231F20"/>
          <w:spacing w:val="11"/>
        </w:rPr>
        <w:t> </w:t>
      </w:r>
      <w:r>
        <w:rPr>
          <w:color w:val="231F20"/>
        </w:rPr>
        <w:t>como</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4" w:after="1"/>
        <w:rPr>
          <w:sz w:val="10"/>
        </w:rPr>
      </w:pPr>
    </w:p>
    <w:p>
      <w:pPr>
        <w:pStyle w:val="BodyText"/>
        <w:tabs>
          <w:tab w:pos="6176" w:val="left" w:leader="none"/>
        </w:tabs>
        <w:ind w:left="1553"/>
      </w:pPr>
      <w:r>
        <w:rPr>
          <w:position w:val="3"/>
        </w:rPr>
        <w:drawing>
          <wp:inline distT="0" distB="0" distL="0" distR="0">
            <wp:extent cx="2650012" cy="1983104"/>
            <wp:effectExtent l="0" t="0" r="0" b="0"/>
            <wp:docPr id="17" name="image22.png" descr=""/>
            <wp:cNvGraphicFramePr>
              <a:graphicFrameLocks noChangeAspect="1"/>
            </wp:cNvGraphicFramePr>
            <a:graphic>
              <a:graphicData uri="http://schemas.openxmlformats.org/drawingml/2006/picture">
                <pic:pic>
                  <pic:nvPicPr>
                    <pic:cNvPr id="18" name="image22.png"/>
                    <pic:cNvPicPr/>
                  </pic:nvPicPr>
                  <pic:blipFill>
                    <a:blip r:embed="rId45" cstate="print"/>
                    <a:stretch>
                      <a:fillRect/>
                    </a:stretch>
                  </pic:blipFill>
                  <pic:spPr>
                    <a:xfrm>
                      <a:off x="0" y="0"/>
                      <a:ext cx="2650012" cy="1983104"/>
                    </a:xfrm>
                    <a:prstGeom prst="rect">
                      <a:avLst/>
                    </a:prstGeom>
                  </pic:spPr>
                </pic:pic>
              </a:graphicData>
            </a:graphic>
          </wp:inline>
        </w:drawing>
      </w:r>
      <w:r>
        <w:rPr>
          <w:position w:val="3"/>
        </w:rPr>
      </w:r>
      <w:r>
        <w:rPr>
          <w:position w:val="3"/>
        </w:rPr>
        <w:tab/>
      </w:r>
      <w:r>
        <w:rPr/>
        <w:drawing>
          <wp:inline distT="0" distB="0" distL="0" distR="0">
            <wp:extent cx="2661671" cy="1997583"/>
            <wp:effectExtent l="0" t="0" r="0" b="0"/>
            <wp:docPr id="19" name="image23.png" descr=""/>
            <wp:cNvGraphicFramePr>
              <a:graphicFrameLocks noChangeAspect="1"/>
            </wp:cNvGraphicFramePr>
            <a:graphic>
              <a:graphicData uri="http://schemas.openxmlformats.org/drawingml/2006/picture">
                <pic:pic>
                  <pic:nvPicPr>
                    <pic:cNvPr id="20" name="image23.png"/>
                    <pic:cNvPicPr/>
                  </pic:nvPicPr>
                  <pic:blipFill>
                    <a:blip r:embed="rId46" cstate="print"/>
                    <a:stretch>
                      <a:fillRect/>
                    </a:stretch>
                  </pic:blipFill>
                  <pic:spPr>
                    <a:xfrm>
                      <a:off x="0" y="0"/>
                      <a:ext cx="2661671" cy="1997583"/>
                    </a:xfrm>
                    <a:prstGeom prst="rect">
                      <a:avLst/>
                    </a:prstGeom>
                  </pic:spPr>
                </pic:pic>
              </a:graphicData>
            </a:graphic>
          </wp:inline>
        </w:drawing>
      </w:r>
      <w:r>
        <w:rPr/>
      </w:r>
    </w:p>
    <w:p>
      <w:pPr>
        <w:tabs>
          <w:tab w:pos="7132" w:val="left" w:leader="none"/>
        </w:tabs>
        <w:spacing w:before="107"/>
        <w:ind w:left="2769" w:right="0" w:firstLine="0"/>
        <w:jc w:val="left"/>
        <w:rPr>
          <w:sz w:val="18"/>
        </w:rPr>
      </w:pPr>
      <w:r>
        <w:rPr>
          <w:color w:val="231F20"/>
          <w:position w:val="1"/>
          <w:sz w:val="18"/>
        </w:rPr>
        <w:t>Figura</w:t>
      </w:r>
      <w:r>
        <w:rPr>
          <w:color w:val="231F20"/>
          <w:spacing w:val="23"/>
          <w:position w:val="1"/>
          <w:sz w:val="18"/>
        </w:rPr>
        <w:t> </w:t>
      </w:r>
      <w:r>
        <w:rPr>
          <w:color w:val="231F20"/>
          <w:position w:val="1"/>
          <w:sz w:val="18"/>
        </w:rPr>
        <w:t>9.  </w:t>
      </w:r>
      <w:r>
        <w:rPr>
          <w:color w:val="231F20"/>
          <w:spacing w:val="7"/>
          <w:position w:val="1"/>
          <w:sz w:val="18"/>
        </w:rPr>
        <w:t> </w:t>
      </w:r>
      <w:r>
        <w:rPr>
          <w:color w:val="231F20"/>
          <w:position w:val="1"/>
          <w:sz w:val="18"/>
        </w:rPr>
        <w:t>Reemplazos.</w:t>
        <w:tab/>
      </w:r>
      <w:r>
        <w:rPr>
          <w:color w:val="231F20"/>
          <w:sz w:val="18"/>
        </w:rPr>
        <w:t>Figura </w:t>
      </w:r>
      <w:r>
        <w:rPr>
          <w:color w:val="231F20"/>
          <w:spacing w:val="-3"/>
          <w:sz w:val="18"/>
        </w:rPr>
        <w:t>10.   </w:t>
      </w:r>
      <w:r>
        <w:rPr>
          <w:color w:val="231F20"/>
          <w:sz w:val="18"/>
        </w:rPr>
        <w:t>Mastitis</w:t>
      </w:r>
      <w:r>
        <w:rPr>
          <w:color w:val="231F20"/>
          <w:spacing w:val="39"/>
          <w:sz w:val="18"/>
        </w:rPr>
        <w:t> </w:t>
      </w:r>
      <w:r>
        <w:rPr>
          <w:color w:val="231F20"/>
          <w:sz w:val="18"/>
        </w:rPr>
        <w:t>subclínica.</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34"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7"/>
          <w:sz w:val="22"/>
        </w:rPr>
        <w:t>27</w:t>
      </w:r>
    </w:p>
    <w:p>
      <w:pPr>
        <w:spacing w:after="0"/>
        <w:jc w:val="left"/>
        <w:rPr>
          <w:sz w:val="22"/>
        </w:rPr>
        <w:sectPr>
          <w:pgSz w:w="11900" w:h="14450"/>
          <w:pgMar w:header="0" w:footer="222" w:top="420" w:bottom="420" w:left="0" w:right="0"/>
        </w:sectPr>
      </w:pPr>
    </w:p>
    <w:p>
      <w:pPr>
        <w:pStyle w:val="BodyText"/>
      </w:pPr>
    </w:p>
    <w:p>
      <w:pPr>
        <w:pStyle w:val="BodyText"/>
        <w:spacing w:before="8" w:after="1"/>
        <w:rPr>
          <w:sz w:val="11"/>
        </w:rPr>
      </w:pPr>
    </w:p>
    <w:p>
      <w:pPr>
        <w:pStyle w:val="BodyText"/>
        <w:ind w:left="1553" w:right="-16"/>
      </w:pPr>
      <w:r>
        <w:rPr/>
        <w:drawing>
          <wp:inline distT="0" distB="0" distL="0" distR="0">
            <wp:extent cx="2630900" cy="1972532"/>
            <wp:effectExtent l="0" t="0" r="0" b="0"/>
            <wp:docPr id="21" name="image24.png" descr=""/>
            <wp:cNvGraphicFramePr>
              <a:graphicFrameLocks noChangeAspect="1"/>
            </wp:cNvGraphicFramePr>
            <a:graphic>
              <a:graphicData uri="http://schemas.openxmlformats.org/drawingml/2006/picture">
                <pic:pic>
                  <pic:nvPicPr>
                    <pic:cNvPr id="22" name="image24.png"/>
                    <pic:cNvPicPr/>
                  </pic:nvPicPr>
                  <pic:blipFill>
                    <a:blip r:embed="rId47" cstate="print"/>
                    <a:stretch>
                      <a:fillRect/>
                    </a:stretch>
                  </pic:blipFill>
                  <pic:spPr>
                    <a:xfrm>
                      <a:off x="0" y="0"/>
                      <a:ext cx="2630900" cy="1972532"/>
                    </a:xfrm>
                    <a:prstGeom prst="rect">
                      <a:avLst/>
                    </a:prstGeom>
                  </pic:spPr>
                </pic:pic>
              </a:graphicData>
            </a:graphic>
          </wp:inline>
        </w:drawing>
      </w:r>
      <w:r>
        <w:rPr/>
      </w:r>
    </w:p>
    <w:p>
      <w:pPr>
        <w:pStyle w:val="BodyText"/>
        <w:spacing w:before="5"/>
        <w:rPr>
          <w:sz w:val="13"/>
        </w:rPr>
      </w:pPr>
    </w:p>
    <w:p>
      <w:pPr>
        <w:spacing w:before="0"/>
        <w:ind w:left="2313" w:right="0" w:firstLine="0"/>
        <w:jc w:val="left"/>
        <w:rPr>
          <w:sz w:val="18"/>
        </w:rPr>
      </w:pPr>
      <w:r>
        <w:rPr>
          <w:color w:val="231F20"/>
          <w:sz w:val="18"/>
        </w:rPr>
        <w:t>Figura  11.   Lesión  por tuberculosis.</w:t>
      </w:r>
    </w:p>
    <w:p>
      <w:pPr>
        <w:pStyle w:val="BodyText"/>
        <w:rPr>
          <w:sz w:val="18"/>
        </w:rPr>
      </w:pPr>
    </w:p>
    <w:p>
      <w:pPr>
        <w:pStyle w:val="BodyText"/>
        <w:spacing w:before="6"/>
        <w:rPr>
          <w:sz w:val="16"/>
        </w:rPr>
      </w:pPr>
    </w:p>
    <w:p>
      <w:pPr>
        <w:pStyle w:val="BodyText"/>
        <w:spacing w:line="254" w:lineRule="auto"/>
        <w:ind w:left="1553"/>
        <w:jc w:val="both"/>
      </w:pPr>
      <w:r>
        <w:rPr>
          <w:color w:val="231F20"/>
        </w:rPr>
        <w:t>puede apreciarse por la reducción en el conteni-  do de grasa, caseína y  lactosa,  y  el  incremento en proteínas provenientes de inmunoglobulinas y seroglobulinas; asimismo, aumentan el cloruro de sodio y el bicarbonato (Schalm </w:t>
      </w:r>
      <w:r>
        <w:rPr>
          <w:i/>
          <w:color w:val="231F20"/>
        </w:rPr>
        <w:t>et al</w:t>
      </w:r>
      <w:r>
        <w:rPr>
          <w:color w:val="231F20"/>
        </w:rPr>
        <w:t>.,    </w:t>
      </w:r>
      <w:r>
        <w:rPr>
          <w:color w:val="231F20"/>
          <w:spacing w:val="7"/>
        </w:rPr>
        <w:t> </w:t>
      </w:r>
      <w:r>
        <w:rPr>
          <w:color w:val="231F20"/>
          <w:spacing w:val="-3"/>
        </w:rPr>
        <w:t>2001).</w:t>
      </w:r>
    </w:p>
    <w:p>
      <w:pPr>
        <w:pStyle w:val="BodyText"/>
        <w:spacing w:line="254" w:lineRule="auto" w:before="114"/>
        <w:ind w:left="1553"/>
        <w:jc w:val="both"/>
      </w:pPr>
      <w:r>
        <w:rPr>
          <w:color w:val="231F20"/>
        </w:rPr>
        <w:t>Para el control de la mastitis se requiere conocer, por lo menos:</w:t>
      </w:r>
    </w:p>
    <w:p>
      <w:pPr>
        <w:pStyle w:val="ListParagraph"/>
        <w:numPr>
          <w:ilvl w:val="0"/>
          <w:numId w:val="5"/>
        </w:numPr>
        <w:tabs>
          <w:tab w:pos="1837" w:val="left" w:leader="none"/>
          <w:tab w:pos="1838" w:val="left" w:leader="none"/>
        </w:tabs>
        <w:spacing w:line="254" w:lineRule="auto" w:before="114" w:after="0"/>
        <w:ind w:left="1837" w:right="0" w:hanging="284"/>
        <w:jc w:val="left"/>
        <w:rPr>
          <w:sz w:val="20"/>
        </w:rPr>
      </w:pPr>
      <w:r>
        <w:rPr>
          <w:color w:val="231F20"/>
          <w:sz w:val="20"/>
        </w:rPr>
        <w:t>La frecuencia, la gravedad y los microorganis- mos prevalentes en los cuadros  </w:t>
      </w:r>
      <w:r>
        <w:rPr>
          <w:color w:val="231F20"/>
          <w:spacing w:val="2"/>
          <w:sz w:val="20"/>
        </w:rPr>
        <w:t> </w:t>
      </w:r>
      <w:r>
        <w:rPr>
          <w:color w:val="231F20"/>
          <w:sz w:val="20"/>
        </w:rPr>
        <w:t>clínicos.</w:t>
      </w:r>
    </w:p>
    <w:p>
      <w:pPr>
        <w:pStyle w:val="ListParagraph"/>
        <w:numPr>
          <w:ilvl w:val="0"/>
          <w:numId w:val="5"/>
        </w:numPr>
        <w:tabs>
          <w:tab w:pos="1837" w:val="left" w:leader="none"/>
          <w:tab w:pos="1838" w:val="left" w:leader="none"/>
        </w:tabs>
        <w:spacing w:line="254" w:lineRule="auto" w:before="114" w:after="0"/>
        <w:ind w:left="1837" w:right="0" w:hanging="284"/>
        <w:jc w:val="left"/>
        <w:rPr>
          <w:sz w:val="20"/>
        </w:rPr>
      </w:pPr>
      <w:r>
        <w:rPr>
          <w:color w:val="231F20"/>
          <w:sz w:val="20"/>
        </w:rPr>
        <w:t>Dónde y cuándo se están dando las infeccio- nes  glandulares  (Fig.</w:t>
      </w:r>
      <w:r>
        <w:rPr>
          <w:color w:val="231F20"/>
          <w:spacing w:val="13"/>
          <w:sz w:val="20"/>
        </w:rPr>
        <w:t> </w:t>
      </w:r>
      <w:r>
        <w:rPr>
          <w:color w:val="231F20"/>
          <w:spacing w:val="-3"/>
          <w:sz w:val="20"/>
        </w:rPr>
        <w:t>12).</w:t>
      </w:r>
    </w:p>
    <w:p>
      <w:pPr>
        <w:pStyle w:val="BodyText"/>
        <w:spacing w:before="3"/>
        <w:rPr>
          <w:sz w:val="28"/>
        </w:rPr>
      </w:pPr>
      <w:r>
        <w:rPr/>
        <w:br w:type="column"/>
      </w:r>
      <w:r>
        <w:rPr>
          <w:sz w:val="28"/>
        </w:rPr>
      </w:r>
    </w:p>
    <w:p>
      <w:pPr>
        <w:pStyle w:val="BodyText"/>
        <w:spacing w:line="273" w:lineRule="auto"/>
        <w:ind w:left="413" w:right="1551"/>
        <w:jc w:val="both"/>
      </w:pPr>
      <w:r>
        <w:rPr>
          <w:color w:val="231F20"/>
        </w:rPr>
        <w:t>Por lo anterior, tienen que conocerse y evaluarse las condiciones ambientales del lugar donde se aloja el ganado y donde se realiza la práctica de ordeño, así como el material y los métodos aplica- dos en este proceso de producción (Fig.     13).</w:t>
      </w:r>
    </w:p>
    <w:p>
      <w:pPr>
        <w:pStyle w:val="BodyText"/>
        <w:spacing w:line="273" w:lineRule="auto" w:before="113"/>
        <w:ind w:left="413" w:right="1551"/>
        <w:jc w:val="both"/>
      </w:pPr>
      <w:r>
        <w:rPr>
          <w:color w:val="231F20"/>
        </w:rPr>
        <w:t>En estudios realizados en la zona de Martínez de   la </w:t>
      </w:r>
      <w:r>
        <w:rPr>
          <w:color w:val="231F20"/>
          <w:spacing w:val="-4"/>
        </w:rPr>
        <w:t>Torre, </w:t>
      </w:r>
      <w:r>
        <w:rPr>
          <w:color w:val="231F20"/>
        </w:rPr>
        <w:t>Veracruz, México, a finales del decenio 1980-1989, se encontró que de los ranchos en pequeña escala donde ordeñan vacas el 73,0% reciben al ganado en un área no pavimentada, donde en época de lluvias el 64,0% de las insta- laciones estaban sucias y húmedas. Esta situación predispone a pezones sucios y contaminados con microrganismos que pueden infectar la glándula mamaria. Es muy importante no perder de vista que una de las metas a lograr en la administración de la unidad ganadera es mantener las instalacio- nes para el ganado en condiciones limpias y secas, ya que de lo contrario es muy posible que la fre- cuencia de mastitis sea bastante </w:t>
      </w:r>
      <w:r>
        <w:rPr>
          <w:color w:val="231F20"/>
          <w:spacing w:val="2"/>
        </w:rPr>
        <w:t> </w:t>
      </w:r>
      <w:r>
        <w:rPr>
          <w:color w:val="231F20"/>
        </w:rPr>
        <w:t>alta.</w:t>
      </w:r>
    </w:p>
    <w:p>
      <w:pPr>
        <w:pStyle w:val="BodyText"/>
        <w:spacing w:line="273" w:lineRule="auto" w:before="113"/>
        <w:ind w:left="413" w:right="1551"/>
        <w:jc w:val="both"/>
      </w:pPr>
      <w:r>
        <w:rPr>
          <w:color w:val="231F20"/>
        </w:rPr>
        <w:t>En las regiones tropicales húmedas y con lluvias durante todo el año, la prevalencia de la mastitis subclínica en las diferentes épocas del año varió del </w:t>
      </w:r>
      <w:r>
        <w:rPr>
          <w:color w:val="231F20"/>
          <w:spacing w:val="-6"/>
        </w:rPr>
        <w:t>27,0% </w:t>
      </w:r>
      <w:r>
        <w:rPr>
          <w:color w:val="231F20"/>
        </w:rPr>
        <w:t>en primavera al 50,0% en invierno,  y  esta frecuencia aumentaba de manera   </w:t>
      </w:r>
      <w:r>
        <w:rPr>
          <w:color w:val="231F20"/>
          <w:spacing w:val="18"/>
        </w:rPr>
        <w:t> </w:t>
      </w:r>
      <w:r>
        <w:rPr>
          <w:color w:val="231F20"/>
        </w:rPr>
        <w:t>significati-</w:t>
      </w:r>
    </w:p>
    <w:p>
      <w:pPr>
        <w:spacing w:after="0" w:line="273"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6"/>
        <w:rPr>
          <w:sz w:val="19"/>
        </w:rPr>
      </w:pPr>
    </w:p>
    <w:p>
      <w:pPr>
        <w:pStyle w:val="BodyText"/>
        <w:tabs>
          <w:tab w:pos="6174" w:val="left" w:leader="none"/>
        </w:tabs>
        <w:ind w:left="1553"/>
      </w:pPr>
      <w:r>
        <w:rPr>
          <w:position w:val="4"/>
        </w:rPr>
        <w:drawing>
          <wp:inline distT="0" distB="0" distL="0" distR="0">
            <wp:extent cx="2637928" cy="1973961"/>
            <wp:effectExtent l="0" t="0" r="0" b="0"/>
            <wp:docPr id="23" name="image25.png" descr=""/>
            <wp:cNvGraphicFramePr>
              <a:graphicFrameLocks noChangeAspect="1"/>
            </wp:cNvGraphicFramePr>
            <a:graphic>
              <a:graphicData uri="http://schemas.openxmlformats.org/drawingml/2006/picture">
                <pic:pic>
                  <pic:nvPicPr>
                    <pic:cNvPr id="24" name="image25.png"/>
                    <pic:cNvPicPr/>
                  </pic:nvPicPr>
                  <pic:blipFill>
                    <a:blip r:embed="rId48" cstate="print"/>
                    <a:stretch>
                      <a:fillRect/>
                    </a:stretch>
                  </pic:blipFill>
                  <pic:spPr>
                    <a:xfrm>
                      <a:off x="0" y="0"/>
                      <a:ext cx="2637928" cy="1973961"/>
                    </a:xfrm>
                    <a:prstGeom prst="rect">
                      <a:avLst/>
                    </a:prstGeom>
                  </pic:spPr>
                </pic:pic>
              </a:graphicData>
            </a:graphic>
          </wp:inline>
        </w:drawing>
      </w:r>
      <w:r>
        <w:rPr>
          <w:position w:val="4"/>
        </w:rPr>
      </w:r>
      <w:r>
        <w:rPr>
          <w:position w:val="4"/>
        </w:rPr>
        <w:tab/>
      </w:r>
      <w:r>
        <w:rPr/>
        <w:drawing>
          <wp:inline distT="0" distB="0" distL="0" distR="0">
            <wp:extent cx="2676094" cy="2002536"/>
            <wp:effectExtent l="0" t="0" r="0" b="0"/>
            <wp:docPr id="25" name="image26.png" descr=""/>
            <wp:cNvGraphicFramePr>
              <a:graphicFrameLocks noChangeAspect="1"/>
            </wp:cNvGraphicFramePr>
            <a:graphic>
              <a:graphicData uri="http://schemas.openxmlformats.org/drawingml/2006/picture">
                <pic:pic>
                  <pic:nvPicPr>
                    <pic:cNvPr id="26" name="image26.png"/>
                    <pic:cNvPicPr/>
                  </pic:nvPicPr>
                  <pic:blipFill>
                    <a:blip r:embed="rId49" cstate="print"/>
                    <a:stretch>
                      <a:fillRect/>
                    </a:stretch>
                  </pic:blipFill>
                  <pic:spPr>
                    <a:xfrm>
                      <a:off x="0" y="0"/>
                      <a:ext cx="2676094" cy="2002536"/>
                    </a:xfrm>
                    <a:prstGeom prst="rect">
                      <a:avLst/>
                    </a:prstGeom>
                  </pic:spPr>
                </pic:pic>
              </a:graphicData>
            </a:graphic>
          </wp:inline>
        </w:drawing>
      </w:r>
      <w:r>
        <w:rPr/>
      </w:r>
    </w:p>
    <w:p>
      <w:pPr>
        <w:spacing w:before="109"/>
        <w:ind w:left="2389" w:right="0" w:firstLine="0"/>
        <w:jc w:val="left"/>
        <w:rPr>
          <w:sz w:val="18"/>
        </w:rPr>
      </w:pPr>
      <w:r>
        <w:rPr>
          <w:color w:val="231F20"/>
          <w:sz w:val="18"/>
        </w:rPr>
        <w:t>Figura 12.        Frecuencia, gravedad y ambiente donde se presentan los casos clínicos de mastitis.</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spacing w:val="-3"/>
          <w:w w:val="120"/>
          <w:sz w:val="22"/>
        </w:rPr>
        <w:t>28</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5"/>
        <w:rPr>
          <w:sz w:val="28"/>
        </w:rPr>
      </w:pPr>
      <w:r>
        <w:rPr/>
        <w:drawing>
          <wp:anchor distT="0" distB="0" distL="0" distR="0" allowOverlap="1" layoutInCell="1" locked="0" behindDoc="0" simplePos="0" relativeHeight="1528">
            <wp:simplePos x="0" y="0"/>
            <wp:positionH relativeFrom="page">
              <wp:posOffset>986701</wp:posOffset>
            </wp:positionH>
            <wp:positionV relativeFrom="paragraph">
              <wp:posOffset>244997</wp:posOffset>
            </wp:positionV>
            <wp:extent cx="2629886" cy="2008536"/>
            <wp:effectExtent l="0" t="0" r="0" b="0"/>
            <wp:wrapTopAndBottom/>
            <wp:docPr id="27" name="image27.png" descr=""/>
            <wp:cNvGraphicFramePr>
              <a:graphicFrameLocks noChangeAspect="1"/>
            </wp:cNvGraphicFramePr>
            <a:graphic>
              <a:graphicData uri="http://schemas.openxmlformats.org/drawingml/2006/picture">
                <pic:pic>
                  <pic:nvPicPr>
                    <pic:cNvPr id="28" name="image27.png"/>
                    <pic:cNvPicPr/>
                  </pic:nvPicPr>
                  <pic:blipFill>
                    <a:blip r:embed="rId50" cstate="print"/>
                    <a:stretch>
                      <a:fillRect/>
                    </a:stretch>
                  </pic:blipFill>
                  <pic:spPr>
                    <a:xfrm>
                      <a:off x="0" y="0"/>
                      <a:ext cx="2629886" cy="2008536"/>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3920700</wp:posOffset>
            </wp:positionH>
            <wp:positionV relativeFrom="paragraph">
              <wp:posOffset>244971</wp:posOffset>
            </wp:positionV>
            <wp:extent cx="2609254" cy="1992820"/>
            <wp:effectExtent l="0" t="0" r="0" b="0"/>
            <wp:wrapTopAndBottom/>
            <wp:docPr id="29" name="image28.png" descr=""/>
            <wp:cNvGraphicFramePr>
              <a:graphicFrameLocks noChangeAspect="1"/>
            </wp:cNvGraphicFramePr>
            <a:graphic>
              <a:graphicData uri="http://schemas.openxmlformats.org/drawingml/2006/picture">
                <pic:pic>
                  <pic:nvPicPr>
                    <pic:cNvPr id="30" name="image28.png"/>
                    <pic:cNvPicPr/>
                  </pic:nvPicPr>
                  <pic:blipFill>
                    <a:blip r:embed="rId51" cstate="print"/>
                    <a:stretch>
                      <a:fillRect/>
                    </a:stretch>
                  </pic:blipFill>
                  <pic:spPr>
                    <a:xfrm>
                      <a:off x="0" y="0"/>
                      <a:ext cx="2609254" cy="1992820"/>
                    </a:xfrm>
                    <a:prstGeom prst="rect">
                      <a:avLst/>
                    </a:prstGeom>
                  </pic:spPr>
                </pic:pic>
              </a:graphicData>
            </a:graphic>
          </wp:anchor>
        </w:drawing>
      </w:r>
    </w:p>
    <w:p>
      <w:pPr>
        <w:spacing w:before="135"/>
        <w:ind w:left="3597" w:right="2503" w:firstLine="0"/>
        <w:jc w:val="left"/>
        <w:rPr>
          <w:sz w:val="18"/>
        </w:rPr>
      </w:pPr>
      <w:r>
        <w:rPr>
          <w:color w:val="231F20"/>
          <w:sz w:val="18"/>
        </w:rPr>
        <w:t>Figura 13.   Modelo de alojamiento: zona y práctica de    ordeño.</w:t>
      </w:r>
    </w:p>
    <w:p>
      <w:pPr>
        <w:pStyle w:val="BodyText"/>
        <w:spacing w:before="4"/>
        <w:rPr>
          <w:sz w:val="24"/>
        </w:rPr>
      </w:pPr>
    </w:p>
    <w:p>
      <w:pPr>
        <w:spacing w:after="0"/>
        <w:rPr>
          <w:sz w:val="24"/>
        </w:rPr>
        <w:sectPr>
          <w:pgSz w:w="11900" w:h="14450"/>
          <w:pgMar w:header="0" w:footer="222" w:top="420" w:bottom="420" w:left="0" w:right="0"/>
        </w:sectPr>
      </w:pPr>
    </w:p>
    <w:p>
      <w:pPr>
        <w:pStyle w:val="BodyText"/>
        <w:spacing w:line="254" w:lineRule="auto" w:before="67"/>
        <w:ind w:left="1553"/>
        <w:jc w:val="both"/>
      </w:pPr>
      <w:r>
        <w:rPr>
          <w:color w:val="231F20"/>
          <w:w w:val="105"/>
        </w:rPr>
        <w:t>va (p &lt;0,01) conforme pasaba el tiempo después </w:t>
      </w:r>
      <w:r>
        <w:rPr>
          <w:color w:val="231F20"/>
        </w:rPr>
        <w:t>del parto.</w:t>
      </w:r>
    </w:p>
    <w:p>
      <w:pPr>
        <w:pStyle w:val="BodyText"/>
        <w:spacing w:line="254" w:lineRule="auto" w:before="114"/>
        <w:ind w:left="1553"/>
        <w:jc w:val="both"/>
      </w:pPr>
      <w:r>
        <w:rPr>
          <w:color w:val="231F20"/>
        </w:rPr>
        <w:t>En ranchos donde se practicaba el ordeño manual, con deficiencias en cuanto a método de ordeño      y a prácticas sanitarias, con frecuencia se aislaron </w:t>
      </w:r>
      <w:r>
        <w:rPr>
          <w:i/>
          <w:color w:val="231F20"/>
        </w:rPr>
        <w:t>Corynebacterium bovis </w:t>
      </w:r>
      <w:r>
        <w:rPr>
          <w:color w:val="231F20"/>
        </w:rPr>
        <w:t>y </w:t>
      </w:r>
      <w:r>
        <w:rPr>
          <w:i/>
          <w:color w:val="231F20"/>
        </w:rPr>
        <w:t>Staphylococcus </w:t>
      </w:r>
      <w:r>
        <w:rPr>
          <w:color w:val="231F20"/>
        </w:rPr>
        <w:t>spp. en muestras de leche, en tanto que en ranchos don- de el ordeño se realizaba de manera mecánica los microorganismos prevalentes resultaron ser </w:t>
      </w:r>
      <w:r>
        <w:rPr>
          <w:i/>
          <w:color w:val="231F20"/>
        </w:rPr>
        <w:t>Strep- </w:t>
      </w:r>
      <w:r>
        <w:rPr>
          <w:i/>
          <w:color w:val="231F20"/>
        </w:rPr>
        <w:t>tococcus </w:t>
      </w:r>
      <w:r>
        <w:rPr>
          <w:color w:val="231F20"/>
        </w:rPr>
        <w:t>spp. (Ávila </w:t>
      </w:r>
      <w:r>
        <w:rPr>
          <w:i/>
          <w:color w:val="231F20"/>
        </w:rPr>
        <w:t>et al</w:t>
      </w:r>
      <w:r>
        <w:rPr>
          <w:color w:val="231F20"/>
        </w:rPr>
        <w:t>.,   </w:t>
      </w:r>
      <w:r>
        <w:rPr>
          <w:color w:val="231F20"/>
          <w:spacing w:val="5"/>
        </w:rPr>
        <w:t> </w:t>
      </w:r>
      <w:r>
        <w:rPr>
          <w:color w:val="231F20"/>
        </w:rPr>
        <w:t>2002).</w:t>
      </w:r>
    </w:p>
    <w:p>
      <w:pPr>
        <w:pStyle w:val="BodyText"/>
        <w:spacing w:line="254" w:lineRule="auto" w:before="114"/>
        <w:ind w:left="1553"/>
        <w:jc w:val="both"/>
      </w:pPr>
      <w:r>
        <w:rPr>
          <w:color w:val="231F20"/>
        </w:rPr>
        <w:t>En las regiones tropicales húmedas de México, la leche se obtiene de las ubres principalmente me- diante ordeño manual, empleando los métodos conocidos como “puño </w:t>
      </w:r>
      <w:r>
        <w:rPr>
          <w:color w:val="231F20"/>
          <w:spacing w:val="-3"/>
        </w:rPr>
        <w:t>lleno”, </w:t>
      </w:r>
      <w:r>
        <w:rPr>
          <w:color w:val="231F20"/>
        </w:rPr>
        <w:t>“pulgar” y</w:t>
      </w:r>
      <w:r>
        <w:rPr>
          <w:color w:val="231F20"/>
          <w:spacing w:val="-3"/>
        </w:rPr>
        <w:t> </w:t>
      </w:r>
      <w:r>
        <w:rPr>
          <w:color w:val="231F20"/>
        </w:rPr>
        <w:t>“pellizco”; a medida que el número de vacas a ordeñar por hombre aumenta, el trabajador combina las for- mas de ordeño, y el segundo método, cuando se practica en forma repetida, ocasiona deformacio- nes y lesiones de los pezones que predisponen a    la presentación de</w:t>
      </w:r>
      <w:r>
        <w:rPr>
          <w:color w:val="231F20"/>
          <w:spacing w:val="23"/>
        </w:rPr>
        <w:t> </w:t>
      </w:r>
      <w:r>
        <w:rPr>
          <w:color w:val="231F20"/>
        </w:rPr>
        <w:t>mastitis.</w:t>
      </w:r>
    </w:p>
    <w:p>
      <w:pPr>
        <w:pStyle w:val="BodyText"/>
      </w:pPr>
    </w:p>
    <w:p>
      <w:pPr>
        <w:pStyle w:val="BodyText"/>
        <w:spacing w:before="154"/>
        <w:ind w:left="1553"/>
        <w:jc w:val="both"/>
      </w:pPr>
      <w:r>
        <w:rPr>
          <w:color w:val="231F20"/>
          <w:w w:val="110"/>
        </w:rPr>
        <w:t>FACTORES RELACIONADOS CON LA  MASTITIS</w:t>
      </w:r>
    </w:p>
    <w:p>
      <w:pPr>
        <w:pStyle w:val="BodyText"/>
        <w:spacing w:before="11"/>
        <w:rPr>
          <w:sz w:val="19"/>
        </w:rPr>
      </w:pPr>
    </w:p>
    <w:p>
      <w:pPr>
        <w:spacing w:before="0"/>
        <w:ind w:left="1553" w:right="0" w:firstLine="0"/>
        <w:jc w:val="both"/>
        <w:rPr>
          <w:rFonts w:ascii="Cambria" w:hAnsi="Cambria"/>
          <w:i/>
          <w:sz w:val="20"/>
        </w:rPr>
      </w:pPr>
      <w:r>
        <w:rPr>
          <w:rFonts w:ascii="Cambria" w:hAnsi="Cambria"/>
          <w:i/>
          <w:color w:val="231F20"/>
          <w:w w:val="105"/>
          <w:sz w:val="20"/>
        </w:rPr>
        <w:t>Factores genéticos</w:t>
      </w:r>
    </w:p>
    <w:p>
      <w:pPr>
        <w:pStyle w:val="BodyText"/>
        <w:spacing w:line="254" w:lineRule="auto" w:before="138"/>
        <w:ind w:left="1553"/>
        <w:jc w:val="both"/>
      </w:pPr>
      <w:r>
        <w:rPr>
          <w:color w:val="231F20"/>
        </w:rPr>
        <w:t>Entre los factores relacionados con este padeci- miento  están  los  genéticos.  Es  un  hecho  que al-</w:t>
      </w:r>
    </w:p>
    <w:p>
      <w:pPr>
        <w:pStyle w:val="BodyText"/>
        <w:spacing w:line="276" w:lineRule="auto" w:before="67"/>
        <w:ind w:left="413" w:right="1551"/>
        <w:jc w:val="both"/>
      </w:pPr>
      <w:r>
        <w:rPr/>
        <w:br w:type="column"/>
      </w:r>
      <w:r>
        <w:rPr>
          <w:color w:val="231F20"/>
        </w:rPr>
        <w:t>gunas vacas presentan mayor susceptibilidad a la mastitis que otras. La resistencia de los animales a las diferentes causas de mastitis es cualidad here- dable relacionada con factores físicos, químicos y biológicos  (Jubb  </w:t>
      </w:r>
      <w:r>
        <w:rPr>
          <w:i/>
          <w:color w:val="231F20"/>
        </w:rPr>
        <w:t>et  al</w:t>
      </w:r>
      <w:r>
        <w:rPr>
          <w:color w:val="231F20"/>
        </w:rPr>
        <w:t>., 1995).</w:t>
      </w:r>
    </w:p>
    <w:p>
      <w:pPr>
        <w:pStyle w:val="BodyText"/>
        <w:spacing w:line="276" w:lineRule="auto" w:before="113"/>
        <w:ind w:left="413" w:right="1551"/>
        <w:jc w:val="both"/>
      </w:pPr>
      <w:r>
        <w:rPr>
          <w:color w:val="231F20"/>
        </w:rPr>
        <w:t>Los factores estructurales de la piel, el meato y el canal del pezón son importantes en la regulación de la entrada de microorganismos; es obvio que    al estar la piel del pezón dañada, y cuanto menos uniforme esté el área del ápice, mayor es el riesgo de acumulación de material contaminante y hay más posibilidades para el establecimiento de mi- croorganismos  (Fig.</w:t>
      </w:r>
      <w:r>
        <w:rPr>
          <w:color w:val="231F20"/>
          <w:spacing w:val="41"/>
        </w:rPr>
        <w:t> </w:t>
      </w:r>
      <w:r>
        <w:rPr>
          <w:color w:val="231F20"/>
          <w:spacing w:val="-3"/>
        </w:rPr>
        <w:t>14).</w:t>
      </w:r>
    </w:p>
    <w:p>
      <w:pPr>
        <w:pStyle w:val="BodyText"/>
        <w:spacing w:line="276" w:lineRule="auto" w:before="113"/>
        <w:ind w:left="413" w:right="1551"/>
        <w:jc w:val="both"/>
      </w:pPr>
      <w:r>
        <w:rPr>
          <w:color w:val="231F20"/>
        </w:rPr>
        <w:t>Algunos autores afirman que si el tono de las estructuras anatómicas de la apertura del pezón   es reducido, lo cual es un carácter heredable, la resistencia a la entrada de microorganismos será menor, y seleccionando genéticamente vacas con un diámetro pequeño del canal del pezón la fre- cuencia de mastitis disminuirá (Dodd y Neave, </w:t>
      </w:r>
      <w:r>
        <w:rPr>
          <w:color w:val="231F20"/>
          <w:spacing w:val="-3"/>
        </w:rPr>
        <w:t>1951; </w:t>
      </w:r>
      <w:r>
        <w:rPr>
          <w:color w:val="231F20"/>
        </w:rPr>
        <w:t>McDonald,  </w:t>
      </w:r>
      <w:r>
        <w:rPr>
          <w:color w:val="231F20"/>
          <w:spacing w:val="-3"/>
        </w:rPr>
        <w:t>2007).  </w:t>
      </w:r>
      <w:r>
        <w:rPr>
          <w:color w:val="231F20"/>
        </w:rPr>
        <w:t>Sin  embargo,  el  tono  del pezón determina  la  velocidad  de  ordeño  de la vaca. Mientras más fuerte sea al tono, menor    es la velocidad de ordeño. Esto no concuerda con los esquemas actuales de manejo en la  </w:t>
      </w:r>
      <w:r>
        <w:rPr>
          <w:color w:val="231F20"/>
          <w:spacing w:val="15"/>
        </w:rPr>
        <w:t> </w:t>
      </w:r>
      <w:r>
        <w:rPr>
          <w:color w:val="231F20"/>
        </w:rPr>
        <w:t>ganadería,</w:t>
      </w:r>
    </w:p>
    <w:p>
      <w:pPr>
        <w:spacing w:after="0" w:line="27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4"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7"/>
          <w:sz w:val="22"/>
        </w:rPr>
        <w:t>29</w:t>
      </w:r>
    </w:p>
    <w:p>
      <w:pPr>
        <w:pStyle w:val="BodyText"/>
        <w:spacing w:before="5"/>
        <w:rPr>
          <w:sz w:val="28"/>
        </w:rPr>
      </w:pPr>
      <w:r>
        <w:rPr/>
        <w:drawing>
          <wp:anchor distT="0" distB="0" distL="0" distR="0" allowOverlap="1" layoutInCell="1" locked="0" behindDoc="0" simplePos="0" relativeHeight="1576">
            <wp:simplePos x="0" y="0"/>
            <wp:positionH relativeFrom="page">
              <wp:posOffset>986701</wp:posOffset>
            </wp:positionH>
            <wp:positionV relativeFrom="paragraph">
              <wp:posOffset>244986</wp:posOffset>
            </wp:positionV>
            <wp:extent cx="1805616" cy="1661160"/>
            <wp:effectExtent l="0" t="0" r="0" b="0"/>
            <wp:wrapTopAndBottom/>
            <wp:docPr id="31" name="image29.png" descr=""/>
            <wp:cNvGraphicFramePr>
              <a:graphicFrameLocks noChangeAspect="1"/>
            </wp:cNvGraphicFramePr>
            <a:graphic>
              <a:graphicData uri="http://schemas.openxmlformats.org/drawingml/2006/picture">
                <pic:pic>
                  <pic:nvPicPr>
                    <pic:cNvPr id="32" name="image29.png"/>
                    <pic:cNvPicPr/>
                  </pic:nvPicPr>
                  <pic:blipFill>
                    <a:blip r:embed="rId52" cstate="print"/>
                    <a:stretch>
                      <a:fillRect/>
                    </a:stretch>
                  </pic:blipFill>
                  <pic:spPr>
                    <a:xfrm>
                      <a:off x="0" y="0"/>
                      <a:ext cx="1805616" cy="1661160"/>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2876702</wp:posOffset>
            </wp:positionH>
            <wp:positionV relativeFrom="paragraph">
              <wp:posOffset>244986</wp:posOffset>
            </wp:positionV>
            <wp:extent cx="1821030" cy="1675352"/>
            <wp:effectExtent l="0" t="0" r="0" b="0"/>
            <wp:wrapTopAndBottom/>
            <wp:docPr id="33" name="image30.png" descr=""/>
            <wp:cNvGraphicFramePr>
              <a:graphicFrameLocks noChangeAspect="1"/>
            </wp:cNvGraphicFramePr>
            <a:graphic>
              <a:graphicData uri="http://schemas.openxmlformats.org/drawingml/2006/picture">
                <pic:pic>
                  <pic:nvPicPr>
                    <pic:cNvPr id="34" name="image30.png"/>
                    <pic:cNvPicPr/>
                  </pic:nvPicPr>
                  <pic:blipFill>
                    <a:blip r:embed="rId53" cstate="print"/>
                    <a:stretch>
                      <a:fillRect/>
                    </a:stretch>
                  </pic:blipFill>
                  <pic:spPr>
                    <a:xfrm>
                      <a:off x="0" y="0"/>
                      <a:ext cx="1821030" cy="1675352"/>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4766703</wp:posOffset>
            </wp:positionH>
            <wp:positionV relativeFrom="paragraph">
              <wp:posOffset>244983</wp:posOffset>
            </wp:positionV>
            <wp:extent cx="1802287" cy="1658112"/>
            <wp:effectExtent l="0" t="0" r="0" b="0"/>
            <wp:wrapTopAndBottom/>
            <wp:docPr id="35" name="image31.png" descr=""/>
            <wp:cNvGraphicFramePr>
              <a:graphicFrameLocks noChangeAspect="1"/>
            </wp:cNvGraphicFramePr>
            <a:graphic>
              <a:graphicData uri="http://schemas.openxmlformats.org/drawingml/2006/picture">
                <pic:pic>
                  <pic:nvPicPr>
                    <pic:cNvPr id="36" name="image31.png"/>
                    <pic:cNvPicPr/>
                  </pic:nvPicPr>
                  <pic:blipFill>
                    <a:blip r:embed="rId54" cstate="print"/>
                    <a:stretch>
                      <a:fillRect/>
                    </a:stretch>
                  </pic:blipFill>
                  <pic:spPr>
                    <a:xfrm>
                      <a:off x="0" y="0"/>
                      <a:ext cx="1802287" cy="1658112"/>
                    </a:xfrm>
                    <a:prstGeom prst="rect">
                      <a:avLst/>
                    </a:prstGeom>
                  </pic:spPr>
                </pic:pic>
              </a:graphicData>
            </a:graphic>
          </wp:anchor>
        </w:drawing>
      </w:r>
    </w:p>
    <w:p>
      <w:pPr>
        <w:spacing w:before="86"/>
        <w:ind w:left="1740" w:right="1740" w:firstLine="0"/>
        <w:jc w:val="center"/>
        <w:rPr>
          <w:sz w:val="18"/>
        </w:rPr>
      </w:pPr>
      <w:r>
        <w:rPr>
          <w:color w:val="231F20"/>
          <w:w w:val="105"/>
          <w:sz w:val="18"/>
        </w:rPr>
        <w:t>Figura 14. Ejemplos de características del ápice del pezón.</w:t>
      </w:r>
    </w:p>
    <w:p>
      <w:pPr>
        <w:pStyle w:val="BodyText"/>
        <w:spacing w:before="4"/>
        <w:rPr>
          <w:sz w:val="24"/>
        </w:rPr>
      </w:pPr>
    </w:p>
    <w:p>
      <w:pPr>
        <w:spacing w:after="0"/>
        <w:rPr>
          <w:sz w:val="24"/>
        </w:rPr>
        <w:sectPr>
          <w:pgSz w:w="11900" w:h="14450"/>
          <w:pgMar w:header="0" w:footer="222" w:top="420" w:bottom="420" w:left="0" w:right="0"/>
        </w:sectPr>
      </w:pPr>
    </w:p>
    <w:p>
      <w:pPr>
        <w:pStyle w:val="BodyText"/>
        <w:spacing w:line="256" w:lineRule="auto" w:before="67"/>
        <w:ind w:left="1553"/>
        <w:jc w:val="both"/>
      </w:pPr>
      <w:r>
        <w:rPr>
          <w:color w:val="231F20"/>
        </w:rPr>
        <w:t>pues se busca agilizar el ordeño e incrementar la producción láctea.</w:t>
      </w:r>
    </w:p>
    <w:p>
      <w:pPr>
        <w:pStyle w:val="BodyText"/>
        <w:spacing w:line="256" w:lineRule="auto" w:before="113"/>
        <w:ind w:left="1553"/>
        <w:jc w:val="both"/>
      </w:pPr>
      <w:r>
        <w:rPr>
          <w:color w:val="231F20"/>
        </w:rPr>
        <w:t>Jubb </w:t>
      </w:r>
      <w:r>
        <w:rPr>
          <w:i/>
          <w:color w:val="231F20"/>
        </w:rPr>
        <w:t>et al</w:t>
      </w:r>
      <w:r>
        <w:rPr>
          <w:color w:val="231F20"/>
        </w:rPr>
        <w:t>. (1995) mencionan que el tono quizás  sea un factor de resistencia, pero que los métodos de medición actuales no son eficientes; se atribu- ye a la estructura química del canal del pezón la cualidad de resistir la entrada de microorganismos. El canal del pezón está recubierto por epitelio es- camoso estratificado, que está cubierto a su vez por queratina y por una capa de material seroso compuesta por desechos epiteliales y leche, que forman un tapón. Si se elimina este material en vacas resistentes a la infección, se vuelven sus- ceptibles. Por lo tanto, es posible que en el tapón haya una sustancia inhibitoria del crecimiento de microorganismos; también contribuye  el  hecho  de que, al quedar abierto el conducto del pezón,   se facilita la penetración de microorganismos en el interior de la</w:t>
      </w:r>
      <w:r>
        <w:rPr>
          <w:color w:val="231F20"/>
          <w:spacing w:val="3"/>
        </w:rPr>
        <w:t> </w:t>
      </w:r>
      <w:r>
        <w:rPr>
          <w:color w:val="231F20"/>
        </w:rPr>
        <w:t>glándula.</w:t>
      </w:r>
    </w:p>
    <w:p>
      <w:pPr>
        <w:spacing w:line="256" w:lineRule="auto" w:before="113"/>
        <w:ind w:left="1553" w:right="0" w:firstLine="0"/>
        <w:jc w:val="both"/>
        <w:rPr>
          <w:sz w:val="20"/>
        </w:rPr>
      </w:pPr>
      <w:r>
        <w:rPr>
          <w:color w:val="231F20"/>
          <w:w w:val="105"/>
          <w:sz w:val="20"/>
        </w:rPr>
        <w:t>El elemento de inhibición antes señalado actúa contra</w:t>
      </w:r>
      <w:r>
        <w:rPr>
          <w:color w:val="231F20"/>
          <w:spacing w:val="-13"/>
          <w:w w:val="105"/>
          <w:sz w:val="20"/>
        </w:rPr>
        <w:t> </w:t>
      </w:r>
      <w:r>
        <w:rPr>
          <w:i/>
          <w:color w:val="231F20"/>
          <w:w w:val="105"/>
          <w:sz w:val="20"/>
        </w:rPr>
        <w:t>Streptococcus</w:t>
      </w:r>
      <w:r>
        <w:rPr>
          <w:i/>
          <w:color w:val="231F20"/>
          <w:spacing w:val="-13"/>
          <w:w w:val="105"/>
          <w:sz w:val="20"/>
        </w:rPr>
        <w:t> </w:t>
      </w:r>
      <w:r>
        <w:rPr>
          <w:i/>
          <w:color w:val="231F20"/>
          <w:w w:val="105"/>
          <w:sz w:val="20"/>
        </w:rPr>
        <w:t>agalactiae</w:t>
      </w:r>
      <w:r>
        <w:rPr>
          <w:i/>
          <w:color w:val="231F20"/>
          <w:spacing w:val="-13"/>
          <w:w w:val="105"/>
          <w:sz w:val="20"/>
        </w:rPr>
        <w:t> </w:t>
      </w:r>
      <w:r>
        <w:rPr>
          <w:color w:val="231F20"/>
          <w:w w:val="105"/>
          <w:sz w:val="20"/>
        </w:rPr>
        <w:t>y</w:t>
      </w:r>
      <w:r>
        <w:rPr>
          <w:color w:val="231F20"/>
          <w:spacing w:val="-13"/>
          <w:w w:val="105"/>
          <w:sz w:val="20"/>
        </w:rPr>
        <w:t> </w:t>
      </w:r>
      <w:r>
        <w:rPr>
          <w:i/>
          <w:color w:val="231F20"/>
          <w:w w:val="105"/>
          <w:sz w:val="20"/>
        </w:rPr>
        <w:t>Staphylococcus </w:t>
      </w:r>
      <w:r>
        <w:rPr>
          <w:i/>
          <w:color w:val="231F20"/>
          <w:w w:val="105"/>
          <w:sz w:val="20"/>
        </w:rPr>
        <w:t>aureus, </w:t>
      </w:r>
      <w:r>
        <w:rPr>
          <w:color w:val="231F20"/>
          <w:w w:val="105"/>
          <w:sz w:val="20"/>
        </w:rPr>
        <w:t>pero las vacas resistentes a </w:t>
      </w:r>
      <w:r>
        <w:rPr>
          <w:i/>
          <w:color w:val="231F20"/>
          <w:w w:val="105"/>
          <w:sz w:val="20"/>
        </w:rPr>
        <w:t>S. agalactiae </w:t>
      </w:r>
      <w:r>
        <w:rPr>
          <w:color w:val="231F20"/>
          <w:w w:val="105"/>
          <w:sz w:val="20"/>
        </w:rPr>
        <w:t>no</w:t>
      </w:r>
      <w:r>
        <w:rPr>
          <w:color w:val="231F20"/>
          <w:spacing w:val="-28"/>
          <w:w w:val="105"/>
          <w:sz w:val="20"/>
        </w:rPr>
        <w:t> </w:t>
      </w:r>
      <w:r>
        <w:rPr>
          <w:color w:val="231F20"/>
          <w:w w:val="105"/>
          <w:sz w:val="20"/>
        </w:rPr>
        <w:t>son</w:t>
      </w:r>
      <w:r>
        <w:rPr>
          <w:color w:val="231F20"/>
          <w:spacing w:val="-28"/>
          <w:w w:val="105"/>
          <w:sz w:val="20"/>
        </w:rPr>
        <w:t> </w:t>
      </w:r>
      <w:r>
        <w:rPr>
          <w:color w:val="231F20"/>
          <w:w w:val="105"/>
          <w:sz w:val="20"/>
        </w:rPr>
        <w:t>por</w:t>
      </w:r>
      <w:r>
        <w:rPr>
          <w:color w:val="231F20"/>
          <w:spacing w:val="-28"/>
          <w:w w:val="105"/>
          <w:sz w:val="20"/>
        </w:rPr>
        <w:t> </w:t>
      </w:r>
      <w:r>
        <w:rPr>
          <w:color w:val="231F20"/>
          <w:w w:val="105"/>
          <w:sz w:val="20"/>
        </w:rPr>
        <w:t>necesidad</w:t>
      </w:r>
      <w:r>
        <w:rPr>
          <w:color w:val="231F20"/>
          <w:spacing w:val="-28"/>
          <w:w w:val="105"/>
          <w:sz w:val="20"/>
        </w:rPr>
        <w:t> </w:t>
      </w:r>
      <w:r>
        <w:rPr>
          <w:color w:val="231F20"/>
          <w:w w:val="105"/>
          <w:sz w:val="20"/>
        </w:rPr>
        <w:t>resistentes</w:t>
      </w:r>
      <w:r>
        <w:rPr>
          <w:color w:val="231F20"/>
          <w:spacing w:val="-28"/>
          <w:w w:val="105"/>
          <w:sz w:val="20"/>
        </w:rPr>
        <w:t> </w:t>
      </w:r>
      <w:r>
        <w:rPr>
          <w:color w:val="231F20"/>
          <w:w w:val="105"/>
          <w:sz w:val="20"/>
        </w:rPr>
        <w:t>a</w:t>
      </w:r>
      <w:r>
        <w:rPr>
          <w:color w:val="231F20"/>
          <w:spacing w:val="-28"/>
          <w:w w:val="105"/>
          <w:sz w:val="20"/>
        </w:rPr>
        <w:t> </w:t>
      </w:r>
      <w:r>
        <w:rPr>
          <w:i/>
          <w:color w:val="231F20"/>
          <w:w w:val="105"/>
          <w:sz w:val="20"/>
        </w:rPr>
        <w:t>S.</w:t>
      </w:r>
      <w:r>
        <w:rPr>
          <w:i/>
          <w:color w:val="231F20"/>
          <w:spacing w:val="-28"/>
          <w:w w:val="105"/>
          <w:sz w:val="20"/>
        </w:rPr>
        <w:t> </w:t>
      </w:r>
      <w:r>
        <w:rPr>
          <w:i/>
          <w:color w:val="231F20"/>
          <w:w w:val="105"/>
          <w:sz w:val="20"/>
        </w:rPr>
        <w:t>aureus,</w:t>
      </w:r>
      <w:r>
        <w:rPr>
          <w:i/>
          <w:color w:val="231F20"/>
          <w:spacing w:val="-28"/>
          <w:w w:val="105"/>
          <w:sz w:val="20"/>
        </w:rPr>
        <w:t> </w:t>
      </w:r>
      <w:r>
        <w:rPr>
          <w:color w:val="231F20"/>
          <w:w w:val="105"/>
          <w:sz w:val="20"/>
        </w:rPr>
        <w:t>y</w:t>
      </w:r>
      <w:r>
        <w:rPr>
          <w:color w:val="231F20"/>
          <w:spacing w:val="-28"/>
          <w:w w:val="105"/>
          <w:sz w:val="20"/>
        </w:rPr>
        <w:t> </w:t>
      </w:r>
      <w:r>
        <w:rPr>
          <w:color w:val="231F20"/>
          <w:w w:val="105"/>
          <w:sz w:val="20"/>
        </w:rPr>
        <w:t>vice- </w:t>
      </w:r>
      <w:r>
        <w:rPr>
          <w:color w:val="231F20"/>
          <w:sz w:val="20"/>
        </w:rPr>
        <w:t>versa. Además, la resistencia a </w:t>
      </w:r>
      <w:r>
        <w:rPr>
          <w:i/>
          <w:color w:val="231F20"/>
          <w:sz w:val="20"/>
        </w:rPr>
        <w:t>S. agalactiae</w:t>
      </w:r>
      <w:r>
        <w:rPr>
          <w:i/>
          <w:color w:val="231F20"/>
          <w:spacing w:val="-23"/>
          <w:sz w:val="20"/>
        </w:rPr>
        <w:t> </w:t>
      </w:r>
      <w:r>
        <w:rPr>
          <w:color w:val="231F20"/>
          <w:sz w:val="20"/>
        </w:rPr>
        <w:t>declina </w:t>
      </w:r>
      <w:r>
        <w:rPr>
          <w:color w:val="231F20"/>
          <w:w w:val="105"/>
          <w:sz w:val="20"/>
        </w:rPr>
        <w:t>con</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edad</w:t>
      </w:r>
      <w:r>
        <w:rPr>
          <w:color w:val="231F20"/>
          <w:spacing w:val="-17"/>
          <w:w w:val="105"/>
          <w:sz w:val="20"/>
        </w:rPr>
        <w:t> </w:t>
      </w:r>
      <w:r>
        <w:rPr>
          <w:color w:val="231F20"/>
          <w:w w:val="105"/>
          <w:sz w:val="20"/>
        </w:rPr>
        <w:t>y</w:t>
      </w:r>
      <w:r>
        <w:rPr>
          <w:color w:val="231F20"/>
          <w:spacing w:val="-17"/>
          <w:w w:val="105"/>
          <w:sz w:val="20"/>
        </w:rPr>
        <w:t> </w:t>
      </w:r>
      <w:r>
        <w:rPr>
          <w:color w:val="231F20"/>
          <w:w w:val="105"/>
          <w:sz w:val="20"/>
        </w:rPr>
        <w:t>depende</w:t>
      </w:r>
      <w:r>
        <w:rPr>
          <w:color w:val="231F20"/>
          <w:spacing w:val="-17"/>
          <w:w w:val="105"/>
          <w:sz w:val="20"/>
        </w:rPr>
        <w:t> </w:t>
      </w:r>
      <w:r>
        <w:rPr>
          <w:color w:val="231F20"/>
          <w:w w:val="105"/>
          <w:sz w:val="20"/>
        </w:rPr>
        <w:t>del</w:t>
      </w:r>
      <w:r>
        <w:rPr>
          <w:color w:val="231F20"/>
          <w:spacing w:val="-17"/>
          <w:w w:val="105"/>
          <w:sz w:val="20"/>
        </w:rPr>
        <w:t> </w:t>
      </w:r>
      <w:r>
        <w:rPr>
          <w:color w:val="231F20"/>
          <w:w w:val="105"/>
          <w:sz w:val="20"/>
        </w:rPr>
        <w:t>estado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salud</w:t>
      </w:r>
      <w:r>
        <w:rPr>
          <w:color w:val="231F20"/>
          <w:spacing w:val="-17"/>
          <w:w w:val="105"/>
          <w:sz w:val="20"/>
        </w:rPr>
        <w:t> </w:t>
      </w:r>
      <w:r>
        <w:rPr>
          <w:color w:val="231F20"/>
          <w:w w:val="105"/>
          <w:sz w:val="20"/>
        </w:rPr>
        <w:t>general del</w:t>
      </w:r>
      <w:r>
        <w:rPr>
          <w:color w:val="231F20"/>
          <w:spacing w:val="-26"/>
          <w:w w:val="105"/>
          <w:sz w:val="20"/>
        </w:rPr>
        <w:t> </w:t>
      </w:r>
      <w:r>
        <w:rPr>
          <w:color w:val="231F20"/>
          <w:w w:val="105"/>
          <w:sz w:val="20"/>
        </w:rPr>
        <w:t>animal,</w:t>
      </w:r>
      <w:r>
        <w:rPr>
          <w:color w:val="231F20"/>
          <w:spacing w:val="-26"/>
          <w:w w:val="105"/>
          <w:sz w:val="20"/>
        </w:rPr>
        <w:t> </w:t>
      </w:r>
      <w:r>
        <w:rPr>
          <w:color w:val="231F20"/>
          <w:w w:val="105"/>
          <w:sz w:val="20"/>
        </w:rPr>
        <w:t>y</w:t>
      </w:r>
      <w:r>
        <w:rPr>
          <w:color w:val="231F20"/>
          <w:spacing w:val="-26"/>
          <w:w w:val="105"/>
          <w:sz w:val="20"/>
        </w:rPr>
        <w:t> </w:t>
      </w:r>
      <w:r>
        <w:rPr>
          <w:color w:val="231F20"/>
          <w:w w:val="105"/>
          <w:sz w:val="20"/>
        </w:rPr>
        <w:t>la</w:t>
      </w:r>
      <w:r>
        <w:rPr>
          <w:color w:val="231F20"/>
          <w:spacing w:val="-26"/>
          <w:w w:val="105"/>
          <w:sz w:val="20"/>
        </w:rPr>
        <w:t> </w:t>
      </w:r>
      <w:r>
        <w:rPr>
          <w:color w:val="231F20"/>
          <w:w w:val="105"/>
          <w:sz w:val="20"/>
        </w:rPr>
        <w:t>resistencia</w:t>
      </w:r>
      <w:r>
        <w:rPr>
          <w:color w:val="231F20"/>
          <w:spacing w:val="-26"/>
          <w:w w:val="105"/>
          <w:sz w:val="20"/>
        </w:rPr>
        <w:t> </w:t>
      </w:r>
      <w:r>
        <w:rPr>
          <w:color w:val="231F20"/>
          <w:w w:val="105"/>
          <w:sz w:val="20"/>
        </w:rPr>
        <w:t>a</w:t>
      </w:r>
      <w:r>
        <w:rPr>
          <w:color w:val="231F20"/>
          <w:spacing w:val="-26"/>
          <w:w w:val="105"/>
          <w:sz w:val="20"/>
        </w:rPr>
        <w:t> </w:t>
      </w:r>
      <w:r>
        <w:rPr>
          <w:i/>
          <w:color w:val="231F20"/>
          <w:w w:val="105"/>
          <w:sz w:val="20"/>
        </w:rPr>
        <w:t>S.</w:t>
      </w:r>
      <w:r>
        <w:rPr>
          <w:i/>
          <w:color w:val="231F20"/>
          <w:spacing w:val="-26"/>
          <w:w w:val="105"/>
          <w:sz w:val="20"/>
        </w:rPr>
        <w:t> </w:t>
      </w:r>
      <w:r>
        <w:rPr>
          <w:i/>
          <w:color w:val="231F20"/>
          <w:w w:val="105"/>
          <w:sz w:val="20"/>
        </w:rPr>
        <w:t>aureus</w:t>
      </w:r>
      <w:r>
        <w:rPr>
          <w:i/>
          <w:color w:val="231F20"/>
          <w:spacing w:val="-26"/>
          <w:w w:val="105"/>
          <w:sz w:val="20"/>
        </w:rPr>
        <w:t> </w:t>
      </w:r>
      <w:r>
        <w:rPr>
          <w:color w:val="231F20"/>
          <w:w w:val="105"/>
          <w:sz w:val="20"/>
        </w:rPr>
        <w:t>no</w:t>
      </w:r>
      <w:r>
        <w:rPr>
          <w:color w:val="231F20"/>
          <w:spacing w:val="-26"/>
          <w:w w:val="105"/>
          <w:sz w:val="20"/>
        </w:rPr>
        <w:t> </w:t>
      </w:r>
      <w:r>
        <w:rPr>
          <w:color w:val="231F20"/>
          <w:w w:val="105"/>
          <w:sz w:val="20"/>
        </w:rPr>
        <w:t>disminuye con la edad. En apariencia, los ingredientes de la resistencia</w:t>
      </w:r>
      <w:r>
        <w:rPr>
          <w:color w:val="231F20"/>
          <w:spacing w:val="-17"/>
          <w:w w:val="105"/>
          <w:sz w:val="20"/>
        </w:rPr>
        <w:t> </w:t>
      </w:r>
      <w:r>
        <w:rPr>
          <w:color w:val="231F20"/>
          <w:w w:val="105"/>
          <w:sz w:val="20"/>
        </w:rPr>
        <w:t>a</w:t>
      </w:r>
      <w:r>
        <w:rPr>
          <w:color w:val="231F20"/>
          <w:spacing w:val="-17"/>
          <w:w w:val="105"/>
          <w:sz w:val="20"/>
        </w:rPr>
        <w:t> </w:t>
      </w:r>
      <w:r>
        <w:rPr>
          <w:color w:val="231F20"/>
          <w:w w:val="105"/>
          <w:sz w:val="20"/>
        </w:rPr>
        <w:t>las</w:t>
      </w:r>
      <w:r>
        <w:rPr>
          <w:color w:val="231F20"/>
          <w:spacing w:val="-17"/>
          <w:w w:val="105"/>
          <w:sz w:val="20"/>
        </w:rPr>
        <w:t> </w:t>
      </w:r>
      <w:r>
        <w:rPr>
          <w:color w:val="231F20"/>
          <w:w w:val="105"/>
          <w:sz w:val="20"/>
        </w:rPr>
        <w:t>dos</w:t>
      </w:r>
      <w:r>
        <w:rPr>
          <w:color w:val="231F20"/>
          <w:spacing w:val="-17"/>
          <w:w w:val="105"/>
          <w:sz w:val="20"/>
        </w:rPr>
        <w:t> </w:t>
      </w:r>
      <w:r>
        <w:rPr>
          <w:color w:val="231F20"/>
          <w:w w:val="105"/>
          <w:sz w:val="20"/>
        </w:rPr>
        <w:t>infecciones</w:t>
      </w:r>
      <w:r>
        <w:rPr>
          <w:color w:val="231F20"/>
          <w:spacing w:val="-17"/>
          <w:w w:val="105"/>
          <w:sz w:val="20"/>
        </w:rPr>
        <w:t> </w:t>
      </w:r>
      <w:r>
        <w:rPr>
          <w:color w:val="231F20"/>
          <w:w w:val="105"/>
          <w:sz w:val="20"/>
        </w:rPr>
        <w:t>no</w:t>
      </w:r>
      <w:r>
        <w:rPr>
          <w:color w:val="231F20"/>
          <w:spacing w:val="-17"/>
          <w:w w:val="105"/>
          <w:sz w:val="20"/>
        </w:rPr>
        <w:t> </w:t>
      </w:r>
      <w:r>
        <w:rPr>
          <w:color w:val="231F20"/>
          <w:w w:val="105"/>
          <w:sz w:val="20"/>
        </w:rPr>
        <w:t>son</w:t>
      </w:r>
      <w:r>
        <w:rPr>
          <w:color w:val="231F20"/>
          <w:spacing w:val="-17"/>
          <w:w w:val="105"/>
          <w:sz w:val="20"/>
        </w:rPr>
        <w:t> </w:t>
      </w:r>
      <w:r>
        <w:rPr>
          <w:color w:val="231F20"/>
          <w:w w:val="105"/>
          <w:sz w:val="20"/>
        </w:rPr>
        <w:t>los</w:t>
      </w:r>
      <w:r>
        <w:rPr>
          <w:color w:val="231F20"/>
          <w:spacing w:val="-17"/>
          <w:w w:val="105"/>
          <w:sz w:val="20"/>
        </w:rPr>
        <w:t> </w:t>
      </w:r>
      <w:r>
        <w:rPr>
          <w:color w:val="231F20"/>
          <w:spacing w:val="-2"/>
          <w:w w:val="105"/>
          <w:sz w:val="20"/>
        </w:rPr>
        <w:t>mismos</w:t>
      </w:r>
      <w:r>
        <w:rPr>
          <w:color w:val="231F20"/>
          <w:spacing w:val="-2"/>
          <w:w w:val="104"/>
          <w:sz w:val="20"/>
        </w:rPr>
        <w:t> </w:t>
      </w:r>
      <w:r>
        <w:rPr>
          <w:color w:val="231F20"/>
          <w:w w:val="105"/>
          <w:sz w:val="20"/>
        </w:rPr>
        <w:t>(Jubb </w:t>
      </w:r>
      <w:r>
        <w:rPr>
          <w:i/>
          <w:color w:val="231F20"/>
          <w:w w:val="105"/>
          <w:sz w:val="20"/>
        </w:rPr>
        <w:t>et al</w:t>
      </w:r>
      <w:r>
        <w:rPr>
          <w:color w:val="231F20"/>
          <w:w w:val="105"/>
          <w:sz w:val="20"/>
        </w:rPr>
        <w:t>.,</w:t>
      </w:r>
      <w:r>
        <w:rPr>
          <w:color w:val="231F20"/>
          <w:spacing w:val="20"/>
          <w:w w:val="105"/>
          <w:sz w:val="20"/>
        </w:rPr>
        <w:t> </w:t>
      </w:r>
      <w:r>
        <w:rPr>
          <w:color w:val="231F20"/>
          <w:spacing w:val="-4"/>
          <w:w w:val="105"/>
          <w:sz w:val="20"/>
        </w:rPr>
        <w:t>1995).</w:t>
      </w:r>
    </w:p>
    <w:p>
      <w:pPr>
        <w:pStyle w:val="BodyText"/>
        <w:spacing w:line="266" w:lineRule="auto" w:before="67"/>
        <w:ind w:left="413" w:right="1551"/>
        <w:jc w:val="both"/>
      </w:pPr>
      <w:r>
        <w:rPr/>
        <w:br w:type="column"/>
      </w:r>
      <w:r>
        <w:rPr>
          <w:color w:val="231F20"/>
        </w:rPr>
        <w:t>Otros factores inhibidores del crecimiento bacte- riano aumentan en la inflamación; uno de ellos es la lactoferrina, proteína que compite con los mi- croorganismos que requieren hierro. También se encuentran factores inmunitarios, como los linfoci- tos T y B, las inmunoglobulinas, los leucocitos, los neutrófilos y los polimorfonucleares, elementos necesarios en el control de las   infecciones.</w:t>
      </w:r>
    </w:p>
    <w:p>
      <w:pPr>
        <w:pStyle w:val="BodyText"/>
        <w:spacing w:before="8"/>
        <w:rPr>
          <w:sz w:val="18"/>
        </w:rPr>
      </w:pPr>
    </w:p>
    <w:p>
      <w:pPr>
        <w:spacing w:before="0"/>
        <w:ind w:left="413" w:right="0" w:firstLine="0"/>
        <w:jc w:val="both"/>
        <w:rPr>
          <w:rFonts w:ascii="Cambria"/>
          <w:i/>
          <w:sz w:val="20"/>
        </w:rPr>
      </w:pPr>
      <w:r>
        <w:rPr>
          <w:rFonts w:ascii="Cambria"/>
          <w:i/>
          <w:color w:val="231F20"/>
          <w:w w:val="105"/>
          <w:sz w:val="20"/>
        </w:rPr>
        <w:t>Factores nutricionales</w:t>
      </w:r>
    </w:p>
    <w:p>
      <w:pPr>
        <w:pStyle w:val="BodyText"/>
        <w:spacing w:line="266" w:lineRule="auto" w:before="150"/>
        <w:ind w:left="413" w:right="1551"/>
        <w:jc w:val="both"/>
      </w:pPr>
      <w:r>
        <w:rPr>
          <w:color w:val="231F20"/>
        </w:rPr>
        <w:t>La alimentación actual de la vaca lechera está des- tinada a mantener una alta producción; esto cons- tituye un factor de tensión fisiológico que puede provocar mastitis clínica, en vacas con anteceden- tes de infección, o mastitis subclínica. Además, al aumentar la producción se cree que disminuyen  los factores que protegen a la glándula de la infec- ción  (Carrol, </w:t>
      </w:r>
      <w:r>
        <w:rPr>
          <w:color w:val="231F20"/>
          <w:spacing w:val="11"/>
        </w:rPr>
        <w:t> </w:t>
      </w:r>
      <w:r>
        <w:rPr>
          <w:color w:val="231F20"/>
          <w:spacing w:val="-3"/>
        </w:rPr>
        <w:t>1997).</w:t>
      </w:r>
    </w:p>
    <w:p>
      <w:pPr>
        <w:pStyle w:val="BodyText"/>
        <w:spacing w:line="266" w:lineRule="auto" w:before="114"/>
        <w:ind w:left="413" w:right="1551"/>
        <w:jc w:val="both"/>
      </w:pPr>
      <w:r>
        <w:rPr>
          <w:color w:val="231F20"/>
        </w:rPr>
        <w:t>Algunos autores han encontrado que las vacas ali- mentadas con gramíneas y leguminosas en verde sufren más ataques de mastitis que las vacas ali- mentadas con el mismo alimento pero ensilado (Stob </w:t>
      </w:r>
      <w:r>
        <w:rPr>
          <w:i/>
          <w:color w:val="231F20"/>
        </w:rPr>
        <w:t>et al</w:t>
      </w:r>
      <w:r>
        <w:rPr>
          <w:color w:val="231F20"/>
        </w:rPr>
        <w:t>., </w:t>
      </w:r>
      <w:r>
        <w:rPr>
          <w:color w:val="231F20"/>
          <w:spacing w:val="-3"/>
        </w:rPr>
        <w:t>1958). </w:t>
      </w:r>
      <w:r>
        <w:rPr>
          <w:color w:val="231F20"/>
        </w:rPr>
        <w:t>Esto podría deberse a la acti- vidad estrogénica de algunas plantas, que se cree que propicia el desarrollo de algunos microorga- nismos (Frank y Pounden, </w:t>
      </w:r>
      <w:r>
        <w:rPr>
          <w:color w:val="231F20"/>
          <w:spacing w:val="-3"/>
        </w:rPr>
        <w:t>1961). </w:t>
      </w:r>
      <w:r>
        <w:rPr>
          <w:color w:val="231F20"/>
        </w:rPr>
        <w:t>Lo mismo su-  cede cuando se alimenta al  ganado  con  plantas de</w:t>
      </w:r>
      <w:r>
        <w:rPr>
          <w:color w:val="231F20"/>
          <w:spacing w:val="29"/>
        </w:rPr>
        <w:t> </w:t>
      </w:r>
      <w:r>
        <w:rPr>
          <w:color w:val="231F20"/>
        </w:rPr>
        <w:t>alto</w:t>
      </w:r>
      <w:r>
        <w:rPr>
          <w:color w:val="231F20"/>
          <w:spacing w:val="29"/>
        </w:rPr>
        <w:t> </w:t>
      </w:r>
      <w:r>
        <w:rPr>
          <w:color w:val="231F20"/>
        </w:rPr>
        <w:t>contenido</w:t>
      </w:r>
      <w:r>
        <w:rPr>
          <w:color w:val="231F20"/>
          <w:spacing w:val="29"/>
        </w:rPr>
        <w:t> </w:t>
      </w:r>
      <w:r>
        <w:rPr>
          <w:color w:val="231F20"/>
        </w:rPr>
        <w:t>en</w:t>
      </w:r>
      <w:r>
        <w:rPr>
          <w:color w:val="231F20"/>
          <w:spacing w:val="29"/>
        </w:rPr>
        <w:t> </w:t>
      </w:r>
      <w:r>
        <w:rPr>
          <w:color w:val="231F20"/>
        </w:rPr>
        <w:t>estrógenos</w:t>
      </w:r>
      <w:r>
        <w:rPr>
          <w:color w:val="231F20"/>
          <w:spacing w:val="29"/>
        </w:rPr>
        <w:t> </w:t>
      </w:r>
      <w:r>
        <w:rPr>
          <w:color w:val="231F20"/>
        </w:rPr>
        <w:t>al</w:t>
      </w:r>
      <w:r>
        <w:rPr>
          <w:color w:val="231F20"/>
          <w:spacing w:val="29"/>
        </w:rPr>
        <w:t> </w:t>
      </w:r>
      <w:r>
        <w:rPr>
          <w:color w:val="231F20"/>
        </w:rPr>
        <w:t>ensilarse,</w:t>
      </w:r>
      <w:r>
        <w:rPr>
          <w:color w:val="231F20"/>
          <w:spacing w:val="29"/>
        </w:rPr>
        <w:t> </w:t>
      </w:r>
      <w:r>
        <w:rPr>
          <w:color w:val="231F20"/>
        </w:rPr>
        <w:t>por</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spacing w:val="-3"/>
          <w:w w:val="120"/>
          <w:sz w:val="22"/>
        </w:rPr>
        <w:t>30</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1" w:lineRule="auto" w:before="67"/>
        <w:ind w:left="1553" w:right="1"/>
        <w:jc w:val="both"/>
      </w:pPr>
      <w:r>
        <w:rPr>
          <w:color w:val="231F20"/>
        </w:rPr>
        <w:t>ejemplo trébol subterráneo, trébol rojo, trigo,</w:t>
      </w:r>
      <w:r>
        <w:rPr>
          <w:color w:val="231F20"/>
          <w:spacing w:val="-15"/>
        </w:rPr>
        <w:t> </w:t>
      </w:r>
      <w:r>
        <w:rPr>
          <w:color w:val="231F20"/>
        </w:rPr>
        <w:t>balli- co y</w:t>
      </w:r>
      <w:r>
        <w:rPr>
          <w:color w:val="231F20"/>
          <w:spacing w:val="34"/>
        </w:rPr>
        <w:t> </w:t>
      </w:r>
      <w:r>
        <w:rPr>
          <w:color w:val="231F20"/>
        </w:rPr>
        <w:t>cebada.</w:t>
      </w:r>
    </w:p>
    <w:p>
      <w:pPr>
        <w:pStyle w:val="BodyText"/>
        <w:spacing w:line="261" w:lineRule="auto" w:before="112"/>
        <w:ind w:left="1553"/>
        <w:jc w:val="both"/>
      </w:pPr>
      <w:r>
        <w:rPr>
          <w:color w:val="231F20"/>
          <w:spacing w:val="-3"/>
        </w:rPr>
        <w:t>También </w:t>
      </w:r>
      <w:r>
        <w:rPr>
          <w:color w:val="231F20"/>
        </w:rPr>
        <w:t>se ha indicado que los niveles hormo- nales tienen una influencia significativa sobre la aparición de mastitis, y que quizás la actividad fa- gocítica de los leucocitos de la leche se vería redu- cida (Carrol, </w:t>
      </w:r>
      <w:r>
        <w:rPr>
          <w:color w:val="231F20"/>
          <w:spacing w:val="-3"/>
        </w:rPr>
        <w:t>1997). </w:t>
      </w:r>
      <w:r>
        <w:rPr>
          <w:color w:val="231F20"/>
        </w:rPr>
        <w:t>Se ha observado que algunas vacas a las que se administró dietiletilbestrol al fi- nal de la lactación presentaron coágulos sin tener mastitis, y los mismos coágulos se presentaron en vacas sin mastitis alimentadas con pasturas altas en</w:t>
      </w:r>
      <w:r>
        <w:rPr>
          <w:color w:val="231F20"/>
          <w:spacing w:val="18"/>
        </w:rPr>
        <w:t> </w:t>
      </w:r>
      <w:r>
        <w:rPr>
          <w:color w:val="231F20"/>
        </w:rPr>
        <w:t>estrógenos.</w:t>
      </w:r>
    </w:p>
    <w:p>
      <w:pPr>
        <w:pStyle w:val="BodyText"/>
        <w:spacing w:before="6"/>
        <w:rPr>
          <w:sz w:val="18"/>
        </w:rPr>
      </w:pPr>
    </w:p>
    <w:p>
      <w:pPr>
        <w:spacing w:before="0"/>
        <w:ind w:left="1553" w:right="0" w:firstLine="0"/>
        <w:jc w:val="both"/>
        <w:rPr>
          <w:rFonts w:ascii="Cambria" w:hAnsi="Cambria"/>
          <w:i/>
          <w:sz w:val="20"/>
        </w:rPr>
      </w:pPr>
      <w:r>
        <w:rPr>
          <w:rFonts w:ascii="Cambria" w:hAnsi="Cambria"/>
          <w:i/>
          <w:color w:val="231F20"/>
          <w:w w:val="110"/>
          <w:sz w:val="20"/>
        </w:rPr>
        <w:t>Higiene durante el ordeño</w:t>
      </w:r>
    </w:p>
    <w:p>
      <w:pPr>
        <w:pStyle w:val="BodyText"/>
        <w:spacing w:line="261" w:lineRule="auto" w:before="143"/>
        <w:ind w:left="1553" w:right="1"/>
        <w:jc w:val="both"/>
      </w:pPr>
      <w:r>
        <w:rPr>
          <w:color w:val="231F20"/>
        </w:rPr>
        <w:t>El procedimiento aplicado durante la práctica del ordeño es de mucha importancia para el estado   de salud de las ubres, y entre los aspectos a cuidar está la higiene antes del ordeño. El personal que labora en el ordeño deberá mantener las manos limpias y secas, y el procedimiento deberá  </w:t>
      </w:r>
      <w:r>
        <w:rPr>
          <w:color w:val="231F20"/>
          <w:spacing w:val="39"/>
        </w:rPr>
        <w:t> </w:t>
      </w:r>
      <w:r>
        <w:rPr>
          <w:color w:val="231F20"/>
        </w:rPr>
        <w:t>incluir:</w:t>
      </w:r>
    </w:p>
    <w:p>
      <w:pPr>
        <w:pStyle w:val="BodyText"/>
        <w:spacing w:line="261" w:lineRule="auto"/>
        <w:ind w:left="1553" w:right="1"/>
        <w:jc w:val="both"/>
      </w:pPr>
      <w:r>
        <w:rPr>
          <w:color w:val="231F20"/>
          <w:w w:val="105"/>
        </w:rPr>
        <w:t>1) lavado de los pezones con agua potable y un antiséptico eficaz contra la flora microbiana am- biental prevalente; 2) secado de los pezones con toallas</w:t>
      </w:r>
      <w:r>
        <w:rPr>
          <w:color w:val="231F20"/>
          <w:spacing w:val="-14"/>
          <w:w w:val="105"/>
        </w:rPr>
        <w:t> </w:t>
      </w:r>
      <w:r>
        <w:rPr>
          <w:color w:val="231F20"/>
          <w:w w:val="105"/>
        </w:rPr>
        <w:t>desechables;</w:t>
      </w:r>
      <w:r>
        <w:rPr>
          <w:color w:val="231F20"/>
          <w:spacing w:val="-14"/>
          <w:w w:val="105"/>
        </w:rPr>
        <w:t> </w:t>
      </w:r>
      <w:r>
        <w:rPr>
          <w:color w:val="231F20"/>
          <w:w w:val="105"/>
        </w:rPr>
        <w:t>3)</w:t>
      </w:r>
      <w:r>
        <w:rPr>
          <w:color w:val="231F20"/>
          <w:spacing w:val="-14"/>
          <w:w w:val="105"/>
        </w:rPr>
        <w:t> </w:t>
      </w:r>
      <w:r>
        <w:rPr>
          <w:color w:val="231F20"/>
          <w:w w:val="105"/>
        </w:rPr>
        <w:t>inspección</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primeros chorros de leche en un tazón con un paño</w:t>
      </w:r>
      <w:r>
        <w:rPr>
          <w:color w:val="231F20"/>
          <w:spacing w:val="-12"/>
          <w:w w:val="105"/>
        </w:rPr>
        <w:t> </w:t>
      </w:r>
      <w:r>
        <w:rPr>
          <w:color w:val="231F20"/>
          <w:w w:val="105"/>
        </w:rPr>
        <w:t>negro;</w:t>
      </w:r>
    </w:p>
    <w:p>
      <w:pPr>
        <w:pStyle w:val="ListParagraph"/>
        <w:numPr>
          <w:ilvl w:val="0"/>
          <w:numId w:val="6"/>
        </w:numPr>
        <w:tabs>
          <w:tab w:pos="1822" w:val="left" w:leader="none"/>
        </w:tabs>
        <w:spacing w:line="261" w:lineRule="auto" w:before="0" w:after="0"/>
        <w:ind w:left="1553" w:right="0" w:firstLine="0"/>
        <w:jc w:val="both"/>
        <w:rPr>
          <w:sz w:val="20"/>
        </w:rPr>
      </w:pPr>
      <w:r>
        <w:rPr>
          <w:color w:val="231F20"/>
          <w:sz w:val="20"/>
        </w:rPr>
        <w:t>ordeño limpio; 5) terminado el ordeño, desin- fección (sellado) de los pezones con material que haya mostrado capacidad para evitar el crecimien- to y el desarrollo microbiano, procurando prevenir la transmisión de microorganismos entre vacas y disminuir la población microbiana sobre la piel del pezón (McDonald., </w:t>
      </w:r>
      <w:r>
        <w:rPr>
          <w:color w:val="231F20"/>
          <w:spacing w:val="-3"/>
          <w:sz w:val="20"/>
        </w:rPr>
        <w:t>2007); </w:t>
      </w:r>
      <w:r>
        <w:rPr>
          <w:color w:val="231F20"/>
          <w:sz w:val="20"/>
        </w:rPr>
        <w:t>6) entre vacas ordeña- das, limpieza de las copas para ordeño con espe- cial atención al interior y la boca de las pezoneras (Fig. </w:t>
      </w:r>
      <w:r>
        <w:rPr>
          <w:color w:val="231F20"/>
          <w:spacing w:val="-3"/>
          <w:sz w:val="20"/>
        </w:rPr>
        <w:t>15), </w:t>
      </w:r>
      <w:r>
        <w:rPr>
          <w:color w:val="231F20"/>
          <w:sz w:val="20"/>
        </w:rPr>
        <w:t>mediante la aplicación de chorro de agua; y 7) atención inmediata a toda vaca </w:t>
      </w:r>
      <w:r>
        <w:rPr>
          <w:color w:val="231F20"/>
          <w:spacing w:val="24"/>
          <w:sz w:val="20"/>
        </w:rPr>
        <w:t> </w:t>
      </w:r>
      <w:r>
        <w:rPr>
          <w:color w:val="231F20"/>
          <w:sz w:val="20"/>
        </w:rPr>
        <w:t>enferma.</w:t>
      </w:r>
    </w:p>
    <w:p>
      <w:pPr>
        <w:pStyle w:val="BodyText"/>
        <w:spacing w:line="261" w:lineRule="auto" w:before="112"/>
        <w:ind w:left="1553"/>
        <w:jc w:val="both"/>
      </w:pPr>
      <w:r>
        <w:rPr>
          <w:color w:val="231F20"/>
        </w:rPr>
        <w:t>En la práctica se ha observado que los antisépti- cos por lo común llamados</w:t>
      </w:r>
      <w:r>
        <w:rPr>
          <w:color w:val="231F20"/>
          <w:spacing w:val="28"/>
        </w:rPr>
        <w:t> </w:t>
      </w:r>
      <w:r>
        <w:rPr>
          <w:color w:val="231F20"/>
        </w:rPr>
        <w:t>“selladores”</w:t>
      </w:r>
      <w:r>
        <w:rPr>
          <w:color w:val="231F20"/>
          <w:spacing w:val="14"/>
        </w:rPr>
        <w:t> </w:t>
      </w:r>
      <w:r>
        <w:rPr>
          <w:color w:val="231F20"/>
        </w:rPr>
        <w:t>presentan</w:t>
      </w:r>
      <w:r>
        <w:rPr>
          <w:color w:val="231F20"/>
          <w:spacing w:val="1"/>
          <w:w w:val="100"/>
        </w:rPr>
        <w:t> </w:t>
      </w:r>
      <w:r>
        <w:rPr>
          <w:color w:val="231F20"/>
        </w:rPr>
        <w:t>diferentes grados de efectividad. Así, los antisép- ticos empleados en algunos hatos sólo por pe- riodos muestran in vitro una adecuada    </w:t>
      </w:r>
      <w:r>
        <w:rPr>
          <w:color w:val="231F20"/>
          <w:spacing w:val="5"/>
        </w:rPr>
        <w:t> </w:t>
      </w:r>
      <w:r>
        <w:rPr>
          <w:color w:val="231F20"/>
        </w:rPr>
        <w:t>inhibición</w:t>
      </w:r>
    </w:p>
    <w:p>
      <w:pPr>
        <w:pStyle w:val="BodyText"/>
        <w:spacing w:line="259" w:lineRule="auto" w:before="67"/>
        <w:ind w:left="412" w:right="1550"/>
        <w:jc w:val="both"/>
      </w:pPr>
      <w:r>
        <w:rPr/>
        <w:br w:type="column"/>
      </w:r>
      <w:r>
        <w:rPr>
          <w:color w:val="231F20"/>
        </w:rPr>
        <w:t>de los microorganismos aislados de muestras de leche de las mismas unidades ganaderas, ya que  de forma repentina estos antisépticos  resultan  con poca actividad en los cultivos microbianos realizados, acusando una deficiencia para contro- lar a los microorganismos existentes; sin embargo, el producto podrá mostrar una aceptable acción inhibitoria en otra unidad ganadera o en la misma, pero después de un tiempo relativamente largo. Por ello, es recomendable que antes de adquirir el antiséptico para los pezones se conozca la capaci- dad de éste para controlar la microflora existente en el medio donde se aplicará, que  no  dañe  la piel del pezón y que según los resultados se se- leccione el mejor producto. Para esta actividad se consideran</w:t>
      </w:r>
      <w:r>
        <w:rPr>
          <w:color w:val="231F20"/>
          <w:spacing w:val="-9"/>
        </w:rPr>
        <w:t> </w:t>
      </w:r>
      <w:r>
        <w:rPr>
          <w:color w:val="231F20"/>
        </w:rPr>
        <w:t>de</w:t>
      </w:r>
      <w:r>
        <w:rPr>
          <w:color w:val="231F20"/>
          <w:spacing w:val="-9"/>
        </w:rPr>
        <w:t> </w:t>
      </w:r>
      <w:r>
        <w:rPr>
          <w:color w:val="231F20"/>
        </w:rPr>
        <w:t>utilidad</w:t>
      </w:r>
      <w:r>
        <w:rPr>
          <w:color w:val="231F20"/>
          <w:spacing w:val="-9"/>
        </w:rPr>
        <w:t> </w:t>
      </w:r>
      <w:r>
        <w:rPr>
          <w:color w:val="231F20"/>
        </w:rPr>
        <w:t>los</w:t>
      </w:r>
      <w:r>
        <w:rPr>
          <w:color w:val="231F20"/>
          <w:spacing w:val="-9"/>
        </w:rPr>
        <w:t> </w:t>
      </w:r>
      <w:r>
        <w:rPr>
          <w:color w:val="231F20"/>
        </w:rPr>
        <w:t>procedimientos</w:t>
      </w:r>
      <w:r>
        <w:rPr>
          <w:color w:val="231F20"/>
          <w:spacing w:val="-9"/>
        </w:rPr>
        <w:t> </w:t>
      </w:r>
      <w:r>
        <w:rPr>
          <w:color w:val="231F20"/>
        </w:rPr>
        <w:t>aplicados sobre </w:t>
      </w:r>
      <w:r>
        <w:rPr>
          <w:color w:val="231F20"/>
          <w:spacing w:val="-3"/>
        </w:rPr>
        <w:t>pezones </w:t>
      </w:r>
      <w:r>
        <w:rPr>
          <w:color w:val="231F20"/>
        </w:rPr>
        <w:t>excedidos de vacas </w:t>
      </w:r>
      <w:r>
        <w:rPr>
          <w:color w:val="231F20"/>
          <w:spacing w:val="-3"/>
        </w:rPr>
        <w:t>(Ayala, </w:t>
      </w:r>
      <w:r>
        <w:rPr>
          <w:color w:val="231F20"/>
          <w:spacing w:val="-4"/>
        </w:rPr>
        <w:t>1990), </w:t>
      </w:r>
      <w:r>
        <w:rPr>
          <w:color w:val="231F20"/>
        </w:rPr>
        <w:t>reducción en el número de unidades formadoras de colonias de mesófilos aerobios y coliformes to- tales sobre los </w:t>
      </w:r>
      <w:r>
        <w:rPr>
          <w:color w:val="231F20"/>
          <w:spacing w:val="-3"/>
        </w:rPr>
        <w:t>pezones </w:t>
      </w:r>
      <w:r>
        <w:rPr>
          <w:color w:val="231F20"/>
        </w:rPr>
        <w:t>(Silva, </w:t>
      </w:r>
      <w:r>
        <w:rPr>
          <w:color w:val="231F20"/>
          <w:spacing w:val="-3"/>
        </w:rPr>
        <w:t>2003), </w:t>
      </w:r>
      <w:r>
        <w:rPr>
          <w:color w:val="231F20"/>
        </w:rPr>
        <w:t>o el reto de microorganismos en medios de cultivo para com- probar la sensibilidad a los antisépticos, que es </w:t>
      </w:r>
      <w:r>
        <w:rPr>
          <w:color w:val="231F20"/>
          <w:spacing w:val="-2"/>
        </w:rPr>
        <w:t>una </w:t>
      </w:r>
      <w:r>
        <w:rPr>
          <w:color w:val="231F20"/>
        </w:rPr>
        <w:t>prueba sencilla, de bajo costo y que en la práctica ha resultado útil (Ávila y </w:t>
      </w:r>
      <w:r>
        <w:rPr>
          <w:color w:val="231F20"/>
          <w:spacing w:val="-3"/>
        </w:rPr>
        <w:t>Valdivieso, </w:t>
      </w:r>
      <w:r>
        <w:rPr>
          <w:color w:val="231F20"/>
          <w:spacing w:val="21"/>
        </w:rPr>
        <w:t> </w:t>
      </w:r>
      <w:r>
        <w:rPr>
          <w:color w:val="231F20"/>
          <w:spacing w:val="-5"/>
        </w:rPr>
        <w:t>2001).</w:t>
      </w:r>
    </w:p>
    <w:p>
      <w:pPr>
        <w:pStyle w:val="BodyText"/>
        <w:spacing w:line="259" w:lineRule="auto" w:before="114"/>
        <w:ind w:left="412" w:right="1551" w:hanging="1"/>
        <w:jc w:val="center"/>
      </w:pPr>
      <w:r>
        <w:rPr>
          <w:color w:val="231F20"/>
        </w:rPr>
        <w:t>Durante el ordeño es frecuente encontrar que el personal, al preparar el material y el equipo para iniciar la actividad de ordeño, toma los  recipientes</w:t>
      </w:r>
    </w:p>
    <w:p>
      <w:pPr>
        <w:pStyle w:val="BodyText"/>
        <w:spacing w:before="3"/>
        <w:rPr>
          <w:sz w:val="28"/>
        </w:rPr>
      </w:pPr>
      <w:r>
        <w:rPr/>
        <w:drawing>
          <wp:anchor distT="0" distB="0" distL="0" distR="0" allowOverlap="1" layoutInCell="1" locked="0" behindDoc="0" simplePos="0" relativeHeight="1648">
            <wp:simplePos x="0" y="0"/>
            <wp:positionH relativeFrom="page">
              <wp:posOffset>3920700</wp:posOffset>
            </wp:positionH>
            <wp:positionV relativeFrom="paragraph">
              <wp:posOffset>243867</wp:posOffset>
            </wp:positionV>
            <wp:extent cx="2608892" cy="1955101"/>
            <wp:effectExtent l="0" t="0" r="0" b="0"/>
            <wp:wrapTopAndBottom/>
            <wp:docPr id="37" name="image32.png" descr=""/>
            <wp:cNvGraphicFramePr>
              <a:graphicFrameLocks noChangeAspect="1"/>
            </wp:cNvGraphicFramePr>
            <a:graphic>
              <a:graphicData uri="http://schemas.openxmlformats.org/drawingml/2006/picture">
                <pic:pic>
                  <pic:nvPicPr>
                    <pic:cNvPr id="38" name="image32.png"/>
                    <pic:cNvPicPr/>
                  </pic:nvPicPr>
                  <pic:blipFill>
                    <a:blip r:embed="rId55" cstate="print"/>
                    <a:stretch>
                      <a:fillRect/>
                    </a:stretch>
                  </pic:blipFill>
                  <pic:spPr>
                    <a:xfrm>
                      <a:off x="0" y="0"/>
                      <a:ext cx="2608892" cy="1955101"/>
                    </a:xfrm>
                    <a:prstGeom prst="rect">
                      <a:avLst/>
                    </a:prstGeom>
                  </pic:spPr>
                </pic:pic>
              </a:graphicData>
            </a:graphic>
          </wp:anchor>
        </w:drawing>
      </w:r>
    </w:p>
    <w:p>
      <w:pPr>
        <w:spacing w:before="160"/>
        <w:ind w:left="772" w:right="1911" w:firstLine="0"/>
        <w:jc w:val="center"/>
        <w:rPr>
          <w:sz w:val="18"/>
        </w:rPr>
      </w:pPr>
      <w:r>
        <w:rPr>
          <w:color w:val="231F20"/>
          <w:sz w:val="18"/>
        </w:rPr>
        <w:t>Figura 15.   Procedimiento durante el   ordeño.</w:t>
      </w:r>
    </w:p>
    <w:p>
      <w:pPr>
        <w:spacing w:after="0"/>
        <w:jc w:val="center"/>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4"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7"/>
          <w:sz w:val="22"/>
        </w:rPr>
        <w:t>31</w:t>
      </w:r>
    </w:p>
    <w:p>
      <w:pPr>
        <w:spacing w:after="0"/>
        <w:jc w:val="left"/>
        <w:rPr>
          <w:sz w:val="22"/>
        </w:rPr>
        <w:sectPr>
          <w:pgSz w:w="11900" w:h="14450"/>
          <w:pgMar w:header="0" w:footer="222" w:top="420" w:bottom="420" w:left="0" w:right="0"/>
        </w:sectPr>
      </w:pPr>
    </w:p>
    <w:p>
      <w:pPr>
        <w:pStyle w:val="BodyText"/>
        <w:spacing w:line="259" w:lineRule="auto" w:before="345"/>
        <w:ind w:left="1553"/>
        <w:jc w:val="both"/>
      </w:pPr>
      <w:r>
        <w:rPr>
          <w:color w:val="231F20"/>
        </w:rPr>
        <w:t>que contienen residuos del desinfectante emplea- do durante el ordeño anterior y añade nuevo des- infectante, lo que resulta una mezcla contaminada con estiércol, basura y residuos de alimento, entre otros contaminantes. Así, la capacidad de desin- fección es dudosa y puede ser una fuente de con- taminación para las glándulas ordeñadas; por lo tanto, después de terminado el ordeño del ganado deberán eliminarse los restos del desinfectante y lavar bien los recipientes.</w:t>
      </w:r>
    </w:p>
    <w:p>
      <w:pPr>
        <w:pStyle w:val="BodyText"/>
        <w:spacing w:line="259" w:lineRule="auto" w:before="114"/>
        <w:ind w:left="1553"/>
        <w:jc w:val="both"/>
      </w:pPr>
      <w:r>
        <w:rPr>
          <w:color w:val="231F20"/>
        </w:rPr>
        <w:t>En los establos de la zona oriente del Estado de México, en general,  las  ubres,  en  el  momento  de realizar el ordeño, muestran diferentes grados de limpieza, dependiendo de los métodos em- pleados para limpiarlas y desinfectarlas, del mate- rial utilizado para realizar estas actividades y de los modelos de ordeño (Ávila </w:t>
      </w:r>
      <w:r>
        <w:rPr>
          <w:i/>
          <w:color w:val="231F20"/>
        </w:rPr>
        <w:t>et al</w:t>
      </w:r>
      <w:r>
        <w:rPr>
          <w:color w:val="231F20"/>
        </w:rPr>
        <w:t>., </w:t>
      </w:r>
      <w:r>
        <w:rPr>
          <w:color w:val="231F20"/>
          <w:spacing w:val="-4"/>
        </w:rPr>
        <w:t>2010). </w:t>
      </w:r>
      <w:r>
        <w:rPr>
          <w:color w:val="231F20"/>
        </w:rPr>
        <w:t>En donde existen salas para ordeño de tipo parada conven- cional, en algunos establos la preparación de las ubres se inicia con la preparación del agua en el área de recibo o en la de baño, y el ganado pasa a la sala para ordeño con la ubre limpia o sucia, pero por lo general mojada. Aquí se realiza el lavado de la ubre empleando agua en cubeta y jerga, mate- rial que a consecuencia del repetido uso se apre- cia sucio y con residuos de estiércol, de tal manera que</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rPr>
        <w:t>logra</w:t>
      </w:r>
      <w:r>
        <w:rPr>
          <w:color w:val="231F20"/>
          <w:spacing w:val="23"/>
        </w:rPr>
        <w:t> </w:t>
      </w:r>
      <w:r>
        <w:rPr>
          <w:color w:val="231F20"/>
        </w:rPr>
        <w:t>el</w:t>
      </w:r>
      <w:r>
        <w:rPr>
          <w:color w:val="231F20"/>
          <w:spacing w:val="23"/>
        </w:rPr>
        <w:t> </w:t>
      </w:r>
      <w:r>
        <w:rPr>
          <w:color w:val="231F20"/>
        </w:rPr>
        <w:t>propósito</w:t>
      </w:r>
      <w:r>
        <w:rPr>
          <w:color w:val="231F20"/>
          <w:spacing w:val="23"/>
        </w:rPr>
        <w:t> </w:t>
      </w:r>
      <w:r>
        <w:rPr>
          <w:color w:val="231F20"/>
        </w:rPr>
        <w:t>de</w:t>
      </w:r>
      <w:r>
        <w:rPr>
          <w:color w:val="231F20"/>
          <w:spacing w:val="23"/>
        </w:rPr>
        <w:t> </w:t>
      </w:r>
      <w:r>
        <w:rPr>
          <w:color w:val="231F20"/>
        </w:rPr>
        <w:t>limpieza</w:t>
      </w:r>
      <w:r>
        <w:rPr>
          <w:color w:val="231F20"/>
          <w:spacing w:val="23"/>
        </w:rPr>
        <w:t> </w:t>
      </w:r>
      <w:r>
        <w:rPr>
          <w:color w:val="231F20"/>
        </w:rPr>
        <w:t>deseado</w:t>
      </w:r>
    </w:p>
    <w:p>
      <w:pPr>
        <w:pStyle w:val="BodyText"/>
        <w:spacing w:line="271" w:lineRule="auto" w:before="345"/>
        <w:ind w:left="412" w:right="1551"/>
        <w:jc w:val="both"/>
      </w:pPr>
      <w:r>
        <w:rPr/>
        <w:br w:type="column"/>
      </w:r>
      <w:r>
        <w:rPr>
          <w:color w:val="231F20"/>
        </w:rPr>
        <w:t>y se corre el riesgo de contaminar las ubres. Acti- vidad seguida es el secado de la ubre empleando   la jerga a la que ya se hizo referencia, después se coloca una máquina ordeñadora y al poco tiempo se podrá apreciar el agua sucia que escurre hacia   el pezón, acumulándose entre la boca de la pezo- nera y el pezón, líquido que se aprecia como ani- llo alrededor del pezón y que desaparece cuando resbalan las pezoneras, penetra aire y se ocasiona una fluctuación de vacío que proyecta el líquido sucio hacia la porción distal del pezón, lo cual es  un riesgo para la salud de la glándula  mamaria (Fig. </w:t>
      </w:r>
      <w:r>
        <w:rPr>
          <w:color w:val="231F20"/>
          <w:spacing w:val="17"/>
        </w:rPr>
        <w:t> </w:t>
      </w:r>
      <w:r>
        <w:rPr>
          <w:color w:val="231F20"/>
          <w:spacing w:val="-3"/>
        </w:rPr>
        <w:t>16).</w:t>
      </w:r>
    </w:p>
    <w:p>
      <w:pPr>
        <w:pStyle w:val="BodyText"/>
        <w:spacing w:line="271" w:lineRule="auto" w:before="113"/>
        <w:ind w:left="412" w:right="1551"/>
        <w:jc w:val="both"/>
      </w:pPr>
      <w:r>
        <w:rPr>
          <w:color w:val="231F20"/>
        </w:rPr>
        <w:t>En ciertas áreas de la zona oriente del Estado de México, para realizar el ordeño, con el mismo mo- delo de sala o con máquinas portátiles, la limpieza y la preparación de la ubre se realizan en la sala para ordeño, o en el sitio donde se realice, pero  por lo común con resultados similares a los antes mencionados. Cuando se logra que los trabajado- res realicen una buena preparación de la ubre para el ordeño, el problema que se presenta en estas unidades ganaderas es que el tiempo invertido en el ordeño del hato aumenta y llega a ser de un  25% a un 50% mayor, lo que se confirma al de- terminar</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rPr>
        <w:t>número</w:t>
      </w:r>
      <w:r>
        <w:rPr>
          <w:color w:val="231F20"/>
          <w:spacing w:val="34"/>
        </w:rPr>
        <w:t> </w:t>
      </w:r>
      <w:r>
        <w:rPr>
          <w:color w:val="231F20"/>
        </w:rPr>
        <w:t>de</w:t>
      </w:r>
      <w:r>
        <w:rPr>
          <w:color w:val="231F20"/>
          <w:spacing w:val="34"/>
        </w:rPr>
        <w:t> </w:t>
      </w:r>
      <w:r>
        <w:rPr>
          <w:color w:val="231F20"/>
        </w:rPr>
        <w:t>vacas</w:t>
      </w:r>
      <w:r>
        <w:rPr>
          <w:color w:val="231F20"/>
          <w:spacing w:val="34"/>
        </w:rPr>
        <w:t> </w:t>
      </w:r>
      <w:r>
        <w:rPr>
          <w:color w:val="231F20"/>
        </w:rPr>
        <w:t>ordeñadas</w:t>
      </w:r>
      <w:r>
        <w:rPr>
          <w:color w:val="231F20"/>
          <w:spacing w:val="34"/>
        </w:rPr>
        <w:t> </w:t>
      </w:r>
      <w:r>
        <w:rPr>
          <w:color w:val="231F20"/>
        </w:rPr>
        <w:t>por</w:t>
      </w:r>
    </w:p>
    <w:p>
      <w:pPr>
        <w:spacing w:after="0" w:line="271"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6"/>
        <w:rPr>
          <w:sz w:val="10"/>
        </w:rPr>
      </w:pPr>
    </w:p>
    <w:p>
      <w:pPr>
        <w:pStyle w:val="BodyText"/>
        <w:tabs>
          <w:tab w:pos="6173" w:val="left" w:leader="none"/>
        </w:tabs>
        <w:ind w:left="1553"/>
      </w:pPr>
      <w:r>
        <w:rPr>
          <w:position w:val="8"/>
        </w:rPr>
        <w:drawing>
          <wp:inline distT="0" distB="0" distL="0" distR="0">
            <wp:extent cx="2608893" cy="1955101"/>
            <wp:effectExtent l="0" t="0" r="0" b="0"/>
            <wp:docPr id="39" name="image33.png" descr=""/>
            <wp:cNvGraphicFramePr>
              <a:graphicFrameLocks noChangeAspect="1"/>
            </wp:cNvGraphicFramePr>
            <a:graphic>
              <a:graphicData uri="http://schemas.openxmlformats.org/drawingml/2006/picture">
                <pic:pic>
                  <pic:nvPicPr>
                    <pic:cNvPr id="40" name="image33.png"/>
                    <pic:cNvPicPr/>
                  </pic:nvPicPr>
                  <pic:blipFill>
                    <a:blip r:embed="rId56" cstate="print"/>
                    <a:stretch>
                      <a:fillRect/>
                    </a:stretch>
                  </pic:blipFill>
                  <pic:spPr>
                    <a:xfrm>
                      <a:off x="0" y="0"/>
                      <a:ext cx="2608893" cy="1955101"/>
                    </a:xfrm>
                    <a:prstGeom prst="rect">
                      <a:avLst/>
                    </a:prstGeom>
                  </pic:spPr>
                </pic:pic>
              </a:graphicData>
            </a:graphic>
          </wp:inline>
        </w:drawing>
      </w:r>
      <w:r>
        <w:rPr>
          <w:position w:val="8"/>
        </w:rPr>
      </w:r>
      <w:r>
        <w:rPr>
          <w:position w:val="8"/>
        </w:rPr>
        <w:tab/>
      </w:r>
      <w:r>
        <w:rPr/>
        <w:drawing>
          <wp:inline distT="0" distB="0" distL="0" distR="0">
            <wp:extent cx="2687485" cy="2014823"/>
            <wp:effectExtent l="0" t="0" r="0" b="0"/>
            <wp:docPr id="41" name="image34.png" descr=""/>
            <wp:cNvGraphicFramePr>
              <a:graphicFrameLocks noChangeAspect="1"/>
            </wp:cNvGraphicFramePr>
            <a:graphic>
              <a:graphicData uri="http://schemas.openxmlformats.org/drawingml/2006/picture">
                <pic:pic>
                  <pic:nvPicPr>
                    <pic:cNvPr id="42" name="image34.png"/>
                    <pic:cNvPicPr/>
                  </pic:nvPicPr>
                  <pic:blipFill>
                    <a:blip r:embed="rId57" cstate="print"/>
                    <a:stretch>
                      <a:fillRect/>
                    </a:stretch>
                  </pic:blipFill>
                  <pic:spPr>
                    <a:xfrm>
                      <a:off x="0" y="0"/>
                      <a:ext cx="2687485" cy="2014823"/>
                    </a:xfrm>
                    <a:prstGeom prst="rect">
                      <a:avLst/>
                    </a:prstGeom>
                  </pic:spPr>
                </pic:pic>
              </a:graphicData>
            </a:graphic>
          </wp:inline>
        </w:drawing>
      </w:r>
      <w:r>
        <w:rPr/>
      </w:r>
    </w:p>
    <w:p>
      <w:pPr>
        <w:spacing w:before="105"/>
        <w:ind w:left="2912" w:right="2503" w:firstLine="0"/>
        <w:jc w:val="left"/>
        <w:rPr>
          <w:sz w:val="18"/>
        </w:rPr>
      </w:pPr>
      <w:r>
        <w:rPr>
          <w:color w:val="231F20"/>
          <w:sz w:val="18"/>
        </w:rPr>
        <w:t>Figura 16.       Condiciones inadecuadas para el ordeño y predisponentes a mastitis.</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spacing w:val="-3"/>
          <w:w w:val="120"/>
          <w:sz w:val="22"/>
        </w:rPr>
        <w:t>32</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rPr>
        <w:t>hora y máquina es tan bajo como cuatro, cuando debe ser de siete u   ocho.</w:t>
      </w:r>
    </w:p>
    <w:p>
      <w:pPr>
        <w:pStyle w:val="BodyText"/>
        <w:spacing w:line="259" w:lineRule="auto" w:before="114"/>
        <w:ind w:left="1553"/>
        <w:jc w:val="both"/>
      </w:pPr>
      <w:r>
        <w:rPr>
          <w:color w:val="231F20"/>
        </w:rPr>
        <w:t>En la zona oriente del Estado de México hay pe- queños productores que cuentan con instalacio- nes con modelos  de  sala  en  espina  de  pescado o en tándem. Es factible realizar la preparación de la vaca siempre que se destine una unidad para ordeñar por cada dos animales, de  tal  manera  que mientras se prepara a una vaca se ordeña a     la compañera, y en caso de las salas en espina de pescado esto se facilita, pues el grupo de animales en ordeño permanece en la sala alrededor de </w:t>
      </w:r>
      <w:r>
        <w:rPr>
          <w:color w:val="231F20"/>
          <w:spacing w:val="-5"/>
        </w:rPr>
        <w:t>10    </w:t>
      </w:r>
      <w:r>
        <w:rPr>
          <w:color w:val="231F20"/>
        </w:rPr>
        <w:t>a </w:t>
      </w:r>
      <w:r>
        <w:rPr>
          <w:color w:val="231F20"/>
          <w:spacing w:val="-5"/>
        </w:rPr>
        <w:t>15 </w:t>
      </w:r>
      <w:r>
        <w:rPr>
          <w:color w:val="231F20"/>
        </w:rPr>
        <w:t>minutos, tiempo suficiente para permitir que la ubre que se ha lavado y secado con toalla de papel limpio y desechable se presente al ordeño por completo seca y libre de  </w:t>
      </w:r>
      <w:r>
        <w:rPr>
          <w:color w:val="231F20"/>
          <w:spacing w:val="9"/>
        </w:rPr>
        <w:t> </w:t>
      </w:r>
      <w:r>
        <w:rPr>
          <w:color w:val="231F20"/>
        </w:rPr>
        <w:t>suciedad.</w:t>
      </w:r>
    </w:p>
    <w:p>
      <w:pPr>
        <w:pStyle w:val="BodyText"/>
        <w:spacing w:line="259" w:lineRule="auto" w:before="114"/>
        <w:ind w:left="1553"/>
        <w:jc w:val="both"/>
      </w:pPr>
      <w:r>
        <w:rPr>
          <w:color w:val="231F20"/>
        </w:rPr>
        <w:t>En la experiencia profesional, cuando</w:t>
      </w:r>
      <w:r>
        <w:rPr>
          <w:color w:val="231F20"/>
          <w:spacing w:val="18"/>
        </w:rPr>
        <w:t> </w:t>
      </w:r>
      <w:r>
        <w:rPr>
          <w:color w:val="231F20"/>
        </w:rPr>
        <w:t>el</w:t>
      </w:r>
      <w:r>
        <w:rPr>
          <w:color w:val="231F20"/>
          <w:spacing w:val="21"/>
        </w:rPr>
        <w:t> </w:t>
      </w:r>
      <w:r>
        <w:rPr>
          <w:color w:val="231F20"/>
        </w:rPr>
        <w:t>ganadero</w:t>
      </w:r>
      <w:r>
        <w:rPr>
          <w:color w:val="231F20"/>
          <w:w w:val="100"/>
        </w:rPr>
        <w:t> </w:t>
      </w:r>
      <w:r>
        <w:rPr>
          <w:color w:val="231F20"/>
        </w:rPr>
        <w:t>insiste en hacer la comentada actividad en la sala de ordeño, o incluso en ordeño mecánico con pe- queñas unidades o manual,  se  recomienda  que  el lavado de los pezones se realice con agua po- table y que el ordeñador porte guantes de hule, siguiendo los lineamientos señalados en el párra- fo anterior. En ocasiones, cuando es muy sucia la condición en que llega el ganado a la zona para ordeño, se ha sugerido que el trabajador aplique agua sobre el pezón y al mismo tiempo que retire manualmente la suciedad,  con  especial  atención al área del ápice del pezón; que después, con una toalla desechable, lo seque, y acción seguida tome el atomizador conteniendo un antiséptico en con- centración recomendable para pezones (sellador)   y lo aplique sobre éstos, y a continuación, con una toalla desechable, seque el pezón  y  se  asegure  de que, en lo posible, se ha retirado el antiséptico aplicado.</w:t>
      </w:r>
    </w:p>
    <w:p>
      <w:pPr>
        <w:pStyle w:val="BodyText"/>
        <w:spacing w:line="259" w:lineRule="auto" w:before="114"/>
        <w:ind w:left="1553"/>
        <w:jc w:val="both"/>
      </w:pPr>
      <w:r>
        <w:rPr>
          <w:color w:val="231F20"/>
        </w:rPr>
        <w:t>En la actualidad, con frecuencia se encuentran sa- las para ordeño equipadas con sistemas de lavado de unidades de ordeño  en  posición  de  trabajo,  es decir, que no se requiere llevar estas unidades de  ordeño  a  la  tina  de  lavado,  pero  también</w:t>
      </w:r>
      <w:r>
        <w:rPr>
          <w:color w:val="231F20"/>
          <w:spacing w:val="18"/>
        </w:rPr>
        <w:t> </w:t>
      </w:r>
      <w:r>
        <w:rPr>
          <w:color w:val="231F20"/>
        </w:rPr>
        <w:t>es</w:t>
      </w:r>
    </w:p>
    <w:p>
      <w:pPr>
        <w:pStyle w:val="BodyText"/>
        <w:spacing w:before="10"/>
        <w:rPr>
          <w:sz w:val="8"/>
        </w:rPr>
      </w:pPr>
      <w:r>
        <w:rPr/>
        <w:br w:type="column"/>
      </w:r>
      <w:r>
        <w:rPr>
          <w:sz w:val="8"/>
        </w:rPr>
      </w:r>
    </w:p>
    <w:p>
      <w:pPr>
        <w:pStyle w:val="BodyText"/>
        <w:ind w:left="412"/>
      </w:pPr>
      <w:r>
        <w:rPr/>
        <w:drawing>
          <wp:inline distT="0" distB="0" distL="0" distR="0">
            <wp:extent cx="2608884" cy="1955101"/>
            <wp:effectExtent l="0" t="0" r="0" b="0"/>
            <wp:docPr id="43" name="image32.png" descr=""/>
            <wp:cNvGraphicFramePr>
              <a:graphicFrameLocks noChangeAspect="1"/>
            </wp:cNvGraphicFramePr>
            <a:graphic>
              <a:graphicData uri="http://schemas.openxmlformats.org/drawingml/2006/picture">
                <pic:pic>
                  <pic:nvPicPr>
                    <pic:cNvPr id="44" name="image32.png"/>
                    <pic:cNvPicPr/>
                  </pic:nvPicPr>
                  <pic:blipFill>
                    <a:blip r:embed="rId55" cstate="print"/>
                    <a:stretch>
                      <a:fillRect/>
                    </a:stretch>
                  </pic:blipFill>
                  <pic:spPr>
                    <a:xfrm>
                      <a:off x="0" y="0"/>
                      <a:ext cx="2608884" cy="1955101"/>
                    </a:xfrm>
                    <a:prstGeom prst="rect">
                      <a:avLst/>
                    </a:prstGeom>
                  </pic:spPr>
                </pic:pic>
              </a:graphicData>
            </a:graphic>
          </wp:inline>
        </w:drawing>
      </w:r>
      <w:r>
        <w:rPr/>
      </w:r>
    </w:p>
    <w:p>
      <w:pPr>
        <w:pStyle w:val="BodyText"/>
        <w:spacing w:before="6"/>
        <w:rPr>
          <w:sz w:val="15"/>
        </w:rPr>
      </w:pPr>
    </w:p>
    <w:p>
      <w:pPr>
        <w:spacing w:line="283" w:lineRule="auto" w:before="0"/>
        <w:ind w:left="412" w:right="1552" w:firstLine="0"/>
        <w:jc w:val="both"/>
        <w:rPr>
          <w:sz w:val="18"/>
        </w:rPr>
      </w:pPr>
      <w:r>
        <w:rPr>
          <w:color w:val="231F20"/>
          <w:sz w:val="18"/>
        </w:rPr>
        <w:t>Figura 17. Contaminación del colector de la unidad de ordeño.</w:t>
      </w:r>
    </w:p>
    <w:p>
      <w:pPr>
        <w:pStyle w:val="BodyText"/>
        <w:spacing w:before="12"/>
        <w:rPr>
          <w:sz w:val="26"/>
        </w:rPr>
      </w:pPr>
    </w:p>
    <w:p>
      <w:pPr>
        <w:pStyle w:val="BodyText"/>
        <w:spacing w:line="261" w:lineRule="auto"/>
        <w:ind w:left="412" w:right="1551"/>
        <w:jc w:val="both"/>
      </w:pPr>
      <w:r>
        <w:rPr>
          <w:color w:val="231F20"/>
        </w:rPr>
        <w:t>posible encontrar que estas unidades carecen de adecuada limpieza y muestran residuos de color blanco, o blanco cremoso, sobre las paredes del colector de leche en la ordeñadora, o de las pe- zoneras. Este material, al ser expuesto a un cultivo microbiológico por lo general resulta positivo para diferentes microorganismos, situación que resulta peligrosa para la salud de las glándulas mamarias expuestas al ordeño (Fig.   17).</w:t>
      </w:r>
    </w:p>
    <w:p>
      <w:pPr>
        <w:pStyle w:val="BodyText"/>
        <w:spacing w:line="261" w:lineRule="auto" w:before="113"/>
        <w:ind w:left="412" w:right="1551"/>
        <w:jc w:val="both"/>
      </w:pPr>
      <w:r>
        <w:rPr>
          <w:color w:val="231F20"/>
          <w:spacing w:val="-3"/>
        </w:rPr>
        <w:t>González </w:t>
      </w:r>
      <w:r>
        <w:rPr>
          <w:color w:val="231F20"/>
          <w:spacing w:val="-4"/>
        </w:rPr>
        <w:t>(1998) </w:t>
      </w:r>
      <w:r>
        <w:rPr>
          <w:color w:val="231F20"/>
        </w:rPr>
        <w:t>enfatiza la importancia de la hi- giene en los establos localizados en el Altiplano de México,</w:t>
      </w:r>
      <w:r>
        <w:rPr>
          <w:color w:val="231F20"/>
          <w:spacing w:val="-16"/>
        </w:rPr>
        <w:t> </w:t>
      </w:r>
      <w:r>
        <w:rPr>
          <w:color w:val="231F20"/>
        </w:rPr>
        <w:t>y</w:t>
      </w:r>
      <w:r>
        <w:rPr>
          <w:color w:val="231F20"/>
          <w:spacing w:val="-16"/>
        </w:rPr>
        <w:t> </w:t>
      </w:r>
      <w:r>
        <w:rPr>
          <w:color w:val="231F20"/>
        </w:rPr>
        <w:t>señala</w:t>
      </w:r>
      <w:r>
        <w:rPr>
          <w:color w:val="231F20"/>
          <w:spacing w:val="-16"/>
        </w:rPr>
        <w:t> </w:t>
      </w:r>
      <w:r>
        <w:rPr>
          <w:color w:val="231F20"/>
        </w:rPr>
        <w:t>una</w:t>
      </w:r>
      <w:r>
        <w:rPr>
          <w:color w:val="231F20"/>
          <w:spacing w:val="-16"/>
        </w:rPr>
        <w:t> </w:t>
      </w:r>
      <w:r>
        <w:rPr>
          <w:color w:val="231F20"/>
        </w:rPr>
        <w:t>correlación</w:t>
      </w:r>
      <w:r>
        <w:rPr>
          <w:color w:val="231F20"/>
          <w:spacing w:val="-16"/>
        </w:rPr>
        <w:t> </w:t>
      </w:r>
      <w:r>
        <w:rPr>
          <w:color w:val="231F20"/>
        </w:rPr>
        <w:t>positiva</w:t>
      </w:r>
      <w:r>
        <w:rPr>
          <w:color w:val="231F20"/>
          <w:spacing w:val="-16"/>
        </w:rPr>
        <w:t> </w:t>
      </w:r>
      <w:r>
        <w:rPr>
          <w:color w:val="231F20"/>
        </w:rPr>
        <w:t>entre</w:t>
      </w:r>
      <w:r>
        <w:rPr>
          <w:color w:val="231F20"/>
          <w:spacing w:val="-16"/>
        </w:rPr>
        <w:t> </w:t>
      </w:r>
      <w:r>
        <w:rPr>
          <w:color w:val="231F20"/>
        </w:rPr>
        <w:t>la</w:t>
      </w:r>
      <w:r>
        <w:rPr>
          <w:color w:val="231F20"/>
          <w:spacing w:val="-16"/>
        </w:rPr>
        <w:t> </w:t>
      </w:r>
      <w:r>
        <w:rPr>
          <w:color w:val="231F20"/>
        </w:rPr>
        <w:t>ca- lificación</w:t>
      </w:r>
      <w:r>
        <w:rPr>
          <w:color w:val="231F20"/>
          <w:spacing w:val="-10"/>
        </w:rPr>
        <w:t> </w:t>
      </w:r>
      <w:r>
        <w:rPr>
          <w:color w:val="231F20"/>
        </w:rPr>
        <w:t>alta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higiene</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número</w:t>
      </w:r>
      <w:r>
        <w:rPr>
          <w:color w:val="231F20"/>
          <w:spacing w:val="-10"/>
        </w:rPr>
        <w:t> </w:t>
      </w:r>
      <w:r>
        <w:rPr>
          <w:color w:val="231F20"/>
        </w:rPr>
        <w:t>alto</w:t>
      </w:r>
      <w:r>
        <w:rPr>
          <w:color w:val="231F20"/>
          <w:spacing w:val="-10"/>
        </w:rPr>
        <w:t> </w:t>
      </w:r>
      <w:r>
        <w:rPr>
          <w:color w:val="231F20"/>
        </w:rPr>
        <w:t>de</w:t>
      </w:r>
      <w:r>
        <w:rPr>
          <w:color w:val="231F20"/>
          <w:spacing w:val="-10"/>
        </w:rPr>
        <w:t> </w:t>
      </w:r>
      <w:r>
        <w:rPr>
          <w:color w:val="231F20"/>
        </w:rPr>
        <w:t>casos con bacteriología negativa; también señala que </w:t>
      </w:r>
      <w:r>
        <w:rPr>
          <w:color w:val="231F20"/>
          <w:spacing w:val="-2"/>
        </w:rPr>
        <w:t>por </w:t>
      </w:r>
      <w:r>
        <w:rPr>
          <w:color w:val="231F20"/>
        </w:rPr>
        <w:t>cada punto en la calificación de la higiene que se mejora en estas ganaderías aumentan un 6,6% </w:t>
      </w:r>
      <w:r>
        <w:rPr>
          <w:color w:val="231F20"/>
          <w:spacing w:val="-2"/>
        </w:rPr>
        <w:t>los </w:t>
      </w:r>
      <w:r>
        <w:rPr>
          <w:color w:val="231F20"/>
        </w:rPr>
        <w:t>casos negativos en los exámenes bacteriológicos</w:t>
      </w:r>
      <w:r>
        <w:rPr>
          <w:color w:val="231F20"/>
          <w:spacing w:val="-30"/>
        </w:rPr>
        <w:t> </w:t>
      </w:r>
      <w:r>
        <w:rPr>
          <w:color w:val="231F20"/>
        </w:rPr>
        <w:t>de las muestras de</w:t>
      </w:r>
      <w:r>
        <w:rPr>
          <w:color w:val="231F20"/>
          <w:spacing w:val="23"/>
        </w:rPr>
        <w:t> </w:t>
      </w:r>
      <w:r>
        <w:rPr>
          <w:color w:val="231F20"/>
          <w:spacing w:val="-2"/>
        </w:rPr>
        <w:t>leche.</w:t>
      </w:r>
    </w:p>
    <w:p>
      <w:pPr>
        <w:pStyle w:val="BodyText"/>
      </w:pPr>
    </w:p>
    <w:p>
      <w:pPr>
        <w:pStyle w:val="BodyText"/>
        <w:spacing w:before="153"/>
        <w:ind w:left="412"/>
        <w:jc w:val="both"/>
      </w:pPr>
      <w:r>
        <w:rPr>
          <w:color w:val="231F20"/>
          <w:w w:val="115"/>
        </w:rPr>
        <w:t>CONCLUSIONES</w:t>
      </w:r>
    </w:p>
    <w:p>
      <w:pPr>
        <w:pStyle w:val="BodyText"/>
        <w:spacing w:line="261" w:lineRule="auto" w:before="135"/>
        <w:ind w:left="412" w:right="1551"/>
        <w:jc w:val="both"/>
      </w:pPr>
      <w:r>
        <w:rPr>
          <w:color w:val="231F20"/>
        </w:rPr>
        <w:t>Para establecer un programa de control de la mas- titis se requiere tener un diagnóstico integral que incluya el estado de salud de las ubres del hato lechero, capacidad y eficiencia del equipo para or- deño, o si el procedimiento utilizado es de orde-</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4"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7"/>
          <w:sz w:val="22"/>
        </w:rPr>
        <w:t>33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ña manual, la calidad de la leche almacenada en tanques o botes y la condición en general de la unidad de producción.</w:t>
      </w:r>
    </w:p>
    <w:p>
      <w:pPr>
        <w:pStyle w:val="BodyText"/>
        <w:spacing w:line="256" w:lineRule="auto" w:before="113"/>
        <w:ind w:left="1553"/>
        <w:jc w:val="both"/>
      </w:pPr>
      <w:r>
        <w:rPr>
          <w:color w:val="231F20"/>
        </w:rPr>
        <w:t>El establecimiento y el desarrollo del programa de control de la mastitis debe tener como propósito principal</w:t>
      </w:r>
      <w:r>
        <w:rPr>
          <w:color w:val="231F20"/>
          <w:spacing w:val="-7"/>
        </w:rPr>
        <w:t> </w:t>
      </w:r>
      <w:r>
        <w:rPr>
          <w:color w:val="231F20"/>
        </w:rPr>
        <w:t>lograr</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de</w:t>
      </w:r>
      <w:r>
        <w:rPr>
          <w:color w:val="231F20"/>
          <w:spacing w:val="-7"/>
        </w:rPr>
        <w:t> </w:t>
      </w:r>
      <w:r>
        <w:rPr>
          <w:color w:val="231F20"/>
        </w:rPr>
        <w:t>leche</w:t>
      </w:r>
      <w:r>
        <w:rPr>
          <w:color w:val="231F20"/>
          <w:spacing w:val="-7"/>
        </w:rPr>
        <w:t> </w:t>
      </w:r>
      <w:r>
        <w:rPr>
          <w:color w:val="231F20"/>
        </w:rPr>
        <w:t>de</w:t>
      </w:r>
      <w:r>
        <w:rPr>
          <w:color w:val="231F20"/>
          <w:spacing w:val="-7"/>
        </w:rPr>
        <w:t> </w:t>
      </w:r>
      <w:r>
        <w:rPr>
          <w:color w:val="231F20"/>
        </w:rPr>
        <w:t>calidad,</w:t>
      </w:r>
      <w:r>
        <w:rPr>
          <w:color w:val="231F20"/>
          <w:spacing w:val="-7"/>
        </w:rPr>
        <w:t> </w:t>
      </w:r>
      <w:r>
        <w:rPr>
          <w:color w:val="231F20"/>
        </w:rPr>
        <w:t>el cuidado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salud</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productiva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spacing w:val="-2"/>
        </w:rPr>
        <w:t>vacas.</w:t>
      </w:r>
    </w:p>
    <w:p>
      <w:pPr>
        <w:pStyle w:val="BodyText"/>
        <w:spacing w:line="256" w:lineRule="auto" w:before="113"/>
        <w:ind w:left="1553"/>
        <w:jc w:val="both"/>
      </w:pPr>
      <w:r>
        <w:rPr>
          <w:color w:val="231F20"/>
        </w:rPr>
        <w:t>Es necesario que el  proyecto  sea  provechoso,  que comprenda el control de los microorganis-  mos tradicionalmente considerados causantes de mastitis, como son de manera principal las espe- cies de estreptococos o estafilococos, pero tam- bién que controle el posible establecimiento de microorganismos oportunistas, como </w:t>
      </w:r>
      <w:r>
        <w:rPr>
          <w:i/>
          <w:color w:val="231F20"/>
        </w:rPr>
        <w:t>Coliformes</w:t>
      </w:r>
      <w:r>
        <w:rPr>
          <w:color w:val="231F20"/>
        </w:rPr>
        <w:t>, </w:t>
      </w:r>
      <w:r>
        <w:rPr>
          <w:i/>
          <w:color w:val="231F20"/>
        </w:rPr>
        <w:t>Pasteurella</w:t>
      </w:r>
      <w:r>
        <w:rPr>
          <w:color w:val="231F20"/>
        </w:rPr>
        <w:t>, </w:t>
      </w:r>
      <w:r>
        <w:rPr>
          <w:i/>
          <w:color w:val="231F20"/>
        </w:rPr>
        <w:t>Nocardia </w:t>
      </w:r>
      <w:r>
        <w:rPr>
          <w:color w:val="231F20"/>
        </w:rPr>
        <w:t>y </w:t>
      </w:r>
      <w:r>
        <w:rPr>
          <w:i/>
          <w:color w:val="231F20"/>
        </w:rPr>
        <w:t>Bacillus</w:t>
      </w:r>
      <w:r>
        <w:rPr>
          <w:color w:val="231F20"/>
        </w:rPr>
        <w:t>, entre otros géne- ros; y que reduzca el número de infecciones en el hato y el tiempo de duración de éstas. Es preciso que existan las facilidades para poner en práctica   y monitorear el programa establecido. De mucha importancia es que el proyecto sea comprendido    y aceptado por el ganadero, así como por el perso- nal que trabaja en la unidad ganadera, en especial el que labora en el área de ordeño o se dedica a     la ordeña manual. Debe programarse el adecuado entrenamiento del personal que interviene en el proceso de ordeño, ya que las actividades realiza- das por estos trabajadores son fundamentales en  la cadena de </w:t>
      </w:r>
      <w:r>
        <w:rPr>
          <w:color w:val="231F20"/>
          <w:spacing w:val="12"/>
        </w:rPr>
        <w:t> </w:t>
      </w:r>
      <w:r>
        <w:rPr>
          <w:color w:val="231F20"/>
        </w:rPr>
        <w:t>producción.</w:t>
      </w:r>
    </w:p>
    <w:p>
      <w:pPr>
        <w:pStyle w:val="BodyText"/>
        <w:spacing w:line="256" w:lineRule="auto" w:before="113"/>
        <w:ind w:left="1553"/>
        <w:jc w:val="both"/>
      </w:pPr>
      <w:r>
        <w:rPr>
          <w:color w:val="231F20"/>
        </w:rPr>
        <w:t>Las instalaciones para el alojamiento y el ordeño  de las vacas deberán ser adecuadas, suficientes y bien mantenidas. Sin embargo, si no es posible contar con las instalaciones necesarias, por lo me- nos el personal ha de estar suficientemente cua- lificado para el desempeño del trabajo. Hay que asegurarse de que el personal médico cuente con los medicamentos, materiales y equipos requeri- dos para un pronto y eficiente tratamiento del ga- nado</w:t>
      </w:r>
      <w:r>
        <w:rPr>
          <w:color w:val="231F20"/>
          <w:spacing w:val="22"/>
        </w:rPr>
        <w:t> </w:t>
      </w:r>
      <w:r>
        <w:rPr>
          <w:color w:val="231F20"/>
        </w:rPr>
        <w:t>enfermo.</w:t>
      </w:r>
    </w:p>
    <w:p>
      <w:pPr>
        <w:pStyle w:val="BodyText"/>
        <w:spacing w:line="256" w:lineRule="auto" w:before="113"/>
        <w:ind w:left="1553"/>
        <w:jc w:val="both"/>
      </w:pPr>
      <w:r>
        <w:rPr>
          <w:color w:val="231F20"/>
        </w:rPr>
        <w:t>No </w:t>
      </w:r>
      <w:r>
        <w:rPr>
          <w:color w:val="231F20"/>
          <w:spacing w:val="-4"/>
        </w:rPr>
        <w:t>menos importante </w:t>
      </w:r>
      <w:r>
        <w:rPr>
          <w:color w:val="231F20"/>
        </w:rPr>
        <w:t>es el </w:t>
      </w:r>
      <w:r>
        <w:rPr>
          <w:color w:val="231F20"/>
          <w:spacing w:val="-4"/>
        </w:rPr>
        <w:t>desarrollo eficiente de </w:t>
      </w:r>
      <w:r>
        <w:rPr>
          <w:color w:val="231F20"/>
          <w:spacing w:val="-3"/>
        </w:rPr>
        <w:t>toda </w:t>
      </w:r>
      <w:r>
        <w:rPr>
          <w:color w:val="231F20"/>
          <w:spacing w:val="-4"/>
        </w:rPr>
        <w:t>práctica </w:t>
      </w:r>
      <w:r>
        <w:rPr>
          <w:color w:val="231F20"/>
        </w:rPr>
        <w:t>de </w:t>
      </w:r>
      <w:r>
        <w:rPr>
          <w:color w:val="231F20"/>
          <w:spacing w:val="-4"/>
        </w:rPr>
        <w:t>manejo </w:t>
      </w:r>
      <w:r>
        <w:rPr>
          <w:color w:val="231F20"/>
          <w:spacing w:val="-3"/>
        </w:rPr>
        <w:t>que </w:t>
      </w:r>
      <w:r>
        <w:rPr>
          <w:color w:val="231F20"/>
          <w:spacing w:val="-4"/>
        </w:rPr>
        <w:t>interviene </w:t>
      </w:r>
      <w:r>
        <w:rPr>
          <w:color w:val="231F20"/>
        </w:rPr>
        <w:t>en el</w:t>
      </w:r>
      <w:r>
        <w:rPr>
          <w:color w:val="231F20"/>
          <w:spacing w:val="-15"/>
        </w:rPr>
        <w:t> </w:t>
      </w:r>
      <w:r>
        <w:rPr>
          <w:color w:val="231F20"/>
          <w:spacing w:val="-4"/>
        </w:rPr>
        <w:t>proceso </w:t>
      </w:r>
      <w:r>
        <w:rPr>
          <w:color w:val="231F20"/>
        </w:rPr>
        <w:t>de </w:t>
      </w:r>
      <w:r>
        <w:rPr>
          <w:color w:val="231F20"/>
          <w:spacing w:val="-4"/>
        </w:rPr>
        <w:t>producción. </w:t>
      </w:r>
      <w:r>
        <w:rPr>
          <w:color w:val="231F20"/>
          <w:spacing w:val="-3"/>
        </w:rPr>
        <w:t>Así, </w:t>
      </w:r>
      <w:r>
        <w:rPr>
          <w:color w:val="231F20"/>
        </w:rPr>
        <w:t>el </w:t>
      </w:r>
      <w:r>
        <w:rPr>
          <w:color w:val="231F20"/>
          <w:spacing w:val="-3"/>
        </w:rPr>
        <w:t>agua debe ser </w:t>
      </w:r>
      <w:r>
        <w:rPr>
          <w:color w:val="231F20"/>
          <w:spacing w:val="-4"/>
        </w:rPr>
        <w:t>potable </w:t>
      </w:r>
      <w:r>
        <w:rPr>
          <w:color w:val="231F20"/>
        </w:rPr>
        <w:t>y </w:t>
      </w:r>
      <w:r>
        <w:rPr>
          <w:color w:val="231F20"/>
          <w:spacing w:val="-3"/>
        </w:rPr>
        <w:t>los</w:t>
      </w:r>
      <w:r>
        <w:rPr>
          <w:color w:val="231F20"/>
          <w:spacing w:val="10"/>
        </w:rPr>
        <w:t> </w:t>
      </w:r>
      <w:r>
        <w:rPr>
          <w:color w:val="231F20"/>
          <w:spacing w:val="-3"/>
        </w:rPr>
        <w:t>an-</w:t>
      </w:r>
    </w:p>
    <w:p>
      <w:pPr>
        <w:pStyle w:val="BodyText"/>
        <w:spacing w:before="3"/>
        <w:rPr>
          <w:sz w:val="28"/>
        </w:rPr>
      </w:pPr>
      <w:r>
        <w:rPr/>
        <w:br w:type="column"/>
      </w:r>
      <w:r>
        <w:rPr>
          <w:sz w:val="28"/>
        </w:rPr>
      </w:r>
    </w:p>
    <w:p>
      <w:pPr>
        <w:pStyle w:val="BodyText"/>
        <w:spacing w:line="261" w:lineRule="auto"/>
        <w:ind w:left="412" w:right="1555"/>
        <w:jc w:val="both"/>
      </w:pPr>
      <w:r>
        <w:rPr>
          <w:color w:val="231F20"/>
          <w:spacing w:val="-4"/>
        </w:rPr>
        <w:t>tisépticos </w:t>
      </w:r>
      <w:r>
        <w:rPr>
          <w:color w:val="231F20"/>
          <w:spacing w:val="-3"/>
        </w:rPr>
        <w:t>han </w:t>
      </w:r>
      <w:r>
        <w:rPr>
          <w:color w:val="231F20"/>
        </w:rPr>
        <w:t>de </w:t>
      </w:r>
      <w:r>
        <w:rPr>
          <w:color w:val="231F20"/>
          <w:spacing w:val="-3"/>
        </w:rPr>
        <w:t>ser los </w:t>
      </w:r>
      <w:r>
        <w:rPr>
          <w:color w:val="231F20"/>
          <w:spacing w:val="-4"/>
        </w:rPr>
        <w:t>correctos </w:t>
      </w:r>
      <w:r>
        <w:rPr>
          <w:color w:val="231F20"/>
          <w:spacing w:val="-3"/>
        </w:rPr>
        <w:t>para lograr </w:t>
      </w:r>
      <w:r>
        <w:rPr>
          <w:color w:val="231F20"/>
          <w:spacing w:val="-4"/>
        </w:rPr>
        <w:t>eficacia contra </w:t>
      </w:r>
      <w:r>
        <w:rPr>
          <w:color w:val="231F20"/>
          <w:spacing w:val="-3"/>
        </w:rPr>
        <w:t>los </w:t>
      </w:r>
      <w:r>
        <w:rPr>
          <w:color w:val="231F20"/>
          <w:spacing w:val="-4"/>
        </w:rPr>
        <w:t>patógenos específicos </w:t>
      </w:r>
      <w:r>
        <w:rPr>
          <w:color w:val="231F20"/>
          <w:spacing w:val="-3"/>
        </w:rPr>
        <w:t>del  </w:t>
      </w:r>
      <w:r>
        <w:rPr>
          <w:color w:val="231F20"/>
          <w:spacing w:val="-4"/>
        </w:rPr>
        <w:t>ambiente.</w:t>
      </w:r>
    </w:p>
    <w:p>
      <w:pPr>
        <w:pStyle w:val="BodyText"/>
        <w:spacing w:line="261" w:lineRule="auto" w:before="114"/>
        <w:ind w:left="412" w:right="1551"/>
        <w:jc w:val="both"/>
      </w:pPr>
      <w:r>
        <w:rPr>
          <w:color w:val="231F20"/>
        </w:rPr>
        <w:t>Durante</w:t>
      </w:r>
      <w:r>
        <w:rPr>
          <w:color w:val="231F20"/>
          <w:spacing w:val="-10"/>
        </w:rPr>
        <w:t> </w:t>
      </w:r>
      <w:r>
        <w:rPr>
          <w:color w:val="231F20"/>
        </w:rPr>
        <w:t>la</w:t>
      </w:r>
      <w:r>
        <w:rPr>
          <w:color w:val="231F20"/>
          <w:spacing w:val="-10"/>
        </w:rPr>
        <w:t> </w:t>
      </w:r>
      <w:r>
        <w:rPr>
          <w:color w:val="231F20"/>
        </w:rPr>
        <w:t>visita</w:t>
      </w:r>
      <w:r>
        <w:rPr>
          <w:color w:val="231F20"/>
          <w:spacing w:val="-10"/>
        </w:rPr>
        <w:t> </w:t>
      </w:r>
      <w:r>
        <w:rPr>
          <w:color w:val="231F20"/>
        </w:rPr>
        <w:t>a</w:t>
      </w:r>
      <w:r>
        <w:rPr>
          <w:color w:val="231F20"/>
          <w:spacing w:val="-10"/>
        </w:rPr>
        <w:t> </w:t>
      </w:r>
      <w:r>
        <w:rPr>
          <w:color w:val="231F20"/>
        </w:rPr>
        <w:t>diferentes</w:t>
      </w:r>
      <w:r>
        <w:rPr>
          <w:color w:val="231F20"/>
          <w:spacing w:val="-10"/>
        </w:rPr>
        <w:t> </w:t>
      </w:r>
      <w:r>
        <w:rPr>
          <w:color w:val="231F20"/>
        </w:rPr>
        <w:t>productores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zona oriente se encontró que gran parte del problema de la presentación de brotes de mastitis radica en una mala atención de las vacas en descanso lac- tacional (vacas secas) y de una mala práctica de manejo de los desechos orgánicos e inorgánicos, que hace que las vacas lleguen a la zona para or- deño en condiciones muy sucias, por lo común en el área de la ubre, esperando que el preparador,  en el tiempo que debe invertir por vaca, haga un milagro y la deje limpia y seca. Está claro que los antisépticos, así como los medicamentos prepara- dos para el control de las infecciones de la ubre,  no actúan entre un acúmulo de estiércol, basura y agua estancada y </w:t>
      </w:r>
      <w:r>
        <w:rPr>
          <w:color w:val="231F20"/>
          <w:spacing w:val="3"/>
        </w:rPr>
        <w:t> </w:t>
      </w:r>
      <w:r>
        <w:rPr>
          <w:color w:val="231F20"/>
        </w:rPr>
        <w:t>contaminada.</w:t>
      </w:r>
    </w:p>
    <w:p>
      <w:pPr>
        <w:pStyle w:val="BodyText"/>
      </w:pPr>
    </w:p>
    <w:p>
      <w:pPr>
        <w:pStyle w:val="BodyText"/>
        <w:spacing w:before="153"/>
        <w:ind w:left="412"/>
        <w:jc w:val="both"/>
      </w:pPr>
      <w:r>
        <w:rPr>
          <w:color w:val="231F20"/>
          <w:w w:val="110"/>
        </w:rPr>
        <w:t>ESTUDIO DEL HATO</w:t>
      </w:r>
    </w:p>
    <w:p>
      <w:pPr>
        <w:pStyle w:val="BodyText"/>
        <w:spacing w:line="261" w:lineRule="auto" w:before="136"/>
        <w:ind w:left="412" w:right="1551"/>
        <w:jc w:val="both"/>
      </w:pPr>
      <w:r>
        <w:rPr>
          <w:color w:val="231F20"/>
        </w:rPr>
        <w:t>El estudio para el diagnóstico integral del hato comprende los aspectos que se describen a con- tinuación.</w:t>
      </w:r>
    </w:p>
    <w:p>
      <w:pPr>
        <w:pStyle w:val="BodyText"/>
        <w:spacing w:before="8"/>
        <w:rPr>
          <w:sz w:val="18"/>
        </w:rPr>
      </w:pPr>
    </w:p>
    <w:p>
      <w:pPr>
        <w:spacing w:line="273" w:lineRule="auto" w:before="0"/>
        <w:ind w:left="412" w:right="2228" w:firstLine="0"/>
        <w:jc w:val="both"/>
        <w:rPr>
          <w:rFonts w:ascii="Cambria" w:hAnsi="Cambria"/>
          <w:i/>
          <w:sz w:val="20"/>
        </w:rPr>
      </w:pPr>
      <w:r>
        <w:rPr>
          <w:rFonts w:ascii="Cambria" w:hAnsi="Cambria"/>
          <w:i/>
          <w:color w:val="231F20"/>
          <w:w w:val="105"/>
          <w:sz w:val="20"/>
        </w:rPr>
        <w:t>Identificación del modelo de la unidad </w:t>
      </w:r>
      <w:r>
        <w:rPr>
          <w:rFonts w:ascii="Cambria" w:hAnsi="Cambria"/>
          <w:i/>
          <w:color w:val="231F20"/>
          <w:w w:val="105"/>
          <w:sz w:val="20"/>
        </w:rPr>
        <w:t>ganadera, localización según la región ecológica y microclima</w:t>
      </w:r>
    </w:p>
    <w:p>
      <w:pPr>
        <w:pStyle w:val="BodyText"/>
        <w:spacing w:line="261" w:lineRule="auto" w:before="112"/>
        <w:ind w:left="412" w:right="1551"/>
        <w:jc w:val="both"/>
      </w:pPr>
      <w:r>
        <w:rPr>
          <w:color w:val="231F20"/>
        </w:rPr>
        <w:t>En este concepto se incluyen la región ecológica donde se encuentra el hato, la distribución de la precipitación pluvial, las épocas de secas, el frío,    la disponibilidad y calidad del agua, los alimentos, el modelo de la unidad ganadera, las actividades desarrolladas con el ganado a diario y otras acti- vidades que se hacen en ciertas épocas del año      o según la etapa de producción de los   </w:t>
      </w:r>
      <w:r>
        <w:rPr>
          <w:color w:val="231F20"/>
          <w:spacing w:val="16"/>
        </w:rPr>
        <w:t> </w:t>
      </w:r>
      <w:r>
        <w:rPr>
          <w:color w:val="231F20"/>
        </w:rPr>
        <w:t>animales.</w:t>
      </w:r>
    </w:p>
    <w:p>
      <w:pPr>
        <w:pStyle w:val="BodyText"/>
        <w:spacing w:before="8"/>
        <w:rPr>
          <w:sz w:val="18"/>
        </w:rPr>
      </w:pPr>
    </w:p>
    <w:p>
      <w:pPr>
        <w:spacing w:line="273" w:lineRule="auto" w:before="0"/>
        <w:ind w:left="412" w:right="1967" w:firstLine="0"/>
        <w:jc w:val="left"/>
        <w:rPr>
          <w:rFonts w:ascii="Cambria" w:hAnsi="Cambria"/>
          <w:i/>
          <w:sz w:val="20"/>
        </w:rPr>
      </w:pPr>
      <w:r>
        <w:rPr>
          <w:rFonts w:ascii="Cambria" w:hAnsi="Cambria"/>
          <w:i/>
          <w:color w:val="231F20"/>
          <w:w w:val="105"/>
          <w:sz w:val="20"/>
        </w:rPr>
        <w:t>Modelos de  instalaciones,  mantenimiento </w:t>
      </w:r>
      <w:r>
        <w:rPr>
          <w:rFonts w:ascii="Cambria" w:hAnsi="Cambria"/>
          <w:i/>
          <w:color w:val="231F20"/>
          <w:w w:val="105"/>
          <w:sz w:val="20"/>
        </w:rPr>
        <w:t>y condición sanitaria</w:t>
      </w:r>
    </w:p>
    <w:p>
      <w:pPr>
        <w:pStyle w:val="BodyText"/>
        <w:spacing w:line="261" w:lineRule="auto" w:before="112"/>
        <w:ind w:left="412" w:right="1551"/>
        <w:jc w:val="both"/>
      </w:pPr>
      <w:r>
        <w:rPr>
          <w:color w:val="231F20"/>
        </w:rPr>
        <w:t>Se procede a identificar el modelo de las instala- ciones para alojar al ganado en producción y al ganado   en   descanso   lactacional   (vacas   secas),</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spacing w:val="-3"/>
          <w:w w:val="120"/>
          <w:sz w:val="22"/>
        </w:rPr>
        <w:t>34</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spacing w:before="92"/>
        <w:ind w:left="2557" w:right="0" w:firstLine="0"/>
        <w:jc w:val="left"/>
        <w:rPr>
          <w:sz w:val="16"/>
        </w:rPr>
      </w:pPr>
      <w:r>
        <w:rPr/>
        <w:pict>
          <v:group style="position:absolute;margin-left:77.306503pt;margin-top:19.067163pt;width:209.8pt;height:138.3pt;mso-position-horizontal-relative:page;mso-position-vertical-relative:paragraph;z-index:1792" coordorigin="1546,381" coordsize="4196,2766">
            <v:line style="position:absolute" from="1557,394" to="5731,394" stroked="true" strokeweight="1.086pt" strokecolor="#231f20"/>
            <v:line style="position:absolute" from="1557,3134" to="5731,3134" stroked="true" strokeweight="1.086pt" strokecolor="#231f20"/>
            <v:line style="position:absolute" from="1557,1054" to="5731,1054" stroked="true" strokeweight="1.086pt" strokecolor="#231f20"/>
            <v:line style="position:absolute" from="3117,394" to="3117,3134" stroked="true" strokeweight="0pt" strokecolor="#ffffff"/>
            <v:line style="position:absolute" from="3117,394" to="3117,3134" stroked="true" strokeweight="1.259pt" strokecolor="#231f20"/>
            <v:line style="position:absolute" from="4747,394" to="4747,3134" stroked="true" strokeweight="0pt" strokecolor="#ffffff"/>
            <v:line style="position:absolute" from="4747,394" to="4747,3134" stroked="true" strokeweight="1.259pt" strokecolor="#231f20"/>
            <v:line style="position:absolute" from="2167,1274" to="5397,1274" stroked="true" strokeweight="0pt" strokecolor="#ffffff"/>
            <v:line style="position:absolute" from="2167,1274" to="5397,1274" stroked="true" strokeweight="2pt" strokecolor="#939598"/>
            <v:shape style="position:absolute;left:2111;top:1218;width:113;height:113" type="#_x0000_t75" stroked="false">
              <v:imagedata r:id="rId58" o:title=""/>
            </v:shape>
            <v:shape style="position:absolute;left:5341;top:1218;width:113;height:113" type="#_x0000_t75" stroked="false">
              <v:imagedata r:id="rId59" o:title=""/>
            </v:shape>
            <v:line style="position:absolute" from="2167,1644" to="5397,1644" stroked="true" strokeweight="0pt" strokecolor="#ffffff"/>
            <v:line style="position:absolute" from="2167,1644" to="5397,1644" stroked="true" strokeweight="2pt" strokecolor="#939598"/>
            <v:shape style="position:absolute;left:2111;top:1588;width:113;height:113" type="#_x0000_t75" stroked="false">
              <v:imagedata r:id="rId58" o:title=""/>
            </v:shape>
            <v:shape style="position:absolute;left:5341;top:1588;width:113;height:113" type="#_x0000_t75" stroked="false">
              <v:imagedata r:id="rId59" o:title=""/>
            </v:shape>
            <v:line style="position:absolute" from="2167,2014" to="5397,2014" stroked="true" strokeweight="0pt" strokecolor="#ffffff"/>
            <v:line style="position:absolute" from="2167,2014" to="5397,2014" stroked="true" strokeweight="2pt" strokecolor="#939598"/>
            <v:shape style="position:absolute;left:2111;top:1958;width:113;height:113" type="#_x0000_t75" stroked="false">
              <v:imagedata r:id="rId60" o:title=""/>
            </v:shape>
            <v:shape style="position:absolute;left:5341;top:1958;width:113;height:113" type="#_x0000_t75" stroked="false">
              <v:imagedata r:id="rId61" o:title=""/>
            </v:shape>
            <v:shape style="position:absolute;left:3117;top:394;width:1630;height:660" type="#_x0000_t202" filled="false" stroked="false">
              <v:textbox inset="0,0,0,0">
                <w:txbxContent>
                  <w:p>
                    <w:pPr>
                      <w:spacing w:line="343" w:lineRule="auto" w:before="107"/>
                      <w:ind w:left="466" w:right="0" w:hanging="366"/>
                      <w:jc w:val="left"/>
                      <w:rPr>
                        <w:sz w:val="16"/>
                      </w:rPr>
                    </w:pPr>
                    <w:r>
                      <w:rPr>
                        <w:color w:val="231F20"/>
                        <w:sz w:val="16"/>
                      </w:rPr>
                      <w:t>Zona de alojamiento Calificación</w:t>
                    </w:r>
                  </w:p>
                </w:txbxContent>
              </v:textbox>
              <w10:wrap type="none"/>
            </v:shape>
            <v:shape style="position:absolute;left:1554;top:528;width:1421;height:160" type="#_x0000_t202" filled="false" stroked="false">
              <v:textbox inset="0,0,0,0">
                <w:txbxContent>
                  <w:p>
                    <w:pPr>
                      <w:spacing w:line="160" w:lineRule="exact" w:before="0"/>
                      <w:ind w:left="0" w:right="-14" w:firstLine="0"/>
                      <w:jc w:val="left"/>
                      <w:rPr>
                        <w:sz w:val="16"/>
                      </w:rPr>
                    </w:pPr>
                    <w:r>
                      <w:rPr>
                        <w:color w:val="231F20"/>
                        <w:sz w:val="16"/>
                      </w:rPr>
                      <w:t>Grupo  de producción</w:t>
                    </w:r>
                  </w:p>
                </w:txbxContent>
              </v:textbox>
              <w10:wrap type="none"/>
            </v:shape>
            <v:shape style="position:absolute;left:4884;top:528;width:844;height:160" type="#_x0000_t202" filled="false" stroked="false">
              <v:textbox inset="0,0,0,0">
                <w:txbxContent>
                  <w:p>
                    <w:pPr>
                      <w:spacing w:line="160" w:lineRule="exact" w:before="0"/>
                      <w:ind w:left="0" w:right="-7" w:firstLine="0"/>
                      <w:jc w:val="left"/>
                      <w:rPr>
                        <w:sz w:val="16"/>
                      </w:rPr>
                    </w:pPr>
                    <w:r>
                      <w:rPr>
                        <w:color w:val="231F20"/>
                        <w:sz w:val="16"/>
                      </w:rPr>
                      <w:t>Comentarios</w:t>
                    </w:r>
                  </w:p>
                </w:txbxContent>
              </v:textbox>
              <w10:wrap type="none"/>
            </v:shape>
            <v:shape style="position:absolute;left:1557;top:1208;width:411;height:880" type="#_x0000_t202" filled="false" stroked="false">
              <v:textbox inset="0,0,0,0">
                <w:txbxContent>
                  <w:p>
                    <w:pPr>
                      <w:spacing w:line="169" w:lineRule="exact" w:before="0"/>
                      <w:ind w:left="0" w:right="-3" w:firstLine="0"/>
                      <w:jc w:val="left"/>
                      <w:rPr>
                        <w:sz w:val="16"/>
                      </w:rPr>
                    </w:pPr>
                    <w:r>
                      <w:rPr>
                        <w:color w:val="231F20"/>
                        <w:sz w:val="16"/>
                      </w:rPr>
                      <w:t>Alta</w:t>
                    </w:r>
                  </w:p>
                  <w:p>
                    <w:pPr>
                      <w:spacing w:line="360" w:lineRule="atLeast" w:before="0"/>
                      <w:ind w:left="0" w:right="-3" w:firstLine="0"/>
                      <w:jc w:val="left"/>
                      <w:rPr>
                        <w:sz w:val="16"/>
                      </w:rPr>
                    </w:pPr>
                    <w:r>
                      <w:rPr>
                        <w:color w:val="231F20"/>
                        <w:w w:val="95"/>
                        <w:sz w:val="16"/>
                      </w:rPr>
                      <w:t>Media </w:t>
                    </w:r>
                    <w:r>
                      <w:rPr>
                        <w:color w:val="231F20"/>
                        <w:sz w:val="16"/>
                      </w:rPr>
                      <w:t>Baja</w:t>
                    </w:r>
                  </w:p>
                </w:txbxContent>
              </v:textbox>
              <w10:wrap type="none"/>
            </v:shape>
            <v:shape style="position:absolute;left:1557;top:2548;width:1264;height:420" type="#_x0000_t202" filled="false" stroked="false">
              <v:textbox inset="0,0,0,0">
                <w:txbxContent>
                  <w:p>
                    <w:pPr>
                      <w:spacing w:line="169" w:lineRule="exact" w:before="0"/>
                      <w:ind w:left="0" w:right="-12" w:firstLine="0"/>
                      <w:jc w:val="left"/>
                      <w:rPr>
                        <w:sz w:val="16"/>
                      </w:rPr>
                    </w:pPr>
                    <w:r>
                      <w:rPr>
                        <w:color w:val="231F20"/>
                        <w:w w:val="105"/>
                        <w:sz w:val="16"/>
                      </w:rPr>
                      <w:t>Vacas en</w:t>
                    </w:r>
                    <w:r>
                      <w:rPr>
                        <w:color w:val="231F20"/>
                        <w:spacing w:val="-17"/>
                        <w:w w:val="105"/>
                        <w:sz w:val="16"/>
                      </w:rPr>
                      <w:t> </w:t>
                    </w:r>
                    <w:r>
                      <w:rPr>
                        <w:color w:val="231F20"/>
                        <w:w w:val="105"/>
                        <w:sz w:val="16"/>
                      </w:rPr>
                      <w:t>descanso</w:t>
                    </w:r>
                  </w:p>
                  <w:p>
                    <w:pPr>
                      <w:spacing w:line="186" w:lineRule="exact" w:before="64"/>
                      <w:ind w:left="0" w:right="-19" w:firstLine="0"/>
                      <w:jc w:val="left"/>
                      <w:rPr>
                        <w:sz w:val="16"/>
                      </w:rPr>
                    </w:pPr>
                    <w:r>
                      <w:rPr>
                        <w:color w:val="231F20"/>
                        <w:w w:val="105"/>
                        <w:sz w:val="16"/>
                      </w:rPr>
                      <w:t>Lactacional</w:t>
                    </w:r>
                    <w:r>
                      <w:rPr>
                        <w:color w:val="231F20"/>
                        <w:spacing w:val="-8"/>
                        <w:w w:val="105"/>
                        <w:sz w:val="16"/>
                      </w:rPr>
                      <w:t> </w:t>
                    </w:r>
                    <w:r>
                      <w:rPr>
                        <w:color w:val="231F20"/>
                        <w:w w:val="105"/>
                        <w:sz w:val="16"/>
                      </w:rPr>
                      <w:t>(secas)</w:t>
                    </w:r>
                  </w:p>
                </w:txbxContent>
              </v:textbox>
              <w10:wrap type="none"/>
            </v:shape>
            <w10:wrap type="none"/>
          </v:group>
        </w:pict>
      </w:r>
      <w:r>
        <w:rPr>
          <w:color w:val="231F20"/>
          <w:w w:val="115"/>
          <w:sz w:val="16"/>
        </w:rPr>
        <w:t>Condiciones de alojamientos</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22"/>
        </w:rPr>
      </w:pPr>
    </w:p>
    <w:p>
      <w:pPr>
        <w:spacing w:line="283" w:lineRule="auto" w:before="0"/>
        <w:ind w:left="1553" w:right="0" w:firstLine="0"/>
        <w:jc w:val="both"/>
        <w:rPr>
          <w:sz w:val="18"/>
        </w:rPr>
      </w:pPr>
      <w:r>
        <w:rPr>
          <w:color w:val="231F20"/>
          <w:sz w:val="18"/>
        </w:rPr>
        <w:t>Figura 18. Calificación de la condición de los aloja- mientos en una escala de 1 a    10.</w:t>
      </w:r>
    </w:p>
    <w:p>
      <w:pPr>
        <w:pStyle w:val="BodyText"/>
        <w:rPr>
          <w:sz w:val="18"/>
        </w:rPr>
      </w:pPr>
    </w:p>
    <w:p>
      <w:pPr>
        <w:pStyle w:val="BodyText"/>
        <w:spacing w:before="2"/>
      </w:pPr>
    </w:p>
    <w:p>
      <w:pPr>
        <w:pStyle w:val="BodyText"/>
        <w:spacing w:line="280" w:lineRule="auto"/>
        <w:ind w:left="1553"/>
        <w:jc w:val="both"/>
      </w:pPr>
      <w:r>
        <w:rPr>
          <w:color w:val="231F20"/>
        </w:rPr>
        <w:t>analizando la capacidad y la eficiencia de estos alojamientos con los criterios establecidos para el bienestar del ganado (Fig.   18).</w:t>
      </w:r>
    </w:p>
    <w:p>
      <w:pPr>
        <w:pStyle w:val="BodyText"/>
        <w:spacing w:line="280" w:lineRule="auto" w:before="113"/>
        <w:ind w:left="1553"/>
        <w:jc w:val="both"/>
      </w:pPr>
      <w:r>
        <w:rPr>
          <w:color w:val="231F20"/>
        </w:rPr>
        <w:t>La condición sanitaria para cada alojamiento se califica según el grupo de vacas, y se encuentra conveniente aplicar la escala de 1 a 10, método subjetivo pero útil puesto que para fines de control sanitario la condición de limpieza de los alojamien- tos se calificará como “mal” (7 o menos), “bien”</w:t>
      </w:r>
    </w:p>
    <w:p>
      <w:pPr>
        <w:pStyle w:val="BodyText"/>
        <w:ind w:left="1553"/>
        <w:jc w:val="both"/>
      </w:pPr>
      <w:r>
        <w:rPr>
          <w:color w:val="231F20"/>
          <w:w w:val="110"/>
        </w:rPr>
        <w:t>(8)</w:t>
      </w:r>
      <w:r>
        <w:rPr>
          <w:color w:val="231F20"/>
          <w:spacing w:val="-13"/>
          <w:w w:val="110"/>
        </w:rPr>
        <w:t> </w:t>
      </w:r>
      <w:r>
        <w:rPr>
          <w:color w:val="231F20"/>
          <w:w w:val="110"/>
        </w:rPr>
        <w:t>o</w:t>
      </w:r>
      <w:r>
        <w:rPr>
          <w:color w:val="231F20"/>
          <w:spacing w:val="-13"/>
          <w:w w:val="110"/>
        </w:rPr>
        <w:t> </w:t>
      </w:r>
      <w:r>
        <w:rPr>
          <w:color w:val="231F20"/>
          <w:w w:val="110"/>
        </w:rPr>
        <w:t>“muy</w:t>
      </w:r>
      <w:r>
        <w:rPr>
          <w:color w:val="231F20"/>
          <w:spacing w:val="-13"/>
          <w:w w:val="110"/>
        </w:rPr>
        <w:t> </w:t>
      </w:r>
      <w:r>
        <w:rPr>
          <w:color w:val="231F20"/>
          <w:w w:val="110"/>
        </w:rPr>
        <w:t>bien”</w:t>
      </w:r>
      <w:r>
        <w:rPr>
          <w:color w:val="231F20"/>
          <w:spacing w:val="-13"/>
          <w:w w:val="110"/>
        </w:rPr>
        <w:t> </w:t>
      </w:r>
      <w:r>
        <w:rPr>
          <w:color w:val="231F20"/>
          <w:spacing w:val="-3"/>
          <w:w w:val="110"/>
        </w:rPr>
        <w:t>(10)</w:t>
      </w:r>
      <w:r>
        <w:rPr>
          <w:color w:val="231F20"/>
          <w:spacing w:val="-13"/>
          <w:w w:val="110"/>
        </w:rPr>
        <w:t> </w:t>
      </w:r>
      <w:r>
        <w:rPr>
          <w:color w:val="231F20"/>
          <w:w w:val="110"/>
        </w:rPr>
        <w:t>(Fig.</w:t>
      </w:r>
      <w:r>
        <w:rPr>
          <w:color w:val="231F20"/>
          <w:spacing w:val="-13"/>
          <w:w w:val="110"/>
        </w:rPr>
        <w:t> </w:t>
      </w:r>
      <w:r>
        <w:rPr>
          <w:color w:val="231F20"/>
          <w:spacing w:val="-3"/>
          <w:w w:val="110"/>
        </w:rPr>
        <w:t>19).</w:t>
      </w:r>
      <w:r>
        <w:rPr>
          <w:color w:val="231F20"/>
          <w:spacing w:val="-13"/>
          <w:w w:val="110"/>
        </w:rPr>
        <w:t> </w:t>
      </w:r>
      <w:r>
        <w:rPr>
          <w:color w:val="231F20"/>
          <w:spacing w:val="-3"/>
          <w:w w:val="110"/>
        </w:rPr>
        <w:t>También</w:t>
      </w:r>
      <w:r>
        <w:rPr>
          <w:color w:val="231F20"/>
          <w:spacing w:val="-13"/>
          <w:w w:val="110"/>
        </w:rPr>
        <w:t> </w:t>
      </w:r>
      <w:r>
        <w:rPr>
          <w:color w:val="231F20"/>
          <w:w w:val="110"/>
        </w:rPr>
        <w:t>se</w:t>
      </w:r>
      <w:r>
        <w:rPr>
          <w:color w:val="231F20"/>
          <w:spacing w:val="-13"/>
          <w:w w:val="110"/>
        </w:rPr>
        <w:t> </w:t>
      </w:r>
      <w:r>
        <w:rPr>
          <w:color w:val="231F20"/>
          <w:w w:val="110"/>
        </w:rPr>
        <w:t>regis-</w:t>
      </w:r>
    </w:p>
    <w:p>
      <w:pPr>
        <w:pStyle w:val="BodyText"/>
        <w:spacing w:line="283" w:lineRule="auto" w:before="67"/>
        <w:ind w:left="413" w:right="1551"/>
        <w:jc w:val="both"/>
      </w:pPr>
      <w:r>
        <w:rPr/>
        <w:br w:type="column"/>
      </w:r>
      <w:r>
        <w:rPr>
          <w:color w:val="231F20"/>
        </w:rPr>
        <w:t>tra el estado en que se encuentran las instalacio- nes, ya que éstas deben estar libres de huecos y  de superficies cortantes, puntiagudas o abrasivas,  y de toda situación que ponga en riesgo la salud  del animal y dificulte o imposibilite las tareas de limpieza.</w:t>
      </w:r>
    </w:p>
    <w:p>
      <w:pPr>
        <w:pStyle w:val="BodyText"/>
        <w:spacing w:before="9"/>
        <w:rPr>
          <w:sz w:val="27"/>
        </w:rPr>
      </w:pPr>
    </w:p>
    <w:p>
      <w:pPr>
        <w:spacing w:line="292" w:lineRule="auto" w:before="1"/>
        <w:ind w:left="413" w:right="1967" w:firstLine="0"/>
        <w:jc w:val="left"/>
        <w:rPr>
          <w:rFonts w:ascii="Cambria" w:hAnsi="Cambria"/>
          <w:i/>
          <w:sz w:val="20"/>
        </w:rPr>
      </w:pPr>
      <w:r>
        <w:rPr>
          <w:rFonts w:ascii="Cambria" w:hAnsi="Cambria"/>
          <w:i/>
          <w:color w:val="231F20"/>
          <w:w w:val="110"/>
          <w:sz w:val="20"/>
        </w:rPr>
        <w:t>Actividades de manejo desarrolladas </w:t>
      </w:r>
      <w:r>
        <w:rPr>
          <w:rFonts w:ascii="Cambria" w:hAnsi="Cambria"/>
          <w:i/>
          <w:color w:val="231F20"/>
          <w:w w:val="110"/>
          <w:sz w:val="20"/>
        </w:rPr>
        <w:t>durante el ordeño</w:t>
      </w:r>
    </w:p>
    <w:p>
      <w:pPr>
        <w:pStyle w:val="BodyText"/>
        <w:spacing w:line="283" w:lineRule="auto" w:before="114"/>
        <w:ind w:left="413" w:right="1551"/>
        <w:jc w:val="both"/>
      </w:pPr>
      <w:r>
        <w:rPr>
          <w:color w:val="231F20"/>
        </w:rPr>
        <w:t>El propósito es conocer las actividades que hace    el personal que labora en  la  zona  para  ordeño, así como el grado de eficiencia con que éstas se desarrollan. En primer lugar se registra la</w:t>
      </w:r>
      <w:r>
        <w:rPr>
          <w:color w:val="231F20"/>
          <w:spacing w:val="-7"/>
        </w:rPr>
        <w:t> </w:t>
      </w:r>
      <w:r>
        <w:rPr>
          <w:color w:val="231F20"/>
        </w:rPr>
        <w:t>condición general en que llega la vaca a la zona para ordeño, el método aplicado para preparar la vaca para el ordeño y el grado de limpieza con que llega al sitio de</w:t>
      </w:r>
      <w:r>
        <w:rPr>
          <w:color w:val="231F20"/>
          <w:spacing w:val="17"/>
        </w:rPr>
        <w:t> </w:t>
      </w:r>
      <w:r>
        <w:rPr>
          <w:color w:val="231F20"/>
        </w:rPr>
        <w:t>ordeño.</w:t>
      </w:r>
    </w:p>
    <w:p>
      <w:pPr>
        <w:pStyle w:val="BodyText"/>
        <w:spacing w:line="283" w:lineRule="auto" w:before="112"/>
        <w:ind w:left="413" w:right="1551"/>
        <w:jc w:val="both"/>
      </w:pPr>
      <w:r>
        <w:rPr>
          <w:color w:val="231F20"/>
        </w:rPr>
        <w:t>En la sala de ordeño se registra la condición de       la ubre. La limpieza se califica como “buena” en     el caso de que la ubre, por inspección, luzca libre de suciedad (Fig. 20), y como “mala” cuando se identifica cualquier rastro aparente de suciedad (Fig. 21), poniendo especial atención a la porción distal del pezón (Cuadro  </w:t>
      </w:r>
      <w:r>
        <w:rPr>
          <w:color w:val="231F20"/>
          <w:spacing w:val="22"/>
        </w:rPr>
        <w:t> </w:t>
      </w:r>
      <w:r>
        <w:rPr>
          <w:color w:val="231F20"/>
        </w:rPr>
        <w:t>1).</w:t>
      </w:r>
    </w:p>
    <w:p>
      <w:pPr>
        <w:spacing w:after="0" w:line="283"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8"/>
        <w:rPr>
          <w:sz w:val="19"/>
        </w:rPr>
      </w:pPr>
    </w:p>
    <w:p>
      <w:pPr>
        <w:pStyle w:val="BodyText"/>
        <w:tabs>
          <w:tab w:pos="6174" w:val="left" w:leader="none"/>
        </w:tabs>
        <w:ind w:left="1553"/>
      </w:pPr>
      <w:r>
        <w:rPr>
          <w:position w:val="2"/>
        </w:rPr>
        <w:drawing>
          <wp:inline distT="0" distB="0" distL="0" distR="0">
            <wp:extent cx="2646532" cy="1984248"/>
            <wp:effectExtent l="0" t="0" r="0" b="0"/>
            <wp:docPr id="45" name="image39.png" descr=""/>
            <wp:cNvGraphicFramePr>
              <a:graphicFrameLocks noChangeAspect="1"/>
            </wp:cNvGraphicFramePr>
            <a:graphic>
              <a:graphicData uri="http://schemas.openxmlformats.org/drawingml/2006/picture">
                <pic:pic>
                  <pic:nvPicPr>
                    <pic:cNvPr id="46" name="image39.png"/>
                    <pic:cNvPicPr/>
                  </pic:nvPicPr>
                  <pic:blipFill>
                    <a:blip r:embed="rId62" cstate="print"/>
                    <a:stretch>
                      <a:fillRect/>
                    </a:stretch>
                  </pic:blipFill>
                  <pic:spPr>
                    <a:xfrm>
                      <a:off x="0" y="0"/>
                      <a:ext cx="2646532" cy="1984248"/>
                    </a:xfrm>
                    <a:prstGeom prst="rect">
                      <a:avLst/>
                    </a:prstGeom>
                  </pic:spPr>
                </pic:pic>
              </a:graphicData>
            </a:graphic>
          </wp:inline>
        </w:drawing>
      </w:r>
      <w:r>
        <w:rPr>
          <w:position w:val="2"/>
        </w:rPr>
      </w:r>
      <w:r>
        <w:rPr>
          <w:position w:val="2"/>
        </w:rPr>
        <w:tab/>
      </w:r>
      <w:r>
        <w:rPr/>
        <w:drawing>
          <wp:inline distT="0" distB="0" distL="0" distR="0">
            <wp:extent cx="2664320" cy="1997583"/>
            <wp:effectExtent l="0" t="0" r="0" b="0"/>
            <wp:docPr id="47" name="image40.png" descr=""/>
            <wp:cNvGraphicFramePr>
              <a:graphicFrameLocks noChangeAspect="1"/>
            </wp:cNvGraphicFramePr>
            <a:graphic>
              <a:graphicData uri="http://schemas.openxmlformats.org/drawingml/2006/picture">
                <pic:pic>
                  <pic:nvPicPr>
                    <pic:cNvPr id="48" name="image40.png"/>
                    <pic:cNvPicPr/>
                  </pic:nvPicPr>
                  <pic:blipFill>
                    <a:blip r:embed="rId63" cstate="print"/>
                    <a:stretch>
                      <a:fillRect/>
                    </a:stretch>
                  </pic:blipFill>
                  <pic:spPr>
                    <a:xfrm>
                      <a:off x="0" y="0"/>
                      <a:ext cx="2664320" cy="1997583"/>
                    </a:xfrm>
                    <a:prstGeom prst="rect">
                      <a:avLst/>
                    </a:prstGeom>
                  </pic:spPr>
                </pic:pic>
              </a:graphicData>
            </a:graphic>
          </wp:inline>
        </w:drawing>
      </w:r>
      <w:r>
        <w:rPr/>
      </w:r>
    </w:p>
    <w:p>
      <w:pPr>
        <w:tabs>
          <w:tab w:pos="6341" w:val="left" w:leader="none"/>
        </w:tabs>
        <w:spacing w:before="123"/>
        <w:ind w:left="2015" w:right="0" w:firstLine="0"/>
        <w:jc w:val="left"/>
        <w:rPr>
          <w:sz w:val="18"/>
        </w:rPr>
      </w:pPr>
      <w:r>
        <w:rPr>
          <w:color w:val="231F20"/>
          <w:sz w:val="18"/>
        </w:rPr>
        <w:t>Figura </w:t>
      </w:r>
      <w:r>
        <w:rPr>
          <w:color w:val="231F20"/>
          <w:spacing w:val="-3"/>
          <w:sz w:val="18"/>
        </w:rPr>
        <w:t>19.   </w:t>
      </w:r>
      <w:r>
        <w:rPr>
          <w:color w:val="231F20"/>
          <w:sz w:val="18"/>
        </w:rPr>
        <w:t>Alojamiento en </w:t>
      </w:r>
      <w:r>
        <w:rPr>
          <w:color w:val="231F20"/>
          <w:spacing w:val="24"/>
          <w:sz w:val="18"/>
        </w:rPr>
        <w:t> </w:t>
      </w:r>
      <w:r>
        <w:rPr>
          <w:color w:val="231F20"/>
          <w:sz w:val="18"/>
        </w:rPr>
        <w:t>mala</w:t>
      </w:r>
      <w:r>
        <w:rPr>
          <w:color w:val="231F20"/>
          <w:spacing w:val="19"/>
          <w:sz w:val="18"/>
        </w:rPr>
        <w:t> </w:t>
      </w:r>
      <w:r>
        <w:rPr>
          <w:color w:val="231F20"/>
          <w:sz w:val="18"/>
        </w:rPr>
        <w:t>condición.</w:t>
        <w:tab/>
        <w:t>Figura 20.   Ubre limpia y seca (calificación   </w:t>
      </w:r>
      <w:r>
        <w:rPr>
          <w:color w:val="231F20"/>
          <w:spacing w:val="19"/>
          <w:sz w:val="18"/>
        </w:rPr>
        <w:t> </w:t>
      </w:r>
      <w:r>
        <w:rPr>
          <w:color w:val="231F20"/>
          <w:sz w:val="18"/>
        </w:rPr>
        <w:t>buena).</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34"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7"/>
          <w:sz w:val="22"/>
        </w:rPr>
        <w:t>35</w:t>
      </w:r>
    </w:p>
    <w:p>
      <w:pPr>
        <w:pStyle w:val="BodyText"/>
        <w:spacing w:before="5"/>
        <w:rPr>
          <w:sz w:val="28"/>
        </w:rPr>
      </w:pPr>
      <w:r>
        <w:rPr/>
        <w:drawing>
          <wp:anchor distT="0" distB="0" distL="0" distR="0" allowOverlap="1" layoutInCell="1" locked="0" behindDoc="0" simplePos="0" relativeHeight="1816">
            <wp:simplePos x="0" y="0"/>
            <wp:positionH relativeFrom="page">
              <wp:posOffset>986701</wp:posOffset>
            </wp:positionH>
            <wp:positionV relativeFrom="paragraph">
              <wp:posOffset>244986</wp:posOffset>
            </wp:positionV>
            <wp:extent cx="2646586" cy="1984248"/>
            <wp:effectExtent l="0" t="0" r="0" b="0"/>
            <wp:wrapTopAndBottom/>
            <wp:docPr id="49" name="image41.png" descr=""/>
            <wp:cNvGraphicFramePr>
              <a:graphicFrameLocks noChangeAspect="1"/>
            </wp:cNvGraphicFramePr>
            <a:graphic>
              <a:graphicData uri="http://schemas.openxmlformats.org/drawingml/2006/picture">
                <pic:pic>
                  <pic:nvPicPr>
                    <pic:cNvPr id="50" name="image41.png"/>
                    <pic:cNvPicPr/>
                  </pic:nvPicPr>
                  <pic:blipFill>
                    <a:blip r:embed="rId64" cstate="print"/>
                    <a:stretch>
                      <a:fillRect/>
                    </a:stretch>
                  </pic:blipFill>
                  <pic:spPr>
                    <a:xfrm>
                      <a:off x="0" y="0"/>
                      <a:ext cx="2646586" cy="1984248"/>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3920401</wp:posOffset>
            </wp:positionH>
            <wp:positionV relativeFrom="paragraph">
              <wp:posOffset>244983</wp:posOffset>
            </wp:positionV>
            <wp:extent cx="2665570" cy="1987296"/>
            <wp:effectExtent l="0" t="0" r="0" b="0"/>
            <wp:wrapTopAndBottom/>
            <wp:docPr id="51" name="image42.png" descr=""/>
            <wp:cNvGraphicFramePr>
              <a:graphicFrameLocks noChangeAspect="1"/>
            </wp:cNvGraphicFramePr>
            <a:graphic>
              <a:graphicData uri="http://schemas.openxmlformats.org/drawingml/2006/picture">
                <pic:pic>
                  <pic:nvPicPr>
                    <pic:cNvPr id="52" name="image42.png"/>
                    <pic:cNvPicPr/>
                  </pic:nvPicPr>
                  <pic:blipFill>
                    <a:blip r:embed="rId65" cstate="print"/>
                    <a:stretch>
                      <a:fillRect/>
                    </a:stretch>
                  </pic:blipFill>
                  <pic:spPr>
                    <a:xfrm>
                      <a:off x="0" y="0"/>
                      <a:ext cx="2665570" cy="1987296"/>
                    </a:xfrm>
                    <a:prstGeom prst="rect">
                      <a:avLst/>
                    </a:prstGeom>
                  </pic:spPr>
                </pic:pic>
              </a:graphicData>
            </a:graphic>
          </wp:anchor>
        </w:drawing>
      </w:r>
    </w:p>
    <w:p>
      <w:pPr>
        <w:spacing w:before="111"/>
        <w:ind w:left="3946" w:right="3946" w:firstLine="0"/>
        <w:jc w:val="center"/>
        <w:rPr>
          <w:sz w:val="18"/>
        </w:rPr>
      </w:pPr>
      <w:r>
        <w:rPr>
          <w:color w:val="231F20"/>
          <w:w w:val="105"/>
          <w:sz w:val="18"/>
        </w:rPr>
        <w:t>Figura 21.  Ubre sucia (calificación mala).</w:t>
      </w:r>
    </w:p>
    <w:p>
      <w:pPr>
        <w:pStyle w:val="BodyText"/>
      </w:pPr>
    </w:p>
    <w:p>
      <w:pPr>
        <w:pStyle w:val="BodyText"/>
        <w:rPr>
          <w:sz w:val="22"/>
        </w:rPr>
      </w:pPr>
    </w:p>
    <w:p>
      <w:pPr>
        <w:spacing w:before="71"/>
        <w:ind w:left="1553" w:right="2503" w:firstLine="0"/>
        <w:jc w:val="left"/>
        <w:rPr>
          <w:sz w:val="18"/>
        </w:rPr>
      </w:pPr>
      <w:r>
        <w:rPr>
          <w:color w:val="231F20"/>
          <w:sz w:val="18"/>
        </w:rPr>
        <w:t>Cuadro 1.       Registro de actividades con sala y sin sala de ordeño.</w:t>
      </w:r>
    </w:p>
    <w:p>
      <w:pPr>
        <w:pStyle w:val="BodyText"/>
        <w:spacing w:before="3"/>
        <w:rPr>
          <w:sz w:val="10"/>
        </w:rPr>
      </w:pPr>
      <w:r>
        <w:rPr/>
        <w:pict>
          <v:group style="position:absolute;margin-left:77.442902pt;margin-top:8.252295pt;width:439.9pt;height:.5pt;mso-position-horizontal-relative:page;mso-position-vertical-relative:paragraph;z-index:1864;mso-wrap-distance-left:0;mso-wrap-distance-right:0" coordorigin="1549,165" coordsize="8798,10">
            <v:line style="position:absolute" from="1554,170" to="2263,170" stroked="true" strokeweight=".5pt" strokecolor="#231f20"/>
            <v:line style="position:absolute" from="2263,170" to="2830,170" stroked="true" strokeweight=".5pt" strokecolor="#231f20"/>
            <v:line style="position:absolute" from="2830,170" to="3397,170" stroked="true" strokeweight=".5pt" strokecolor="#231f20"/>
            <v:line style="position:absolute" from="3397,170" to="3964,170" stroked="true" strokeweight=".5pt" strokecolor="#231f20"/>
            <v:line style="position:absolute" from="3964,170" to="4594,170" stroked="true" strokeweight=".5pt" strokecolor="#231f20"/>
            <v:line style="position:absolute" from="4594,170" to="5277,170" stroked="true" strokeweight=".5pt" strokecolor="#231f20"/>
            <v:line style="position:absolute" from="5277,170" to="5847,170" stroked="true" strokeweight=".5pt" strokecolor="#231f20"/>
            <v:line style="position:absolute" from="5847,170" to="6417,170" stroked="true" strokeweight=".5pt" strokecolor="#231f20"/>
            <v:line style="position:absolute" from="6417,170" to="6987,170" stroked="true" strokeweight=".5pt" strokecolor="#231f20"/>
            <v:line style="position:absolute" from="6987,170" to="7557,170" stroked="true" strokeweight=".5pt" strokecolor="#231f20"/>
            <v:line style="position:absolute" from="7557,170" to="8127,170" stroked="true" strokeweight=".5pt" strokecolor="#231f20"/>
            <v:line style="position:absolute" from="8127,170" to="10341,170" stroked="true" strokeweight=".5pt" strokecolor="#231f20"/>
            <w10:wrap type="topAndBottom"/>
          </v:group>
        </w:pict>
      </w:r>
    </w:p>
    <w:p>
      <w:pPr>
        <w:spacing w:before="50"/>
        <w:ind w:left="2813" w:right="2503" w:firstLine="0"/>
        <w:jc w:val="left"/>
        <w:rPr>
          <w:rFonts w:ascii="Cambria" w:hAnsi="Cambria"/>
          <w:i/>
          <w:sz w:val="18"/>
        </w:rPr>
      </w:pPr>
      <w:r>
        <w:rPr>
          <w:rFonts w:ascii="Cambria" w:hAnsi="Cambria"/>
          <w:i/>
          <w:color w:val="231F20"/>
          <w:w w:val="105"/>
          <w:sz w:val="18"/>
        </w:rPr>
        <w:t>Comportamiento semanal de preparador y ordeñador en la sala para ordeño</w:t>
      </w:r>
    </w:p>
    <w:p>
      <w:pPr>
        <w:pStyle w:val="BodyText"/>
        <w:spacing w:before="9"/>
        <w:rPr>
          <w:rFonts w:ascii="Cambria"/>
          <w:i/>
          <w:sz w:val="5"/>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09"/>
        <w:gridCol w:w="567"/>
        <w:gridCol w:w="567"/>
        <w:gridCol w:w="567"/>
        <w:gridCol w:w="630"/>
        <w:gridCol w:w="683"/>
        <w:gridCol w:w="570"/>
        <w:gridCol w:w="570"/>
        <w:gridCol w:w="570"/>
        <w:gridCol w:w="570"/>
        <w:gridCol w:w="570"/>
        <w:gridCol w:w="2214"/>
      </w:tblGrid>
      <w:tr>
        <w:trPr>
          <w:trHeight w:val="369" w:hRule="exact"/>
        </w:trPr>
        <w:tc>
          <w:tcPr>
            <w:tcW w:w="709" w:type="dxa"/>
            <w:tcBorders>
              <w:left w:val="nil"/>
            </w:tcBorders>
          </w:tcPr>
          <w:p>
            <w:pPr>
              <w:pStyle w:val="TableParagraph"/>
              <w:spacing w:before="79"/>
              <w:ind w:left="5"/>
              <w:jc w:val="center"/>
              <w:rPr>
                <w:rFonts w:ascii="Cambria"/>
                <w:i/>
                <w:sz w:val="18"/>
              </w:rPr>
            </w:pPr>
            <w:r>
              <w:rPr>
                <w:rFonts w:ascii="Cambria"/>
                <w:i/>
                <w:color w:val="231F20"/>
                <w:w w:val="90"/>
                <w:sz w:val="18"/>
              </w:rPr>
              <w:t>F</w:t>
            </w:r>
          </w:p>
        </w:tc>
        <w:tc>
          <w:tcPr>
            <w:tcW w:w="567" w:type="dxa"/>
          </w:tcPr>
          <w:p>
            <w:pPr>
              <w:pStyle w:val="TableParagraph"/>
              <w:spacing w:before="79"/>
              <w:jc w:val="center"/>
              <w:rPr>
                <w:rFonts w:ascii="Cambria"/>
                <w:i/>
                <w:sz w:val="18"/>
              </w:rPr>
            </w:pPr>
            <w:r>
              <w:rPr>
                <w:rFonts w:ascii="Cambria"/>
                <w:i/>
                <w:color w:val="231F20"/>
                <w:w w:val="120"/>
                <w:sz w:val="18"/>
              </w:rPr>
              <w:t>O</w:t>
            </w:r>
          </w:p>
        </w:tc>
        <w:tc>
          <w:tcPr>
            <w:tcW w:w="567" w:type="dxa"/>
          </w:tcPr>
          <w:p>
            <w:pPr>
              <w:pStyle w:val="TableParagraph"/>
              <w:spacing w:before="79"/>
              <w:ind w:left="171" w:right="171"/>
              <w:jc w:val="center"/>
              <w:rPr>
                <w:rFonts w:ascii="Cambria"/>
                <w:i/>
                <w:sz w:val="18"/>
              </w:rPr>
            </w:pPr>
            <w:r>
              <w:rPr>
                <w:rFonts w:ascii="Cambria"/>
                <w:i/>
                <w:color w:val="231F20"/>
                <w:sz w:val="18"/>
              </w:rPr>
              <w:t>Pr</w:t>
            </w:r>
          </w:p>
        </w:tc>
        <w:tc>
          <w:tcPr>
            <w:tcW w:w="567" w:type="dxa"/>
          </w:tcPr>
          <w:p>
            <w:pPr>
              <w:pStyle w:val="TableParagraph"/>
              <w:spacing w:before="79"/>
              <w:ind w:left="175"/>
              <w:rPr>
                <w:rFonts w:ascii="Cambria"/>
                <w:i/>
                <w:sz w:val="18"/>
              </w:rPr>
            </w:pPr>
            <w:r>
              <w:rPr>
                <w:rFonts w:ascii="Cambria"/>
                <w:i/>
                <w:color w:val="231F20"/>
                <w:w w:val="110"/>
                <w:sz w:val="18"/>
              </w:rPr>
              <w:t>Ds</w:t>
            </w:r>
          </w:p>
        </w:tc>
        <w:tc>
          <w:tcPr>
            <w:tcW w:w="1313" w:type="dxa"/>
            <w:gridSpan w:val="2"/>
          </w:tcPr>
          <w:p>
            <w:pPr>
              <w:pStyle w:val="TableParagraph"/>
              <w:spacing w:before="79"/>
              <w:ind w:left="404"/>
              <w:rPr>
                <w:rFonts w:ascii="Cambria"/>
                <w:i/>
                <w:sz w:val="18"/>
              </w:rPr>
            </w:pPr>
            <w:r>
              <w:rPr>
                <w:rFonts w:ascii="Cambria"/>
                <w:i/>
                <w:color w:val="231F20"/>
                <w:w w:val="105"/>
                <w:sz w:val="18"/>
              </w:rPr>
              <w:t>LO/LA</w:t>
            </w:r>
          </w:p>
        </w:tc>
        <w:tc>
          <w:tcPr>
            <w:tcW w:w="1710" w:type="dxa"/>
            <w:gridSpan w:val="3"/>
          </w:tcPr>
          <w:p>
            <w:pPr>
              <w:pStyle w:val="TableParagraph"/>
              <w:spacing w:before="79"/>
              <w:ind w:left="559" w:right="559"/>
              <w:jc w:val="center"/>
              <w:rPr>
                <w:rFonts w:ascii="Cambria"/>
                <w:i/>
                <w:sz w:val="18"/>
              </w:rPr>
            </w:pPr>
            <w:r>
              <w:rPr>
                <w:rFonts w:ascii="Cambria"/>
                <w:i/>
                <w:color w:val="231F20"/>
                <w:w w:val="105"/>
                <w:sz w:val="18"/>
              </w:rPr>
              <w:t>HO/LA</w:t>
            </w:r>
          </w:p>
        </w:tc>
        <w:tc>
          <w:tcPr>
            <w:tcW w:w="570" w:type="dxa"/>
          </w:tcPr>
          <w:p>
            <w:pPr>
              <w:pStyle w:val="TableParagraph"/>
              <w:spacing w:before="79"/>
              <w:ind w:left="178"/>
              <w:rPr>
                <w:rFonts w:ascii="Cambria"/>
                <w:i/>
                <w:sz w:val="18"/>
              </w:rPr>
            </w:pPr>
            <w:r>
              <w:rPr>
                <w:rFonts w:ascii="Cambria"/>
                <w:i/>
                <w:color w:val="231F20"/>
                <w:w w:val="115"/>
                <w:sz w:val="18"/>
              </w:rPr>
              <w:t>So</w:t>
            </w:r>
          </w:p>
        </w:tc>
        <w:tc>
          <w:tcPr>
            <w:tcW w:w="570" w:type="dxa"/>
          </w:tcPr>
          <w:p>
            <w:pPr>
              <w:pStyle w:val="TableParagraph"/>
              <w:spacing w:before="79"/>
              <w:ind w:left="171"/>
              <w:rPr>
                <w:rFonts w:ascii="Cambria"/>
                <w:i/>
                <w:sz w:val="18"/>
              </w:rPr>
            </w:pPr>
            <w:r>
              <w:rPr>
                <w:rFonts w:ascii="Cambria"/>
                <w:i/>
                <w:color w:val="231F20"/>
                <w:w w:val="105"/>
                <w:sz w:val="18"/>
              </w:rPr>
              <w:t>DL</w:t>
            </w:r>
          </w:p>
        </w:tc>
        <w:tc>
          <w:tcPr>
            <w:tcW w:w="2214" w:type="dxa"/>
            <w:tcBorders>
              <w:right w:val="nil"/>
            </w:tcBorders>
          </w:tcPr>
          <w:p>
            <w:pPr>
              <w:pStyle w:val="TableParagraph"/>
              <w:spacing w:before="79"/>
              <w:ind w:left="511"/>
              <w:rPr>
                <w:rFonts w:ascii="Cambria"/>
                <w:i/>
                <w:sz w:val="18"/>
              </w:rPr>
            </w:pPr>
            <w:r>
              <w:rPr>
                <w:rFonts w:ascii="Cambria"/>
                <w:i/>
                <w:color w:val="231F20"/>
                <w:w w:val="110"/>
                <w:sz w:val="18"/>
              </w:rPr>
              <w:t>Observaciones</w:t>
            </w:r>
          </w:p>
        </w:tc>
      </w:tr>
      <w:tr>
        <w:trPr>
          <w:trHeight w:val="397" w:hRule="exact"/>
        </w:trPr>
        <w:tc>
          <w:tcPr>
            <w:tcW w:w="2410" w:type="dxa"/>
            <w:gridSpan w:val="4"/>
            <w:tcBorders>
              <w:left w:val="nil"/>
            </w:tcBorders>
          </w:tcPr>
          <w:p>
            <w:pPr/>
          </w:p>
        </w:tc>
        <w:tc>
          <w:tcPr>
            <w:tcW w:w="630" w:type="dxa"/>
          </w:tcPr>
          <w:p>
            <w:pPr>
              <w:pStyle w:val="TableParagraph"/>
              <w:spacing w:before="79"/>
              <w:ind w:left="156"/>
              <w:rPr>
                <w:rFonts w:ascii="Cambria"/>
                <w:i/>
                <w:sz w:val="18"/>
              </w:rPr>
            </w:pPr>
            <w:r>
              <w:rPr>
                <w:rFonts w:ascii="Cambria"/>
                <w:i/>
                <w:color w:val="231F20"/>
                <w:w w:val="105"/>
                <w:sz w:val="18"/>
              </w:rPr>
              <w:t>B/B</w:t>
            </w:r>
          </w:p>
        </w:tc>
        <w:tc>
          <w:tcPr>
            <w:tcW w:w="683" w:type="dxa"/>
          </w:tcPr>
          <w:p>
            <w:pPr>
              <w:pStyle w:val="TableParagraph"/>
              <w:spacing w:before="79"/>
              <w:ind w:left="141"/>
              <w:rPr>
                <w:rFonts w:ascii="Cambria"/>
                <w:i/>
                <w:sz w:val="18"/>
              </w:rPr>
            </w:pPr>
            <w:r>
              <w:rPr>
                <w:rFonts w:ascii="Cambria"/>
                <w:i/>
                <w:color w:val="231F20"/>
                <w:w w:val="105"/>
                <w:sz w:val="18"/>
              </w:rPr>
              <w:t>M/M</w:t>
            </w:r>
          </w:p>
        </w:tc>
        <w:tc>
          <w:tcPr>
            <w:tcW w:w="570" w:type="dxa"/>
          </w:tcPr>
          <w:p>
            <w:pPr>
              <w:pStyle w:val="TableParagraph"/>
              <w:spacing w:before="79"/>
              <w:ind w:left="152"/>
              <w:rPr>
                <w:rFonts w:ascii="Cambria"/>
                <w:i/>
                <w:sz w:val="18"/>
              </w:rPr>
            </w:pPr>
            <w:r>
              <w:rPr>
                <w:rFonts w:ascii="Cambria"/>
                <w:i/>
                <w:color w:val="231F20"/>
                <w:w w:val="110"/>
                <w:sz w:val="18"/>
              </w:rPr>
              <w:t>Mo</w:t>
            </w:r>
          </w:p>
        </w:tc>
        <w:tc>
          <w:tcPr>
            <w:tcW w:w="570" w:type="dxa"/>
          </w:tcPr>
          <w:p>
            <w:pPr>
              <w:pStyle w:val="TableParagraph"/>
              <w:spacing w:before="79"/>
              <w:jc w:val="center"/>
              <w:rPr>
                <w:rFonts w:ascii="Cambria"/>
                <w:i/>
                <w:sz w:val="18"/>
              </w:rPr>
            </w:pPr>
            <w:r>
              <w:rPr>
                <w:rFonts w:ascii="Cambria"/>
                <w:i/>
                <w:color w:val="231F20"/>
                <w:w w:val="105"/>
                <w:sz w:val="18"/>
              </w:rPr>
              <w:t>H</w:t>
            </w:r>
          </w:p>
        </w:tc>
        <w:tc>
          <w:tcPr>
            <w:tcW w:w="570" w:type="dxa"/>
          </w:tcPr>
          <w:p>
            <w:pPr>
              <w:pStyle w:val="TableParagraph"/>
              <w:spacing w:before="79"/>
              <w:jc w:val="center"/>
              <w:rPr>
                <w:rFonts w:ascii="Cambria"/>
                <w:i/>
                <w:sz w:val="18"/>
              </w:rPr>
            </w:pPr>
            <w:r>
              <w:rPr>
                <w:rFonts w:ascii="Cambria"/>
                <w:i/>
                <w:color w:val="231F20"/>
                <w:w w:val="116"/>
                <w:sz w:val="18"/>
              </w:rPr>
              <w:t>S</w:t>
            </w:r>
          </w:p>
        </w:tc>
        <w:tc>
          <w:tcPr>
            <w:tcW w:w="3354" w:type="dxa"/>
            <w:gridSpan w:val="3"/>
            <w:tcBorders>
              <w:right w:val="nil"/>
            </w:tcBorders>
          </w:tcPr>
          <w:p>
            <w:pPr/>
          </w:p>
        </w:tc>
      </w:tr>
      <w:tr>
        <w:trPr>
          <w:trHeight w:val="340" w:hRule="exact"/>
        </w:trPr>
        <w:tc>
          <w:tcPr>
            <w:tcW w:w="709" w:type="dxa"/>
            <w:tcBorders>
              <w:left w:val="nil"/>
            </w:tcBorders>
          </w:tcPr>
          <w:p>
            <w:pPr/>
          </w:p>
        </w:tc>
        <w:tc>
          <w:tcPr>
            <w:tcW w:w="567" w:type="dxa"/>
          </w:tcPr>
          <w:p>
            <w:pPr/>
          </w:p>
        </w:tc>
        <w:tc>
          <w:tcPr>
            <w:tcW w:w="567" w:type="dxa"/>
          </w:tcPr>
          <w:p>
            <w:pPr/>
          </w:p>
        </w:tc>
        <w:tc>
          <w:tcPr>
            <w:tcW w:w="567" w:type="dxa"/>
          </w:tcPr>
          <w:p>
            <w:pPr/>
          </w:p>
        </w:tc>
        <w:tc>
          <w:tcPr>
            <w:tcW w:w="630" w:type="dxa"/>
          </w:tcPr>
          <w:p>
            <w:pPr/>
          </w:p>
        </w:tc>
        <w:tc>
          <w:tcPr>
            <w:tcW w:w="683" w:type="dxa"/>
          </w:tcPr>
          <w:p>
            <w:pPr/>
          </w:p>
        </w:tc>
        <w:tc>
          <w:tcPr>
            <w:tcW w:w="570" w:type="dxa"/>
          </w:tcPr>
          <w:p>
            <w:pPr/>
          </w:p>
        </w:tc>
        <w:tc>
          <w:tcPr>
            <w:tcW w:w="570" w:type="dxa"/>
          </w:tcPr>
          <w:p>
            <w:pPr/>
          </w:p>
        </w:tc>
        <w:tc>
          <w:tcPr>
            <w:tcW w:w="570" w:type="dxa"/>
          </w:tcPr>
          <w:p>
            <w:pPr/>
          </w:p>
        </w:tc>
        <w:tc>
          <w:tcPr>
            <w:tcW w:w="570" w:type="dxa"/>
          </w:tcPr>
          <w:p>
            <w:pPr/>
          </w:p>
        </w:tc>
        <w:tc>
          <w:tcPr>
            <w:tcW w:w="570" w:type="dxa"/>
          </w:tcPr>
          <w:p>
            <w:pPr/>
          </w:p>
        </w:tc>
        <w:tc>
          <w:tcPr>
            <w:tcW w:w="2214" w:type="dxa"/>
            <w:tcBorders>
              <w:right w:val="nil"/>
            </w:tcBorders>
          </w:tcPr>
          <w:p>
            <w:pPr/>
          </w:p>
        </w:tc>
      </w:tr>
      <w:tr>
        <w:trPr>
          <w:trHeight w:val="340" w:hRule="exact"/>
        </w:trPr>
        <w:tc>
          <w:tcPr>
            <w:tcW w:w="709" w:type="dxa"/>
            <w:tcBorders>
              <w:left w:val="nil"/>
            </w:tcBorders>
          </w:tcPr>
          <w:p>
            <w:pPr/>
          </w:p>
        </w:tc>
        <w:tc>
          <w:tcPr>
            <w:tcW w:w="567" w:type="dxa"/>
          </w:tcPr>
          <w:p>
            <w:pPr/>
          </w:p>
        </w:tc>
        <w:tc>
          <w:tcPr>
            <w:tcW w:w="567" w:type="dxa"/>
          </w:tcPr>
          <w:p>
            <w:pPr/>
          </w:p>
        </w:tc>
        <w:tc>
          <w:tcPr>
            <w:tcW w:w="567" w:type="dxa"/>
          </w:tcPr>
          <w:p>
            <w:pPr/>
          </w:p>
        </w:tc>
        <w:tc>
          <w:tcPr>
            <w:tcW w:w="630" w:type="dxa"/>
          </w:tcPr>
          <w:p>
            <w:pPr/>
          </w:p>
        </w:tc>
        <w:tc>
          <w:tcPr>
            <w:tcW w:w="683" w:type="dxa"/>
          </w:tcPr>
          <w:p>
            <w:pPr/>
          </w:p>
        </w:tc>
        <w:tc>
          <w:tcPr>
            <w:tcW w:w="570" w:type="dxa"/>
          </w:tcPr>
          <w:p>
            <w:pPr/>
          </w:p>
        </w:tc>
        <w:tc>
          <w:tcPr>
            <w:tcW w:w="570" w:type="dxa"/>
          </w:tcPr>
          <w:p>
            <w:pPr/>
          </w:p>
        </w:tc>
        <w:tc>
          <w:tcPr>
            <w:tcW w:w="570" w:type="dxa"/>
          </w:tcPr>
          <w:p>
            <w:pPr/>
          </w:p>
        </w:tc>
        <w:tc>
          <w:tcPr>
            <w:tcW w:w="570" w:type="dxa"/>
          </w:tcPr>
          <w:p>
            <w:pPr/>
          </w:p>
        </w:tc>
        <w:tc>
          <w:tcPr>
            <w:tcW w:w="570" w:type="dxa"/>
          </w:tcPr>
          <w:p>
            <w:pPr/>
          </w:p>
        </w:tc>
        <w:tc>
          <w:tcPr>
            <w:tcW w:w="2214" w:type="dxa"/>
            <w:tcBorders>
              <w:right w:val="nil"/>
            </w:tcBorders>
          </w:tcPr>
          <w:p>
            <w:pPr/>
          </w:p>
        </w:tc>
      </w:tr>
      <w:tr>
        <w:trPr>
          <w:trHeight w:val="340" w:hRule="exact"/>
        </w:trPr>
        <w:tc>
          <w:tcPr>
            <w:tcW w:w="709" w:type="dxa"/>
            <w:tcBorders>
              <w:left w:val="nil"/>
            </w:tcBorders>
          </w:tcPr>
          <w:p>
            <w:pPr/>
          </w:p>
        </w:tc>
        <w:tc>
          <w:tcPr>
            <w:tcW w:w="567" w:type="dxa"/>
          </w:tcPr>
          <w:p>
            <w:pPr/>
          </w:p>
        </w:tc>
        <w:tc>
          <w:tcPr>
            <w:tcW w:w="567" w:type="dxa"/>
          </w:tcPr>
          <w:p>
            <w:pPr/>
          </w:p>
        </w:tc>
        <w:tc>
          <w:tcPr>
            <w:tcW w:w="567" w:type="dxa"/>
          </w:tcPr>
          <w:p>
            <w:pPr/>
          </w:p>
        </w:tc>
        <w:tc>
          <w:tcPr>
            <w:tcW w:w="630" w:type="dxa"/>
          </w:tcPr>
          <w:p>
            <w:pPr/>
          </w:p>
        </w:tc>
        <w:tc>
          <w:tcPr>
            <w:tcW w:w="683" w:type="dxa"/>
          </w:tcPr>
          <w:p>
            <w:pPr/>
          </w:p>
        </w:tc>
        <w:tc>
          <w:tcPr>
            <w:tcW w:w="570" w:type="dxa"/>
          </w:tcPr>
          <w:p>
            <w:pPr/>
          </w:p>
        </w:tc>
        <w:tc>
          <w:tcPr>
            <w:tcW w:w="570" w:type="dxa"/>
          </w:tcPr>
          <w:p>
            <w:pPr/>
          </w:p>
        </w:tc>
        <w:tc>
          <w:tcPr>
            <w:tcW w:w="570" w:type="dxa"/>
          </w:tcPr>
          <w:p>
            <w:pPr/>
          </w:p>
        </w:tc>
        <w:tc>
          <w:tcPr>
            <w:tcW w:w="570" w:type="dxa"/>
          </w:tcPr>
          <w:p>
            <w:pPr/>
          </w:p>
        </w:tc>
        <w:tc>
          <w:tcPr>
            <w:tcW w:w="570" w:type="dxa"/>
          </w:tcPr>
          <w:p>
            <w:pPr/>
          </w:p>
        </w:tc>
        <w:tc>
          <w:tcPr>
            <w:tcW w:w="2214" w:type="dxa"/>
            <w:tcBorders>
              <w:right w:val="nil"/>
            </w:tcBorders>
          </w:tcPr>
          <w:p>
            <w:pPr/>
          </w:p>
        </w:tc>
      </w:tr>
      <w:tr>
        <w:trPr>
          <w:trHeight w:val="340" w:hRule="exact"/>
        </w:trPr>
        <w:tc>
          <w:tcPr>
            <w:tcW w:w="709" w:type="dxa"/>
            <w:tcBorders>
              <w:left w:val="nil"/>
            </w:tcBorders>
          </w:tcPr>
          <w:p>
            <w:pPr/>
          </w:p>
        </w:tc>
        <w:tc>
          <w:tcPr>
            <w:tcW w:w="567" w:type="dxa"/>
          </w:tcPr>
          <w:p>
            <w:pPr/>
          </w:p>
        </w:tc>
        <w:tc>
          <w:tcPr>
            <w:tcW w:w="567" w:type="dxa"/>
          </w:tcPr>
          <w:p>
            <w:pPr/>
          </w:p>
        </w:tc>
        <w:tc>
          <w:tcPr>
            <w:tcW w:w="567" w:type="dxa"/>
          </w:tcPr>
          <w:p>
            <w:pPr/>
          </w:p>
        </w:tc>
        <w:tc>
          <w:tcPr>
            <w:tcW w:w="630" w:type="dxa"/>
          </w:tcPr>
          <w:p>
            <w:pPr/>
          </w:p>
        </w:tc>
        <w:tc>
          <w:tcPr>
            <w:tcW w:w="683" w:type="dxa"/>
          </w:tcPr>
          <w:p>
            <w:pPr/>
          </w:p>
        </w:tc>
        <w:tc>
          <w:tcPr>
            <w:tcW w:w="570" w:type="dxa"/>
          </w:tcPr>
          <w:p>
            <w:pPr/>
          </w:p>
        </w:tc>
        <w:tc>
          <w:tcPr>
            <w:tcW w:w="570" w:type="dxa"/>
          </w:tcPr>
          <w:p>
            <w:pPr/>
          </w:p>
        </w:tc>
        <w:tc>
          <w:tcPr>
            <w:tcW w:w="570" w:type="dxa"/>
          </w:tcPr>
          <w:p>
            <w:pPr/>
          </w:p>
        </w:tc>
        <w:tc>
          <w:tcPr>
            <w:tcW w:w="570" w:type="dxa"/>
          </w:tcPr>
          <w:p>
            <w:pPr/>
          </w:p>
        </w:tc>
        <w:tc>
          <w:tcPr>
            <w:tcW w:w="570" w:type="dxa"/>
          </w:tcPr>
          <w:p>
            <w:pPr/>
          </w:p>
        </w:tc>
        <w:tc>
          <w:tcPr>
            <w:tcW w:w="2214" w:type="dxa"/>
            <w:tcBorders>
              <w:right w:val="nil"/>
            </w:tcBorders>
          </w:tcPr>
          <w:p>
            <w:pPr/>
          </w:p>
        </w:tc>
      </w:tr>
      <w:tr>
        <w:trPr>
          <w:trHeight w:val="340" w:hRule="exact"/>
        </w:trPr>
        <w:tc>
          <w:tcPr>
            <w:tcW w:w="709" w:type="dxa"/>
            <w:tcBorders>
              <w:left w:val="nil"/>
            </w:tcBorders>
          </w:tcPr>
          <w:p>
            <w:pPr/>
          </w:p>
        </w:tc>
        <w:tc>
          <w:tcPr>
            <w:tcW w:w="567" w:type="dxa"/>
          </w:tcPr>
          <w:p>
            <w:pPr/>
          </w:p>
        </w:tc>
        <w:tc>
          <w:tcPr>
            <w:tcW w:w="567" w:type="dxa"/>
          </w:tcPr>
          <w:p>
            <w:pPr/>
          </w:p>
        </w:tc>
        <w:tc>
          <w:tcPr>
            <w:tcW w:w="567" w:type="dxa"/>
          </w:tcPr>
          <w:p>
            <w:pPr/>
          </w:p>
        </w:tc>
        <w:tc>
          <w:tcPr>
            <w:tcW w:w="630" w:type="dxa"/>
          </w:tcPr>
          <w:p>
            <w:pPr/>
          </w:p>
        </w:tc>
        <w:tc>
          <w:tcPr>
            <w:tcW w:w="683" w:type="dxa"/>
          </w:tcPr>
          <w:p>
            <w:pPr/>
          </w:p>
        </w:tc>
        <w:tc>
          <w:tcPr>
            <w:tcW w:w="570" w:type="dxa"/>
          </w:tcPr>
          <w:p>
            <w:pPr/>
          </w:p>
        </w:tc>
        <w:tc>
          <w:tcPr>
            <w:tcW w:w="570" w:type="dxa"/>
          </w:tcPr>
          <w:p>
            <w:pPr/>
          </w:p>
        </w:tc>
        <w:tc>
          <w:tcPr>
            <w:tcW w:w="570" w:type="dxa"/>
          </w:tcPr>
          <w:p>
            <w:pPr/>
          </w:p>
        </w:tc>
        <w:tc>
          <w:tcPr>
            <w:tcW w:w="570" w:type="dxa"/>
          </w:tcPr>
          <w:p>
            <w:pPr/>
          </w:p>
        </w:tc>
        <w:tc>
          <w:tcPr>
            <w:tcW w:w="570" w:type="dxa"/>
          </w:tcPr>
          <w:p>
            <w:pPr/>
          </w:p>
        </w:tc>
        <w:tc>
          <w:tcPr>
            <w:tcW w:w="2214" w:type="dxa"/>
            <w:tcBorders>
              <w:right w:val="nil"/>
            </w:tcBorders>
          </w:tcPr>
          <w:p>
            <w:pPr/>
          </w:p>
        </w:tc>
      </w:tr>
      <w:tr>
        <w:trPr>
          <w:trHeight w:val="340" w:hRule="exact"/>
        </w:trPr>
        <w:tc>
          <w:tcPr>
            <w:tcW w:w="709" w:type="dxa"/>
            <w:tcBorders>
              <w:left w:val="nil"/>
            </w:tcBorders>
          </w:tcPr>
          <w:p>
            <w:pPr/>
          </w:p>
        </w:tc>
        <w:tc>
          <w:tcPr>
            <w:tcW w:w="567" w:type="dxa"/>
          </w:tcPr>
          <w:p>
            <w:pPr/>
          </w:p>
        </w:tc>
        <w:tc>
          <w:tcPr>
            <w:tcW w:w="567" w:type="dxa"/>
          </w:tcPr>
          <w:p>
            <w:pPr/>
          </w:p>
        </w:tc>
        <w:tc>
          <w:tcPr>
            <w:tcW w:w="567" w:type="dxa"/>
          </w:tcPr>
          <w:p>
            <w:pPr/>
          </w:p>
        </w:tc>
        <w:tc>
          <w:tcPr>
            <w:tcW w:w="630" w:type="dxa"/>
          </w:tcPr>
          <w:p>
            <w:pPr/>
          </w:p>
        </w:tc>
        <w:tc>
          <w:tcPr>
            <w:tcW w:w="683" w:type="dxa"/>
          </w:tcPr>
          <w:p>
            <w:pPr/>
          </w:p>
        </w:tc>
        <w:tc>
          <w:tcPr>
            <w:tcW w:w="570" w:type="dxa"/>
          </w:tcPr>
          <w:p>
            <w:pPr/>
          </w:p>
        </w:tc>
        <w:tc>
          <w:tcPr>
            <w:tcW w:w="570" w:type="dxa"/>
          </w:tcPr>
          <w:p>
            <w:pPr/>
          </w:p>
        </w:tc>
        <w:tc>
          <w:tcPr>
            <w:tcW w:w="570" w:type="dxa"/>
          </w:tcPr>
          <w:p>
            <w:pPr/>
          </w:p>
        </w:tc>
        <w:tc>
          <w:tcPr>
            <w:tcW w:w="570" w:type="dxa"/>
          </w:tcPr>
          <w:p>
            <w:pPr/>
          </w:p>
        </w:tc>
        <w:tc>
          <w:tcPr>
            <w:tcW w:w="570" w:type="dxa"/>
          </w:tcPr>
          <w:p>
            <w:pPr/>
          </w:p>
        </w:tc>
        <w:tc>
          <w:tcPr>
            <w:tcW w:w="2214" w:type="dxa"/>
            <w:tcBorders>
              <w:right w:val="nil"/>
            </w:tcBorders>
          </w:tcPr>
          <w:p>
            <w:pPr/>
          </w:p>
        </w:tc>
      </w:tr>
      <w:tr>
        <w:trPr>
          <w:trHeight w:val="340" w:hRule="exact"/>
        </w:trPr>
        <w:tc>
          <w:tcPr>
            <w:tcW w:w="709" w:type="dxa"/>
            <w:tcBorders>
              <w:left w:val="nil"/>
            </w:tcBorders>
          </w:tcPr>
          <w:p>
            <w:pPr/>
          </w:p>
        </w:tc>
        <w:tc>
          <w:tcPr>
            <w:tcW w:w="567" w:type="dxa"/>
          </w:tcPr>
          <w:p>
            <w:pPr/>
          </w:p>
        </w:tc>
        <w:tc>
          <w:tcPr>
            <w:tcW w:w="567" w:type="dxa"/>
          </w:tcPr>
          <w:p>
            <w:pPr/>
          </w:p>
        </w:tc>
        <w:tc>
          <w:tcPr>
            <w:tcW w:w="567" w:type="dxa"/>
          </w:tcPr>
          <w:p>
            <w:pPr/>
          </w:p>
        </w:tc>
        <w:tc>
          <w:tcPr>
            <w:tcW w:w="630" w:type="dxa"/>
          </w:tcPr>
          <w:p>
            <w:pPr/>
          </w:p>
        </w:tc>
        <w:tc>
          <w:tcPr>
            <w:tcW w:w="683" w:type="dxa"/>
          </w:tcPr>
          <w:p>
            <w:pPr/>
          </w:p>
        </w:tc>
        <w:tc>
          <w:tcPr>
            <w:tcW w:w="570" w:type="dxa"/>
          </w:tcPr>
          <w:p>
            <w:pPr/>
          </w:p>
        </w:tc>
        <w:tc>
          <w:tcPr>
            <w:tcW w:w="570" w:type="dxa"/>
          </w:tcPr>
          <w:p>
            <w:pPr/>
          </w:p>
        </w:tc>
        <w:tc>
          <w:tcPr>
            <w:tcW w:w="570" w:type="dxa"/>
          </w:tcPr>
          <w:p>
            <w:pPr/>
          </w:p>
        </w:tc>
        <w:tc>
          <w:tcPr>
            <w:tcW w:w="570" w:type="dxa"/>
          </w:tcPr>
          <w:p>
            <w:pPr/>
          </w:p>
        </w:tc>
        <w:tc>
          <w:tcPr>
            <w:tcW w:w="570" w:type="dxa"/>
          </w:tcPr>
          <w:p>
            <w:pPr/>
          </w:p>
        </w:tc>
        <w:tc>
          <w:tcPr>
            <w:tcW w:w="2214" w:type="dxa"/>
            <w:tcBorders>
              <w:right w:val="nil"/>
            </w:tcBorders>
          </w:tcPr>
          <w:p>
            <w:pPr/>
          </w:p>
        </w:tc>
      </w:tr>
    </w:tbl>
    <w:p>
      <w:pPr>
        <w:spacing w:line="261" w:lineRule="auto" w:before="78"/>
        <w:ind w:left="1667" w:right="1655" w:firstLine="0"/>
        <w:jc w:val="left"/>
        <w:rPr>
          <w:sz w:val="15"/>
        </w:rPr>
      </w:pPr>
      <w:r>
        <w:rPr/>
        <w:pict>
          <v:group style="position:absolute;margin-left:77.442902pt;margin-top:26.460516pt;width:439.9pt;height:.5pt;mso-position-horizontal-relative:page;mso-position-vertical-relative:paragraph;z-index:1888;mso-wrap-distance-left:0;mso-wrap-distance-right:0" coordorigin="1549,529" coordsize="8798,10">
            <v:line style="position:absolute" from="1554,534" to="2263,534" stroked="true" strokeweight=".5pt" strokecolor="#231f20"/>
            <v:line style="position:absolute" from="2263,534" to="2830,534" stroked="true" strokeweight=".5pt" strokecolor="#231f20"/>
            <v:line style="position:absolute" from="2830,534" to="3397,534" stroked="true" strokeweight=".5pt" strokecolor="#231f20"/>
            <v:line style="position:absolute" from="3397,534" to="3964,534" stroked="true" strokeweight=".5pt" strokecolor="#231f20"/>
            <v:line style="position:absolute" from="3964,534" to="4594,534" stroked="true" strokeweight=".5pt" strokecolor="#231f20"/>
            <v:line style="position:absolute" from="4594,534" to="5277,534" stroked="true" strokeweight=".5pt" strokecolor="#231f20"/>
            <v:line style="position:absolute" from="5277,534" to="5847,534" stroked="true" strokeweight=".5pt" strokecolor="#231f20"/>
            <v:line style="position:absolute" from="5847,534" to="6417,534" stroked="true" strokeweight=".5pt" strokecolor="#231f20"/>
            <v:line style="position:absolute" from="6417,534" to="6987,534" stroked="true" strokeweight=".5pt" strokecolor="#231f20"/>
            <v:line style="position:absolute" from="6987,534" to="7557,534" stroked="true" strokeweight=".5pt" strokecolor="#231f20"/>
            <v:line style="position:absolute" from="7557,534" to="8127,534" stroked="true" strokeweight=".5pt" strokecolor="#231f20"/>
            <v:line style="position:absolute" from="8127,534" to="10341,534" stroked="true" strokeweight=".5pt" strokecolor="#231f20"/>
            <w10:wrap type="topAndBottom"/>
          </v:group>
        </w:pict>
      </w:r>
      <w:r>
        <w:rPr>
          <w:color w:val="231F20"/>
          <w:sz w:val="15"/>
        </w:rPr>
        <w:t>F: fecha; O: ordeñador; Pr: presello; Ds: despuntó; LO/LA: limpieza de ordeñador/lavador; B: bien; M: mal; HO/LA: humedad ordeñador/ lavador; Mo: mojado; H: húmedo; S: seco; So: selló; DL: desecho de leche.</w:t>
      </w:r>
    </w:p>
    <w:p>
      <w:pPr>
        <w:pStyle w:val="BodyText"/>
      </w:pPr>
    </w:p>
    <w:p>
      <w:pPr>
        <w:pStyle w:val="BodyText"/>
        <w:spacing w:before="3"/>
        <w:rPr>
          <w:sz w:val="24"/>
        </w:rPr>
      </w:pPr>
    </w:p>
    <w:p>
      <w:pPr>
        <w:spacing w:after="0"/>
        <w:rPr>
          <w:sz w:val="24"/>
        </w:rPr>
        <w:sectPr>
          <w:pgSz w:w="11900" w:h="14450"/>
          <w:pgMar w:header="0" w:footer="222" w:top="420" w:bottom="420" w:left="0" w:right="0"/>
        </w:sectPr>
      </w:pPr>
    </w:p>
    <w:p>
      <w:pPr>
        <w:pStyle w:val="BodyText"/>
        <w:spacing w:line="276" w:lineRule="auto" w:before="87"/>
        <w:ind w:left="1553"/>
        <w:jc w:val="both"/>
      </w:pPr>
      <w:r>
        <w:rPr>
          <w:color w:val="231F20"/>
        </w:rPr>
        <w:t>Si la ubre está en apariencia libre de agua se califi- ca como </w:t>
      </w:r>
      <w:r>
        <w:rPr>
          <w:color w:val="231F20"/>
          <w:spacing w:val="-3"/>
        </w:rPr>
        <w:t>“seca”, </w:t>
      </w:r>
      <w:r>
        <w:rPr>
          <w:color w:val="231F20"/>
        </w:rPr>
        <w:t>y como “húmeda” cuando escurre agua por la ubre y gotea por el ápice del pezón, situación que en muchos casos se notará por la presencia de agua entre la boca de la pezonera       y el cuerpo del pezón, que desaparece en el mo- mento en que resbala la pezonera y penetra   </w:t>
      </w:r>
      <w:r>
        <w:rPr>
          <w:color w:val="231F20"/>
          <w:spacing w:val="31"/>
        </w:rPr>
        <w:t> </w:t>
      </w:r>
      <w:r>
        <w:rPr>
          <w:color w:val="231F20"/>
        </w:rPr>
        <w:t>aire,</w:t>
      </w:r>
    </w:p>
    <w:p>
      <w:pPr>
        <w:pStyle w:val="BodyText"/>
        <w:spacing w:line="254" w:lineRule="auto" w:before="67"/>
        <w:ind w:left="413" w:right="1551"/>
        <w:jc w:val="both"/>
      </w:pPr>
      <w:r>
        <w:rPr/>
        <w:br w:type="column"/>
      </w:r>
      <w:r>
        <w:rPr>
          <w:color w:val="231F20"/>
        </w:rPr>
        <w:t>así como el agua, lo que representa un alto riesgo para el establecimiento de las infecciones mama- rias, de modo principal de origen ambiental por coliformes.</w:t>
      </w:r>
    </w:p>
    <w:p>
      <w:pPr>
        <w:pStyle w:val="BodyText"/>
        <w:spacing w:line="254" w:lineRule="auto" w:before="114"/>
        <w:ind w:left="413" w:right="1551"/>
        <w:jc w:val="both"/>
      </w:pPr>
      <w:r>
        <w:rPr>
          <w:color w:val="231F20"/>
        </w:rPr>
        <w:t>Otra actividad registrada en este sector es la des- carga de los primeros chorros de leche sobre un tazón  de  fondo  oscuro  (Fig.  22),  anotando  si  la</w:t>
      </w:r>
    </w:p>
    <w:p>
      <w:pPr>
        <w:spacing w:after="0" w:line="254"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spacing w:val="-3"/>
          <w:w w:val="120"/>
          <w:sz w:val="22"/>
        </w:rPr>
        <w:t>36</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5"/>
        <w:rPr>
          <w:sz w:val="28"/>
        </w:rPr>
      </w:pPr>
      <w:r>
        <w:rPr/>
        <w:drawing>
          <wp:anchor distT="0" distB="0" distL="0" distR="0" allowOverlap="1" layoutInCell="1" locked="0" behindDoc="0" simplePos="0" relativeHeight="1912">
            <wp:simplePos x="0" y="0"/>
            <wp:positionH relativeFrom="page">
              <wp:posOffset>986700</wp:posOffset>
            </wp:positionH>
            <wp:positionV relativeFrom="paragraph">
              <wp:posOffset>244986</wp:posOffset>
            </wp:positionV>
            <wp:extent cx="2623185" cy="1965960"/>
            <wp:effectExtent l="0" t="0" r="0" b="0"/>
            <wp:wrapTopAndBottom/>
            <wp:docPr id="53" name="image43.png" descr=""/>
            <wp:cNvGraphicFramePr>
              <a:graphicFrameLocks noChangeAspect="1"/>
            </wp:cNvGraphicFramePr>
            <a:graphic>
              <a:graphicData uri="http://schemas.openxmlformats.org/drawingml/2006/picture">
                <pic:pic>
                  <pic:nvPicPr>
                    <pic:cNvPr id="54" name="image43.png"/>
                    <pic:cNvPicPr/>
                  </pic:nvPicPr>
                  <pic:blipFill>
                    <a:blip r:embed="rId66" cstate="print"/>
                    <a:stretch>
                      <a:fillRect/>
                    </a:stretch>
                  </pic:blipFill>
                  <pic:spPr>
                    <a:xfrm>
                      <a:off x="0" y="0"/>
                      <a:ext cx="2623185" cy="1965960"/>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3920700</wp:posOffset>
            </wp:positionH>
            <wp:positionV relativeFrom="paragraph">
              <wp:posOffset>245326</wp:posOffset>
            </wp:positionV>
            <wp:extent cx="2688908" cy="2014537"/>
            <wp:effectExtent l="0" t="0" r="0" b="0"/>
            <wp:wrapTopAndBottom/>
            <wp:docPr id="55" name="image44.png" descr=""/>
            <wp:cNvGraphicFramePr>
              <a:graphicFrameLocks noChangeAspect="1"/>
            </wp:cNvGraphicFramePr>
            <a:graphic>
              <a:graphicData uri="http://schemas.openxmlformats.org/drawingml/2006/picture">
                <pic:pic>
                  <pic:nvPicPr>
                    <pic:cNvPr id="56" name="image44.png"/>
                    <pic:cNvPicPr/>
                  </pic:nvPicPr>
                  <pic:blipFill>
                    <a:blip r:embed="rId67" cstate="print"/>
                    <a:stretch>
                      <a:fillRect/>
                    </a:stretch>
                  </pic:blipFill>
                  <pic:spPr>
                    <a:xfrm>
                      <a:off x="0" y="0"/>
                      <a:ext cx="2688908" cy="2014537"/>
                    </a:xfrm>
                    <a:prstGeom prst="rect">
                      <a:avLst/>
                    </a:prstGeom>
                  </pic:spPr>
                </pic:pic>
              </a:graphicData>
            </a:graphic>
          </wp:anchor>
        </w:drawing>
      </w:r>
    </w:p>
    <w:p>
      <w:pPr>
        <w:tabs>
          <w:tab w:pos="6853" w:val="left" w:leader="none"/>
        </w:tabs>
        <w:spacing w:before="66"/>
        <w:ind w:left="1553" w:right="0" w:firstLine="0"/>
        <w:jc w:val="left"/>
        <w:rPr>
          <w:sz w:val="18"/>
        </w:rPr>
      </w:pPr>
      <w:r>
        <w:rPr>
          <w:color w:val="231F20"/>
          <w:sz w:val="18"/>
        </w:rPr>
        <w:t>Figura </w:t>
      </w:r>
      <w:r>
        <w:rPr>
          <w:color w:val="231F20"/>
          <w:spacing w:val="-3"/>
          <w:sz w:val="18"/>
        </w:rPr>
        <w:t>22.   </w:t>
      </w:r>
      <w:r>
        <w:rPr>
          <w:color w:val="231F20"/>
          <w:sz w:val="18"/>
        </w:rPr>
        <w:t>Eliminación de los primeros chorros</w:t>
      </w:r>
      <w:r>
        <w:rPr>
          <w:color w:val="231F20"/>
          <w:spacing w:val="11"/>
          <w:sz w:val="18"/>
        </w:rPr>
        <w:t> </w:t>
      </w:r>
      <w:r>
        <w:rPr>
          <w:color w:val="231F20"/>
          <w:sz w:val="18"/>
        </w:rPr>
        <w:t>de</w:t>
      </w:r>
      <w:r>
        <w:rPr>
          <w:color w:val="231F20"/>
          <w:spacing w:val="2"/>
          <w:sz w:val="18"/>
        </w:rPr>
        <w:t> </w:t>
      </w:r>
      <w:r>
        <w:rPr>
          <w:color w:val="231F20"/>
          <w:sz w:val="18"/>
        </w:rPr>
        <w:t>leche.</w:t>
        <w:tab/>
        <w:t>Figura 23.   Aplicación del </w:t>
      </w:r>
      <w:r>
        <w:rPr>
          <w:color w:val="231F20"/>
          <w:spacing w:val="9"/>
          <w:sz w:val="18"/>
        </w:rPr>
        <w:t> </w:t>
      </w:r>
      <w:r>
        <w:rPr>
          <w:color w:val="231F20"/>
          <w:sz w:val="18"/>
        </w:rPr>
        <w:t>antiséptico.</w:t>
      </w:r>
    </w:p>
    <w:p>
      <w:pPr>
        <w:pStyle w:val="BodyText"/>
      </w:pPr>
    </w:p>
    <w:p>
      <w:pPr>
        <w:pStyle w:val="BodyText"/>
        <w:spacing w:before="6"/>
        <w:rPr>
          <w:sz w:val="27"/>
        </w:rPr>
      </w:pPr>
    </w:p>
    <w:p>
      <w:pPr>
        <w:spacing w:after="0"/>
        <w:rPr>
          <w:sz w:val="27"/>
        </w:rPr>
        <w:sectPr>
          <w:pgSz w:w="11900" w:h="14450"/>
          <w:pgMar w:header="0" w:footer="222" w:top="420" w:bottom="420" w:left="0" w:right="0"/>
        </w:sectPr>
      </w:pPr>
    </w:p>
    <w:p>
      <w:pPr>
        <w:pStyle w:val="BodyText"/>
        <w:spacing w:line="256" w:lineRule="auto" w:before="68"/>
        <w:ind w:left="1553"/>
        <w:jc w:val="both"/>
      </w:pPr>
      <w:r>
        <w:rPr>
          <w:color w:val="231F20"/>
        </w:rPr>
        <w:t>descarga se realiza sobre el suelo y si el trabajador logra identificar la presencia de anormalidades en la leche, así como la eliminación de toda secre- ción glandular que provenga de una glándula </w:t>
      </w:r>
      <w:r>
        <w:rPr>
          <w:color w:val="231F20"/>
          <w:spacing w:val="2"/>
        </w:rPr>
        <w:t>con </w:t>
      </w:r>
      <w:r>
        <w:rPr>
          <w:color w:val="231F20"/>
        </w:rPr>
        <w:t>mastitis o de vacas que han recibido </w:t>
      </w:r>
      <w:r>
        <w:rPr>
          <w:color w:val="231F20"/>
          <w:spacing w:val="2"/>
        </w:rPr>
        <w:t>tratamientos </w:t>
      </w:r>
      <w:r>
        <w:rPr>
          <w:color w:val="231F20"/>
        </w:rPr>
        <w:t>por  cualquier</w:t>
      </w:r>
      <w:r>
        <w:rPr>
          <w:color w:val="231F20"/>
          <w:spacing w:val="3"/>
        </w:rPr>
        <w:t> </w:t>
      </w:r>
      <w:r>
        <w:rPr>
          <w:color w:val="231F20"/>
        </w:rPr>
        <w:t>motivo.</w:t>
      </w:r>
    </w:p>
    <w:p>
      <w:pPr>
        <w:pStyle w:val="BodyText"/>
        <w:spacing w:line="256" w:lineRule="auto" w:before="114"/>
        <w:ind w:left="1553"/>
        <w:jc w:val="both"/>
      </w:pPr>
      <w:r>
        <w:rPr>
          <w:color w:val="231F20"/>
        </w:rPr>
        <w:t>Finalizado  el  ordeño  y  retiradas  las  máquinas,  se </w:t>
      </w:r>
      <w:r>
        <w:rPr>
          <w:color w:val="231F20"/>
          <w:spacing w:val="2"/>
        </w:rPr>
        <w:t>registra </w:t>
      </w:r>
      <w:r>
        <w:rPr>
          <w:color w:val="231F20"/>
        </w:rPr>
        <w:t>la producción de la vaca y el nivel de eficiencia de la aplicación del  antiséptico  sobre  los pezones (Fig. 23), y la limpieza por enjuague con agua potable de las pezoneras entre vacas ordeñadas. Esta información se </w:t>
      </w:r>
      <w:r>
        <w:rPr>
          <w:color w:val="231F20"/>
          <w:spacing w:val="2"/>
        </w:rPr>
        <w:t>registra </w:t>
      </w:r>
      <w:r>
        <w:rPr>
          <w:color w:val="231F20"/>
        </w:rPr>
        <w:t>con sufi- cientes repeticiones, abarcando los diferentes ho- rarios de ordeño, con el fin de </w:t>
      </w:r>
      <w:r>
        <w:rPr>
          <w:color w:val="231F20"/>
          <w:spacing w:val="2"/>
        </w:rPr>
        <w:t>lograr </w:t>
      </w:r>
      <w:r>
        <w:rPr>
          <w:color w:val="231F20"/>
        </w:rPr>
        <w:t>una realidad de lo acontecido en la ordeña, ya que </w:t>
      </w:r>
      <w:r>
        <w:rPr>
          <w:color w:val="231F20"/>
          <w:spacing w:val="2"/>
        </w:rPr>
        <w:t>podrán </w:t>
      </w:r>
      <w:r>
        <w:rPr>
          <w:color w:val="231F20"/>
        </w:rPr>
        <w:t>apreciarse diferencias en cuanto a la eficacia al realizar las actividades en la madrugada en com- paración con los turnos  </w:t>
      </w:r>
      <w:r>
        <w:rPr>
          <w:color w:val="231F20"/>
          <w:spacing w:val="3"/>
        </w:rPr>
        <w:t> </w:t>
      </w:r>
      <w:r>
        <w:rPr>
          <w:color w:val="231F20"/>
          <w:spacing w:val="2"/>
        </w:rPr>
        <w:t>vespertinos.</w:t>
      </w:r>
    </w:p>
    <w:p>
      <w:pPr>
        <w:pStyle w:val="BodyText"/>
        <w:spacing w:before="12"/>
        <w:rPr>
          <w:sz w:val="27"/>
        </w:rPr>
      </w:pPr>
    </w:p>
    <w:p>
      <w:pPr>
        <w:spacing w:line="268" w:lineRule="auto" w:before="0"/>
        <w:ind w:left="1553" w:right="189" w:firstLine="0"/>
        <w:jc w:val="left"/>
        <w:rPr>
          <w:rFonts w:ascii="Cambria" w:hAnsi="Cambria"/>
          <w:i/>
          <w:sz w:val="20"/>
        </w:rPr>
      </w:pPr>
      <w:r>
        <w:rPr>
          <w:rFonts w:ascii="Cambria" w:hAnsi="Cambria"/>
          <w:i/>
          <w:color w:val="231F20"/>
          <w:w w:val="110"/>
          <w:sz w:val="20"/>
        </w:rPr>
        <w:t>Composición del grupo de vacas en </w:t>
      </w:r>
      <w:r>
        <w:rPr>
          <w:rFonts w:ascii="Cambria" w:hAnsi="Cambria"/>
          <w:i/>
          <w:color w:val="231F20"/>
          <w:spacing w:val="2"/>
          <w:w w:val="110"/>
          <w:sz w:val="20"/>
        </w:rPr>
        <w:t>ordeño  </w:t>
      </w:r>
      <w:r>
        <w:rPr>
          <w:rFonts w:ascii="Cambria" w:hAnsi="Cambria"/>
          <w:i/>
          <w:color w:val="231F20"/>
          <w:w w:val="110"/>
          <w:sz w:val="20"/>
        </w:rPr>
        <w:t>y estado de las glándulas </w:t>
      </w:r>
      <w:r>
        <w:rPr>
          <w:rFonts w:ascii="Cambria" w:hAnsi="Cambria"/>
          <w:i/>
          <w:color w:val="231F20"/>
          <w:spacing w:val="28"/>
          <w:w w:val="110"/>
          <w:sz w:val="20"/>
        </w:rPr>
        <w:t> </w:t>
      </w:r>
      <w:r>
        <w:rPr>
          <w:rFonts w:ascii="Cambria" w:hAnsi="Cambria"/>
          <w:i/>
          <w:color w:val="231F20"/>
          <w:w w:val="110"/>
          <w:sz w:val="20"/>
        </w:rPr>
        <w:t>mamarias</w:t>
      </w:r>
    </w:p>
    <w:p>
      <w:pPr>
        <w:pStyle w:val="BodyText"/>
        <w:spacing w:line="256" w:lineRule="auto" w:before="112"/>
        <w:ind w:left="1553"/>
        <w:jc w:val="both"/>
      </w:pPr>
      <w:r>
        <w:rPr>
          <w:color w:val="231F20"/>
        </w:rPr>
        <w:t>Durante la práctica de ordeño de cada vaca se toma una muestra de leche y se procede de inme- diato a determinar el número de células somáti- cas por mililitro, aplicando el o los </w:t>
      </w:r>
      <w:r>
        <w:rPr>
          <w:color w:val="231F20"/>
          <w:spacing w:val="37"/>
        </w:rPr>
        <w:t> </w:t>
      </w:r>
      <w:r>
        <w:rPr>
          <w:color w:val="231F20"/>
        </w:rPr>
        <w:t>procedimientos</w:t>
      </w:r>
    </w:p>
    <w:p>
      <w:pPr>
        <w:pStyle w:val="BodyText"/>
        <w:spacing w:line="256" w:lineRule="auto" w:before="68"/>
        <w:ind w:left="411" w:right="1550"/>
        <w:jc w:val="both"/>
      </w:pPr>
      <w:r>
        <w:rPr/>
        <w:br w:type="column"/>
      </w:r>
      <w:r>
        <w:rPr>
          <w:color w:val="231F20"/>
        </w:rPr>
        <w:t>que el médico veterinario considere  confiables,  por ejemplo la prueba de California para mastitis (CMT), la prueba de Wisconsin  (WMT),  el  con-  teo  microscópico  de  células  somáticas  (CMCS),  el contador electrónico (CE) como el </w:t>
      </w:r>
      <w:r>
        <w:rPr>
          <w:i/>
          <w:color w:val="231F20"/>
        </w:rPr>
        <w:t>Fossmatic</w:t>
      </w:r>
      <w:r>
        <w:rPr>
          <w:color w:val="231F20"/>
        </w:rPr>
        <w:t>, o  el contador infrarrojo como el </w:t>
      </w:r>
      <w:r>
        <w:rPr>
          <w:i/>
          <w:color w:val="231F20"/>
        </w:rPr>
        <w:t>DeLaval Cell Coun- </w:t>
      </w:r>
      <w:r>
        <w:rPr>
          <w:i/>
          <w:color w:val="231F20"/>
        </w:rPr>
        <w:t>ter </w:t>
      </w:r>
      <w:r>
        <w:rPr>
          <w:color w:val="231F20"/>
        </w:rPr>
        <w:t>(DCC). Hay que considerar que las pruebas electrónicas tienen resultados similares al CMCS,    y que las pruebas CMT y WMT tienen baja corre- lación con los métodos electrónicos (Ávila </w:t>
      </w:r>
      <w:r>
        <w:rPr>
          <w:i/>
          <w:color w:val="231F20"/>
        </w:rPr>
        <w:t>et al</w:t>
      </w:r>
      <w:r>
        <w:rPr>
          <w:color w:val="231F20"/>
        </w:rPr>
        <w:t>., 2005).</w:t>
      </w:r>
    </w:p>
    <w:p>
      <w:pPr>
        <w:pStyle w:val="BodyText"/>
        <w:spacing w:line="256" w:lineRule="auto" w:before="113"/>
        <w:ind w:left="411" w:right="1549"/>
        <w:jc w:val="both"/>
      </w:pPr>
      <w:r>
        <w:rPr>
          <w:color w:val="231F20"/>
        </w:rPr>
        <w:t>De identificar una  glándula  con  mastitis  clínica,  si la vaca no ha recibido tratamiento alguno </w:t>
      </w:r>
      <w:r>
        <w:rPr>
          <w:color w:val="231F20"/>
          <w:spacing w:val="2"/>
        </w:rPr>
        <w:t>por </w:t>
      </w:r>
      <w:r>
        <w:rPr>
          <w:color w:val="231F20"/>
        </w:rPr>
        <w:t>ésta o cualquier otra patología, se procede a to- mar una muestra para cultivo y pruebas de sen- sibilidad a antimicrobianos, siguiendo el </w:t>
      </w:r>
      <w:r>
        <w:rPr>
          <w:color w:val="231F20"/>
          <w:spacing w:val="2"/>
        </w:rPr>
        <w:t>método </w:t>
      </w:r>
      <w:r>
        <w:rPr>
          <w:color w:val="231F20"/>
        </w:rPr>
        <w:t>descrito  por  Brown  </w:t>
      </w:r>
      <w:r>
        <w:rPr>
          <w:i/>
          <w:color w:val="231F20"/>
        </w:rPr>
        <w:t>et  al</w:t>
      </w:r>
      <w:r>
        <w:rPr>
          <w:color w:val="231F20"/>
        </w:rPr>
        <w:t>.</w:t>
      </w:r>
      <w:r>
        <w:rPr>
          <w:color w:val="231F20"/>
          <w:spacing w:val="10"/>
        </w:rPr>
        <w:t> </w:t>
      </w:r>
      <w:r>
        <w:rPr>
          <w:color w:val="231F20"/>
        </w:rPr>
        <w:t>(2009).</w:t>
      </w:r>
    </w:p>
    <w:p>
      <w:pPr>
        <w:pStyle w:val="BodyText"/>
        <w:spacing w:line="256" w:lineRule="auto" w:before="113"/>
        <w:ind w:left="411" w:right="1549"/>
        <w:jc w:val="both"/>
      </w:pPr>
      <w:r>
        <w:rPr>
          <w:color w:val="231F20"/>
        </w:rPr>
        <w:t>También se registran las glándulas con escasa producción como resultado de ataques anteriores por mastitis (cortas), así como las improductivas (ciegas).</w:t>
      </w:r>
    </w:p>
    <w:p>
      <w:pPr>
        <w:pStyle w:val="BodyText"/>
        <w:spacing w:line="256" w:lineRule="auto" w:before="113"/>
        <w:ind w:left="411" w:right="1549"/>
        <w:jc w:val="both"/>
      </w:pPr>
      <w:r>
        <w:rPr>
          <w:color w:val="231F20"/>
        </w:rPr>
        <w:t>Al aplicar la prueba de CMT, las abreviaciones empleadas para el registro de información en los cuadros de doble entrada son: AI, glándula ante- rior  izquierda;  AD,  glándula  anterior  derecha; PI,</w:t>
      </w:r>
    </w:p>
    <w:p>
      <w:pPr>
        <w:spacing w:after="0" w:line="256"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34"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7"/>
          <w:sz w:val="22"/>
        </w:rPr>
        <w:t>37</w:t>
      </w:r>
    </w:p>
    <w:p>
      <w:pPr>
        <w:pStyle w:val="BodyText"/>
        <w:spacing w:before="5"/>
        <w:rPr>
          <w:sz w:val="28"/>
        </w:rPr>
      </w:pPr>
      <w:r>
        <w:rPr/>
        <w:drawing>
          <wp:anchor distT="0" distB="0" distL="0" distR="0" allowOverlap="1" layoutInCell="1" locked="0" behindDoc="0" simplePos="0" relativeHeight="1960">
            <wp:simplePos x="0" y="0"/>
            <wp:positionH relativeFrom="page">
              <wp:posOffset>986701</wp:posOffset>
            </wp:positionH>
            <wp:positionV relativeFrom="paragraph">
              <wp:posOffset>253264</wp:posOffset>
            </wp:positionV>
            <wp:extent cx="2626538" cy="1813560"/>
            <wp:effectExtent l="0" t="0" r="0" b="0"/>
            <wp:wrapTopAndBottom/>
            <wp:docPr id="57" name="image45.png" descr=""/>
            <wp:cNvGraphicFramePr>
              <a:graphicFrameLocks noChangeAspect="1"/>
            </wp:cNvGraphicFramePr>
            <a:graphic>
              <a:graphicData uri="http://schemas.openxmlformats.org/drawingml/2006/picture">
                <pic:pic>
                  <pic:nvPicPr>
                    <pic:cNvPr id="58" name="image45.png"/>
                    <pic:cNvPicPr/>
                  </pic:nvPicPr>
                  <pic:blipFill>
                    <a:blip r:embed="rId68" cstate="print"/>
                    <a:stretch>
                      <a:fillRect/>
                    </a:stretch>
                  </pic:blipFill>
                  <pic:spPr>
                    <a:xfrm>
                      <a:off x="0" y="0"/>
                      <a:ext cx="2626538" cy="1813560"/>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3920400</wp:posOffset>
            </wp:positionH>
            <wp:positionV relativeFrom="paragraph">
              <wp:posOffset>244986</wp:posOffset>
            </wp:positionV>
            <wp:extent cx="2667857" cy="1850231"/>
            <wp:effectExtent l="0" t="0" r="0" b="0"/>
            <wp:wrapTopAndBottom/>
            <wp:docPr id="59" name="image46.png" descr=""/>
            <wp:cNvGraphicFramePr>
              <a:graphicFrameLocks noChangeAspect="1"/>
            </wp:cNvGraphicFramePr>
            <a:graphic>
              <a:graphicData uri="http://schemas.openxmlformats.org/drawingml/2006/picture">
                <pic:pic>
                  <pic:nvPicPr>
                    <pic:cNvPr id="60" name="image46.png"/>
                    <pic:cNvPicPr/>
                  </pic:nvPicPr>
                  <pic:blipFill>
                    <a:blip r:embed="rId69" cstate="print"/>
                    <a:stretch>
                      <a:fillRect/>
                    </a:stretch>
                  </pic:blipFill>
                  <pic:spPr>
                    <a:xfrm>
                      <a:off x="0" y="0"/>
                      <a:ext cx="2667857" cy="1850231"/>
                    </a:xfrm>
                    <a:prstGeom prst="rect">
                      <a:avLst/>
                    </a:prstGeom>
                  </pic:spPr>
                </pic:pic>
              </a:graphicData>
            </a:graphic>
          </wp:anchor>
        </w:drawing>
      </w:r>
    </w:p>
    <w:p>
      <w:pPr>
        <w:spacing w:before="92"/>
        <w:ind w:left="3946" w:right="3946" w:firstLine="0"/>
        <w:jc w:val="center"/>
        <w:rPr>
          <w:sz w:val="18"/>
        </w:rPr>
      </w:pPr>
      <w:r>
        <w:rPr>
          <w:color w:val="231F20"/>
          <w:sz w:val="18"/>
        </w:rPr>
        <w:t>Figura 24.   Muestras para realizar la  CMT.</w:t>
      </w:r>
    </w:p>
    <w:p>
      <w:pPr>
        <w:pStyle w:val="BodyText"/>
      </w:pPr>
    </w:p>
    <w:p>
      <w:pPr>
        <w:pStyle w:val="BodyText"/>
      </w:pPr>
    </w:p>
    <w:p>
      <w:pPr>
        <w:pStyle w:val="BodyText"/>
        <w:spacing w:before="12"/>
        <w:rPr>
          <w:sz w:val="21"/>
        </w:rPr>
      </w:pPr>
    </w:p>
    <w:p>
      <w:pPr>
        <w:spacing w:after="0"/>
        <w:rPr>
          <w:sz w:val="21"/>
        </w:rPr>
        <w:sectPr>
          <w:pgSz w:w="11900" w:h="14450"/>
          <w:pgMar w:header="0" w:footer="222" w:top="420" w:bottom="420" w:left="0" w:right="0"/>
        </w:sectPr>
      </w:pPr>
    </w:p>
    <w:p>
      <w:pPr>
        <w:pStyle w:val="BodyText"/>
        <w:spacing w:line="292" w:lineRule="auto" w:before="67"/>
        <w:ind w:left="1553"/>
        <w:jc w:val="both"/>
      </w:pPr>
      <w:r>
        <w:rPr>
          <w:color w:val="231F20"/>
        </w:rPr>
        <w:t>glándula posterior izquierda; y PD, glándula pos- terior  derecha  (Fig. 24).</w:t>
      </w:r>
    </w:p>
    <w:p>
      <w:pPr>
        <w:pStyle w:val="BodyText"/>
        <w:spacing w:line="292" w:lineRule="auto" w:before="141"/>
        <w:ind w:left="1553"/>
        <w:jc w:val="both"/>
      </w:pPr>
      <w:r>
        <w:rPr>
          <w:color w:val="231F20"/>
        </w:rPr>
        <w:t>Para las reacciones a la prueba de CMT, entre pa- réntesis se indica el valor correspondiente para determinar la cuenta total por ubre (CTU): nega-</w:t>
      </w:r>
    </w:p>
    <w:p>
      <w:pPr>
        <w:pStyle w:val="BodyText"/>
        <w:spacing w:line="261" w:lineRule="auto" w:before="67"/>
        <w:ind w:left="413" w:right="1551"/>
        <w:jc w:val="both"/>
      </w:pPr>
      <w:r>
        <w:rPr/>
        <w:br w:type="column"/>
      </w:r>
      <w:r>
        <w:rPr>
          <w:color w:val="231F20"/>
        </w:rPr>
        <w:t>tivas (0), trazas (0,5), uno (1), dos (2), tres (3). También se indica si son muestras alcalinas o áci- das. La suma de los resultados de la CMT de cada glándula proporciona la CTU, información útil para predecir pérdidas en leche con respecto a las va- cas con pruebas CMT negativas (Cuadros 2 y 3).</w:t>
      </w:r>
    </w:p>
    <w:p>
      <w:pPr>
        <w:spacing w:after="0" w:line="261" w:lineRule="auto"/>
        <w:jc w:val="both"/>
        <w:sectPr>
          <w:type w:val="continuous"/>
          <w:pgSz w:w="11900" w:h="14450"/>
          <w:pgMar w:top="420" w:bottom="420" w:left="0" w:right="0"/>
          <w:cols w:num="2" w:equalWidth="0">
            <w:col w:w="5721" w:space="40"/>
            <w:col w:w="6139"/>
          </w:cols>
        </w:sectPr>
      </w:pPr>
    </w:p>
    <w:p>
      <w:pPr>
        <w:pStyle w:val="BodyText"/>
      </w:pPr>
    </w:p>
    <w:p>
      <w:pPr>
        <w:pStyle w:val="BodyText"/>
        <w:spacing w:before="5"/>
        <w:rPr>
          <w:sz w:val="17"/>
        </w:rPr>
      </w:pPr>
    </w:p>
    <w:p>
      <w:pPr>
        <w:spacing w:before="0"/>
        <w:ind w:left="1553" w:right="0" w:firstLine="0"/>
        <w:jc w:val="left"/>
        <w:rPr>
          <w:sz w:val="18"/>
        </w:rPr>
      </w:pPr>
      <w:r>
        <w:rPr>
          <w:color w:val="231F20"/>
          <w:sz w:val="18"/>
        </w:rPr>
        <w:t>Cuadro 2.  Control de la producción de leche y de la condición de la ubre, en vacas entre 7 y 40 días en leche.</w:t>
      </w:r>
    </w:p>
    <w:p>
      <w:pPr>
        <w:pStyle w:val="BodyText"/>
        <w:spacing w:before="1"/>
        <w:rPr>
          <w:sz w:val="10"/>
        </w:rPr>
      </w:pPr>
      <w:r>
        <w:rPr/>
        <w:pict>
          <v:group style="position:absolute;margin-left:77.442902pt;margin-top:8.107104pt;width:439.9pt;height:.5pt;mso-position-horizontal-relative:page;mso-position-vertical-relative:paragraph;z-index:2008;mso-wrap-distance-left:0;mso-wrap-distance-right:0" coordorigin="1549,162" coordsize="8798,10">
            <v:line style="position:absolute" from="1554,167" to="2149,167" stroked="true" strokeweight=".5pt" strokecolor="#231f20"/>
            <v:line style="position:absolute" from="2149,167" to="2687,167" stroked="true" strokeweight=".5pt" strokecolor="#231f20"/>
            <v:line style="position:absolute" from="2687,167" to="3355,167" stroked="true" strokeweight=".5pt" strokecolor="#231f20"/>
            <v:line style="position:absolute" from="3355,167" to="4023,167" stroked="true" strokeweight=".5pt" strokecolor="#231f20"/>
            <v:line style="position:absolute" from="4023,167" to="4692,167" stroked="true" strokeweight=".5pt" strokecolor="#231f20"/>
            <v:line style="position:absolute" from="4692,167" to="5360,167" stroked="true" strokeweight=".5pt" strokecolor="#231f20"/>
            <v:line style="position:absolute" from="5360,167" to="5985,167" stroked="true" strokeweight=".5pt" strokecolor="#231f20"/>
            <v:line style="position:absolute" from="5985,167" to="6698,167" stroked="true" strokeweight=".5pt" strokecolor="#231f20"/>
            <v:line style="position:absolute" from="6698,167" to="7367,167" stroked="true" strokeweight=".5pt" strokecolor="#231f20"/>
            <v:line style="position:absolute" from="7367,167" to="7776,167" stroked="true" strokeweight=".5pt" strokecolor="#231f20"/>
            <v:line style="position:absolute" from="7776,167" to="8216,167" stroked="true" strokeweight=".5pt" strokecolor="#231f20"/>
            <v:line style="position:absolute" from="8216,167" to="8625,167" stroked="true" strokeweight=".5pt" strokecolor="#231f20"/>
            <v:line style="position:absolute" from="8625,167" to="9164,167" stroked="true" strokeweight=".5pt" strokecolor="#231f20"/>
            <v:line style="position:absolute" from="9164,167" to="9703,167" stroked="true" strokeweight=".5pt" strokecolor="#231f20"/>
            <v:line style="position:absolute" from="9703,167" to="10341,167" stroked="true" strokeweight=".5pt" strokecolor="#231f20"/>
            <w10:wrap type="topAndBottom"/>
          </v:group>
        </w:pict>
      </w:r>
    </w:p>
    <w:p>
      <w:pPr>
        <w:tabs>
          <w:tab w:pos="5765" w:val="left" w:leader="none"/>
        </w:tabs>
        <w:spacing w:before="50"/>
        <w:ind w:left="1667" w:right="2503" w:firstLine="0"/>
        <w:jc w:val="left"/>
        <w:rPr>
          <w:rFonts w:ascii="Cambria"/>
          <w:i/>
          <w:sz w:val="18"/>
        </w:rPr>
      </w:pPr>
      <w:r>
        <w:rPr>
          <w:rFonts w:ascii="Cambria"/>
          <w:i/>
          <w:color w:val="231F20"/>
          <w:w w:val="105"/>
          <w:sz w:val="18"/>
        </w:rPr>
        <w:t>Nombre del</w:t>
      </w:r>
      <w:r>
        <w:rPr>
          <w:rFonts w:ascii="Cambria"/>
          <w:i/>
          <w:color w:val="231F20"/>
          <w:spacing w:val="35"/>
          <w:w w:val="105"/>
          <w:sz w:val="18"/>
        </w:rPr>
        <w:t> </w:t>
      </w:r>
      <w:r>
        <w:rPr>
          <w:rFonts w:ascii="Cambria"/>
          <w:i/>
          <w:color w:val="231F20"/>
          <w:w w:val="105"/>
          <w:sz w:val="18"/>
        </w:rPr>
        <w:t>propietario:</w:t>
      </w:r>
      <w:r>
        <w:rPr>
          <w:rFonts w:ascii="Cambria"/>
          <w:i/>
          <w:color w:val="231F20"/>
          <w:w w:val="132"/>
          <w:sz w:val="18"/>
          <w:u w:val="single" w:color="221E1F"/>
        </w:rPr>
        <w:t> </w:t>
      </w:r>
      <w:r>
        <w:rPr>
          <w:rFonts w:ascii="Cambria"/>
          <w:i/>
          <w:color w:val="231F20"/>
          <w:sz w:val="18"/>
          <w:u w:val="single" w:color="221E1F"/>
        </w:rPr>
        <w:tab/>
      </w:r>
    </w:p>
    <w:p>
      <w:pPr>
        <w:pStyle w:val="BodyText"/>
        <w:spacing w:before="9"/>
        <w:rPr>
          <w:rFonts w:ascii="Cambria"/>
          <w:i/>
          <w:sz w:val="13"/>
        </w:rPr>
      </w:pPr>
    </w:p>
    <w:p>
      <w:pPr>
        <w:tabs>
          <w:tab w:pos="4715" w:val="left" w:leader="none"/>
          <w:tab w:pos="6118" w:val="left" w:leader="none"/>
        </w:tabs>
        <w:spacing w:before="1"/>
        <w:ind w:left="1667" w:right="2503" w:firstLine="0"/>
        <w:jc w:val="left"/>
        <w:rPr>
          <w:rFonts w:ascii="Cambria" w:hAnsi="Cambria"/>
          <w:i/>
          <w:sz w:val="18"/>
        </w:rPr>
      </w:pPr>
      <w:r>
        <w:rPr>
          <w:rFonts w:ascii="Cambria" w:hAnsi="Cambria"/>
          <w:i/>
          <w:color w:val="231F20"/>
          <w:w w:val="105"/>
          <w:sz w:val="18"/>
        </w:rPr>
        <w:t>Dirección:</w:t>
      </w:r>
      <w:r>
        <w:rPr>
          <w:rFonts w:ascii="Cambria" w:hAnsi="Cambria"/>
          <w:i/>
          <w:color w:val="231F20"/>
          <w:w w:val="105"/>
          <w:sz w:val="18"/>
          <w:u w:val="single" w:color="221E1F"/>
        </w:rPr>
        <w:tab/>
      </w:r>
      <w:r>
        <w:rPr>
          <w:rFonts w:ascii="Cambria" w:hAnsi="Cambria"/>
          <w:i/>
          <w:color w:val="231F20"/>
          <w:spacing w:val="-4"/>
          <w:w w:val="105"/>
          <w:sz w:val="18"/>
        </w:rPr>
        <w:t>Tel:</w:t>
      </w:r>
      <w:r>
        <w:rPr>
          <w:rFonts w:ascii="Cambria" w:hAnsi="Cambria"/>
          <w:i/>
          <w:color w:val="231F20"/>
          <w:spacing w:val="-4"/>
          <w:w w:val="132"/>
          <w:sz w:val="18"/>
          <w:u w:val="single" w:color="221E1F"/>
        </w:rPr>
        <w:t> </w:t>
      </w:r>
      <w:r>
        <w:rPr>
          <w:rFonts w:ascii="Cambria" w:hAnsi="Cambria"/>
          <w:i/>
          <w:color w:val="231F20"/>
          <w:spacing w:val="-4"/>
          <w:sz w:val="18"/>
          <w:u w:val="single" w:color="221E1F"/>
        </w:rPr>
        <w:tab/>
      </w:r>
    </w:p>
    <w:p>
      <w:pPr>
        <w:pStyle w:val="BodyText"/>
        <w:spacing w:before="9"/>
        <w:rPr>
          <w:rFonts w:ascii="Cambria"/>
          <w:i/>
          <w:sz w:val="13"/>
        </w:rPr>
      </w:pPr>
    </w:p>
    <w:p>
      <w:pPr>
        <w:tabs>
          <w:tab w:pos="3268" w:val="left" w:leader="none"/>
          <w:tab w:pos="5124" w:val="left" w:leader="none"/>
          <w:tab w:pos="7944" w:val="left" w:leader="none"/>
        </w:tabs>
        <w:spacing w:before="1"/>
        <w:ind w:left="1667" w:right="2503" w:firstLine="0"/>
        <w:jc w:val="left"/>
        <w:rPr>
          <w:rFonts w:ascii="Cambria"/>
          <w:i/>
          <w:sz w:val="18"/>
        </w:rPr>
      </w:pPr>
      <w:r>
        <w:rPr>
          <w:rFonts w:ascii="Cambria"/>
          <w:i/>
          <w:color w:val="231F20"/>
          <w:w w:val="110"/>
          <w:sz w:val="18"/>
        </w:rPr>
        <w:t>Fecha:</w:t>
      </w:r>
      <w:r>
        <w:rPr>
          <w:rFonts w:ascii="Cambria"/>
          <w:i/>
          <w:color w:val="231F20"/>
          <w:w w:val="110"/>
          <w:sz w:val="18"/>
          <w:u w:val="single" w:color="221E1F"/>
        </w:rPr>
        <w:tab/>
      </w:r>
      <w:r>
        <w:rPr>
          <w:rFonts w:ascii="Cambria"/>
          <w:i/>
          <w:color w:val="231F20"/>
          <w:w w:val="110"/>
          <w:sz w:val="18"/>
        </w:rPr>
        <w:t>No.</w:t>
      </w:r>
      <w:r>
        <w:rPr>
          <w:rFonts w:ascii="Cambria"/>
          <w:i/>
          <w:color w:val="231F20"/>
          <w:spacing w:val="6"/>
          <w:w w:val="110"/>
          <w:sz w:val="18"/>
        </w:rPr>
        <w:t> </w:t>
      </w:r>
      <w:r>
        <w:rPr>
          <w:rFonts w:ascii="Cambria"/>
          <w:i/>
          <w:color w:val="231F20"/>
          <w:w w:val="110"/>
          <w:sz w:val="18"/>
        </w:rPr>
        <w:t>de</w:t>
      </w:r>
      <w:r>
        <w:rPr>
          <w:rFonts w:ascii="Cambria"/>
          <w:i/>
          <w:color w:val="231F20"/>
          <w:spacing w:val="6"/>
          <w:w w:val="110"/>
          <w:sz w:val="18"/>
        </w:rPr>
        <w:t> </w:t>
      </w:r>
      <w:r>
        <w:rPr>
          <w:rFonts w:ascii="Cambria"/>
          <w:i/>
          <w:color w:val="231F20"/>
          <w:w w:val="110"/>
          <w:sz w:val="18"/>
        </w:rPr>
        <w:t>vacas:</w:t>
      </w:r>
      <w:r>
        <w:rPr>
          <w:rFonts w:ascii="Cambria"/>
          <w:i/>
          <w:color w:val="231F20"/>
          <w:w w:val="110"/>
          <w:sz w:val="18"/>
          <w:u w:val="single" w:color="221E1F"/>
        </w:rPr>
        <w:tab/>
      </w:r>
      <w:r>
        <w:rPr>
          <w:rFonts w:ascii="Cambria"/>
          <w:i/>
          <w:color w:val="231F20"/>
          <w:w w:val="110"/>
          <w:sz w:val="18"/>
        </w:rPr>
        <w:t>Nombre del</w:t>
      </w:r>
      <w:r>
        <w:rPr>
          <w:rFonts w:ascii="Cambria"/>
          <w:i/>
          <w:color w:val="231F20"/>
          <w:spacing w:val="13"/>
          <w:w w:val="110"/>
          <w:sz w:val="18"/>
        </w:rPr>
        <w:t> </w:t>
      </w:r>
      <w:r>
        <w:rPr>
          <w:rFonts w:ascii="Cambria"/>
          <w:i/>
          <w:color w:val="231F20"/>
          <w:w w:val="110"/>
          <w:sz w:val="18"/>
        </w:rPr>
        <w:t>hato:</w:t>
      </w:r>
      <w:r>
        <w:rPr>
          <w:rFonts w:ascii="Cambria"/>
          <w:i/>
          <w:color w:val="231F20"/>
          <w:w w:val="132"/>
          <w:sz w:val="18"/>
          <w:u w:val="single" w:color="221E1F"/>
        </w:rPr>
        <w:t> </w:t>
      </w:r>
      <w:r>
        <w:rPr>
          <w:rFonts w:ascii="Cambria"/>
          <w:i/>
          <w:color w:val="231F20"/>
          <w:sz w:val="18"/>
          <w:u w:val="single" w:color="221E1F"/>
        </w:rPr>
        <w:tab/>
      </w:r>
    </w:p>
    <w:p>
      <w:pPr>
        <w:pStyle w:val="BodyText"/>
        <w:rPr>
          <w:rFonts w:ascii="Cambria"/>
          <w:i/>
          <w:sz w:val="2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595"/>
        <w:gridCol w:w="538"/>
        <w:gridCol w:w="668"/>
        <w:gridCol w:w="668"/>
        <w:gridCol w:w="669"/>
        <w:gridCol w:w="668"/>
        <w:gridCol w:w="625"/>
        <w:gridCol w:w="713"/>
        <w:gridCol w:w="669"/>
        <w:gridCol w:w="409"/>
        <w:gridCol w:w="440"/>
        <w:gridCol w:w="409"/>
        <w:gridCol w:w="539"/>
        <w:gridCol w:w="539"/>
        <w:gridCol w:w="638"/>
      </w:tblGrid>
      <w:tr>
        <w:trPr>
          <w:trHeight w:val="354" w:hRule="exact"/>
        </w:trPr>
        <w:tc>
          <w:tcPr>
            <w:tcW w:w="595" w:type="dxa"/>
            <w:vMerge w:val="restart"/>
            <w:tcBorders>
              <w:left w:val="nil"/>
            </w:tcBorders>
          </w:tcPr>
          <w:p>
            <w:pPr>
              <w:pStyle w:val="TableParagraph"/>
              <w:spacing w:before="4"/>
              <w:rPr>
                <w:rFonts w:ascii="Cambria"/>
                <w:i/>
                <w:sz w:val="21"/>
              </w:rPr>
            </w:pPr>
          </w:p>
          <w:p>
            <w:pPr>
              <w:pStyle w:val="TableParagraph"/>
              <w:spacing w:before="0"/>
              <w:ind w:left="113"/>
              <w:rPr>
                <w:sz w:val="17"/>
              </w:rPr>
            </w:pPr>
            <w:r>
              <w:rPr>
                <w:color w:val="231F20"/>
                <w:sz w:val="17"/>
              </w:rPr>
              <w:t>Vaca</w:t>
            </w:r>
          </w:p>
        </w:tc>
        <w:tc>
          <w:tcPr>
            <w:tcW w:w="538" w:type="dxa"/>
            <w:vMerge w:val="restart"/>
          </w:tcPr>
          <w:p>
            <w:pPr>
              <w:pStyle w:val="TableParagraph"/>
              <w:spacing w:line="386" w:lineRule="auto" w:before="84"/>
              <w:ind w:left="108" w:right="157"/>
              <w:rPr>
                <w:sz w:val="17"/>
              </w:rPr>
            </w:pPr>
            <w:r>
              <w:rPr>
                <w:color w:val="231F20"/>
                <w:sz w:val="17"/>
              </w:rPr>
              <w:t>Lac No.</w:t>
            </w:r>
          </w:p>
        </w:tc>
        <w:tc>
          <w:tcPr>
            <w:tcW w:w="668" w:type="dxa"/>
            <w:vMerge w:val="restart"/>
          </w:tcPr>
          <w:p>
            <w:pPr>
              <w:pStyle w:val="TableParagraph"/>
              <w:spacing w:line="386" w:lineRule="auto" w:before="84"/>
              <w:ind w:left="108"/>
              <w:rPr>
                <w:sz w:val="17"/>
              </w:rPr>
            </w:pPr>
            <w:r>
              <w:rPr>
                <w:color w:val="231F20"/>
                <w:sz w:val="17"/>
              </w:rPr>
              <w:t>DMA FPART</w:t>
            </w:r>
          </w:p>
        </w:tc>
        <w:tc>
          <w:tcPr>
            <w:tcW w:w="668" w:type="dxa"/>
            <w:vMerge w:val="restart"/>
          </w:tcPr>
          <w:p>
            <w:pPr>
              <w:pStyle w:val="TableParagraph"/>
              <w:spacing w:line="386" w:lineRule="auto" w:before="84"/>
              <w:ind w:left="108" w:right="181"/>
              <w:rPr>
                <w:sz w:val="17"/>
              </w:rPr>
            </w:pPr>
            <w:r>
              <w:rPr>
                <w:color w:val="231F20"/>
                <w:sz w:val="17"/>
              </w:rPr>
              <w:t>DMA FUIA</w:t>
            </w:r>
          </w:p>
        </w:tc>
        <w:tc>
          <w:tcPr>
            <w:tcW w:w="669" w:type="dxa"/>
            <w:vMerge w:val="restart"/>
          </w:tcPr>
          <w:p>
            <w:pPr>
              <w:pStyle w:val="TableParagraph"/>
              <w:spacing w:line="386" w:lineRule="auto" w:before="84"/>
              <w:ind w:left="108" w:right="182"/>
              <w:rPr>
                <w:sz w:val="17"/>
              </w:rPr>
            </w:pPr>
            <w:r>
              <w:rPr>
                <w:color w:val="231F20"/>
                <w:sz w:val="17"/>
              </w:rPr>
              <w:t>DMA </w:t>
            </w:r>
            <w:r>
              <w:rPr>
                <w:color w:val="231F20"/>
                <w:w w:val="105"/>
                <w:sz w:val="17"/>
              </w:rPr>
              <w:t>FDG</w:t>
            </w:r>
          </w:p>
        </w:tc>
        <w:tc>
          <w:tcPr>
            <w:tcW w:w="668" w:type="dxa"/>
            <w:vMerge w:val="restart"/>
          </w:tcPr>
          <w:p>
            <w:pPr>
              <w:pStyle w:val="TableParagraph"/>
              <w:spacing w:line="386" w:lineRule="auto" w:before="84"/>
              <w:ind w:left="108" w:right="181"/>
              <w:rPr>
                <w:sz w:val="17"/>
              </w:rPr>
            </w:pPr>
            <w:r>
              <w:rPr>
                <w:color w:val="231F20"/>
                <w:sz w:val="17"/>
              </w:rPr>
              <w:t>DMA FPP</w:t>
            </w:r>
          </w:p>
        </w:tc>
        <w:tc>
          <w:tcPr>
            <w:tcW w:w="625" w:type="dxa"/>
            <w:vMerge w:val="restart"/>
          </w:tcPr>
          <w:p>
            <w:pPr>
              <w:pStyle w:val="TableParagraph"/>
              <w:spacing w:line="386" w:lineRule="auto" w:before="84"/>
              <w:ind w:left="108" w:right="138"/>
              <w:rPr>
                <w:sz w:val="17"/>
              </w:rPr>
            </w:pPr>
            <w:r>
              <w:rPr>
                <w:color w:val="231F20"/>
                <w:sz w:val="17"/>
              </w:rPr>
              <w:t>DMA </w:t>
            </w:r>
            <w:r>
              <w:rPr>
                <w:color w:val="231F20"/>
                <w:w w:val="105"/>
                <w:sz w:val="17"/>
              </w:rPr>
              <w:t>FSEC</w:t>
            </w:r>
          </w:p>
        </w:tc>
        <w:tc>
          <w:tcPr>
            <w:tcW w:w="713" w:type="dxa"/>
            <w:vMerge w:val="restart"/>
          </w:tcPr>
          <w:p>
            <w:pPr>
              <w:pStyle w:val="TableParagraph"/>
              <w:spacing w:line="386" w:lineRule="auto" w:before="84"/>
              <w:ind w:left="108" w:right="153"/>
              <w:rPr>
                <w:sz w:val="17"/>
              </w:rPr>
            </w:pPr>
            <w:r>
              <w:rPr>
                <w:color w:val="231F20"/>
                <w:w w:val="105"/>
                <w:sz w:val="17"/>
              </w:rPr>
              <w:t>Leche TDO</w:t>
            </w:r>
          </w:p>
        </w:tc>
        <w:tc>
          <w:tcPr>
            <w:tcW w:w="669" w:type="dxa"/>
            <w:vMerge w:val="restart"/>
          </w:tcPr>
          <w:p>
            <w:pPr>
              <w:pStyle w:val="TableParagraph"/>
              <w:spacing w:line="386" w:lineRule="auto" w:before="84"/>
              <w:ind w:left="108" w:right="109"/>
              <w:rPr>
                <w:sz w:val="17"/>
              </w:rPr>
            </w:pPr>
            <w:r>
              <w:rPr>
                <w:color w:val="231F20"/>
                <w:w w:val="105"/>
                <w:sz w:val="17"/>
              </w:rPr>
              <w:t>Leche Kg</w:t>
            </w:r>
          </w:p>
        </w:tc>
        <w:tc>
          <w:tcPr>
            <w:tcW w:w="2336" w:type="dxa"/>
            <w:gridSpan w:val="5"/>
          </w:tcPr>
          <w:p>
            <w:pPr>
              <w:pStyle w:val="TableParagraph"/>
              <w:ind w:left="983" w:right="983"/>
              <w:jc w:val="center"/>
              <w:rPr>
                <w:sz w:val="17"/>
              </w:rPr>
            </w:pPr>
            <w:r>
              <w:rPr>
                <w:color w:val="231F20"/>
                <w:sz w:val="17"/>
              </w:rPr>
              <w:t>CMT</w:t>
            </w:r>
          </w:p>
        </w:tc>
        <w:tc>
          <w:tcPr>
            <w:tcW w:w="638" w:type="dxa"/>
            <w:vMerge w:val="restart"/>
            <w:tcBorders>
              <w:right w:val="nil"/>
            </w:tcBorders>
          </w:tcPr>
          <w:p>
            <w:pPr>
              <w:pStyle w:val="TableParagraph"/>
              <w:spacing w:before="4"/>
              <w:rPr>
                <w:rFonts w:ascii="Cambria"/>
                <w:i/>
                <w:sz w:val="21"/>
              </w:rPr>
            </w:pPr>
          </w:p>
          <w:p>
            <w:pPr>
              <w:pStyle w:val="TableParagraph"/>
              <w:spacing w:before="0"/>
              <w:ind w:left="108"/>
              <w:rPr>
                <w:sz w:val="17"/>
              </w:rPr>
            </w:pPr>
            <w:r>
              <w:rPr>
                <w:color w:val="231F20"/>
                <w:sz w:val="17"/>
              </w:rPr>
              <w:t>Notas</w:t>
            </w:r>
          </w:p>
        </w:tc>
      </w:tr>
      <w:tr>
        <w:trPr>
          <w:trHeight w:val="354" w:hRule="exact"/>
        </w:trPr>
        <w:tc>
          <w:tcPr>
            <w:tcW w:w="595" w:type="dxa"/>
            <w:vMerge/>
            <w:tcBorders>
              <w:left w:val="nil"/>
            </w:tcBorders>
          </w:tcPr>
          <w:p>
            <w:pPr/>
          </w:p>
        </w:tc>
        <w:tc>
          <w:tcPr>
            <w:tcW w:w="538" w:type="dxa"/>
            <w:vMerge/>
          </w:tcPr>
          <w:p>
            <w:pPr/>
          </w:p>
        </w:tc>
        <w:tc>
          <w:tcPr>
            <w:tcW w:w="668" w:type="dxa"/>
            <w:vMerge/>
          </w:tcPr>
          <w:p>
            <w:pPr/>
          </w:p>
        </w:tc>
        <w:tc>
          <w:tcPr>
            <w:tcW w:w="668" w:type="dxa"/>
            <w:vMerge/>
          </w:tcPr>
          <w:p>
            <w:pPr/>
          </w:p>
        </w:tc>
        <w:tc>
          <w:tcPr>
            <w:tcW w:w="669" w:type="dxa"/>
            <w:vMerge/>
          </w:tcPr>
          <w:p>
            <w:pPr/>
          </w:p>
        </w:tc>
        <w:tc>
          <w:tcPr>
            <w:tcW w:w="668" w:type="dxa"/>
            <w:vMerge/>
          </w:tcPr>
          <w:p>
            <w:pPr/>
          </w:p>
        </w:tc>
        <w:tc>
          <w:tcPr>
            <w:tcW w:w="625" w:type="dxa"/>
            <w:vMerge/>
          </w:tcPr>
          <w:p>
            <w:pPr/>
          </w:p>
        </w:tc>
        <w:tc>
          <w:tcPr>
            <w:tcW w:w="713" w:type="dxa"/>
            <w:vMerge/>
          </w:tcPr>
          <w:p>
            <w:pPr/>
          </w:p>
        </w:tc>
        <w:tc>
          <w:tcPr>
            <w:tcW w:w="669" w:type="dxa"/>
            <w:vMerge/>
          </w:tcPr>
          <w:p>
            <w:pPr/>
          </w:p>
        </w:tc>
        <w:tc>
          <w:tcPr>
            <w:tcW w:w="409" w:type="dxa"/>
          </w:tcPr>
          <w:p>
            <w:pPr>
              <w:pStyle w:val="TableParagraph"/>
              <w:ind w:left="108"/>
              <w:rPr>
                <w:sz w:val="17"/>
              </w:rPr>
            </w:pPr>
            <w:r>
              <w:rPr>
                <w:color w:val="231F20"/>
                <w:sz w:val="17"/>
              </w:rPr>
              <w:t>AI</w:t>
            </w:r>
          </w:p>
        </w:tc>
        <w:tc>
          <w:tcPr>
            <w:tcW w:w="440" w:type="dxa"/>
          </w:tcPr>
          <w:p>
            <w:pPr>
              <w:pStyle w:val="TableParagraph"/>
              <w:ind w:left="108"/>
              <w:rPr>
                <w:sz w:val="17"/>
              </w:rPr>
            </w:pPr>
            <w:r>
              <w:rPr>
                <w:color w:val="231F20"/>
                <w:w w:val="105"/>
                <w:sz w:val="17"/>
              </w:rPr>
              <w:t>AD</w:t>
            </w:r>
          </w:p>
        </w:tc>
        <w:tc>
          <w:tcPr>
            <w:tcW w:w="409" w:type="dxa"/>
          </w:tcPr>
          <w:p>
            <w:pPr>
              <w:pStyle w:val="TableParagraph"/>
              <w:ind w:left="108"/>
              <w:rPr>
                <w:sz w:val="17"/>
              </w:rPr>
            </w:pPr>
            <w:r>
              <w:rPr>
                <w:color w:val="231F20"/>
                <w:sz w:val="17"/>
              </w:rPr>
              <w:t>PI</w:t>
            </w:r>
          </w:p>
        </w:tc>
        <w:tc>
          <w:tcPr>
            <w:tcW w:w="539" w:type="dxa"/>
          </w:tcPr>
          <w:p>
            <w:pPr>
              <w:pStyle w:val="TableParagraph"/>
              <w:ind w:left="108"/>
              <w:rPr>
                <w:sz w:val="17"/>
              </w:rPr>
            </w:pPr>
            <w:r>
              <w:rPr>
                <w:color w:val="231F20"/>
                <w:w w:val="110"/>
                <w:sz w:val="17"/>
              </w:rPr>
              <w:t>PD</w:t>
            </w:r>
          </w:p>
        </w:tc>
        <w:tc>
          <w:tcPr>
            <w:tcW w:w="539" w:type="dxa"/>
          </w:tcPr>
          <w:p>
            <w:pPr>
              <w:pStyle w:val="TableParagraph"/>
              <w:ind w:left="108"/>
              <w:rPr>
                <w:sz w:val="17"/>
              </w:rPr>
            </w:pPr>
            <w:r>
              <w:rPr>
                <w:color w:val="231F20"/>
                <w:w w:val="105"/>
                <w:sz w:val="17"/>
              </w:rPr>
              <w:t>CTU</w:t>
            </w:r>
          </w:p>
        </w:tc>
        <w:tc>
          <w:tcPr>
            <w:tcW w:w="638" w:type="dxa"/>
            <w:vMerge/>
            <w:tcBorders>
              <w:right w:val="nil"/>
            </w:tcBorders>
          </w:tcPr>
          <w:p>
            <w:pPr/>
          </w:p>
        </w:tc>
      </w:tr>
      <w:tr>
        <w:trPr>
          <w:trHeight w:val="347" w:hRule="exact"/>
        </w:trPr>
        <w:tc>
          <w:tcPr>
            <w:tcW w:w="595" w:type="dxa"/>
            <w:tcBorders>
              <w:left w:val="nil"/>
            </w:tcBorders>
          </w:tcPr>
          <w:p>
            <w:pPr/>
          </w:p>
        </w:tc>
        <w:tc>
          <w:tcPr>
            <w:tcW w:w="538" w:type="dxa"/>
          </w:tcPr>
          <w:p>
            <w:pPr/>
          </w:p>
        </w:tc>
        <w:tc>
          <w:tcPr>
            <w:tcW w:w="668" w:type="dxa"/>
          </w:tcPr>
          <w:p>
            <w:pPr/>
          </w:p>
        </w:tc>
        <w:tc>
          <w:tcPr>
            <w:tcW w:w="668" w:type="dxa"/>
          </w:tcPr>
          <w:p>
            <w:pPr/>
          </w:p>
        </w:tc>
        <w:tc>
          <w:tcPr>
            <w:tcW w:w="669" w:type="dxa"/>
          </w:tcPr>
          <w:p>
            <w:pPr/>
          </w:p>
        </w:tc>
        <w:tc>
          <w:tcPr>
            <w:tcW w:w="668" w:type="dxa"/>
          </w:tcPr>
          <w:p>
            <w:pPr/>
          </w:p>
        </w:tc>
        <w:tc>
          <w:tcPr>
            <w:tcW w:w="625" w:type="dxa"/>
          </w:tcPr>
          <w:p>
            <w:pPr/>
          </w:p>
        </w:tc>
        <w:tc>
          <w:tcPr>
            <w:tcW w:w="713" w:type="dxa"/>
          </w:tcPr>
          <w:p>
            <w:pPr/>
          </w:p>
        </w:tc>
        <w:tc>
          <w:tcPr>
            <w:tcW w:w="669" w:type="dxa"/>
          </w:tcPr>
          <w:p>
            <w:pPr/>
          </w:p>
        </w:tc>
        <w:tc>
          <w:tcPr>
            <w:tcW w:w="409" w:type="dxa"/>
          </w:tcPr>
          <w:p>
            <w:pPr/>
          </w:p>
        </w:tc>
        <w:tc>
          <w:tcPr>
            <w:tcW w:w="440" w:type="dxa"/>
          </w:tcPr>
          <w:p>
            <w:pPr/>
          </w:p>
        </w:tc>
        <w:tc>
          <w:tcPr>
            <w:tcW w:w="409" w:type="dxa"/>
          </w:tcPr>
          <w:p>
            <w:pPr/>
          </w:p>
        </w:tc>
        <w:tc>
          <w:tcPr>
            <w:tcW w:w="539" w:type="dxa"/>
          </w:tcPr>
          <w:p>
            <w:pPr/>
          </w:p>
        </w:tc>
        <w:tc>
          <w:tcPr>
            <w:tcW w:w="539" w:type="dxa"/>
          </w:tcPr>
          <w:p>
            <w:pPr/>
          </w:p>
        </w:tc>
        <w:tc>
          <w:tcPr>
            <w:tcW w:w="638" w:type="dxa"/>
            <w:tcBorders>
              <w:right w:val="nil"/>
            </w:tcBorders>
          </w:tcPr>
          <w:p>
            <w:pPr/>
          </w:p>
        </w:tc>
      </w:tr>
      <w:tr>
        <w:trPr>
          <w:trHeight w:val="281" w:hRule="exact"/>
        </w:trPr>
        <w:tc>
          <w:tcPr>
            <w:tcW w:w="595" w:type="dxa"/>
            <w:tcBorders>
              <w:left w:val="nil"/>
            </w:tcBorders>
          </w:tcPr>
          <w:p>
            <w:pPr/>
          </w:p>
        </w:tc>
        <w:tc>
          <w:tcPr>
            <w:tcW w:w="538" w:type="dxa"/>
          </w:tcPr>
          <w:p>
            <w:pPr/>
          </w:p>
        </w:tc>
        <w:tc>
          <w:tcPr>
            <w:tcW w:w="668" w:type="dxa"/>
          </w:tcPr>
          <w:p>
            <w:pPr/>
          </w:p>
        </w:tc>
        <w:tc>
          <w:tcPr>
            <w:tcW w:w="668" w:type="dxa"/>
          </w:tcPr>
          <w:p>
            <w:pPr/>
          </w:p>
        </w:tc>
        <w:tc>
          <w:tcPr>
            <w:tcW w:w="669" w:type="dxa"/>
          </w:tcPr>
          <w:p>
            <w:pPr/>
          </w:p>
        </w:tc>
        <w:tc>
          <w:tcPr>
            <w:tcW w:w="668" w:type="dxa"/>
          </w:tcPr>
          <w:p>
            <w:pPr/>
          </w:p>
        </w:tc>
        <w:tc>
          <w:tcPr>
            <w:tcW w:w="625" w:type="dxa"/>
          </w:tcPr>
          <w:p>
            <w:pPr/>
          </w:p>
        </w:tc>
        <w:tc>
          <w:tcPr>
            <w:tcW w:w="713" w:type="dxa"/>
          </w:tcPr>
          <w:p>
            <w:pPr/>
          </w:p>
        </w:tc>
        <w:tc>
          <w:tcPr>
            <w:tcW w:w="669" w:type="dxa"/>
          </w:tcPr>
          <w:p>
            <w:pPr/>
          </w:p>
        </w:tc>
        <w:tc>
          <w:tcPr>
            <w:tcW w:w="409" w:type="dxa"/>
          </w:tcPr>
          <w:p>
            <w:pPr/>
          </w:p>
        </w:tc>
        <w:tc>
          <w:tcPr>
            <w:tcW w:w="440" w:type="dxa"/>
          </w:tcPr>
          <w:p>
            <w:pPr/>
          </w:p>
        </w:tc>
        <w:tc>
          <w:tcPr>
            <w:tcW w:w="409" w:type="dxa"/>
          </w:tcPr>
          <w:p>
            <w:pPr/>
          </w:p>
        </w:tc>
        <w:tc>
          <w:tcPr>
            <w:tcW w:w="539" w:type="dxa"/>
          </w:tcPr>
          <w:p>
            <w:pPr/>
          </w:p>
        </w:tc>
        <w:tc>
          <w:tcPr>
            <w:tcW w:w="539" w:type="dxa"/>
          </w:tcPr>
          <w:p>
            <w:pPr/>
          </w:p>
        </w:tc>
        <w:tc>
          <w:tcPr>
            <w:tcW w:w="638" w:type="dxa"/>
            <w:tcBorders>
              <w:right w:val="nil"/>
            </w:tcBorders>
          </w:tcPr>
          <w:p>
            <w:pPr/>
          </w:p>
        </w:tc>
      </w:tr>
      <w:tr>
        <w:trPr>
          <w:trHeight w:val="286" w:hRule="exact"/>
        </w:trPr>
        <w:tc>
          <w:tcPr>
            <w:tcW w:w="595" w:type="dxa"/>
            <w:tcBorders>
              <w:left w:val="nil"/>
            </w:tcBorders>
          </w:tcPr>
          <w:p>
            <w:pPr/>
          </w:p>
        </w:tc>
        <w:tc>
          <w:tcPr>
            <w:tcW w:w="538" w:type="dxa"/>
          </w:tcPr>
          <w:p>
            <w:pPr/>
          </w:p>
        </w:tc>
        <w:tc>
          <w:tcPr>
            <w:tcW w:w="668" w:type="dxa"/>
          </w:tcPr>
          <w:p>
            <w:pPr/>
          </w:p>
        </w:tc>
        <w:tc>
          <w:tcPr>
            <w:tcW w:w="668" w:type="dxa"/>
          </w:tcPr>
          <w:p>
            <w:pPr/>
          </w:p>
        </w:tc>
        <w:tc>
          <w:tcPr>
            <w:tcW w:w="669" w:type="dxa"/>
          </w:tcPr>
          <w:p>
            <w:pPr/>
          </w:p>
        </w:tc>
        <w:tc>
          <w:tcPr>
            <w:tcW w:w="668" w:type="dxa"/>
          </w:tcPr>
          <w:p>
            <w:pPr/>
          </w:p>
        </w:tc>
        <w:tc>
          <w:tcPr>
            <w:tcW w:w="625" w:type="dxa"/>
          </w:tcPr>
          <w:p>
            <w:pPr/>
          </w:p>
        </w:tc>
        <w:tc>
          <w:tcPr>
            <w:tcW w:w="713" w:type="dxa"/>
          </w:tcPr>
          <w:p>
            <w:pPr/>
          </w:p>
        </w:tc>
        <w:tc>
          <w:tcPr>
            <w:tcW w:w="669" w:type="dxa"/>
          </w:tcPr>
          <w:p>
            <w:pPr/>
          </w:p>
        </w:tc>
        <w:tc>
          <w:tcPr>
            <w:tcW w:w="409" w:type="dxa"/>
          </w:tcPr>
          <w:p>
            <w:pPr/>
          </w:p>
        </w:tc>
        <w:tc>
          <w:tcPr>
            <w:tcW w:w="440" w:type="dxa"/>
          </w:tcPr>
          <w:p>
            <w:pPr/>
          </w:p>
        </w:tc>
        <w:tc>
          <w:tcPr>
            <w:tcW w:w="409" w:type="dxa"/>
          </w:tcPr>
          <w:p>
            <w:pPr/>
          </w:p>
        </w:tc>
        <w:tc>
          <w:tcPr>
            <w:tcW w:w="539" w:type="dxa"/>
          </w:tcPr>
          <w:p>
            <w:pPr/>
          </w:p>
        </w:tc>
        <w:tc>
          <w:tcPr>
            <w:tcW w:w="539" w:type="dxa"/>
          </w:tcPr>
          <w:p>
            <w:pPr/>
          </w:p>
        </w:tc>
        <w:tc>
          <w:tcPr>
            <w:tcW w:w="638" w:type="dxa"/>
            <w:tcBorders>
              <w:right w:val="nil"/>
            </w:tcBorders>
          </w:tcPr>
          <w:p>
            <w:pPr/>
          </w:p>
        </w:tc>
      </w:tr>
      <w:tr>
        <w:trPr>
          <w:trHeight w:val="275" w:hRule="exact"/>
        </w:trPr>
        <w:tc>
          <w:tcPr>
            <w:tcW w:w="595" w:type="dxa"/>
            <w:tcBorders>
              <w:left w:val="nil"/>
            </w:tcBorders>
          </w:tcPr>
          <w:p>
            <w:pPr/>
          </w:p>
        </w:tc>
        <w:tc>
          <w:tcPr>
            <w:tcW w:w="538" w:type="dxa"/>
          </w:tcPr>
          <w:p>
            <w:pPr/>
          </w:p>
        </w:tc>
        <w:tc>
          <w:tcPr>
            <w:tcW w:w="668" w:type="dxa"/>
          </w:tcPr>
          <w:p>
            <w:pPr/>
          </w:p>
        </w:tc>
        <w:tc>
          <w:tcPr>
            <w:tcW w:w="668" w:type="dxa"/>
          </w:tcPr>
          <w:p>
            <w:pPr/>
          </w:p>
        </w:tc>
        <w:tc>
          <w:tcPr>
            <w:tcW w:w="669" w:type="dxa"/>
          </w:tcPr>
          <w:p>
            <w:pPr/>
          </w:p>
        </w:tc>
        <w:tc>
          <w:tcPr>
            <w:tcW w:w="668" w:type="dxa"/>
          </w:tcPr>
          <w:p>
            <w:pPr/>
          </w:p>
        </w:tc>
        <w:tc>
          <w:tcPr>
            <w:tcW w:w="625" w:type="dxa"/>
          </w:tcPr>
          <w:p>
            <w:pPr/>
          </w:p>
        </w:tc>
        <w:tc>
          <w:tcPr>
            <w:tcW w:w="713" w:type="dxa"/>
          </w:tcPr>
          <w:p>
            <w:pPr/>
          </w:p>
        </w:tc>
        <w:tc>
          <w:tcPr>
            <w:tcW w:w="669" w:type="dxa"/>
          </w:tcPr>
          <w:p>
            <w:pPr/>
          </w:p>
        </w:tc>
        <w:tc>
          <w:tcPr>
            <w:tcW w:w="409" w:type="dxa"/>
          </w:tcPr>
          <w:p>
            <w:pPr/>
          </w:p>
        </w:tc>
        <w:tc>
          <w:tcPr>
            <w:tcW w:w="440" w:type="dxa"/>
          </w:tcPr>
          <w:p>
            <w:pPr/>
          </w:p>
        </w:tc>
        <w:tc>
          <w:tcPr>
            <w:tcW w:w="409" w:type="dxa"/>
          </w:tcPr>
          <w:p>
            <w:pPr/>
          </w:p>
        </w:tc>
        <w:tc>
          <w:tcPr>
            <w:tcW w:w="539" w:type="dxa"/>
          </w:tcPr>
          <w:p>
            <w:pPr/>
          </w:p>
        </w:tc>
        <w:tc>
          <w:tcPr>
            <w:tcW w:w="539" w:type="dxa"/>
          </w:tcPr>
          <w:p>
            <w:pPr/>
          </w:p>
        </w:tc>
        <w:tc>
          <w:tcPr>
            <w:tcW w:w="638" w:type="dxa"/>
            <w:tcBorders>
              <w:right w:val="nil"/>
            </w:tcBorders>
          </w:tcPr>
          <w:p>
            <w:pPr/>
          </w:p>
        </w:tc>
      </w:tr>
      <w:tr>
        <w:trPr>
          <w:trHeight w:val="280" w:hRule="exact"/>
        </w:trPr>
        <w:tc>
          <w:tcPr>
            <w:tcW w:w="595" w:type="dxa"/>
            <w:tcBorders>
              <w:left w:val="nil"/>
            </w:tcBorders>
          </w:tcPr>
          <w:p>
            <w:pPr/>
          </w:p>
        </w:tc>
        <w:tc>
          <w:tcPr>
            <w:tcW w:w="538" w:type="dxa"/>
          </w:tcPr>
          <w:p>
            <w:pPr/>
          </w:p>
        </w:tc>
        <w:tc>
          <w:tcPr>
            <w:tcW w:w="668" w:type="dxa"/>
          </w:tcPr>
          <w:p>
            <w:pPr/>
          </w:p>
        </w:tc>
        <w:tc>
          <w:tcPr>
            <w:tcW w:w="668" w:type="dxa"/>
          </w:tcPr>
          <w:p>
            <w:pPr/>
          </w:p>
        </w:tc>
        <w:tc>
          <w:tcPr>
            <w:tcW w:w="669" w:type="dxa"/>
          </w:tcPr>
          <w:p>
            <w:pPr/>
          </w:p>
        </w:tc>
        <w:tc>
          <w:tcPr>
            <w:tcW w:w="668" w:type="dxa"/>
          </w:tcPr>
          <w:p>
            <w:pPr/>
          </w:p>
        </w:tc>
        <w:tc>
          <w:tcPr>
            <w:tcW w:w="625" w:type="dxa"/>
          </w:tcPr>
          <w:p>
            <w:pPr/>
          </w:p>
        </w:tc>
        <w:tc>
          <w:tcPr>
            <w:tcW w:w="713" w:type="dxa"/>
          </w:tcPr>
          <w:p>
            <w:pPr/>
          </w:p>
        </w:tc>
        <w:tc>
          <w:tcPr>
            <w:tcW w:w="669" w:type="dxa"/>
          </w:tcPr>
          <w:p>
            <w:pPr/>
          </w:p>
        </w:tc>
        <w:tc>
          <w:tcPr>
            <w:tcW w:w="409" w:type="dxa"/>
          </w:tcPr>
          <w:p>
            <w:pPr/>
          </w:p>
        </w:tc>
        <w:tc>
          <w:tcPr>
            <w:tcW w:w="440" w:type="dxa"/>
          </w:tcPr>
          <w:p>
            <w:pPr/>
          </w:p>
        </w:tc>
        <w:tc>
          <w:tcPr>
            <w:tcW w:w="409" w:type="dxa"/>
          </w:tcPr>
          <w:p>
            <w:pPr/>
          </w:p>
        </w:tc>
        <w:tc>
          <w:tcPr>
            <w:tcW w:w="539" w:type="dxa"/>
          </w:tcPr>
          <w:p>
            <w:pPr/>
          </w:p>
        </w:tc>
        <w:tc>
          <w:tcPr>
            <w:tcW w:w="539" w:type="dxa"/>
          </w:tcPr>
          <w:p>
            <w:pPr/>
          </w:p>
        </w:tc>
        <w:tc>
          <w:tcPr>
            <w:tcW w:w="638" w:type="dxa"/>
            <w:tcBorders>
              <w:right w:val="nil"/>
            </w:tcBorders>
          </w:tcPr>
          <w:p>
            <w:pPr/>
          </w:p>
        </w:tc>
      </w:tr>
    </w:tbl>
    <w:p>
      <w:pPr>
        <w:spacing w:line="261" w:lineRule="auto" w:before="77"/>
        <w:ind w:left="1667" w:right="1663" w:firstLine="0"/>
        <w:jc w:val="both"/>
        <w:rPr>
          <w:sz w:val="15"/>
        </w:rPr>
      </w:pPr>
      <w:r>
        <w:rPr/>
        <w:pict>
          <v:group style="position:absolute;margin-left:77.442902pt;margin-top:46.410412pt;width:439.9pt;height:.5pt;mso-position-horizontal-relative:page;mso-position-vertical-relative:paragraph;z-index:2032;mso-wrap-distance-left:0;mso-wrap-distance-right:0" coordorigin="1549,928" coordsize="8798,10">
            <v:line style="position:absolute" from="1554,933" to="2149,933" stroked="true" strokeweight=".5pt" strokecolor="#231f20"/>
            <v:line style="position:absolute" from="2149,933" to="2687,933" stroked="true" strokeweight=".5pt" strokecolor="#231f20"/>
            <v:line style="position:absolute" from="2687,933" to="3355,933" stroked="true" strokeweight=".5pt" strokecolor="#231f20"/>
            <v:line style="position:absolute" from="3355,933" to="4023,933" stroked="true" strokeweight=".5pt" strokecolor="#231f20"/>
            <v:line style="position:absolute" from="4023,933" to="4692,933" stroked="true" strokeweight=".5pt" strokecolor="#231f20"/>
            <v:line style="position:absolute" from="4692,933" to="5360,933" stroked="true" strokeweight=".5pt" strokecolor="#231f20"/>
            <v:line style="position:absolute" from="5360,933" to="5985,933" stroked="true" strokeweight=".5pt" strokecolor="#231f20"/>
            <v:line style="position:absolute" from="5985,933" to="6698,933" stroked="true" strokeweight=".5pt" strokecolor="#231f20"/>
            <v:line style="position:absolute" from="6698,933" to="7367,933" stroked="true" strokeweight=".5pt" strokecolor="#231f20"/>
            <v:line style="position:absolute" from="7367,933" to="7776,933" stroked="true" strokeweight=".5pt" strokecolor="#231f20"/>
            <v:line style="position:absolute" from="7776,933" to="8216,933" stroked="true" strokeweight=".5pt" strokecolor="#231f20"/>
            <v:line style="position:absolute" from="8216,933" to="8625,933" stroked="true" strokeweight=".5pt" strokecolor="#231f20"/>
            <v:line style="position:absolute" from="8625,933" to="9164,933" stroked="true" strokeweight=".5pt" strokecolor="#231f20"/>
            <v:line style="position:absolute" from="9164,933" to="9703,933" stroked="true" strokeweight=".5pt" strokecolor="#231f20"/>
            <v:line style="position:absolute" from="9703,933" to="10341,933" stroked="true" strokeweight=".5pt" strokecolor="#231f20"/>
            <w10:wrap type="topAndBottom"/>
          </v:group>
        </w:pict>
      </w:r>
      <w:r>
        <w:rPr>
          <w:color w:val="231F20"/>
          <w:sz w:val="15"/>
        </w:rPr>
        <w:t>Lac: lactación; DMA: día/mes/año; FPART: fecha del parto; FUIA: fecha de la última inseminación; FDG: fecha del diagnóstico de ges-    tación; FPP: fecha probable del parto; FSEC: fecha de secado; TDO: total de días en leche; CMT: prueba de California para mastitis; AI: glándula anterior izquierda; AD: glándula anterior derecha; PI: glándula posterior izquierda; PD: glándula posterior derecha; CTU: cuenta total por</w:t>
      </w:r>
      <w:r>
        <w:rPr>
          <w:color w:val="231F20"/>
          <w:spacing w:val="-9"/>
          <w:sz w:val="15"/>
        </w:rPr>
        <w:t> </w:t>
      </w:r>
      <w:r>
        <w:rPr>
          <w:color w:val="231F20"/>
          <w:sz w:val="15"/>
        </w:rPr>
        <w:t>ubre.</w:t>
      </w:r>
    </w:p>
    <w:p>
      <w:pPr>
        <w:spacing w:after="0" w:line="261" w:lineRule="auto"/>
        <w:jc w:val="both"/>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spacing w:val="-3"/>
          <w:w w:val="120"/>
          <w:sz w:val="22"/>
        </w:rPr>
        <w:t>38</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7"/>
        <w:rPr>
          <w:sz w:val="28"/>
        </w:rPr>
      </w:pPr>
    </w:p>
    <w:p>
      <w:pPr>
        <w:spacing w:before="0"/>
        <w:ind w:left="1553" w:right="2503" w:firstLine="0"/>
        <w:jc w:val="left"/>
        <w:rPr>
          <w:sz w:val="18"/>
        </w:rPr>
      </w:pPr>
      <w:r>
        <w:rPr>
          <w:color w:val="231F20"/>
          <w:sz w:val="18"/>
        </w:rPr>
        <w:t>Cuadro 3.       Distribución de vacas por número de células somáticas.</w:t>
      </w:r>
    </w:p>
    <w:p>
      <w:pPr>
        <w:pStyle w:val="BodyText"/>
        <w:spacing w:before="6"/>
        <w:rPr>
          <w:sz w:val="12"/>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39"/>
        <w:gridCol w:w="1555"/>
        <w:gridCol w:w="2126"/>
        <w:gridCol w:w="2126"/>
        <w:gridCol w:w="1841"/>
      </w:tblGrid>
      <w:tr>
        <w:trPr>
          <w:trHeight w:val="426" w:hRule="exact"/>
        </w:trPr>
        <w:tc>
          <w:tcPr>
            <w:tcW w:w="1139" w:type="dxa"/>
            <w:tcBorders>
              <w:left w:val="nil"/>
            </w:tcBorders>
          </w:tcPr>
          <w:p>
            <w:pPr>
              <w:pStyle w:val="TableParagraph"/>
              <w:spacing w:before="108"/>
              <w:ind w:left="190"/>
              <w:rPr>
                <w:rFonts w:ascii="Cambria"/>
                <w:i/>
                <w:sz w:val="18"/>
              </w:rPr>
            </w:pPr>
            <w:r>
              <w:rPr>
                <w:rFonts w:ascii="Cambria"/>
                <w:i/>
                <w:color w:val="231F20"/>
                <w:w w:val="110"/>
                <w:sz w:val="18"/>
              </w:rPr>
              <w:t>Concepto</w:t>
            </w:r>
          </w:p>
        </w:tc>
        <w:tc>
          <w:tcPr>
            <w:tcW w:w="7648" w:type="dxa"/>
            <w:gridSpan w:val="4"/>
            <w:tcBorders>
              <w:right w:val="nil"/>
            </w:tcBorders>
          </w:tcPr>
          <w:p>
            <w:pPr>
              <w:pStyle w:val="TableParagraph"/>
              <w:spacing w:before="108"/>
              <w:ind w:left="2120"/>
              <w:rPr>
                <w:rFonts w:ascii="Cambria" w:hAnsi="Cambria"/>
                <w:i/>
                <w:sz w:val="18"/>
              </w:rPr>
            </w:pPr>
            <w:r>
              <w:rPr>
                <w:rFonts w:ascii="Cambria" w:hAnsi="Cambria"/>
                <w:i/>
                <w:color w:val="231F20"/>
                <w:w w:val="110"/>
                <w:sz w:val="18"/>
              </w:rPr>
              <w:t>Número de células somáticas en leche/ml</w:t>
            </w:r>
          </w:p>
        </w:tc>
      </w:tr>
      <w:tr>
        <w:trPr>
          <w:trHeight w:val="744" w:hRule="exact"/>
        </w:trPr>
        <w:tc>
          <w:tcPr>
            <w:tcW w:w="1139" w:type="dxa"/>
            <w:tcBorders>
              <w:left w:val="nil"/>
            </w:tcBorders>
          </w:tcPr>
          <w:p>
            <w:pPr>
              <w:pStyle w:val="TableParagraph"/>
              <w:spacing w:before="0"/>
              <w:rPr>
                <w:sz w:val="22"/>
              </w:rPr>
            </w:pPr>
          </w:p>
          <w:p>
            <w:pPr>
              <w:pStyle w:val="TableParagraph"/>
              <w:spacing w:before="0"/>
              <w:ind w:left="113"/>
              <w:rPr>
                <w:sz w:val="17"/>
              </w:rPr>
            </w:pPr>
            <w:r>
              <w:rPr>
                <w:color w:val="231F20"/>
                <w:sz w:val="17"/>
              </w:rPr>
              <w:t>CMT</w:t>
            </w:r>
          </w:p>
        </w:tc>
        <w:tc>
          <w:tcPr>
            <w:tcW w:w="1555" w:type="dxa"/>
          </w:tcPr>
          <w:p>
            <w:pPr>
              <w:pStyle w:val="TableParagraph"/>
              <w:spacing w:before="102"/>
              <w:ind w:left="108"/>
              <w:rPr>
                <w:sz w:val="17"/>
              </w:rPr>
            </w:pPr>
            <w:r>
              <w:rPr>
                <w:color w:val="231F20"/>
                <w:w w:val="110"/>
                <w:sz w:val="17"/>
              </w:rPr>
              <w:t>X &lt;150000/ml</w:t>
            </w:r>
          </w:p>
          <w:p>
            <w:pPr>
              <w:pStyle w:val="TableParagraph"/>
              <w:spacing w:before="126"/>
              <w:ind w:left="108"/>
              <w:rPr>
                <w:sz w:val="17"/>
              </w:rPr>
            </w:pPr>
            <w:r>
              <w:rPr>
                <w:color w:val="231F20"/>
                <w:sz w:val="17"/>
              </w:rPr>
              <w:t>Negativo</w:t>
            </w:r>
          </w:p>
        </w:tc>
        <w:tc>
          <w:tcPr>
            <w:tcW w:w="2126" w:type="dxa"/>
          </w:tcPr>
          <w:p>
            <w:pPr>
              <w:pStyle w:val="TableParagraph"/>
              <w:spacing w:before="102"/>
              <w:ind w:left="108"/>
              <w:rPr>
                <w:sz w:val="17"/>
              </w:rPr>
            </w:pPr>
            <w:r>
              <w:rPr>
                <w:color w:val="231F20"/>
                <w:w w:val="115"/>
                <w:sz w:val="17"/>
              </w:rPr>
              <w:t>300000-500000/ml</w:t>
            </w:r>
          </w:p>
          <w:p>
            <w:pPr>
              <w:pStyle w:val="TableParagraph"/>
              <w:spacing w:before="126"/>
              <w:ind w:left="108"/>
              <w:rPr>
                <w:sz w:val="17"/>
              </w:rPr>
            </w:pPr>
            <w:r>
              <w:rPr>
                <w:color w:val="231F20"/>
                <w:sz w:val="17"/>
              </w:rPr>
              <w:t>Trazas</w:t>
            </w:r>
          </w:p>
        </w:tc>
        <w:tc>
          <w:tcPr>
            <w:tcW w:w="2126" w:type="dxa"/>
          </w:tcPr>
          <w:p>
            <w:pPr>
              <w:pStyle w:val="TableParagraph"/>
              <w:spacing w:before="102"/>
              <w:ind w:left="108"/>
              <w:rPr>
                <w:sz w:val="17"/>
              </w:rPr>
            </w:pPr>
            <w:r>
              <w:rPr>
                <w:color w:val="231F20"/>
                <w:w w:val="115"/>
                <w:sz w:val="17"/>
              </w:rPr>
              <w:t>500000-900000/ml</w:t>
            </w:r>
          </w:p>
          <w:p>
            <w:pPr>
              <w:pStyle w:val="TableParagraph"/>
              <w:spacing w:before="126"/>
              <w:ind w:left="108"/>
              <w:rPr>
                <w:sz w:val="17"/>
              </w:rPr>
            </w:pPr>
            <w:r>
              <w:rPr>
                <w:color w:val="231F20"/>
                <w:w w:val="105"/>
                <w:sz w:val="17"/>
              </w:rPr>
              <w:t>Uno</w:t>
            </w:r>
          </w:p>
        </w:tc>
        <w:tc>
          <w:tcPr>
            <w:tcW w:w="1841" w:type="dxa"/>
            <w:tcBorders>
              <w:right w:val="nil"/>
            </w:tcBorders>
          </w:tcPr>
          <w:p>
            <w:pPr>
              <w:pStyle w:val="TableParagraph"/>
              <w:spacing w:before="102"/>
              <w:ind w:left="108"/>
              <w:rPr>
                <w:sz w:val="17"/>
              </w:rPr>
            </w:pPr>
            <w:r>
              <w:rPr>
                <w:color w:val="231F20"/>
                <w:w w:val="110"/>
                <w:sz w:val="17"/>
              </w:rPr>
              <w:t>X &gt;900000/ml</w:t>
            </w:r>
          </w:p>
          <w:p>
            <w:pPr>
              <w:pStyle w:val="TableParagraph"/>
              <w:spacing w:before="126"/>
              <w:ind w:left="108"/>
              <w:rPr>
                <w:sz w:val="17"/>
              </w:rPr>
            </w:pPr>
            <w:r>
              <w:rPr>
                <w:color w:val="231F20"/>
                <w:sz w:val="17"/>
              </w:rPr>
              <w:t>Dos, tres</w:t>
            </w:r>
          </w:p>
        </w:tc>
      </w:tr>
      <w:tr>
        <w:trPr>
          <w:trHeight w:val="411" w:hRule="exact"/>
        </w:trPr>
        <w:tc>
          <w:tcPr>
            <w:tcW w:w="1139" w:type="dxa"/>
            <w:tcBorders>
              <w:left w:val="nil"/>
            </w:tcBorders>
          </w:tcPr>
          <w:p>
            <w:pPr>
              <w:pStyle w:val="TableParagraph"/>
              <w:spacing w:before="102"/>
              <w:ind w:left="113"/>
              <w:rPr>
                <w:sz w:val="17"/>
              </w:rPr>
            </w:pPr>
            <w:r>
              <w:rPr>
                <w:color w:val="231F20"/>
                <w:sz w:val="17"/>
              </w:rPr>
              <w:t>No. de vacas</w:t>
            </w:r>
          </w:p>
        </w:tc>
        <w:tc>
          <w:tcPr>
            <w:tcW w:w="1555" w:type="dxa"/>
          </w:tcPr>
          <w:p>
            <w:pPr/>
          </w:p>
        </w:tc>
        <w:tc>
          <w:tcPr>
            <w:tcW w:w="2126" w:type="dxa"/>
          </w:tcPr>
          <w:p>
            <w:pPr/>
          </w:p>
        </w:tc>
        <w:tc>
          <w:tcPr>
            <w:tcW w:w="2126" w:type="dxa"/>
          </w:tcPr>
          <w:p>
            <w:pPr/>
          </w:p>
        </w:tc>
        <w:tc>
          <w:tcPr>
            <w:tcW w:w="1841" w:type="dxa"/>
            <w:tcBorders>
              <w:right w:val="nil"/>
            </w:tcBorders>
          </w:tcPr>
          <w:p>
            <w:pPr/>
          </w:p>
        </w:tc>
      </w:tr>
      <w:tr>
        <w:trPr>
          <w:trHeight w:val="411" w:hRule="exact"/>
        </w:trPr>
        <w:tc>
          <w:tcPr>
            <w:tcW w:w="1139" w:type="dxa"/>
            <w:tcBorders>
              <w:left w:val="nil"/>
            </w:tcBorders>
          </w:tcPr>
          <w:p>
            <w:pPr>
              <w:pStyle w:val="TableParagraph"/>
              <w:spacing w:before="102"/>
              <w:ind w:left="113"/>
              <w:rPr>
                <w:sz w:val="17"/>
              </w:rPr>
            </w:pPr>
            <w:r>
              <w:rPr>
                <w:color w:val="231F20"/>
                <w:w w:val="128"/>
                <w:sz w:val="17"/>
              </w:rPr>
              <w:t>%</w:t>
            </w:r>
          </w:p>
        </w:tc>
        <w:tc>
          <w:tcPr>
            <w:tcW w:w="1555" w:type="dxa"/>
          </w:tcPr>
          <w:p>
            <w:pPr/>
          </w:p>
        </w:tc>
        <w:tc>
          <w:tcPr>
            <w:tcW w:w="2126" w:type="dxa"/>
          </w:tcPr>
          <w:p>
            <w:pPr/>
          </w:p>
        </w:tc>
        <w:tc>
          <w:tcPr>
            <w:tcW w:w="2126" w:type="dxa"/>
          </w:tcPr>
          <w:p>
            <w:pPr/>
          </w:p>
        </w:tc>
        <w:tc>
          <w:tcPr>
            <w:tcW w:w="1841" w:type="dxa"/>
            <w:tcBorders>
              <w:right w:val="nil"/>
            </w:tcBorders>
          </w:tcPr>
          <w:p>
            <w:pPr/>
          </w:p>
        </w:tc>
      </w:tr>
    </w:tbl>
    <w:p>
      <w:pPr>
        <w:pStyle w:val="BodyText"/>
      </w:pPr>
    </w:p>
    <w:p>
      <w:pPr>
        <w:pStyle w:val="BodyText"/>
        <w:spacing w:before="6"/>
        <w:rPr>
          <w:sz w:val="26"/>
        </w:rPr>
      </w:pPr>
    </w:p>
    <w:p>
      <w:pPr>
        <w:spacing w:before="72"/>
        <w:ind w:left="1553" w:right="2503" w:firstLine="0"/>
        <w:jc w:val="left"/>
        <w:rPr>
          <w:sz w:val="18"/>
        </w:rPr>
      </w:pPr>
      <w:r>
        <w:rPr>
          <w:color w:val="231F20"/>
          <w:sz w:val="18"/>
        </w:rPr>
        <w:t>Cuadro 4.   Frecuencia de mastitis  clínica.</w:t>
      </w:r>
    </w:p>
    <w:p>
      <w:pPr>
        <w:pStyle w:val="BodyText"/>
        <w:spacing w:before="6"/>
        <w:rPr>
          <w:sz w:val="12"/>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86"/>
        <w:gridCol w:w="2002"/>
        <w:gridCol w:w="1254"/>
        <w:gridCol w:w="1133"/>
        <w:gridCol w:w="1177"/>
        <w:gridCol w:w="1937"/>
      </w:tblGrid>
      <w:tr>
        <w:trPr>
          <w:trHeight w:val="799" w:hRule="exact"/>
        </w:trPr>
        <w:tc>
          <w:tcPr>
            <w:tcW w:w="1286" w:type="dxa"/>
            <w:tcBorders>
              <w:left w:val="nil"/>
            </w:tcBorders>
          </w:tcPr>
          <w:p>
            <w:pPr>
              <w:pStyle w:val="TableParagraph"/>
              <w:spacing w:before="1"/>
              <w:rPr>
                <w:sz w:val="24"/>
              </w:rPr>
            </w:pPr>
          </w:p>
          <w:p>
            <w:pPr>
              <w:pStyle w:val="TableParagraph"/>
              <w:spacing w:before="0"/>
              <w:ind w:left="406"/>
              <w:rPr>
                <w:rFonts w:ascii="Cambria"/>
                <w:i/>
                <w:sz w:val="18"/>
              </w:rPr>
            </w:pPr>
            <w:r>
              <w:rPr>
                <w:rFonts w:ascii="Cambria"/>
                <w:i/>
                <w:color w:val="231F20"/>
                <w:w w:val="105"/>
                <w:sz w:val="18"/>
              </w:rPr>
              <w:t>Fecha</w:t>
            </w:r>
          </w:p>
        </w:tc>
        <w:tc>
          <w:tcPr>
            <w:tcW w:w="2002" w:type="dxa"/>
          </w:tcPr>
          <w:p>
            <w:pPr>
              <w:pStyle w:val="TableParagraph"/>
              <w:spacing w:line="424" w:lineRule="auto" w:before="108"/>
              <w:ind w:left="686" w:hanging="383"/>
              <w:rPr>
                <w:rFonts w:ascii="Cambria" w:hAnsi="Cambria"/>
                <w:i/>
                <w:sz w:val="18"/>
              </w:rPr>
            </w:pPr>
            <w:r>
              <w:rPr>
                <w:rFonts w:ascii="Cambria" w:hAnsi="Cambria"/>
                <w:i/>
                <w:color w:val="231F20"/>
                <w:w w:val="110"/>
                <w:sz w:val="18"/>
              </w:rPr>
              <w:t>Vacas ordeñadas </w:t>
            </w:r>
            <w:r>
              <w:rPr>
                <w:rFonts w:ascii="Cambria" w:hAnsi="Cambria"/>
                <w:i/>
                <w:color w:val="231F20"/>
                <w:w w:val="110"/>
                <w:sz w:val="18"/>
              </w:rPr>
              <w:t>Clínicas</w:t>
            </w:r>
          </w:p>
        </w:tc>
        <w:tc>
          <w:tcPr>
            <w:tcW w:w="1254" w:type="dxa"/>
          </w:tcPr>
          <w:p>
            <w:pPr>
              <w:pStyle w:val="TableParagraph"/>
              <w:spacing w:before="1"/>
              <w:rPr>
                <w:sz w:val="24"/>
              </w:rPr>
            </w:pPr>
          </w:p>
          <w:p>
            <w:pPr>
              <w:pStyle w:val="TableParagraph"/>
              <w:spacing w:before="0"/>
              <w:ind w:left="496" w:right="496"/>
              <w:jc w:val="center"/>
              <w:rPr>
                <w:rFonts w:ascii="Cambria"/>
                <w:i/>
                <w:sz w:val="18"/>
              </w:rPr>
            </w:pPr>
            <w:r>
              <w:rPr>
                <w:rFonts w:ascii="Cambria"/>
                <w:i/>
                <w:color w:val="231F20"/>
                <w:w w:val="110"/>
                <w:sz w:val="18"/>
              </w:rPr>
              <w:t>SA</w:t>
            </w:r>
          </w:p>
        </w:tc>
        <w:tc>
          <w:tcPr>
            <w:tcW w:w="1133" w:type="dxa"/>
          </w:tcPr>
          <w:p>
            <w:pPr>
              <w:pStyle w:val="TableParagraph"/>
              <w:spacing w:before="1"/>
              <w:rPr>
                <w:sz w:val="24"/>
              </w:rPr>
            </w:pPr>
          </w:p>
          <w:p>
            <w:pPr>
              <w:pStyle w:val="TableParagraph"/>
              <w:spacing w:before="0"/>
              <w:ind w:left="436" w:right="436"/>
              <w:jc w:val="center"/>
              <w:rPr>
                <w:rFonts w:ascii="Cambria"/>
                <w:i/>
                <w:sz w:val="18"/>
              </w:rPr>
            </w:pPr>
            <w:r>
              <w:rPr>
                <w:rFonts w:ascii="Cambria"/>
                <w:i/>
                <w:color w:val="231F20"/>
                <w:w w:val="115"/>
                <w:sz w:val="18"/>
              </w:rPr>
              <w:t>Su</w:t>
            </w:r>
          </w:p>
        </w:tc>
        <w:tc>
          <w:tcPr>
            <w:tcW w:w="1177" w:type="dxa"/>
          </w:tcPr>
          <w:p>
            <w:pPr>
              <w:pStyle w:val="TableParagraph"/>
              <w:spacing w:before="1"/>
              <w:rPr>
                <w:sz w:val="24"/>
              </w:rPr>
            </w:pPr>
          </w:p>
          <w:p>
            <w:pPr>
              <w:pStyle w:val="TableParagraph"/>
              <w:spacing w:before="0"/>
              <w:ind w:left="474" w:right="474"/>
              <w:jc w:val="center"/>
              <w:rPr>
                <w:rFonts w:ascii="Cambria"/>
                <w:i/>
                <w:sz w:val="18"/>
              </w:rPr>
            </w:pPr>
            <w:r>
              <w:rPr>
                <w:rFonts w:ascii="Cambria"/>
                <w:i/>
                <w:color w:val="231F20"/>
                <w:w w:val="105"/>
                <w:sz w:val="18"/>
              </w:rPr>
              <w:t>Cr</w:t>
            </w:r>
          </w:p>
        </w:tc>
        <w:tc>
          <w:tcPr>
            <w:tcW w:w="1937" w:type="dxa"/>
            <w:tcBorders>
              <w:right w:val="nil"/>
            </w:tcBorders>
          </w:tcPr>
          <w:p>
            <w:pPr>
              <w:pStyle w:val="TableParagraph"/>
              <w:spacing w:before="1"/>
              <w:rPr>
                <w:sz w:val="24"/>
              </w:rPr>
            </w:pPr>
          </w:p>
          <w:p>
            <w:pPr>
              <w:pStyle w:val="TableParagraph"/>
              <w:spacing w:before="0"/>
              <w:ind w:left="373"/>
              <w:rPr>
                <w:rFonts w:ascii="Cambria"/>
                <w:i/>
                <w:sz w:val="18"/>
              </w:rPr>
            </w:pPr>
            <w:r>
              <w:rPr>
                <w:rFonts w:ascii="Cambria"/>
                <w:i/>
                <w:color w:val="231F20"/>
                <w:w w:val="110"/>
                <w:sz w:val="18"/>
              </w:rPr>
              <w:t>Observaciones</w:t>
            </w:r>
          </w:p>
        </w:tc>
      </w:tr>
      <w:tr>
        <w:trPr>
          <w:trHeight w:val="411" w:hRule="exact"/>
        </w:trPr>
        <w:tc>
          <w:tcPr>
            <w:tcW w:w="1286" w:type="dxa"/>
            <w:tcBorders>
              <w:left w:val="nil"/>
            </w:tcBorders>
          </w:tcPr>
          <w:p>
            <w:pPr>
              <w:pStyle w:val="TableParagraph"/>
              <w:spacing w:before="102"/>
              <w:ind w:left="113"/>
              <w:rPr>
                <w:sz w:val="17"/>
              </w:rPr>
            </w:pPr>
            <w:r>
              <w:rPr>
                <w:color w:val="231F20"/>
                <w:sz w:val="17"/>
              </w:rPr>
              <w:t>No.</w:t>
            </w:r>
          </w:p>
        </w:tc>
        <w:tc>
          <w:tcPr>
            <w:tcW w:w="2002" w:type="dxa"/>
          </w:tcPr>
          <w:p>
            <w:pPr/>
          </w:p>
        </w:tc>
        <w:tc>
          <w:tcPr>
            <w:tcW w:w="1254" w:type="dxa"/>
          </w:tcPr>
          <w:p>
            <w:pPr/>
          </w:p>
        </w:tc>
        <w:tc>
          <w:tcPr>
            <w:tcW w:w="1133" w:type="dxa"/>
          </w:tcPr>
          <w:p>
            <w:pPr/>
          </w:p>
        </w:tc>
        <w:tc>
          <w:tcPr>
            <w:tcW w:w="1177" w:type="dxa"/>
          </w:tcPr>
          <w:p>
            <w:pPr/>
          </w:p>
        </w:tc>
        <w:tc>
          <w:tcPr>
            <w:tcW w:w="1937" w:type="dxa"/>
            <w:tcBorders>
              <w:right w:val="nil"/>
            </w:tcBorders>
          </w:tcPr>
          <w:p>
            <w:pPr/>
          </w:p>
        </w:tc>
      </w:tr>
      <w:tr>
        <w:trPr>
          <w:trHeight w:val="411" w:hRule="exact"/>
        </w:trPr>
        <w:tc>
          <w:tcPr>
            <w:tcW w:w="1286" w:type="dxa"/>
            <w:tcBorders>
              <w:left w:val="nil"/>
            </w:tcBorders>
          </w:tcPr>
          <w:p>
            <w:pPr>
              <w:pStyle w:val="TableParagraph"/>
              <w:spacing w:before="102"/>
              <w:ind w:left="113"/>
              <w:rPr>
                <w:sz w:val="17"/>
              </w:rPr>
            </w:pPr>
            <w:r>
              <w:rPr>
                <w:color w:val="231F20"/>
                <w:w w:val="128"/>
                <w:sz w:val="17"/>
              </w:rPr>
              <w:t>%</w:t>
            </w:r>
          </w:p>
        </w:tc>
        <w:tc>
          <w:tcPr>
            <w:tcW w:w="2002" w:type="dxa"/>
          </w:tcPr>
          <w:p>
            <w:pPr/>
          </w:p>
        </w:tc>
        <w:tc>
          <w:tcPr>
            <w:tcW w:w="1254" w:type="dxa"/>
          </w:tcPr>
          <w:p>
            <w:pPr/>
          </w:p>
        </w:tc>
        <w:tc>
          <w:tcPr>
            <w:tcW w:w="1133" w:type="dxa"/>
          </w:tcPr>
          <w:p>
            <w:pPr/>
          </w:p>
        </w:tc>
        <w:tc>
          <w:tcPr>
            <w:tcW w:w="1177" w:type="dxa"/>
          </w:tcPr>
          <w:p>
            <w:pPr/>
          </w:p>
        </w:tc>
        <w:tc>
          <w:tcPr>
            <w:tcW w:w="1937" w:type="dxa"/>
            <w:tcBorders>
              <w:right w:val="nil"/>
            </w:tcBorders>
          </w:tcPr>
          <w:p>
            <w:pPr/>
          </w:p>
        </w:tc>
      </w:tr>
    </w:tbl>
    <w:p>
      <w:pPr>
        <w:tabs>
          <w:tab w:pos="4996" w:val="left" w:leader="none"/>
        </w:tabs>
        <w:spacing w:line="410" w:lineRule="auto" w:before="106"/>
        <w:ind w:left="1667" w:right="6896" w:firstLine="0"/>
        <w:jc w:val="left"/>
        <w:rPr>
          <w:sz w:val="15"/>
        </w:rPr>
      </w:pPr>
      <w:r>
        <w:rPr>
          <w:color w:val="231F20"/>
          <w:sz w:val="15"/>
        </w:rPr>
        <w:t>SA: severamente agudas; Su: suaves; Cr: crónicas. Frecuencia  de  nuevas</w:t>
      </w:r>
      <w:r>
        <w:rPr>
          <w:color w:val="231F20"/>
          <w:spacing w:val="-15"/>
          <w:sz w:val="15"/>
        </w:rPr>
        <w:t> </w:t>
      </w:r>
      <w:r>
        <w:rPr>
          <w:color w:val="231F20"/>
          <w:sz w:val="15"/>
        </w:rPr>
        <w:t>infecciones:</w:t>
      </w:r>
      <w:r>
        <w:rPr>
          <w:color w:val="231F20"/>
          <w:w w:val="129"/>
          <w:sz w:val="15"/>
          <w:u w:val="single" w:color="221E1F"/>
        </w:rPr>
        <w:t> </w:t>
      </w:r>
      <w:r>
        <w:rPr>
          <w:color w:val="231F20"/>
          <w:sz w:val="15"/>
          <w:u w:val="single" w:color="221E1F"/>
        </w:rPr>
        <w:tab/>
      </w:r>
    </w:p>
    <w:p>
      <w:pPr>
        <w:tabs>
          <w:tab w:pos="4983" w:val="left" w:leader="none"/>
        </w:tabs>
        <w:spacing w:before="0"/>
        <w:ind w:left="1667" w:right="2503" w:firstLine="0"/>
        <w:jc w:val="left"/>
        <w:rPr>
          <w:sz w:val="15"/>
        </w:rPr>
      </w:pPr>
      <w:r>
        <w:rPr>
          <w:color w:val="231F20"/>
          <w:sz w:val="15"/>
        </w:rPr>
        <w:t>Frecuencia de infecciones </w:t>
      </w:r>
      <w:r>
        <w:rPr>
          <w:color w:val="231F20"/>
          <w:spacing w:val="10"/>
          <w:sz w:val="15"/>
        </w:rPr>
        <w:t> </w:t>
      </w:r>
      <w:r>
        <w:rPr>
          <w:color w:val="231F20"/>
          <w:sz w:val="15"/>
        </w:rPr>
        <w:t>crónicas:</w:t>
      </w:r>
      <w:r>
        <w:rPr>
          <w:color w:val="231F20"/>
          <w:w w:val="129"/>
          <w:sz w:val="15"/>
          <w:u w:val="single" w:color="221E1F"/>
        </w:rPr>
        <w:t> </w:t>
      </w:r>
      <w:r>
        <w:rPr>
          <w:color w:val="231F20"/>
          <w:sz w:val="15"/>
          <w:u w:val="single" w:color="221E1F"/>
        </w:rPr>
        <w:tab/>
      </w:r>
    </w:p>
    <w:p>
      <w:pPr>
        <w:pStyle w:val="BodyText"/>
        <w:spacing w:before="8"/>
        <w:rPr>
          <w:sz w:val="10"/>
        </w:rPr>
      </w:pPr>
    </w:p>
    <w:p>
      <w:pPr>
        <w:tabs>
          <w:tab w:pos="6646" w:val="left" w:leader="none"/>
        </w:tabs>
        <w:spacing w:before="0"/>
        <w:ind w:left="1667" w:right="2503" w:firstLine="0"/>
        <w:jc w:val="left"/>
        <w:rPr>
          <w:sz w:val="15"/>
        </w:rPr>
      </w:pPr>
      <w:r>
        <w:rPr/>
        <w:pict>
          <v:group style="position:absolute;margin-left:77.442902pt;margin-top:13.9777pt;width:439.95pt;height:.5pt;mso-position-horizontal-relative:page;mso-position-vertical-relative:paragraph;z-index:2056;mso-wrap-distance-left:0;mso-wrap-distance-right:0" coordorigin="1549,280" coordsize="8799,10">
            <v:line style="position:absolute" from="1554,285" to="2840,285" stroked="true" strokeweight=".5pt" strokecolor="#231f20"/>
            <v:line style="position:absolute" from="2840,285" to="4842,285" stroked="true" strokeweight=".5pt" strokecolor="#231f20"/>
            <v:line style="position:absolute" from="4842,285" to="6096,285" stroked="true" strokeweight=".5pt" strokecolor="#231f20"/>
            <v:line style="position:absolute" from="6096,285" to="7229,285" stroked="true" strokeweight=".5pt" strokecolor="#231f20"/>
            <v:line style="position:absolute" from="7229,285" to="8406,285" stroked="true" strokeweight=".5pt" strokecolor="#231f20"/>
            <v:line style="position:absolute" from="8406,285" to="10343,285" stroked="true" strokeweight=".5pt" strokecolor="#231f20"/>
            <w10:wrap type="topAndBottom"/>
          </v:group>
        </w:pict>
      </w:r>
      <w:r>
        <w:rPr>
          <w:color w:val="231F20"/>
          <w:w w:val="105"/>
          <w:sz w:val="15"/>
        </w:rPr>
        <w:t>Frecuencia de vacas con cuenta de células somáticas &gt;</w:t>
      </w:r>
      <w:r>
        <w:rPr>
          <w:color w:val="231F20"/>
          <w:spacing w:val="30"/>
          <w:w w:val="105"/>
          <w:sz w:val="15"/>
        </w:rPr>
        <w:t> </w:t>
      </w:r>
      <w:r>
        <w:rPr>
          <w:color w:val="231F20"/>
          <w:spacing w:val="4"/>
          <w:w w:val="105"/>
          <w:sz w:val="15"/>
        </w:rPr>
        <w:t>4000000:</w:t>
      </w:r>
      <w:r>
        <w:rPr>
          <w:color w:val="231F20"/>
          <w:spacing w:val="9"/>
          <w:sz w:val="15"/>
        </w:rPr>
        <w:t> </w:t>
      </w:r>
      <w:r>
        <w:rPr>
          <w:color w:val="231F20"/>
          <w:w w:val="129"/>
          <w:sz w:val="15"/>
          <w:u w:val="single" w:color="221E1F"/>
        </w:rPr>
        <w:t> </w:t>
      </w:r>
      <w:r>
        <w:rPr>
          <w:color w:val="231F20"/>
          <w:sz w:val="15"/>
          <w:u w:val="single" w:color="221E1F"/>
        </w:rPr>
        <w:tab/>
      </w:r>
    </w:p>
    <w:p>
      <w:pPr>
        <w:pStyle w:val="BodyText"/>
      </w:pPr>
    </w:p>
    <w:p>
      <w:pPr>
        <w:pStyle w:val="BodyText"/>
        <w:spacing w:before="2"/>
        <w:rPr>
          <w:sz w:val="24"/>
        </w:rPr>
      </w:pPr>
    </w:p>
    <w:p>
      <w:pPr>
        <w:spacing w:before="71"/>
        <w:ind w:left="1553" w:right="2503" w:firstLine="0"/>
        <w:jc w:val="left"/>
        <w:rPr>
          <w:sz w:val="18"/>
        </w:rPr>
      </w:pPr>
      <w:r>
        <w:rPr>
          <w:color w:val="231F20"/>
          <w:sz w:val="18"/>
        </w:rPr>
        <w:t>Cuadro 5.   Tratamiento de las vacas con mastitis   clínica.</w:t>
      </w:r>
    </w:p>
    <w:p>
      <w:pPr>
        <w:pStyle w:val="BodyText"/>
        <w:spacing w:before="3"/>
        <w:rPr>
          <w:sz w:val="9"/>
        </w:rPr>
      </w:pPr>
      <w:r>
        <w:rPr/>
        <w:pict>
          <v:group style="position:absolute;margin-left:77.442902pt;margin-top:7.633608pt;width:439.95pt;height:.5pt;mso-position-horizontal-relative:page;mso-position-vertical-relative:paragraph;z-index:2080;mso-wrap-distance-left:0;mso-wrap-distance-right:0" coordorigin="1549,153" coordsize="8799,10">
            <v:line style="position:absolute" from="1554,158" to="2518,158" stroked="true" strokeweight=".5pt" strokecolor="#231f20"/>
            <v:line style="position:absolute" from="2518,158" to="3755,158" stroked="true" strokeweight=".5pt" strokecolor="#231f20"/>
            <v:line style="position:absolute" from="3755,158" to="5539,158" stroked="true" strokeweight=".5pt" strokecolor="#231f20"/>
            <v:line style="position:absolute" from="5539,158" to="7049,158" stroked="true" strokeweight=".5pt" strokecolor="#231f20"/>
            <v:line style="position:absolute" from="7049,158" to="8560,158" stroked="true" strokeweight=".5pt" strokecolor="#231f20"/>
            <v:line style="position:absolute" from="8560,158" to="10343,158" stroked="true" strokeweight=".5pt" strokecolor="#231f20"/>
            <w10:wrap type="topAndBottom"/>
          </v:group>
        </w:pict>
      </w:r>
    </w:p>
    <w:p>
      <w:pPr>
        <w:tabs>
          <w:tab w:pos="3485" w:val="left" w:leader="none"/>
          <w:tab w:pos="3906" w:val="left" w:leader="none"/>
          <w:tab w:pos="5830" w:val="left" w:leader="none"/>
        </w:tabs>
        <w:spacing w:before="79"/>
        <w:ind w:left="1667" w:right="2503" w:firstLine="0"/>
        <w:jc w:val="left"/>
        <w:rPr>
          <w:sz w:val="18"/>
        </w:rPr>
      </w:pPr>
      <w:r>
        <w:rPr>
          <w:b/>
          <w:i/>
          <w:color w:val="231F20"/>
          <w:w w:val="115"/>
          <w:sz w:val="18"/>
        </w:rPr>
        <w:t>Fecha</w:t>
      </w:r>
      <w:r>
        <w:rPr>
          <w:color w:val="231F20"/>
          <w:w w:val="115"/>
          <w:sz w:val="18"/>
        </w:rPr>
        <w:t>:</w:t>
      </w:r>
      <w:r>
        <w:rPr>
          <w:color w:val="231F20"/>
          <w:w w:val="115"/>
          <w:sz w:val="18"/>
          <w:u w:val="single" w:color="221E1F"/>
        </w:rPr>
        <w:t> </w:t>
        <w:tab/>
      </w:r>
      <w:r>
        <w:rPr>
          <w:color w:val="231F20"/>
          <w:w w:val="115"/>
          <w:sz w:val="18"/>
        </w:rPr>
        <w:tab/>
      </w:r>
      <w:r>
        <w:rPr>
          <w:b/>
          <w:i/>
          <w:color w:val="231F20"/>
          <w:w w:val="115"/>
          <w:sz w:val="18"/>
        </w:rPr>
        <w:t>Hora</w:t>
      </w:r>
      <w:r>
        <w:rPr>
          <w:color w:val="231F20"/>
          <w:w w:val="115"/>
          <w:sz w:val="18"/>
        </w:rPr>
        <w:t>:</w:t>
      </w:r>
      <w:r>
        <w:rPr>
          <w:color w:val="231F20"/>
          <w:w w:val="129"/>
          <w:sz w:val="18"/>
          <w:u w:val="single" w:color="221E1F"/>
        </w:rPr>
        <w:t> </w:t>
      </w:r>
      <w:r>
        <w:rPr>
          <w:color w:val="231F20"/>
          <w:sz w:val="18"/>
          <w:u w:val="single" w:color="221E1F"/>
        </w:rPr>
        <w:tab/>
      </w:r>
    </w:p>
    <w:p>
      <w:pPr>
        <w:pStyle w:val="BodyText"/>
        <w:spacing w:before="6"/>
        <w:rPr>
          <w:sz w:val="28"/>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64"/>
        <w:gridCol w:w="1237"/>
        <w:gridCol w:w="1784"/>
        <w:gridCol w:w="1510"/>
        <w:gridCol w:w="1511"/>
        <w:gridCol w:w="1783"/>
      </w:tblGrid>
      <w:tr>
        <w:trPr>
          <w:trHeight w:val="426" w:hRule="exact"/>
        </w:trPr>
        <w:tc>
          <w:tcPr>
            <w:tcW w:w="964" w:type="dxa"/>
            <w:tcBorders>
              <w:left w:val="nil"/>
            </w:tcBorders>
          </w:tcPr>
          <w:p>
            <w:pPr>
              <w:pStyle w:val="TableParagraph"/>
              <w:spacing w:before="108"/>
              <w:ind w:left="288"/>
              <w:rPr>
                <w:rFonts w:ascii="Cambria"/>
                <w:i/>
                <w:sz w:val="18"/>
              </w:rPr>
            </w:pPr>
            <w:r>
              <w:rPr>
                <w:rFonts w:ascii="Cambria"/>
                <w:i/>
                <w:color w:val="231F20"/>
                <w:w w:val="105"/>
                <w:sz w:val="18"/>
              </w:rPr>
              <w:t>Vaca</w:t>
            </w:r>
          </w:p>
        </w:tc>
        <w:tc>
          <w:tcPr>
            <w:tcW w:w="1237" w:type="dxa"/>
          </w:tcPr>
          <w:p>
            <w:pPr>
              <w:pStyle w:val="TableParagraph"/>
              <w:spacing w:before="108"/>
              <w:ind w:left="244"/>
              <w:rPr>
                <w:rFonts w:ascii="Cambria" w:hAnsi="Cambria"/>
                <w:i/>
                <w:sz w:val="18"/>
              </w:rPr>
            </w:pPr>
            <w:r>
              <w:rPr>
                <w:rFonts w:ascii="Cambria" w:hAnsi="Cambria"/>
                <w:i/>
                <w:color w:val="231F20"/>
                <w:w w:val="110"/>
                <w:sz w:val="18"/>
              </w:rPr>
              <w:t>Glándula</w:t>
            </w:r>
          </w:p>
        </w:tc>
        <w:tc>
          <w:tcPr>
            <w:tcW w:w="1784" w:type="dxa"/>
          </w:tcPr>
          <w:p>
            <w:pPr>
              <w:pStyle w:val="TableParagraph"/>
              <w:spacing w:before="108"/>
              <w:ind w:left="302"/>
              <w:rPr>
                <w:rFonts w:ascii="Cambria" w:hAnsi="Cambria"/>
                <w:i/>
                <w:sz w:val="18"/>
              </w:rPr>
            </w:pPr>
            <w:r>
              <w:rPr>
                <w:rFonts w:ascii="Cambria" w:hAnsi="Cambria"/>
                <w:i/>
                <w:color w:val="231F20"/>
                <w:w w:val="105"/>
                <w:sz w:val="18"/>
              </w:rPr>
              <w:t>Características</w:t>
            </w:r>
          </w:p>
        </w:tc>
        <w:tc>
          <w:tcPr>
            <w:tcW w:w="1510" w:type="dxa"/>
          </w:tcPr>
          <w:p>
            <w:pPr>
              <w:pStyle w:val="TableParagraph"/>
              <w:spacing w:before="108"/>
              <w:ind w:left="275"/>
              <w:rPr>
                <w:rFonts w:ascii="Cambria" w:hAnsi="Cambria"/>
                <w:i/>
                <w:sz w:val="18"/>
              </w:rPr>
            </w:pPr>
            <w:r>
              <w:rPr>
                <w:rFonts w:ascii="Cambria" w:hAnsi="Cambria"/>
                <w:i/>
                <w:color w:val="231F20"/>
                <w:w w:val="105"/>
                <w:sz w:val="18"/>
              </w:rPr>
              <w:t>Diagnóstico</w:t>
            </w:r>
          </w:p>
        </w:tc>
        <w:tc>
          <w:tcPr>
            <w:tcW w:w="1511" w:type="dxa"/>
          </w:tcPr>
          <w:p>
            <w:pPr>
              <w:pStyle w:val="TableParagraph"/>
              <w:spacing w:before="108"/>
              <w:ind w:left="268"/>
              <w:rPr>
                <w:rFonts w:ascii="Cambria"/>
                <w:i/>
                <w:sz w:val="18"/>
              </w:rPr>
            </w:pPr>
            <w:r>
              <w:rPr>
                <w:rFonts w:ascii="Cambria"/>
                <w:i/>
                <w:color w:val="231F20"/>
                <w:w w:val="105"/>
                <w:sz w:val="18"/>
              </w:rPr>
              <w:t>Tratamiento</w:t>
            </w:r>
          </w:p>
        </w:tc>
        <w:tc>
          <w:tcPr>
            <w:tcW w:w="1783" w:type="dxa"/>
            <w:tcBorders>
              <w:right w:val="nil"/>
            </w:tcBorders>
          </w:tcPr>
          <w:p>
            <w:pPr>
              <w:pStyle w:val="TableParagraph"/>
              <w:spacing w:before="108"/>
              <w:ind w:left="296"/>
              <w:rPr>
                <w:rFonts w:ascii="Cambria"/>
                <w:i/>
                <w:sz w:val="18"/>
              </w:rPr>
            </w:pPr>
            <w:r>
              <w:rPr>
                <w:rFonts w:ascii="Cambria"/>
                <w:i/>
                <w:color w:val="231F20"/>
                <w:w w:val="110"/>
                <w:sz w:val="18"/>
              </w:rPr>
              <w:t>Observaciones</w:t>
            </w:r>
          </w:p>
        </w:tc>
      </w:tr>
      <w:tr>
        <w:trPr>
          <w:trHeight w:val="411" w:hRule="exact"/>
        </w:trPr>
        <w:tc>
          <w:tcPr>
            <w:tcW w:w="964" w:type="dxa"/>
            <w:tcBorders>
              <w:left w:val="nil"/>
            </w:tcBorders>
          </w:tcPr>
          <w:p>
            <w:pPr/>
          </w:p>
        </w:tc>
        <w:tc>
          <w:tcPr>
            <w:tcW w:w="1237" w:type="dxa"/>
          </w:tcPr>
          <w:p>
            <w:pPr/>
          </w:p>
        </w:tc>
        <w:tc>
          <w:tcPr>
            <w:tcW w:w="1784" w:type="dxa"/>
          </w:tcPr>
          <w:p>
            <w:pPr/>
          </w:p>
        </w:tc>
        <w:tc>
          <w:tcPr>
            <w:tcW w:w="1510" w:type="dxa"/>
          </w:tcPr>
          <w:p>
            <w:pPr/>
          </w:p>
        </w:tc>
        <w:tc>
          <w:tcPr>
            <w:tcW w:w="1511" w:type="dxa"/>
          </w:tcPr>
          <w:p>
            <w:pPr/>
          </w:p>
        </w:tc>
        <w:tc>
          <w:tcPr>
            <w:tcW w:w="1783" w:type="dxa"/>
            <w:tcBorders>
              <w:right w:val="nil"/>
            </w:tcBorders>
          </w:tcPr>
          <w:p>
            <w:pPr/>
          </w:p>
        </w:tc>
      </w:tr>
      <w:tr>
        <w:trPr>
          <w:trHeight w:val="411" w:hRule="exact"/>
        </w:trPr>
        <w:tc>
          <w:tcPr>
            <w:tcW w:w="964" w:type="dxa"/>
            <w:tcBorders>
              <w:left w:val="nil"/>
            </w:tcBorders>
          </w:tcPr>
          <w:p>
            <w:pPr/>
          </w:p>
        </w:tc>
        <w:tc>
          <w:tcPr>
            <w:tcW w:w="1237" w:type="dxa"/>
          </w:tcPr>
          <w:p>
            <w:pPr/>
          </w:p>
        </w:tc>
        <w:tc>
          <w:tcPr>
            <w:tcW w:w="1784" w:type="dxa"/>
          </w:tcPr>
          <w:p>
            <w:pPr/>
          </w:p>
        </w:tc>
        <w:tc>
          <w:tcPr>
            <w:tcW w:w="1510" w:type="dxa"/>
          </w:tcPr>
          <w:p>
            <w:pPr/>
          </w:p>
        </w:tc>
        <w:tc>
          <w:tcPr>
            <w:tcW w:w="1511" w:type="dxa"/>
          </w:tcPr>
          <w:p>
            <w:pPr/>
          </w:p>
        </w:tc>
        <w:tc>
          <w:tcPr>
            <w:tcW w:w="1783" w:type="dxa"/>
            <w:tcBorders>
              <w:right w:val="nil"/>
            </w:tcBorders>
          </w:tcPr>
          <w:p>
            <w:pPr/>
          </w:p>
        </w:tc>
      </w:tr>
      <w:tr>
        <w:trPr>
          <w:trHeight w:val="411" w:hRule="exact"/>
        </w:trPr>
        <w:tc>
          <w:tcPr>
            <w:tcW w:w="964" w:type="dxa"/>
            <w:tcBorders>
              <w:left w:val="nil"/>
            </w:tcBorders>
          </w:tcPr>
          <w:p>
            <w:pPr/>
          </w:p>
        </w:tc>
        <w:tc>
          <w:tcPr>
            <w:tcW w:w="1237" w:type="dxa"/>
          </w:tcPr>
          <w:p>
            <w:pPr/>
          </w:p>
        </w:tc>
        <w:tc>
          <w:tcPr>
            <w:tcW w:w="1784" w:type="dxa"/>
          </w:tcPr>
          <w:p>
            <w:pPr/>
          </w:p>
        </w:tc>
        <w:tc>
          <w:tcPr>
            <w:tcW w:w="1510" w:type="dxa"/>
          </w:tcPr>
          <w:p>
            <w:pPr/>
          </w:p>
        </w:tc>
        <w:tc>
          <w:tcPr>
            <w:tcW w:w="1511" w:type="dxa"/>
          </w:tcPr>
          <w:p>
            <w:pPr/>
          </w:p>
        </w:tc>
        <w:tc>
          <w:tcPr>
            <w:tcW w:w="1783" w:type="dxa"/>
            <w:tcBorders>
              <w:right w:val="nil"/>
            </w:tcBorders>
          </w:tcPr>
          <w:p>
            <w:pPr/>
          </w:p>
        </w:tc>
      </w:tr>
      <w:tr>
        <w:trPr>
          <w:trHeight w:val="411" w:hRule="exact"/>
        </w:trPr>
        <w:tc>
          <w:tcPr>
            <w:tcW w:w="964" w:type="dxa"/>
            <w:tcBorders>
              <w:left w:val="nil"/>
            </w:tcBorders>
          </w:tcPr>
          <w:p>
            <w:pPr/>
          </w:p>
        </w:tc>
        <w:tc>
          <w:tcPr>
            <w:tcW w:w="1237" w:type="dxa"/>
          </w:tcPr>
          <w:p>
            <w:pPr/>
          </w:p>
        </w:tc>
        <w:tc>
          <w:tcPr>
            <w:tcW w:w="1784" w:type="dxa"/>
          </w:tcPr>
          <w:p>
            <w:pPr/>
          </w:p>
        </w:tc>
        <w:tc>
          <w:tcPr>
            <w:tcW w:w="1510" w:type="dxa"/>
          </w:tcPr>
          <w:p>
            <w:pPr/>
          </w:p>
        </w:tc>
        <w:tc>
          <w:tcPr>
            <w:tcW w:w="1511" w:type="dxa"/>
          </w:tcPr>
          <w:p>
            <w:pPr/>
          </w:p>
        </w:tc>
        <w:tc>
          <w:tcPr>
            <w:tcW w:w="1783" w:type="dxa"/>
            <w:tcBorders>
              <w:right w:val="nil"/>
            </w:tcBorders>
          </w:tcPr>
          <w:p>
            <w:pPr/>
          </w:p>
        </w:tc>
      </w:tr>
      <w:tr>
        <w:trPr>
          <w:trHeight w:val="411" w:hRule="exact"/>
        </w:trPr>
        <w:tc>
          <w:tcPr>
            <w:tcW w:w="964" w:type="dxa"/>
            <w:tcBorders>
              <w:left w:val="nil"/>
            </w:tcBorders>
          </w:tcPr>
          <w:p>
            <w:pPr/>
          </w:p>
        </w:tc>
        <w:tc>
          <w:tcPr>
            <w:tcW w:w="1237" w:type="dxa"/>
          </w:tcPr>
          <w:p>
            <w:pPr/>
          </w:p>
        </w:tc>
        <w:tc>
          <w:tcPr>
            <w:tcW w:w="1784" w:type="dxa"/>
          </w:tcPr>
          <w:p>
            <w:pPr/>
          </w:p>
        </w:tc>
        <w:tc>
          <w:tcPr>
            <w:tcW w:w="1510" w:type="dxa"/>
          </w:tcPr>
          <w:p>
            <w:pPr/>
          </w:p>
        </w:tc>
        <w:tc>
          <w:tcPr>
            <w:tcW w:w="1511" w:type="dxa"/>
          </w:tcPr>
          <w:p>
            <w:pPr/>
          </w:p>
        </w:tc>
        <w:tc>
          <w:tcPr>
            <w:tcW w:w="1783" w:type="dxa"/>
            <w:tcBorders>
              <w:right w:val="nil"/>
            </w:tcBorders>
          </w:tcPr>
          <w:p>
            <w:pPr/>
          </w:p>
        </w:tc>
      </w:tr>
    </w:tbl>
    <w:p>
      <w:pPr>
        <w:spacing w:before="98"/>
        <w:ind w:left="1553" w:right="2503" w:firstLine="0"/>
        <w:jc w:val="left"/>
        <w:rPr>
          <w:sz w:val="15"/>
        </w:rPr>
      </w:pPr>
      <w:r>
        <w:rPr>
          <w:color w:val="231F20"/>
          <w:sz w:val="15"/>
        </w:rPr>
        <w:t>Descripción de tratamientos de vacas que finalizan la   lactación.</w:t>
      </w:r>
    </w:p>
    <w:p>
      <w:pPr>
        <w:spacing w:after="0"/>
        <w:jc w:val="left"/>
        <w:rPr>
          <w:sz w:val="15"/>
        </w:rPr>
        <w:sectPr>
          <w:pgSz w:w="11900" w:h="14450"/>
          <w:pgMar w:header="0" w:footer="222" w:top="420" w:bottom="420" w:left="0" w:right="0"/>
        </w:sectPr>
      </w:pPr>
    </w:p>
    <w:p>
      <w:pPr>
        <w:pStyle w:val="BodyText"/>
      </w:pPr>
    </w:p>
    <w:p>
      <w:pPr>
        <w:pStyle w:val="BodyText"/>
      </w:pPr>
    </w:p>
    <w:p>
      <w:pPr>
        <w:pStyle w:val="BodyText"/>
        <w:rPr>
          <w:sz w:val="17"/>
        </w:rPr>
      </w:pPr>
    </w:p>
    <w:p>
      <w:pPr>
        <w:tabs>
          <w:tab w:pos="10334"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7"/>
          <w:sz w:val="22"/>
        </w:rPr>
        <w:t>39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73" w:lineRule="auto"/>
        <w:ind w:left="1553"/>
        <w:jc w:val="both"/>
      </w:pPr>
      <w:r>
        <w:rPr>
          <w:color w:val="231F20"/>
        </w:rPr>
        <w:t>Se registran las glándulas con mastitis clínica (cl), con escasas producciones “cortas”, improductivas “ciegas” y la clasificación de los casos clínicos por gravedad de la inflamación y tratamientos aplica- dos  (Cuadros  4  y 5).</w:t>
      </w:r>
    </w:p>
    <w:p>
      <w:pPr>
        <w:pStyle w:val="BodyText"/>
        <w:spacing w:line="273" w:lineRule="auto" w:before="113"/>
        <w:ind w:left="1553"/>
        <w:jc w:val="both"/>
      </w:pPr>
      <w:r>
        <w:rPr>
          <w:color w:val="231F20"/>
        </w:rPr>
        <w:t>Alrededor de la mitad del ordeño de cada grupo   se</w:t>
      </w:r>
      <w:r>
        <w:rPr>
          <w:color w:val="231F20"/>
          <w:spacing w:val="24"/>
        </w:rPr>
        <w:t> </w:t>
      </w:r>
      <w:r>
        <w:rPr>
          <w:color w:val="231F20"/>
        </w:rPr>
        <w:t>toma</w:t>
      </w:r>
      <w:r>
        <w:rPr>
          <w:color w:val="231F20"/>
          <w:spacing w:val="24"/>
        </w:rPr>
        <w:t> </w:t>
      </w:r>
      <w:r>
        <w:rPr>
          <w:color w:val="231F20"/>
        </w:rPr>
        <w:t>una</w:t>
      </w:r>
      <w:r>
        <w:rPr>
          <w:color w:val="231F20"/>
          <w:spacing w:val="24"/>
        </w:rPr>
        <w:t> </w:t>
      </w:r>
      <w:r>
        <w:rPr>
          <w:color w:val="231F20"/>
        </w:rPr>
        <w:t>muestra</w:t>
      </w:r>
      <w:r>
        <w:rPr>
          <w:color w:val="231F20"/>
          <w:spacing w:val="24"/>
        </w:rPr>
        <w:t> </w:t>
      </w:r>
      <w:r>
        <w:rPr>
          <w:color w:val="231F20"/>
        </w:rPr>
        <w:t>del</w:t>
      </w:r>
      <w:r>
        <w:rPr>
          <w:color w:val="231F20"/>
          <w:spacing w:val="24"/>
        </w:rPr>
        <w:t> </w:t>
      </w:r>
      <w:r>
        <w:rPr>
          <w:color w:val="231F20"/>
        </w:rPr>
        <w:t>tanque</w:t>
      </w:r>
      <w:r>
        <w:rPr>
          <w:color w:val="231F20"/>
          <w:spacing w:val="24"/>
        </w:rPr>
        <w:t> </w:t>
      </w:r>
      <w:r>
        <w:rPr>
          <w:color w:val="231F20"/>
        </w:rPr>
        <w:t>o</w:t>
      </w:r>
      <w:r>
        <w:rPr>
          <w:color w:val="231F20"/>
          <w:spacing w:val="24"/>
        </w:rPr>
        <w:t> </w:t>
      </w:r>
      <w:r>
        <w:rPr>
          <w:color w:val="231F20"/>
        </w:rPr>
        <w:t>bote</w:t>
      </w:r>
      <w:r>
        <w:rPr>
          <w:color w:val="231F20"/>
          <w:spacing w:val="24"/>
        </w:rPr>
        <w:t> </w:t>
      </w:r>
      <w:r>
        <w:rPr>
          <w:color w:val="231F20"/>
        </w:rPr>
        <w:t>de</w:t>
      </w:r>
      <w:r>
        <w:rPr>
          <w:color w:val="231F20"/>
          <w:spacing w:val="24"/>
        </w:rPr>
        <w:t> </w:t>
      </w:r>
      <w:r>
        <w:rPr>
          <w:color w:val="231F20"/>
        </w:rPr>
        <w:t>leche</w:t>
      </w:r>
      <w:r>
        <w:rPr>
          <w:color w:val="231F20"/>
          <w:w w:val="102"/>
        </w:rPr>
        <w:t> </w:t>
      </w:r>
      <w:r>
        <w:rPr>
          <w:color w:val="231F20"/>
        </w:rPr>
        <w:t>y se realiza la prueba de CMT o WMT y CMCS, con el fin de comparar resultados y lograr una mayor confianza en la</w:t>
      </w:r>
      <w:r>
        <w:rPr>
          <w:color w:val="231F20"/>
          <w:spacing w:val="41"/>
        </w:rPr>
        <w:t> </w:t>
      </w:r>
      <w:r>
        <w:rPr>
          <w:color w:val="231F20"/>
        </w:rPr>
        <w:t>respuesta.</w:t>
      </w:r>
    </w:p>
    <w:p>
      <w:pPr>
        <w:pStyle w:val="BodyText"/>
        <w:spacing w:line="273" w:lineRule="auto" w:before="113"/>
        <w:ind w:left="1553"/>
        <w:jc w:val="both"/>
      </w:pPr>
      <w:r>
        <w:rPr>
          <w:color w:val="231F20"/>
        </w:rPr>
        <w:t>Los resultados de cada vaca muestreada se acom- pañan de la información correspondiente al perio- do de análisis: grupo de producción en el cual está integrada la vaca, producción de leche, número de parto, fecha de último parto, estado reproductivo, días en leche y resultados bacteriológicos de las muestras.</w:t>
      </w:r>
    </w:p>
    <w:p>
      <w:pPr>
        <w:pStyle w:val="BodyText"/>
        <w:spacing w:before="10"/>
        <w:rPr>
          <w:sz w:val="27"/>
        </w:rPr>
      </w:pPr>
    </w:p>
    <w:p>
      <w:pPr>
        <w:spacing w:before="1"/>
        <w:ind w:left="1553" w:right="0" w:firstLine="0"/>
        <w:jc w:val="both"/>
        <w:rPr>
          <w:rFonts w:ascii="Cambria" w:hAnsi="Cambria"/>
          <w:i/>
          <w:sz w:val="20"/>
        </w:rPr>
      </w:pPr>
      <w:r>
        <w:rPr>
          <w:rFonts w:ascii="Cambria" w:hAnsi="Cambria"/>
          <w:i/>
          <w:color w:val="231F20"/>
          <w:w w:val="105"/>
          <w:sz w:val="20"/>
        </w:rPr>
        <w:t>Estudios bacteriológicos</w:t>
      </w:r>
    </w:p>
    <w:p>
      <w:pPr>
        <w:spacing w:before="43"/>
        <w:ind w:left="1553" w:right="0" w:firstLine="0"/>
        <w:jc w:val="both"/>
        <w:rPr>
          <w:rFonts w:ascii="Cambria"/>
          <w:i/>
          <w:sz w:val="20"/>
        </w:rPr>
      </w:pPr>
      <w:r>
        <w:rPr>
          <w:rFonts w:ascii="Cambria"/>
          <w:i/>
          <w:color w:val="231F20"/>
          <w:w w:val="105"/>
          <w:sz w:val="20"/>
        </w:rPr>
        <w:t>y de sensibilidad a   antimicrobianos</w:t>
      </w:r>
    </w:p>
    <w:p>
      <w:pPr>
        <w:pStyle w:val="BodyText"/>
        <w:spacing w:line="273" w:lineRule="auto" w:before="156"/>
        <w:ind w:left="1553"/>
        <w:jc w:val="both"/>
      </w:pPr>
      <w:r>
        <w:rPr>
          <w:color w:val="231F20"/>
        </w:rPr>
        <w:t>De las muestras de leche seleccionadas, de an- tisépticos para pezones y de hisopos de instru- mental usado en la ordeña, y del estudio de las características del agua y de su potabilidad, se realizan los estudios microbiológicos y de sensibi- lidad a antimicrobianos, solicitando que desafíen los medicamentos usados para tratar las vacas con mastitis clínica, así como aquellos otros emplea- dos para el tratamiento de vacas que finalizan la actual  lactación  (Cuadro 6).</w:t>
      </w:r>
    </w:p>
    <w:p>
      <w:pPr>
        <w:pStyle w:val="BodyText"/>
        <w:spacing w:before="10"/>
        <w:rPr>
          <w:sz w:val="27"/>
        </w:rPr>
      </w:pPr>
    </w:p>
    <w:p>
      <w:pPr>
        <w:spacing w:before="1"/>
        <w:ind w:left="1553" w:right="0" w:firstLine="0"/>
        <w:jc w:val="both"/>
        <w:rPr>
          <w:rFonts w:ascii="Cambria"/>
          <w:i/>
          <w:sz w:val="20"/>
        </w:rPr>
      </w:pPr>
      <w:r>
        <w:rPr>
          <w:rFonts w:ascii="Cambria"/>
          <w:i/>
          <w:color w:val="231F20"/>
          <w:w w:val="110"/>
          <w:sz w:val="20"/>
        </w:rPr>
        <w:t>Calidad de la leche producida</w:t>
      </w:r>
    </w:p>
    <w:p>
      <w:pPr>
        <w:pStyle w:val="BodyText"/>
        <w:spacing w:line="273" w:lineRule="auto" w:before="156"/>
        <w:ind w:left="1553"/>
        <w:jc w:val="both"/>
      </w:pPr>
      <w:r>
        <w:rPr>
          <w:color w:val="231F20"/>
        </w:rPr>
        <w:t>Con el fin de monitorear la calidad de la leche que se produce en la unidad ganadera, es conveniente realizar ciertas pruebas de laboratorio con la</w:t>
      </w:r>
      <w:r>
        <w:rPr>
          <w:color w:val="231F20"/>
          <w:spacing w:val="-30"/>
        </w:rPr>
        <w:t> </w:t>
      </w:r>
      <w:r>
        <w:rPr>
          <w:color w:val="231F20"/>
        </w:rPr>
        <w:t>mayor frecuencia posible, preferiblemente cada tercer día o por lo menos cada  </w:t>
      </w:r>
      <w:r>
        <w:rPr>
          <w:color w:val="231F20"/>
          <w:spacing w:val="19"/>
        </w:rPr>
        <w:t> </w:t>
      </w:r>
      <w:r>
        <w:rPr>
          <w:color w:val="231F20"/>
        </w:rPr>
        <w:t>semana.</w:t>
      </w:r>
    </w:p>
    <w:p>
      <w:pPr>
        <w:pStyle w:val="BodyText"/>
        <w:spacing w:before="3"/>
        <w:rPr>
          <w:sz w:val="28"/>
        </w:rPr>
      </w:pPr>
      <w:r>
        <w:rPr/>
        <w:br w:type="column"/>
      </w:r>
      <w:r>
        <w:rPr>
          <w:sz w:val="28"/>
        </w:rPr>
      </w:r>
    </w:p>
    <w:p>
      <w:pPr>
        <w:pStyle w:val="BodyText"/>
        <w:spacing w:line="273" w:lineRule="auto"/>
        <w:ind w:left="413" w:right="1551"/>
        <w:jc w:val="both"/>
      </w:pPr>
      <w:r>
        <w:rPr>
          <w:color w:val="231F20"/>
        </w:rPr>
        <w:t>La muestra debe obtenerse con el mayor cuidado posible de higiene, ya que pueden darse condi- ciones de riesgo para su contaminación, lo que altera los resultados del laboratorio de</w:t>
      </w:r>
      <w:r>
        <w:rPr>
          <w:color w:val="231F20"/>
          <w:spacing w:val="-9"/>
        </w:rPr>
        <w:t> </w:t>
      </w:r>
      <w:r>
        <w:rPr>
          <w:color w:val="231F20"/>
        </w:rPr>
        <w:t>diagnóstico. La contaminación de la muestra puede producirse en el momento de tomarla de los pezones o del tanque almacén para leche, durante el enfriamien- to de la leche en el tanque o bien en el trayecto cuando se lleva al laboratorio de </w:t>
      </w:r>
      <w:r>
        <w:rPr>
          <w:color w:val="231F20"/>
          <w:spacing w:val="15"/>
        </w:rPr>
        <w:t> </w:t>
      </w:r>
      <w:r>
        <w:rPr>
          <w:color w:val="231F20"/>
        </w:rPr>
        <w:t>diagnóstico.</w:t>
      </w:r>
    </w:p>
    <w:p>
      <w:pPr>
        <w:pStyle w:val="BodyText"/>
        <w:spacing w:line="273" w:lineRule="auto" w:before="112"/>
        <w:ind w:left="413" w:right="1551"/>
        <w:jc w:val="both"/>
      </w:pPr>
      <w:r>
        <w:rPr>
          <w:color w:val="231F20"/>
        </w:rPr>
        <w:t>Entre las pruebas bacteriológicas realizadas se en- cuentra la cuenta total en placa (CTP), en la cual  los resultados esperados deben ser inferiores a </w:t>
      </w:r>
      <w:r>
        <w:rPr>
          <w:color w:val="231F20"/>
          <w:spacing w:val="3"/>
        </w:rPr>
        <w:t>500000 </w:t>
      </w:r>
      <w:r>
        <w:rPr>
          <w:color w:val="231F20"/>
        </w:rPr>
        <w:t>unidades formadoras de colonias  (UFC). Un número mayor de UFC podría ser a causa de una inadecuada limpieza de los alojamientos, la zona para ordeño, el material y el equipo utilizados durante la actividad de ordeño del </w:t>
      </w:r>
      <w:r>
        <w:rPr>
          <w:color w:val="231F20"/>
          <w:spacing w:val="6"/>
        </w:rPr>
        <w:t> </w:t>
      </w:r>
      <w:r>
        <w:rPr>
          <w:color w:val="231F20"/>
        </w:rPr>
        <w:t>hato.</w:t>
      </w:r>
    </w:p>
    <w:p>
      <w:pPr>
        <w:pStyle w:val="BodyText"/>
        <w:spacing w:line="273" w:lineRule="auto" w:before="112"/>
        <w:ind w:left="413" w:right="1552"/>
        <w:jc w:val="both"/>
      </w:pPr>
      <w:r>
        <w:rPr>
          <w:color w:val="231F20"/>
        </w:rPr>
        <w:t>Otra prueba recomendada es la cuenta en leche pasteurizada (CLP), que debe mostrar  menos  de 50 000 UFC. Cuando los  recuentos  son  mayores, es conveniente realizar procedimientos de limpieza en el equipo para ordeño y almacenamiento de la leche; de gran importancia es la condición de los elementos de hule en el sistema de ordeño por donde circula la leche, así como la presencia de residuos de grasa, minerales y piedras de leche en las tuberías.</w:t>
      </w:r>
    </w:p>
    <w:p>
      <w:pPr>
        <w:pStyle w:val="BodyText"/>
        <w:spacing w:line="273" w:lineRule="auto" w:before="112"/>
        <w:ind w:left="413" w:right="1551"/>
        <w:jc w:val="both"/>
      </w:pPr>
      <w:r>
        <w:rPr>
          <w:color w:val="231F20"/>
        </w:rPr>
        <w:t>Una prueba de importancia es la cuenta total de coliformes (CT), en la que se esperan cantidades inferiores a </w:t>
      </w:r>
      <w:r>
        <w:rPr>
          <w:color w:val="231F20"/>
          <w:spacing w:val="-3"/>
        </w:rPr>
        <w:t>100 </w:t>
      </w:r>
      <w:r>
        <w:rPr>
          <w:color w:val="231F20"/>
        </w:rPr>
        <w:t>UFC/ml de leche; cantidades ma- yores sugieren un inadecuado mantenimiento de los alojamientos y de los callejones de circulación para el ganado, una mala preparación de las va-  cas para el ordeño, condiciones sucias de mate- riales y equipos empleados en la realización de la actividad de ordeño, o resbalamiento de pezone- ras en pezones ordeñados bajo condiciones sucias  y</w:t>
      </w:r>
      <w:r>
        <w:rPr>
          <w:color w:val="231F20"/>
          <w:spacing w:val="32"/>
        </w:rPr>
        <w:t> </w:t>
      </w:r>
      <w:r>
        <w:rPr>
          <w:color w:val="231F20"/>
        </w:rPr>
        <w:t>húmedas.</w:t>
      </w:r>
    </w:p>
    <w:p>
      <w:pPr>
        <w:spacing w:after="0" w:line="273"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w w:val="120"/>
          <w:sz w:val="22"/>
        </w:rPr>
        <w:t>40</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7"/>
        <w:rPr>
          <w:sz w:val="28"/>
        </w:rPr>
      </w:pPr>
    </w:p>
    <w:p>
      <w:pPr>
        <w:spacing w:before="0"/>
        <w:ind w:left="1553" w:right="2503" w:firstLine="0"/>
        <w:jc w:val="left"/>
        <w:rPr>
          <w:sz w:val="18"/>
        </w:rPr>
      </w:pPr>
      <w:r>
        <w:rPr>
          <w:color w:val="231F20"/>
          <w:sz w:val="18"/>
        </w:rPr>
        <w:t>Cuadro  6.   Bacteriológicos  y sensibilidad.</w:t>
      </w:r>
    </w:p>
    <w:p>
      <w:pPr>
        <w:pStyle w:val="BodyText"/>
        <w:spacing w:before="8"/>
        <w:rPr>
          <w:sz w:val="8"/>
        </w:rPr>
      </w:pPr>
      <w:r>
        <w:rPr/>
        <w:pict>
          <v:group style="position:absolute;margin-left:77.442902pt;margin-top:7.252427pt;width:439.95pt;height:.5pt;mso-position-horizontal-relative:page;mso-position-vertical-relative:paragraph;z-index:2104;mso-wrap-distance-left:0;mso-wrap-distance-right:0" coordorigin="1549,145" coordsize="8799,10">
            <v:line style="position:absolute" from="1554,150" to="3599,150" stroked="true" strokeweight=".5pt" strokecolor="#231f20"/>
            <v:line style="position:absolute" from="3599,150" to="4287,150" stroked="true" strokeweight=".5pt" strokecolor="#231f20"/>
            <v:line style="position:absolute" from="4287,150" to="4975,150" stroked="true" strokeweight=".5pt" strokecolor="#231f20"/>
            <v:line style="position:absolute" from="4975,150" to="5663,150" stroked="true" strokeweight=".5pt" strokecolor="#231f20"/>
            <v:line style="position:absolute" from="5663,150" to="6333,150" stroked="true" strokeweight=".5pt" strokecolor="#231f20"/>
            <v:line style="position:absolute" from="6333,150" to="7039,150" stroked="true" strokeweight=".5pt" strokecolor="#231f20"/>
            <v:line style="position:absolute" from="7039,150" to="7727,150" stroked="true" strokeweight=".5pt" strokecolor="#231f20"/>
            <v:line style="position:absolute" from="7727,150" to="8415,150" stroked="true" strokeweight=".5pt" strokecolor="#231f20"/>
            <v:line style="position:absolute" from="8415,150" to="9103,150" stroked="true" strokeweight=".5pt" strokecolor="#231f20"/>
            <v:line style="position:absolute" from="9103,150" to="9790,150" stroked="true" strokeweight=".5pt" strokecolor="#231f20"/>
            <v:line style="position:absolute" from="9790,150" to="10343,150" stroked="true" strokeweight=".5pt" strokecolor="#231f20"/>
            <w10:wrap type="topAndBottom"/>
          </v:group>
        </w:pict>
      </w:r>
    </w:p>
    <w:p>
      <w:pPr>
        <w:spacing w:before="33"/>
        <w:ind w:left="1667" w:right="0" w:firstLine="0"/>
        <w:jc w:val="left"/>
        <w:rPr>
          <w:rFonts w:ascii="Cambria"/>
          <w:i/>
          <w:sz w:val="18"/>
        </w:rPr>
      </w:pPr>
      <w:r>
        <w:rPr>
          <w:rFonts w:ascii="Cambria"/>
          <w:i/>
          <w:color w:val="231F20"/>
          <w:w w:val="102"/>
          <w:sz w:val="18"/>
        </w:rPr>
        <w:t>A</w:t>
      </w:r>
    </w:p>
    <w:p>
      <w:pPr>
        <w:spacing w:before="49" w:after="51"/>
        <w:ind w:left="1667" w:right="2503" w:firstLine="0"/>
        <w:jc w:val="left"/>
        <w:rPr>
          <w:rFonts w:ascii="Cambria" w:hAnsi="Cambria"/>
          <w:i/>
          <w:sz w:val="18"/>
        </w:rPr>
      </w:pPr>
      <w:r>
        <w:rPr>
          <w:rFonts w:ascii="Cambria" w:hAnsi="Cambria"/>
          <w:i/>
          <w:color w:val="231F20"/>
          <w:w w:val="105"/>
          <w:sz w:val="18"/>
        </w:rPr>
        <w:t>Bacteriológicos y sensibilidad a agentes    quimioterapéuticos</w:t>
      </w: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45"/>
        <w:gridCol w:w="688"/>
        <w:gridCol w:w="688"/>
        <w:gridCol w:w="688"/>
        <w:gridCol w:w="670"/>
        <w:gridCol w:w="706"/>
        <w:gridCol w:w="688"/>
        <w:gridCol w:w="688"/>
        <w:gridCol w:w="688"/>
        <w:gridCol w:w="687"/>
        <w:gridCol w:w="553"/>
      </w:tblGrid>
      <w:tr>
        <w:trPr>
          <w:trHeight w:val="320" w:hRule="exact"/>
        </w:trPr>
        <w:tc>
          <w:tcPr>
            <w:tcW w:w="2045" w:type="dxa"/>
            <w:vMerge w:val="restart"/>
            <w:tcBorders>
              <w:left w:val="nil"/>
            </w:tcBorders>
          </w:tcPr>
          <w:p>
            <w:pPr>
              <w:pStyle w:val="TableParagraph"/>
              <w:spacing w:before="5"/>
              <w:rPr>
                <w:rFonts w:ascii="Cambria"/>
                <w:i/>
                <w:sz w:val="18"/>
              </w:rPr>
            </w:pPr>
          </w:p>
          <w:p>
            <w:pPr>
              <w:pStyle w:val="TableParagraph"/>
              <w:spacing w:before="0"/>
              <w:ind w:left="113"/>
              <w:rPr>
                <w:sz w:val="17"/>
              </w:rPr>
            </w:pPr>
            <w:r>
              <w:rPr>
                <w:color w:val="231F20"/>
                <w:sz w:val="17"/>
              </w:rPr>
              <w:t>Quimioterapéutico</w:t>
            </w:r>
          </w:p>
        </w:tc>
        <w:tc>
          <w:tcPr>
            <w:tcW w:w="6744" w:type="dxa"/>
            <w:gridSpan w:val="10"/>
            <w:tcBorders>
              <w:right w:val="nil"/>
            </w:tcBorders>
          </w:tcPr>
          <w:p>
            <w:pPr>
              <w:pStyle w:val="TableParagraph"/>
              <w:spacing w:before="56"/>
              <w:ind w:left="2112"/>
              <w:rPr>
                <w:sz w:val="17"/>
              </w:rPr>
            </w:pPr>
            <w:r>
              <w:rPr>
                <w:color w:val="231F20"/>
                <w:sz w:val="17"/>
              </w:rPr>
              <w:t>Identificación de muestras de  leche</w:t>
            </w:r>
          </w:p>
        </w:tc>
      </w:tr>
      <w:tr>
        <w:trPr>
          <w:trHeight w:val="320" w:hRule="exact"/>
        </w:trPr>
        <w:tc>
          <w:tcPr>
            <w:tcW w:w="2045" w:type="dxa"/>
            <w:vMerge/>
            <w:tcBorders>
              <w:left w:val="nil"/>
            </w:tcBorders>
          </w:tcPr>
          <w:p>
            <w:pPr/>
          </w:p>
        </w:tc>
        <w:tc>
          <w:tcPr>
            <w:tcW w:w="688" w:type="dxa"/>
          </w:tcPr>
          <w:p>
            <w:pPr>
              <w:pStyle w:val="TableParagraph"/>
              <w:spacing w:before="56"/>
              <w:ind w:left="108"/>
              <w:rPr>
                <w:sz w:val="17"/>
              </w:rPr>
            </w:pPr>
            <w:r>
              <w:rPr>
                <w:color w:val="231F20"/>
                <w:w w:val="115"/>
                <w:sz w:val="17"/>
              </w:rPr>
              <w:t>1</w:t>
            </w:r>
          </w:p>
        </w:tc>
        <w:tc>
          <w:tcPr>
            <w:tcW w:w="688" w:type="dxa"/>
          </w:tcPr>
          <w:p>
            <w:pPr>
              <w:pStyle w:val="TableParagraph"/>
              <w:spacing w:before="56"/>
              <w:ind w:left="108"/>
              <w:rPr>
                <w:sz w:val="17"/>
              </w:rPr>
            </w:pPr>
            <w:r>
              <w:rPr>
                <w:color w:val="231F20"/>
                <w:w w:val="115"/>
                <w:sz w:val="17"/>
              </w:rPr>
              <w:t>2</w:t>
            </w:r>
          </w:p>
        </w:tc>
        <w:tc>
          <w:tcPr>
            <w:tcW w:w="688" w:type="dxa"/>
          </w:tcPr>
          <w:p>
            <w:pPr>
              <w:pStyle w:val="TableParagraph"/>
              <w:spacing w:before="56"/>
              <w:ind w:left="108"/>
              <w:rPr>
                <w:sz w:val="17"/>
              </w:rPr>
            </w:pPr>
            <w:r>
              <w:rPr>
                <w:color w:val="231F20"/>
                <w:w w:val="115"/>
                <w:sz w:val="17"/>
              </w:rPr>
              <w:t>3</w:t>
            </w:r>
          </w:p>
        </w:tc>
        <w:tc>
          <w:tcPr>
            <w:tcW w:w="670" w:type="dxa"/>
          </w:tcPr>
          <w:p>
            <w:pPr>
              <w:pStyle w:val="TableParagraph"/>
              <w:spacing w:before="56"/>
              <w:ind w:left="108"/>
              <w:rPr>
                <w:sz w:val="17"/>
              </w:rPr>
            </w:pPr>
            <w:r>
              <w:rPr>
                <w:color w:val="231F20"/>
                <w:w w:val="115"/>
                <w:sz w:val="17"/>
              </w:rPr>
              <w:t>4</w:t>
            </w:r>
          </w:p>
        </w:tc>
        <w:tc>
          <w:tcPr>
            <w:tcW w:w="706" w:type="dxa"/>
          </w:tcPr>
          <w:p>
            <w:pPr>
              <w:pStyle w:val="TableParagraph"/>
              <w:spacing w:before="56"/>
              <w:ind w:left="108"/>
              <w:rPr>
                <w:sz w:val="17"/>
              </w:rPr>
            </w:pPr>
            <w:r>
              <w:rPr>
                <w:color w:val="231F20"/>
                <w:w w:val="115"/>
                <w:sz w:val="17"/>
              </w:rPr>
              <w:t>5</w:t>
            </w:r>
          </w:p>
        </w:tc>
        <w:tc>
          <w:tcPr>
            <w:tcW w:w="688" w:type="dxa"/>
          </w:tcPr>
          <w:p>
            <w:pPr>
              <w:pStyle w:val="TableParagraph"/>
              <w:spacing w:before="56"/>
              <w:ind w:left="108"/>
              <w:rPr>
                <w:sz w:val="17"/>
              </w:rPr>
            </w:pPr>
            <w:r>
              <w:rPr>
                <w:color w:val="231F20"/>
                <w:w w:val="115"/>
                <w:sz w:val="17"/>
              </w:rPr>
              <w:t>6</w:t>
            </w:r>
          </w:p>
        </w:tc>
        <w:tc>
          <w:tcPr>
            <w:tcW w:w="688" w:type="dxa"/>
          </w:tcPr>
          <w:p>
            <w:pPr>
              <w:pStyle w:val="TableParagraph"/>
              <w:spacing w:before="56"/>
              <w:ind w:left="108"/>
              <w:rPr>
                <w:sz w:val="17"/>
              </w:rPr>
            </w:pPr>
            <w:r>
              <w:rPr>
                <w:color w:val="231F20"/>
                <w:w w:val="115"/>
                <w:sz w:val="17"/>
              </w:rPr>
              <w:t>7</w:t>
            </w:r>
          </w:p>
        </w:tc>
        <w:tc>
          <w:tcPr>
            <w:tcW w:w="688" w:type="dxa"/>
          </w:tcPr>
          <w:p>
            <w:pPr>
              <w:pStyle w:val="TableParagraph"/>
              <w:spacing w:before="56"/>
              <w:ind w:left="108"/>
              <w:rPr>
                <w:sz w:val="17"/>
              </w:rPr>
            </w:pPr>
            <w:r>
              <w:rPr>
                <w:color w:val="231F20"/>
                <w:w w:val="115"/>
                <w:sz w:val="17"/>
              </w:rPr>
              <w:t>8</w:t>
            </w:r>
          </w:p>
        </w:tc>
        <w:tc>
          <w:tcPr>
            <w:tcW w:w="687" w:type="dxa"/>
          </w:tcPr>
          <w:p>
            <w:pPr>
              <w:pStyle w:val="TableParagraph"/>
              <w:spacing w:before="56"/>
              <w:ind w:left="108"/>
              <w:rPr>
                <w:sz w:val="17"/>
              </w:rPr>
            </w:pPr>
            <w:r>
              <w:rPr>
                <w:color w:val="231F20"/>
                <w:w w:val="115"/>
                <w:sz w:val="17"/>
              </w:rPr>
              <w:t>9</w:t>
            </w:r>
          </w:p>
        </w:tc>
        <w:tc>
          <w:tcPr>
            <w:tcW w:w="553" w:type="dxa"/>
            <w:tcBorders>
              <w:right w:val="nil"/>
            </w:tcBorders>
          </w:tcPr>
          <w:p>
            <w:pPr>
              <w:pStyle w:val="TableParagraph"/>
              <w:spacing w:before="56"/>
              <w:ind w:left="108"/>
              <w:rPr>
                <w:sz w:val="17"/>
              </w:rPr>
            </w:pPr>
            <w:r>
              <w:rPr>
                <w:color w:val="231F20"/>
                <w:w w:val="115"/>
                <w:sz w:val="17"/>
              </w:rPr>
              <w:t>10</w:t>
            </w:r>
          </w:p>
        </w:tc>
      </w:tr>
      <w:tr>
        <w:trPr>
          <w:trHeight w:val="320" w:hRule="exact"/>
        </w:trPr>
        <w:tc>
          <w:tcPr>
            <w:tcW w:w="2045" w:type="dxa"/>
            <w:tcBorders>
              <w:left w:val="nil"/>
            </w:tcBorders>
          </w:tcPr>
          <w:p>
            <w:pPr>
              <w:pStyle w:val="TableParagraph"/>
              <w:spacing w:before="56"/>
              <w:ind w:left="113"/>
              <w:rPr>
                <w:sz w:val="17"/>
              </w:rPr>
            </w:pPr>
            <w:r>
              <w:rPr>
                <w:color w:val="231F20"/>
                <w:w w:val="105"/>
                <w:sz w:val="17"/>
              </w:rPr>
              <w:t>Género</w:t>
            </w:r>
          </w:p>
        </w:tc>
        <w:tc>
          <w:tcPr>
            <w:tcW w:w="688" w:type="dxa"/>
          </w:tcPr>
          <w:p>
            <w:pPr/>
          </w:p>
        </w:tc>
        <w:tc>
          <w:tcPr>
            <w:tcW w:w="688" w:type="dxa"/>
          </w:tcPr>
          <w:p>
            <w:pPr/>
          </w:p>
        </w:tc>
        <w:tc>
          <w:tcPr>
            <w:tcW w:w="688" w:type="dxa"/>
          </w:tcPr>
          <w:p>
            <w:pPr/>
          </w:p>
        </w:tc>
        <w:tc>
          <w:tcPr>
            <w:tcW w:w="670" w:type="dxa"/>
          </w:tcPr>
          <w:p>
            <w:pPr/>
          </w:p>
        </w:tc>
        <w:tc>
          <w:tcPr>
            <w:tcW w:w="706" w:type="dxa"/>
          </w:tcPr>
          <w:p>
            <w:pPr/>
          </w:p>
        </w:tc>
        <w:tc>
          <w:tcPr>
            <w:tcW w:w="688" w:type="dxa"/>
          </w:tcPr>
          <w:p>
            <w:pPr/>
          </w:p>
        </w:tc>
        <w:tc>
          <w:tcPr>
            <w:tcW w:w="688" w:type="dxa"/>
          </w:tcPr>
          <w:p>
            <w:pPr/>
          </w:p>
        </w:tc>
        <w:tc>
          <w:tcPr>
            <w:tcW w:w="688" w:type="dxa"/>
          </w:tcPr>
          <w:p>
            <w:pPr/>
          </w:p>
        </w:tc>
        <w:tc>
          <w:tcPr>
            <w:tcW w:w="687" w:type="dxa"/>
          </w:tcPr>
          <w:p>
            <w:pPr/>
          </w:p>
        </w:tc>
        <w:tc>
          <w:tcPr>
            <w:tcW w:w="553" w:type="dxa"/>
            <w:tcBorders>
              <w:right w:val="nil"/>
            </w:tcBorders>
          </w:tcPr>
          <w:p>
            <w:pPr/>
          </w:p>
        </w:tc>
      </w:tr>
      <w:tr>
        <w:trPr>
          <w:trHeight w:val="320" w:hRule="exact"/>
        </w:trPr>
        <w:tc>
          <w:tcPr>
            <w:tcW w:w="2045" w:type="dxa"/>
            <w:tcBorders>
              <w:left w:val="nil"/>
            </w:tcBorders>
          </w:tcPr>
          <w:p>
            <w:pPr>
              <w:pStyle w:val="TableParagraph"/>
              <w:spacing w:before="56"/>
              <w:ind w:left="113"/>
              <w:rPr>
                <w:sz w:val="17"/>
              </w:rPr>
            </w:pPr>
            <w:r>
              <w:rPr>
                <w:color w:val="231F20"/>
                <w:w w:val="105"/>
                <w:sz w:val="17"/>
              </w:rPr>
              <w:t>Especie</w:t>
            </w:r>
          </w:p>
        </w:tc>
        <w:tc>
          <w:tcPr>
            <w:tcW w:w="688" w:type="dxa"/>
          </w:tcPr>
          <w:p>
            <w:pPr/>
          </w:p>
        </w:tc>
        <w:tc>
          <w:tcPr>
            <w:tcW w:w="688" w:type="dxa"/>
          </w:tcPr>
          <w:p>
            <w:pPr/>
          </w:p>
        </w:tc>
        <w:tc>
          <w:tcPr>
            <w:tcW w:w="688" w:type="dxa"/>
          </w:tcPr>
          <w:p>
            <w:pPr/>
          </w:p>
        </w:tc>
        <w:tc>
          <w:tcPr>
            <w:tcW w:w="670" w:type="dxa"/>
          </w:tcPr>
          <w:p>
            <w:pPr/>
          </w:p>
        </w:tc>
        <w:tc>
          <w:tcPr>
            <w:tcW w:w="706" w:type="dxa"/>
          </w:tcPr>
          <w:p>
            <w:pPr/>
          </w:p>
        </w:tc>
        <w:tc>
          <w:tcPr>
            <w:tcW w:w="688" w:type="dxa"/>
          </w:tcPr>
          <w:p>
            <w:pPr/>
          </w:p>
        </w:tc>
        <w:tc>
          <w:tcPr>
            <w:tcW w:w="688" w:type="dxa"/>
          </w:tcPr>
          <w:p>
            <w:pPr/>
          </w:p>
        </w:tc>
        <w:tc>
          <w:tcPr>
            <w:tcW w:w="688" w:type="dxa"/>
          </w:tcPr>
          <w:p>
            <w:pPr/>
          </w:p>
        </w:tc>
        <w:tc>
          <w:tcPr>
            <w:tcW w:w="687" w:type="dxa"/>
          </w:tcPr>
          <w:p>
            <w:pPr/>
          </w:p>
        </w:tc>
        <w:tc>
          <w:tcPr>
            <w:tcW w:w="553" w:type="dxa"/>
            <w:tcBorders>
              <w:right w:val="nil"/>
            </w:tcBorders>
          </w:tcPr>
          <w:p>
            <w:pPr/>
          </w:p>
        </w:tc>
      </w:tr>
    </w:tbl>
    <w:p>
      <w:pPr>
        <w:spacing w:before="62"/>
        <w:ind w:left="1719" w:right="0" w:firstLine="0"/>
        <w:jc w:val="left"/>
        <w:rPr>
          <w:rFonts w:ascii="Cambria"/>
          <w:i/>
          <w:sz w:val="18"/>
        </w:rPr>
      </w:pPr>
      <w:r>
        <w:rPr>
          <w:rFonts w:ascii="Cambria"/>
          <w:i/>
          <w:color w:val="231F20"/>
          <w:w w:val="104"/>
          <w:sz w:val="18"/>
        </w:rPr>
        <w:t>B</w:t>
      </w:r>
    </w:p>
    <w:p>
      <w:pPr>
        <w:spacing w:before="49" w:after="51"/>
        <w:ind w:left="1719" w:right="2503" w:firstLine="0"/>
        <w:jc w:val="left"/>
        <w:rPr>
          <w:rFonts w:ascii="Cambria" w:hAnsi="Cambria"/>
          <w:i/>
          <w:sz w:val="18"/>
        </w:rPr>
      </w:pPr>
      <w:r>
        <w:rPr>
          <w:rFonts w:ascii="Cambria" w:hAnsi="Cambria"/>
          <w:i/>
          <w:color w:val="231F20"/>
          <w:w w:val="105"/>
          <w:sz w:val="18"/>
        </w:rPr>
        <w:t>Bacteriológicos y sensibilidad a  antisépticos</w:t>
      </w: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45"/>
        <w:gridCol w:w="688"/>
        <w:gridCol w:w="688"/>
        <w:gridCol w:w="688"/>
        <w:gridCol w:w="670"/>
        <w:gridCol w:w="706"/>
        <w:gridCol w:w="688"/>
        <w:gridCol w:w="688"/>
        <w:gridCol w:w="688"/>
        <w:gridCol w:w="687"/>
        <w:gridCol w:w="553"/>
      </w:tblGrid>
      <w:tr>
        <w:trPr>
          <w:trHeight w:val="320" w:hRule="exact"/>
        </w:trPr>
        <w:tc>
          <w:tcPr>
            <w:tcW w:w="2045" w:type="dxa"/>
            <w:vMerge w:val="restart"/>
            <w:tcBorders>
              <w:left w:val="nil"/>
            </w:tcBorders>
          </w:tcPr>
          <w:p>
            <w:pPr>
              <w:pStyle w:val="TableParagraph"/>
              <w:spacing w:before="5"/>
              <w:rPr>
                <w:rFonts w:ascii="Cambria"/>
                <w:i/>
                <w:sz w:val="18"/>
              </w:rPr>
            </w:pPr>
          </w:p>
          <w:p>
            <w:pPr>
              <w:pStyle w:val="TableParagraph"/>
              <w:spacing w:before="0"/>
              <w:ind w:left="113"/>
              <w:rPr>
                <w:sz w:val="17"/>
              </w:rPr>
            </w:pPr>
            <w:r>
              <w:rPr>
                <w:color w:val="231F20"/>
                <w:sz w:val="17"/>
              </w:rPr>
              <w:t>Antiséptico</w:t>
            </w:r>
          </w:p>
        </w:tc>
        <w:tc>
          <w:tcPr>
            <w:tcW w:w="6744" w:type="dxa"/>
            <w:gridSpan w:val="10"/>
            <w:tcBorders>
              <w:right w:val="nil"/>
            </w:tcBorders>
          </w:tcPr>
          <w:p>
            <w:pPr>
              <w:pStyle w:val="TableParagraph"/>
              <w:spacing w:before="56"/>
              <w:ind w:left="1995"/>
              <w:rPr>
                <w:sz w:val="17"/>
              </w:rPr>
            </w:pPr>
            <w:r>
              <w:rPr>
                <w:color w:val="231F20"/>
                <w:sz w:val="17"/>
              </w:rPr>
              <w:t>Microorganismo prevalente en la  leche</w:t>
            </w:r>
          </w:p>
        </w:tc>
      </w:tr>
      <w:tr>
        <w:trPr>
          <w:trHeight w:val="320" w:hRule="exact"/>
        </w:trPr>
        <w:tc>
          <w:tcPr>
            <w:tcW w:w="2045" w:type="dxa"/>
            <w:vMerge/>
            <w:tcBorders>
              <w:left w:val="nil"/>
            </w:tcBorders>
          </w:tcPr>
          <w:p>
            <w:pPr/>
          </w:p>
        </w:tc>
        <w:tc>
          <w:tcPr>
            <w:tcW w:w="688" w:type="dxa"/>
          </w:tcPr>
          <w:p>
            <w:pPr>
              <w:pStyle w:val="TableParagraph"/>
              <w:spacing w:before="56"/>
              <w:ind w:left="108"/>
              <w:rPr>
                <w:sz w:val="17"/>
              </w:rPr>
            </w:pPr>
            <w:r>
              <w:rPr>
                <w:color w:val="231F20"/>
                <w:w w:val="115"/>
                <w:sz w:val="17"/>
              </w:rPr>
              <w:t>1</w:t>
            </w:r>
          </w:p>
        </w:tc>
        <w:tc>
          <w:tcPr>
            <w:tcW w:w="688" w:type="dxa"/>
          </w:tcPr>
          <w:p>
            <w:pPr>
              <w:pStyle w:val="TableParagraph"/>
              <w:spacing w:before="56"/>
              <w:ind w:left="108"/>
              <w:rPr>
                <w:sz w:val="17"/>
              </w:rPr>
            </w:pPr>
            <w:r>
              <w:rPr>
                <w:color w:val="231F20"/>
                <w:w w:val="115"/>
                <w:sz w:val="17"/>
              </w:rPr>
              <w:t>2</w:t>
            </w:r>
          </w:p>
        </w:tc>
        <w:tc>
          <w:tcPr>
            <w:tcW w:w="688" w:type="dxa"/>
          </w:tcPr>
          <w:p>
            <w:pPr>
              <w:pStyle w:val="TableParagraph"/>
              <w:spacing w:before="56"/>
              <w:ind w:left="108"/>
              <w:rPr>
                <w:sz w:val="17"/>
              </w:rPr>
            </w:pPr>
            <w:r>
              <w:rPr>
                <w:color w:val="231F20"/>
                <w:w w:val="115"/>
                <w:sz w:val="17"/>
              </w:rPr>
              <w:t>3</w:t>
            </w:r>
          </w:p>
        </w:tc>
        <w:tc>
          <w:tcPr>
            <w:tcW w:w="670" w:type="dxa"/>
          </w:tcPr>
          <w:p>
            <w:pPr>
              <w:pStyle w:val="TableParagraph"/>
              <w:spacing w:before="56"/>
              <w:ind w:left="108"/>
              <w:rPr>
                <w:sz w:val="17"/>
              </w:rPr>
            </w:pPr>
            <w:r>
              <w:rPr>
                <w:color w:val="231F20"/>
                <w:w w:val="115"/>
                <w:sz w:val="17"/>
              </w:rPr>
              <w:t>4</w:t>
            </w:r>
          </w:p>
        </w:tc>
        <w:tc>
          <w:tcPr>
            <w:tcW w:w="706" w:type="dxa"/>
          </w:tcPr>
          <w:p>
            <w:pPr>
              <w:pStyle w:val="TableParagraph"/>
              <w:spacing w:before="56"/>
              <w:ind w:left="108"/>
              <w:rPr>
                <w:sz w:val="17"/>
              </w:rPr>
            </w:pPr>
            <w:r>
              <w:rPr>
                <w:color w:val="231F20"/>
                <w:w w:val="115"/>
                <w:sz w:val="17"/>
              </w:rPr>
              <w:t>5</w:t>
            </w:r>
          </w:p>
        </w:tc>
        <w:tc>
          <w:tcPr>
            <w:tcW w:w="688" w:type="dxa"/>
          </w:tcPr>
          <w:p>
            <w:pPr>
              <w:pStyle w:val="TableParagraph"/>
              <w:spacing w:before="56"/>
              <w:ind w:left="108"/>
              <w:rPr>
                <w:sz w:val="17"/>
              </w:rPr>
            </w:pPr>
            <w:r>
              <w:rPr>
                <w:color w:val="231F20"/>
                <w:w w:val="115"/>
                <w:sz w:val="17"/>
              </w:rPr>
              <w:t>6</w:t>
            </w:r>
          </w:p>
        </w:tc>
        <w:tc>
          <w:tcPr>
            <w:tcW w:w="688" w:type="dxa"/>
          </w:tcPr>
          <w:p>
            <w:pPr>
              <w:pStyle w:val="TableParagraph"/>
              <w:spacing w:before="56"/>
              <w:ind w:left="108"/>
              <w:rPr>
                <w:sz w:val="17"/>
              </w:rPr>
            </w:pPr>
            <w:r>
              <w:rPr>
                <w:color w:val="231F20"/>
                <w:w w:val="115"/>
                <w:sz w:val="17"/>
              </w:rPr>
              <w:t>7</w:t>
            </w:r>
          </w:p>
        </w:tc>
        <w:tc>
          <w:tcPr>
            <w:tcW w:w="688" w:type="dxa"/>
          </w:tcPr>
          <w:p>
            <w:pPr>
              <w:pStyle w:val="TableParagraph"/>
              <w:spacing w:before="56"/>
              <w:ind w:left="108"/>
              <w:rPr>
                <w:sz w:val="17"/>
              </w:rPr>
            </w:pPr>
            <w:r>
              <w:rPr>
                <w:color w:val="231F20"/>
                <w:w w:val="115"/>
                <w:sz w:val="17"/>
              </w:rPr>
              <w:t>8</w:t>
            </w:r>
          </w:p>
        </w:tc>
        <w:tc>
          <w:tcPr>
            <w:tcW w:w="687" w:type="dxa"/>
          </w:tcPr>
          <w:p>
            <w:pPr>
              <w:pStyle w:val="TableParagraph"/>
              <w:spacing w:before="56"/>
              <w:ind w:left="108"/>
              <w:rPr>
                <w:sz w:val="17"/>
              </w:rPr>
            </w:pPr>
            <w:r>
              <w:rPr>
                <w:color w:val="231F20"/>
                <w:w w:val="115"/>
                <w:sz w:val="17"/>
              </w:rPr>
              <w:t>9</w:t>
            </w:r>
          </w:p>
        </w:tc>
        <w:tc>
          <w:tcPr>
            <w:tcW w:w="553" w:type="dxa"/>
            <w:tcBorders>
              <w:right w:val="nil"/>
            </w:tcBorders>
          </w:tcPr>
          <w:p>
            <w:pPr>
              <w:pStyle w:val="TableParagraph"/>
              <w:spacing w:before="56"/>
              <w:ind w:left="108"/>
              <w:rPr>
                <w:sz w:val="17"/>
              </w:rPr>
            </w:pPr>
            <w:r>
              <w:rPr>
                <w:color w:val="231F20"/>
                <w:w w:val="115"/>
                <w:sz w:val="17"/>
              </w:rPr>
              <w:t>10</w:t>
            </w:r>
          </w:p>
        </w:tc>
      </w:tr>
      <w:tr>
        <w:trPr>
          <w:trHeight w:val="320" w:hRule="exact"/>
        </w:trPr>
        <w:tc>
          <w:tcPr>
            <w:tcW w:w="2045" w:type="dxa"/>
            <w:tcBorders>
              <w:left w:val="nil"/>
            </w:tcBorders>
          </w:tcPr>
          <w:p>
            <w:pPr>
              <w:pStyle w:val="TableParagraph"/>
              <w:spacing w:before="56"/>
              <w:ind w:left="113"/>
              <w:rPr>
                <w:sz w:val="17"/>
              </w:rPr>
            </w:pPr>
            <w:r>
              <w:rPr>
                <w:color w:val="231F20"/>
                <w:w w:val="105"/>
                <w:sz w:val="17"/>
              </w:rPr>
              <w:t>Género</w:t>
            </w:r>
          </w:p>
        </w:tc>
        <w:tc>
          <w:tcPr>
            <w:tcW w:w="688" w:type="dxa"/>
          </w:tcPr>
          <w:p>
            <w:pPr/>
          </w:p>
        </w:tc>
        <w:tc>
          <w:tcPr>
            <w:tcW w:w="688" w:type="dxa"/>
          </w:tcPr>
          <w:p>
            <w:pPr/>
          </w:p>
        </w:tc>
        <w:tc>
          <w:tcPr>
            <w:tcW w:w="688" w:type="dxa"/>
          </w:tcPr>
          <w:p>
            <w:pPr/>
          </w:p>
        </w:tc>
        <w:tc>
          <w:tcPr>
            <w:tcW w:w="670" w:type="dxa"/>
          </w:tcPr>
          <w:p>
            <w:pPr/>
          </w:p>
        </w:tc>
        <w:tc>
          <w:tcPr>
            <w:tcW w:w="706" w:type="dxa"/>
          </w:tcPr>
          <w:p>
            <w:pPr/>
          </w:p>
        </w:tc>
        <w:tc>
          <w:tcPr>
            <w:tcW w:w="688" w:type="dxa"/>
          </w:tcPr>
          <w:p>
            <w:pPr/>
          </w:p>
        </w:tc>
        <w:tc>
          <w:tcPr>
            <w:tcW w:w="688" w:type="dxa"/>
          </w:tcPr>
          <w:p>
            <w:pPr/>
          </w:p>
        </w:tc>
        <w:tc>
          <w:tcPr>
            <w:tcW w:w="688" w:type="dxa"/>
          </w:tcPr>
          <w:p>
            <w:pPr/>
          </w:p>
        </w:tc>
        <w:tc>
          <w:tcPr>
            <w:tcW w:w="687" w:type="dxa"/>
          </w:tcPr>
          <w:p>
            <w:pPr/>
          </w:p>
        </w:tc>
        <w:tc>
          <w:tcPr>
            <w:tcW w:w="553" w:type="dxa"/>
            <w:tcBorders>
              <w:right w:val="nil"/>
            </w:tcBorders>
          </w:tcPr>
          <w:p>
            <w:pPr/>
          </w:p>
        </w:tc>
      </w:tr>
      <w:tr>
        <w:trPr>
          <w:trHeight w:val="320" w:hRule="exact"/>
        </w:trPr>
        <w:tc>
          <w:tcPr>
            <w:tcW w:w="2045" w:type="dxa"/>
            <w:tcBorders>
              <w:left w:val="nil"/>
            </w:tcBorders>
          </w:tcPr>
          <w:p>
            <w:pPr>
              <w:pStyle w:val="TableParagraph"/>
              <w:spacing w:before="56"/>
              <w:ind w:left="113"/>
              <w:rPr>
                <w:sz w:val="17"/>
              </w:rPr>
            </w:pPr>
            <w:r>
              <w:rPr>
                <w:color w:val="231F20"/>
                <w:w w:val="105"/>
                <w:sz w:val="17"/>
              </w:rPr>
              <w:t>Especie</w:t>
            </w:r>
          </w:p>
        </w:tc>
        <w:tc>
          <w:tcPr>
            <w:tcW w:w="688" w:type="dxa"/>
          </w:tcPr>
          <w:p>
            <w:pPr/>
          </w:p>
        </w:tc>
        <w:tc>
          <w:tcPr>
            <w:tcW w:w="688" w:type="dxa"/>
          </w:tcPr>
          <w:p>
            <w:pPr/>
          </w:p>
        </w:tc>
        <w:tc>
          <w:tcPr>
            <w:tcW w:w="688" w:type="dxa"/>
          </w:tcPr>
          <w:p>
            <w:pPr/>
          </w:p>
        </w:tc>
        <w:tc>
          <w:tcPr>
            <w:tcW w:w="670" w:type="dxa"/>
          </w:tcPr>
          <w:p>
            <w:pPr/>
          </w:p>
        </w:tc>
        <w:tc>
          <w:tcPr>
            <w:tcW w:w="706" w:type="dxa"/>
          </w:tcPr>
          <w:p>
            <w:pPr/>
          </w:p>
        </w:tc>
        <w:tc>
          <w:tcPr>
            <w:tcW w:w="688" w:type="dxa"/>
          </w:tcPr>
          <w:p>
            <w:pPr/>
          </w:p>
        </w:tc>
        <w:tc>
          <w:tcPr>
            <w:tcW w:w="688" w:type="dxa"/>
          </w:tcPr>
          <w:p>
            <w:pPr/>
          </w:p>
        </w:tc>
        <w:tc>
          <w:tcPr>
            <w:tcW w:w="688" w:type="dxa"/>
          </w:tcPr>
          <w:p>
            <w:pPr/>
          </w:p>
        </w:tc>
        <w:tc>
          <w:tcPr>
            <w:tcW w:w="687" w:type="dxa"/>
          </w:tcPr>
          <w:p>
            <w:pPr/>
          </w:p>
        </w:tc>
        <w:tc>
          <w:tcPr>
            <w:tcW w:w="553" w:type="dxa"/>
            <w:tcBorders>
              <w:right w:val="nil"/>
            </w:tcBorders>
          </w:tcPr>
          <w:p>
            <w:pPr/>
          </w:p>
        </w:tc>
      </w:tr>
    </w:tbl>
    <w:p>
      <w:pPr>
        <w:spacing w:before="62"/>
        <w:ind w:left="1667" w:right="0" w:firstLine="0"/>
        <w:jc w:val="left"/>
        <w:rPr>
          <w:rFonts w:ascii="Cambria"/>
          <w:i/>
          <w:sz w:val="18"/>
        </w:rPr>
      </w:pPr>
      <w:r>
        <w:rPr>
          <w:rFonts w:ascii="Cambria"/>
          <w:i/>
          <w:color w:val="231F20"/>
          <w:w w:val="115"/>
          <w:sz w:val="18"/>
        </w:rPr>
        <w:t>C</w:t>
      </w:r>
    </w:p>
    <w:p>
      <w:pPr>
        <w:spacing w:before="49" w:after="51"/>
        <w:ind w:left="1667" w:right="2503" w:firstLine="0"/>
        <w:jc w:val="left"/>
        <w:rPr>
          <w:rFonts w:ascii="Cambria" w:hAnsi="Cambria"/>
          <w:i/>
          <w:sz w:val="18"/>
        </w:rPr>
      </w:pPr>
      <w:r>
        <w:rPr>
          <w:rFonts w:ascii="Cambria" w:hAnsi="Cambria"/>
          <w:i/>
          <w:color w:val="231F20"/>
          <w:w w:val="105"/>
          <w:sz w:val="18"/>
        </w:rPr>
        <w:t>Análisis bacteriológico del interior de la   pezonera</w:t>
      </w: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45"/>
        <w:gridCol w:w="688"/>
        <w:gridCol w:w="688"/>
        <w:gridCol w:w="688"/>
        <w:gridCol w:w="670"/>
        <w:gridCol w:w="706"/>
        <w:gridCol w:w="688"/>
        <w:gridCol w:w="688"/>
        <w:gridCol w:w="688"/>
        <w:gridCol w:w="687"/>
        <w:gridCol w:w="553"/>
      </w:tblGrid>
      <w:tr>
        <w:trPr>
          <w:trHeight w:val="320" w:hRule="exact"/>
        </w:trPr>
        <w:tc>
          <w:tcPr>
            <w:tcW w:w="2045" w:type="dxa"/>
            <w:vMerge w:val="restart"/>
            <w:tcBorders>
              <w:left w:val="nil"/>
            </w:tcBorders>
          </w:tcPr>
          <w:p>
            <w:pPr/>
          </w:p>
        </w:tc>
        <w:tc>
          <w:tcPr>
            <w:tcW w:w="6744" w:type="dxa"/>
            <w:gridSpan w:val="10"/>
            <w:tcBorders>
              <w:right w:val="nil"/>
            </w:tcBorders>
          </w:tcPr>
          <w:p>
            <w:pPr>
              <w:pStyle w:val="TableParagraph"/>
              <w:spacing w:before="56"/>
              <w:ind w:left="2591" w:right="2595"/>
              <w:jc w:val="center"/>
              <w:rPr>
                <w:sz w:val="17"/>
              </w:rPr>
            </w:pPr>
            <w:r>
              <w:rPr>
                <w:color w:val="231F20"/>
                <w:sz w:val="17"/>
              </w:rPr>
              <w:t>Pezonera muestreada</w:t>
            </w:r>
          </w:p>
        </w:tc>
      </w:tr>
      <w:tr>
        <w:trPr>
          <w:trHeight w:val="320" w:hRule="exact"/>
        </w:trPr>
        <w:tc>
          <w:tcPr>
            <w:tcW w:w="2045" w:type="dxa"/>
            <w:vMerge/>
            <w:tcBorders>
              <w:left w:val="nil"/>
            </w:tcBorders>
          </w:tcPr>
          <w:p>
            <w:pPr/>
          </w:p>
        </w:tc>
        <w:tc>
          <w:tcPr>
            <w:tcW w:w="688" w:type="dxa"/>
          </w:tcPr>
          <w:p>
            <w:pPr>
              <w:pStyle w:val="TableParagraph"/>
              <w:spacing w:before="56"/>
              <w:ind w:left="108"/>
              <w:rPr>
                <w:sz w:val="17"/>
              </w:rPr>
            </w:pPr>
            <w:r>
              <w:rPr>
                <w:color w:val="231F20"/>
                <w:w w:val="115"/>
                <w:sz w:val="17"/>
              </w:rPr>
              <w:t>1</w:t>
            </w:r>
          </w:p>
        </w:tc>
        <w:tc>
          <w:tcPr>
            <w:tcW w:w="688" w:type="dxa"/>
          </w:tcPr>
          <w:p>
            <w:pPr>
              <w:pStyle w:val="TableParagraph"/>
              <w:spacing w:before="56"/>
              <w:ind w:left="108"/>
              <w:rPr>
                <w:sz w:val="17"/>
              </w:rPr>
            </w:pPr>
            <w:r>
              <w:rPr>
                <w:color w:val="231F20"/>
                <w:w w:val="115"/>
                <w:sz w:val="17"/>
              </w:rPr>
              <w:t>2</w:t>
            </w:r>
          </w:p>
        </w:tc>
        <w:tc>
          <w:tcPr>
            <w:tcW w:w="688" w:type="dxa"/>
          </w:tcPr>
          <w:p>
            <w:pPr>
              <w:pStyle w:val="TableParagraph"/>
              <w:spacing w:before="56"/>
              <w:ind w:left="108"/>
              <w:rPr>
                <w:sz w:val="17"/>
              </w:rPr>
            </w:pPr>
            <w:r>
              <w:rPr>
                <w:color w:val="231F20"/>
                <w:w w:val="115"/>
                <w:sz w:val="17"/>
              </w:rPr>
              <w:t>3</w:t>
            </w:r>
          </w:p>
        </w:tc>
        <w:tc>
          <w:tcPr>
            <w:tcW w:w="670" w:type="dxa"/>
          </w:tcPr>
          <w:p>
            <w:pPr>
              <w:pStyle w:val="TableParagraph"/>
              <w:spacing w:before="56"/>
              <w:ind w:left="108"/>
              <w:rPr>
                <w:sz w:val="17"/>
              </w:rPr>
            </w:pPr>
            <w:r>
              <w:rPr>
                <w:color w:val="231F20"/>
                <w:w w:val="115"/>
                <w:sz w:val="17"/>
              </w:rPr>
              <w:t>4</w:t>
            </w:r>
          </w:p>
        </w:tc>
        <w:tc>
          <w:tcPr>
            <w:tcW w:w="706" w:type="dxa"/>
          </w:tcPr>
          <w:p>
            <w:pPr>
              <w:pStyle w:val="TableParagraph"/>
              <w:spacing w:before="56"/>
              <w:ind w:left="108"/>
              <w:rPr>
                <w:sz w:val="17"/>
              </w:rPr>
            </w:pPr>
            <w:r>
              <w:rPr>
                <w:color w:val="231F20"/>
                <w:w w:val="115"/>
                <w:sz w:val="17"/>
              </w:rPr>
              <w:t>5</w:t>
            </w:r>
          </w:p>
        </w:tc>
        <w:tc>
          <w:tcPr>
            <w:tcW w:w="688" w:type="dxa"/>
          </w:tcPr>
          <w:p>
            <w:pPr>
              <w:pStyle w:val="TableParagraph"/>
              <w:spacing w:before="56"/>
              <w:ind w:left="108"/>
              <w:rPr>
                <w:sz w:val="17"/>
              </w:rPr>
            </w:pPr>
            <w:r>
              <w:rPr>
                <w:color w:val="231F20"/>
                <w:w w:val="115"/>
                <w:sz w:val="17"/>
              </w:rPr>
              <w:t>6</w:t>
            </w:r>
          </w:p>
        </w:tc>
        <w:tc>
          <w:tcPr>
            <w:tcW w:w="688" w:type="dxa"/>
          </w:tcPr>
          <w:p>
            <w:pPr>
              <w:pStyle w:val="TableParagraph"/>
              <w:spacing w:before="56"/>
              <w:ind w:left="108"/>
              <w:rPr>
                <w:sz w:val="17"/>
              </w:rPr>
            </w:pPr>
            <w:r>
              <w:rPr>
                <w:color w:val="231F20"/>
                <w:w w:val="115"/>
                <w:sz w:val="17"/>
              </w:rPr>
              <w:t>7</w:t>
            </w:r>
          </w:p>
        </w:tc>
        <w:tc>
          <w:tcPr>
            <w:tcW w:w="688" w:type="dxa"/>
          </w:tcPr>
          <w:p>
            <w:pPr>
              <w:pStyle w:val="TableParagraph"/>
              <w:spacing w:before="56"/>
              <w:ind w:left="108"/>
              <w:rPr>
                <w:sz w:val="17"/>
              </w:rPr>
            </w:pPr>
            <w:r>
              <w:rPr>
                <w:color w:val="231F20"/>
                <w:w w:val="115"/>
                <w:sz w:val="17"/>
              </w:rPr>
              <w:t>8</w:t>
            </w:r>
          </w:p>
        </w:tc>
        <w:tc>
          <w:tcPr>
            <w:tcW w:w="687" w:type="dxa"/>
          </w:tcPr>
          <w:p>
            <w:pPr>
              <w:pStyle w:val="TableParagraph"/>
              <w:spacing w:before="56"/>
              <w:ind w:left="108"/>
              <w:rPr>
                <w:sz w:val="17"/>
              </w:rPr>
            </w:pPr>
            <w:r>
              <w:rPr>
                <w:color w:val="231F20"/>
                <w:w w:val="115"/>
                <w:sz w:val="17"/>
              </w:rPr>
              <w:t>9</w:t>
            </w:r>
          </w:p>
        </w:tc>
        <w:tc>
          <w:tcPr>
            <w:tcW w:w="553" w:type="dxa"/>
            <w:tcBorders>
              <w:right w:val="nil"/>
            </w:tcBorders>
          </w:tcPr>
          <w:p>
            <w:pPr>
              <w:pStyle w:val="TableParagraph"/>
              <w:spacing w:before="56"/>
              <w:ind w:left="108"/>
              <w:rPr>
                <w:sz w:val="17"/>
              </w:rPr>
            </w:pPr>
            <w:r>
              <w:rPr>
                <w:color w:val="231F20"/>
                <w:w w:val="115"/>
                <w:sz w:val="17"/>
              </w:rPr>
              <w:t>10</w:t>
            </w:r>
          </w:p>
        </w:tc>
      </w:tr>
      <w:tr>
        <w:trPr>
          <w:trHeight w:val="320" w:hRule="exact"/>
        </w:trPr>
        <w:tc>
          <w:tcPr>
            <w:tcW w:w="2045" w:type="dxa"/>
            <w:tcBorders>
              <w:left w:val="nil"/>
            </w:tcBorders>
          </w:tcPr>
          <w:p>
            <w:pPr>
              <w:pStyle w:val="TableParagraph"/>
              <w:spacing w:before="56"/>
              <w:ind w:left="113"/>
              <w:rPr>
                <w:sz w:val="17"/>
              </w:rPr>
            </w:pPr>
            <w:r>
              <w:rPr>
                <w:color w:val="231F20"/>
                <w:w w:val="105"/>
                <w:sz w:val="17"/>
              </w:rPr>
              <w:t>Género</w:t>
            </w:r>
          </w:p>
        </w:tc>
        <w:tc>
          <w:tcPr>
            <w:tcW w:w="688" w:type="dxa"/>
          </w:tcPr>
          <w:p>
            <w:pPr/>
          </w:p>
        </w:tc>
        <w:tc>
          <w:tcPr>
            <w:tcW w:w="688" w:type="dxa"/>
          </w:tcPr>
          <w:p>
            <w:pPr/>
          </w:p>
        </w:tc>
        <w:tc>
          <w:tcPr>
            <w:tcW w:w="688" w:type="dxa"/>
          </w:tcPr>
          <w:p>
            <w:pPr/>
          </w:p>
        </w:tc>
        <w:tc>
          <w:tcPr>
            <w:tcW w:w="670" w:type="dxa"/>
          </w:tcPr>
          <w:p>
            <w:pPr/>
          </w:p>
        </w:tc>
        <w:tc>
          <w:tcPr>
            <w:tcW w:w="706" w:type="dxa"/>
          </w:tcPr>
          <w:p>
            <w:pPr/>
          </w:p>
        </w:tc>
        <w:tc>
          <w:tcPr>
            <w:tcW w:w="688" w:type="dxa"/>
          </w:tcPr>
          <w:p>
            <w:pPr/>
          </w:p>
        </w:tc>
        <w:tc>
          <w:tcPr>
            <w:tcW w:w="688" w:type="dxa"/>
          </w:tcPr>
          <w:p>
            <w:pPr/>
          </w:p>
        </w:tc>
        <w:tc>
          <w:tcPr>
            <w:tcW w:w="688" w:type="dxa"/>
          </w:tcPr>
          <w:p>
            <w:pPr/>
          </w:p>
        </w:tc>
        <w:tc>
          <w:tcPr>
            <w:tcW w:w="687" w:type="dxa"/>
          </w:tcPr>
          <w:p>
            <w:pPr/>
          </w:p>
        </w:tc>
        <w:tc>
          <w:tcPr>
            <w:tcW w:w="553" w:type="dxa"/>
            <w:tcBorders>
              <w:right w:val="nil"/>
            </w:tcBorders>
          </w:tcPr>
          <w:p>
            <w:pPr/>
          </w:p>
        </w:tc>
      </w:tr>
      <w:tr>
        <w:trPr>
          <w:trHeight w:val="320" w:hRule="exact"/>
        </w:trPr>
        <w:tc>
          <w:tcPr>
            <w:tcW w:w="2045" w:type="dxa"/>
            <w:tcBorders>
              <w:left w:val="nil"/>
            </w:tcBorders>
          </w:tcPr>
          <w:p>
            <w:pPr>
              <w:pStyle w:val="TableParagraph"/>
              <w:spacing w:before="56"/>
              <w:ind w:left="113"/>
              <w:rPr>
                <w:sz w:val="17"/>
              </w:rPr>
            </w:pPr>
            <w:r>
              <w:rPr>
                <w:color w:val="231F20"/>
                <w:w w:val="105"/>
                <w:sz w:val="17"/>
              </w:rPr>
              <w:t>Especie</w:t>
            </w:r>
          </w:p>
        </w:tc>
        <w:tc>
          <w:tcPr>
            <w:tcW w:w="688" w:type="dxa"/>
          </w:tcPr>
          <w:p>
            <w:pPr/>
          </w:p>
        </w:tc>
        <w:tc>
          <w:tcPr>
            <w:tcW w:w="688" w:type="dxa"/>
          </w:tcPr>
          <w:p>
            <w:pPr/>
          </w:p>
        </w:tc>
        <w:tc>
          <w:tcPr>
            <w:tcW w:w="688" w:type="dxa"/>
          </w:tcPr>
          <w:p>
            <w:pPr/>
          </w:p>
        </w:tc>
        <w:tc>
          <w:tcPr>
            <w:tcW w:w="670" w:type="dxa"/>
          </w:tcPr>
          <w:p>
            <w:pPr/>
          </w:p>
        </w:tc>
        <w:tc>
          <w:tcPr>
            <w:tcW w:w="706" w:type="dxa"/>
          </w:tcPr>
          <w:p>
            <w:pPr/>
          </w:p>
        </w:tc>
        <w:tc>
          <w:tcPr>
            <w:tcW w:w="688" w:type="dxa"/>
          </w:tcPr>
          <w:p>
            <w:pPr/>
          </w:p>
        </w:tc>
        <w:tc>
          <w:tcPr>
            <w:tcW w:w="688" w:type="dxa"/>
          </w:tcPr>
          <w:p>
            <w:pPr/>
          </w:p>
        </w:tc>
        <w:tc>
          <w:tcPr>
            <w:tcW w:w="688" w:type="dxa"/>
          </w:tcPr>
          <w:p>
            <w:pPr/>
          </w:p>
        </w:tc>
        <w:tc>
          <w:tcPr>
            <w:tcW w:w="687" w:type="dxa"/>
          </w:tcPr>
          <w:p>
            <w:pPr/>
          </w:p>
        </w:tc>
        <w:tc>
          <w:tcPr>
            <w:tcW w:w="553" w:type="dxa"/>
            <w:tcBorders>
              <w:right w:val="nil"/>
            </w:tcBorders>
          </w:tcPr>
          <w:p>
            <w:pPr/>
          </w:p>
        </w:tc>
      </w:tr>
    </w:tbl>
    <w:p>
      <w:pPr>
        <w:pStyle w:val="BodyText"/>
        <w:rPr>
          <w:rFonts w:ascii="Cambria"/>
          <w:i/>
        </w:rPr>
      </w:pPr>
    </w:p>
    <w:p>
      <w:pPr>
        <w:pStyle w:val="BodyText"/>
        <w:rPr>
          <w:rFonts w:ascii="Cambria"/>
          <w:i/>
        </w:rPr>
      </w:pPr>
    </w:p>
    <w:p>
      <w:pPr>
        <w:pStyle w:val="BodyText"/>
        <w:spacing w:before="10"/>
        <w:rPr>
          <w:rFonts w:ascii="Cambria"/>
          <w:i/>
          <w:sz w:val="25"/>
        </w:rPr>
      </w:pPr>
    </w:p>
    <w:p>
      <w:pPr>
        <w:spacing w:after="0"/>
        <w:rPr>
          <w:rFonts w:ascii="Cambria"/>
          <w:sz w:val="25"/>
        </w:rPr>
        <w:sectPr>
          <w:pgSz w:w="11900" w:h="14450"/>
          <w:pgMar w:header="0" w:footer="222" w:top="420" w:bottom="420" w:left="0" w:right="0"/>
        </w:sectPr>
      </w:pPr>
    </w:p>
    <w:p>
      <w:pPr>
        <w:pStyle w:val="BodyText"/>
        <w:spacing w:line="254" w:lineRule="auto" w:before="68"/>
        <w:ind w:left="1553"/>
        <w:jc w:val="both"/>
      </w:pPr>
      <w:r>
        <w:rPr>
          <w:color w:val="231F20"/>
        </w:rPr>
        <w:t>Un indicador </w:t>
      </w:r>
      <w:r>
        <w:rPr>
          <w:color w:val="231F20"/>
          <w:spacing w:val="2"/>
        </w:rPr>
        <w:t>importante </w:t>
      </w:r>
      <w:r>
        <w:rPr>
          <w:color w:val="231F20"/>
        </w:rPr>
        <w:t>en el control de la mas- titis y la producción de leche de calidad, por re- lacionarse con la  vida  en  anaquel  de  la  </w:t>
      </w:r>
      <w:r>
        <w:rPr>
          <w:color w:val="231F20"/>
          <w:spacing w:val="2"/>
        </w:rPr>
        <w:t>leche,  </w:t>
      </w:r>
      <w:r>
        <w:rPr>
          <w:color w:val="231F20"/>
        </w:rPr>
        <w:t>es la realización de la cuenta de </w:t>
      </w:r>
      <w:r>
        <w:rPr>
          <w:color w:val="231F20"/>
          <w:spacing w:val="2"/>
        </w:rPr>
        <w:t>UFC </w:t>
      </w:r>
      <w:r>
        <w:rPr>
          <w:color w:val="231F20"/>
        </w:rPr>
        <w:t>en leche preincubada </w:t>
      </w:r>
      <w:r>
        <w:rPr>
          <w:color w:val="231F20"/>
          <w:spacing w:val="2"/>
        </w:rPr>
        <w:t>(CLPI), </w:t>
      </w:r>
      <w:r>
        <w:rPr>
          <w:color w:val="231F20"/>
        </w:rPr>
        <w:t>prueba de la que esperamos una respuesta inferior a </w:t>
      </w:r>
      <w:r>
        <w:rPr>
          <w:color w:val="231F20"/>
          <w:spacing w:val="-4"/>
        </w:rPr>
        <w:t>10 </w:t>
      </w:r>
      <w:r>
        <w:rPr>
          <w:color w:val="231F20"/>
        </w:rPr>
        <w:t>000 </w:t>
      </w:r>
      <w:r>
        <w:rPr>
          <w:color w:val="231F20"/>
          <w:spacing w:val="2"/>
        </w:rPr>
        <w:t>UFC </w:t>
      </w:r>
      <w:r>
        <w:rPr>
          <w:color w:val="231F20"/>
        </w:rPr>
        <w:t>(Sepúlveda, 2006).</w:t>
      </w:r>
    </w:p>
    <w:p>
      <w:pPr>
        <w:pStyle w:val="BodyText"/>
      </w:pPr>
    </w:p>
    <w:p>
      <w:pPr>
        <w:spacing w:before="154"/>
        <w:ind w:left="1553" w:right="0" w:firstLine="0"/>
        <w:jc w:val="both"/>
        <w:rPr>
          <w:rFonts w:ascii="Cambria" w:hAnsi="Cambria"/>
          <w:i/>
          <w:sz w:val="20"/>
        </w:rPr>
      </w:pPr>
      <w:r>
        <w:rPr>
          <w:rFonts w:ascii="Cambria" w:hAnsi="Cambria"/>
          <w:i/>
          <w:color w:val="231F20"/>
          <w:w w:val="110"/>
          <w:sz w:val="20"/>
        </w:rPr>
        <w:t>Manejo y condición de las vacas secas</w:t>
      </w:r>
    </w:p>
    <w:p>
      <w:pPr>
        <w:pStyle w:val="BodyText"/>
        <w:spacing w:line="254" w:lineRule="auto" w:before="138"/>
        <w:ind w:left="1553"/>
        <w:jc w:val="both"/>
      </w:pPr>
      <w:r>
        <w:rPr>
          <w:color w:val="231F20"/>
        </w:rPr>
        <w:t>El fin es identificar las actividades y la eficiencia con que se  hacen  estas  acciones,  considerando  el o los últimos ordeños del periodo de lactancia actual, así como aquellas actividades que se hacen durante el tiempo en que la vaca no se ordeña        y las realizadas durante las últimas dos semanas antes del</w:t>
      </w:r>
      <w:r>
        <w:rPr>
          <w:color w:val="231F20"/>
          <w:spacing w:val="7"/>
        </w:rPr>
        <w:t> </w:t>
      </w:r>
      <w:r>
        <w:rPr>
          <w:color w:val="231F20"/>
        </w:rPr>
        <w:t>parto.</w:t>
      </w:r>
    </w:p>
    <w:p>
      <w:pPr>
        <w:pStyle w:val="BodyText"/>
        <w:spacing w:line="256" w:lineRule="auto" w:before="68"/>
        <w:ind w:left="410" w:right="1551"/>
        <w:jc w:val="both"/>
      </w:pPr>
      <w:r>
        <w:rPr/>
        <w:br w:type="column"/>
      </w:r>
      <w:r>
        <w:rPr>
          <w:color w:val="231F20"/>
        </w:rPr>
        <w:t>Si en las vacas del hato al finalizar la lactación (al secado) se practica el tratamiento vía apertura del pezón, será indispensable identificar el material y  el  método</w:t>
      </w:r>
      <w:r>
        <w:rPr>
          <w:color w:val="231F20"/>
          <w:spacing w:val="4"/>
        </w:rPr>
        <w:t> </w:t>
      </w:r>
      <w:r>
        <w:rPr>
          <w:color w:val="231F20"/>
        </w:rPr>
        <w:t>usados.</w:t>
      </w:r>
    </w:p>
    <w:p>
      <w:pPr>
        <w:pStyle w:val="BodyText"/>
        <w:spacing w:line="256" w:lineRule="auto" w:before="114"/>
        <w:ind w:left="410" w:right="1551"/>
        <w:jc w:val="both"/>
      </w:pPr>
      <w:r>
        <w:rPr>
          <w:color w:val="231F20"/>
        </w:rPr>
        <w:t>En esta práctica de manejo, una actividad impor- tante a realizar es la obtención de muestras de leche de vacas próximas a secar para realizar cul- tivos microbiológicos y pruebas de sensibilidad a los quimioterapéuticos empleados y a otros dispo- nibles en el </w:t>
      </w:r>
      <w:r>
        <w:rPr>
          <w:color w:val="231F20"/>
          <w:spacing w:val="14"/>
        </w:rPr>
        <w:t> </w:t>
      </w:r>
      <w:r>
        <w:rPr>
          <w:color w:val="231F20"/>
        </w:rPr>
        <w:t>mercado.</w:t>
      </w:r>
    </w:p>
    <w:p>
      <w:pPr>
        <w:pStyle w:val="BodyText"/>
        <w:spacing w:line="256" w:lineRule="auto" w:before="114"/>
        <w:ind w:left="410" w:right="1551"/>
        <w:jc w:val="both"/>
      </w:pPr>
      <w:r>
        <w:rPr>
          <w:color w:val="231F20"/>
        </w:rPr>
        <w:t>Entre las actividades a registrar se encuentran las de alimentación, condición de alojamiento, prác- ticas en reproducción y de medicina preventiva (vacunaciones, desparasitaciones, administración de vitaminas y minerales, recorte de pezuñas, ra- surado de la ubre y piernas, entre otras   acciones).</w:t>
      </w:r>
    </w:p>
    <w:p>
      <w:pPr>
        <w:spacing w:after="0" w:line="256"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29"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12"/>
          <w:sz w:val="22"/>
        </w:rPr>
        <w:t>41</w:t>
      </w:r>
    </w:p>
    <w:p>
      <w:pPr>
        <w:spacing w:after="0"/>
        <w:jc w:val="left"/>
        <w:rPr>
          <w:sz w:val="22"/>
        </w:rPr>
        <w:sectPr>
          <w:pgSz w:w="11900" w:h="14450"/>
          <w:pgMar w:header="0" w:footer="222" w:top="420" w:bottom="420" w:left="0" w:right="0"/>
        </w:sectPr>
      </w:pPr>
    </w:p>
    <w:p>
      <w:pPr>
        <w:pStyle w:val="BodyText"/>
        <w:spacing w:before="11"/>
        <w:rPr>
          <w:sz w:val="28"/>
        </w:rPr>
      </w:pPr>
    </w:p>
    <w:p>
      <w:pPr>
        <w:spacing w:before="1"/>
        <w:ind w:left="1553" w:right="0" w:firstLine="0"/>
        <w:jc w:val="both"/>
        <w:rPr>
          <w:rFonts w:ascii="Cambria"/>
          <w:i/>
          <w:sz w:val="20"/>
        </w:rPr>
      </w:pPr>
      <w:r>
        <w:rPr>
          <w:rFonts w:ascii="Cambria"/>
          <w:i/>
          <w:color w:val="231F20"/>
          <w:w w:val="105"/>
          <w:sz w:val="20"/>
        </w:rPr>
        <w:t>Manejo del ganado en tratamiento por  mastitis</w:t>
      </w:r>
    </w:p>
    <w:p>
      <w:pPr>
        <w:pStyle w:val="BodyText"/>
        <w:spacing w:line="259" w:lineRule="auto" w:before="142"/>
        <w:ind w:left="1553"/>
        <w:jc w:val="both"/>
      </w:pPr>
      <w:r>
        <w:rPr>
          <w:color w:val="231F20"/>
          <w:spacing w:val="-4"/>
        </w:rPr>
        <w:t>Durante </w:t>
      </w:r>
      <w:r>
        <w:rPr>
          <w:color w:val="231F20"/>
          <w:spacing w:val="-3"/>
        </w:rPr>
        <w:t>las </w:t>
      </w:r>
      <w:r>
        <w:rPr>
          <w:color w:val="231F20"/>
          <w:spacing w:val="-4"/>
        </w:rPr>
        <w:t>visitas </w:t>
      </w:r>
      <w:r>
        <w:rPr>
          <w:color w:val="231F20"/>
        </w:rPr>
        <w:t>en </w:t>
      </w:r>
      <w:r>
        <w:rPr>
          <w:color w:val="231F20"/>
          <w:spacing w:val="-4"/>
        </w:rPr>
        <w:t>tiempo </w:t>
      </w:r>
      <w:r>
        <w:rPr>
          <w:color w:val="231F20"/>
        </w:rPr>
        <w:t>de </w:t>
      </w:r>
      <w:r>
        <w:rPr>
          <w:color w:val="231F20"/>
          <w:spacing w:val="-4"/>
        </w:rPr>
        <w:t>ordeño </w:t>
      </w:r>
      <w:r>
        <w:rPr>
          <w:color w:val="231F20"/>
        </w:rPr>
        <w:t>se </w:t>
      </w:r>
      <w:r>
        <w:rPr>
          <w:color w:val="231F20"/>
          <w:spacing w:val="-4"/>
        </w:rPr>
        <w:t>registra- </w:t>
      </w:r>
      <w:r>
        <w:rPr>
          <w:color w:val="231F20"/>
          <w:spacing w:val="-3"/>
        </w:rPr>
        <w:t>rán las </w:t>
      </w:r>
      <w:r>
        <w:rPr>
          <w:color w:val="231F20"/>
          <w:spacing w:val="-4"/>
        </w:rPr>
        <w:t>vacas tratadas </w:t>
      </w:r>
      <w:r>
        <w:rPr>
          <w:color w:val="231F20"/>
          <w:spacing w:val="-3"/>
        </w:rPr>
        <w:t>por </w:t>
      </w:r>
      <w:r>
        <w:rPr>
          <w:color w:val="231F20"/>
          <w:spacing w:val="-4"/>
        </w:rPr>
        <w:t>mastitis, </w:t>
      </w:r>
      <w:r>
        <w:rPr>
          <w:color w:val="231F20"/>
        </w:rPr>
        <w:t>y se </w:t>
      </w:r>
      <w:r>
        <w:rPr>
          <w:color w:val="231F20"/>
          <w:spacing w:val="-4"/>
        </w:rPr>
        <w:t>identificarán </w:t>
      </w:r>
      <w:r>
        <w:rPr>
          <w:color w:val="231F20"/>
        </w:rPr>
        <w:t>el</w:t>
      </w:r>
      <w:r>
        <w:rPr>
          <w:color w:val="231F20"/>
          <w:spacing w:val="-9"/>
        </w:rPr>
        <w:t> </w:t>
      </w:r>
      <w:r>
        <w:rPr>
          <w:color w:val="231F20"/>
          <w:spacing w:val="-4"/>
        </w:rPr>
        <w:t>procedimiento</w:t>
      </w:r>
      <w:r>
        <w:rPr>
          <w:color w:val="231F20"/>
          <w:spacing w:val="-9"/>
        </w:rPr>
        <w:t> </w:t>
      </w:r>
      <w:r>
        <w:rPr>
          <w:color w:val="231F20"/>
          <w:spacing w:val="-4"/>
        </w:rPr>
        <w:t>realizado</w:t>
      </w:r>
      <w:r>
        <w:rPr>
          <w:color w:val="231F20"/>
          <w:spacing w:val="-9"/>
        </w:rPr>
        <w:t> </w:t>
      </w:r>
      <w:r>
        <w:rPr>
          <w:color w:val="231F20"/>
          <w:spacing w:val="-3"/>
        </w:rPr>
        <w:t>para</w:t>
      </w:r>
      <w:r>
        <w:rPr>
          <w:color w:val="231F20"/>
          <w:spacing w:val="-9"/>
        </w:rPr>
        <w:t> </w:t>
      </w:r>
      <w:r>
        <w:rPr>
          <w:color w:val="231F20"/>
        </w:rPr>
        <w:t>el</w:t>
      </w:r>
      <w:r>
        <w:rPr>
          <w:color w:val="231F20"/>
          <w:spacing w:val="-9"/>
        </w:rPr>
        <w:t> </w:t>
      </w:r>
      <w:r>
        <w:rPr>
          <w:color w:val="231F20"/>
          <w:spacing w:val="-4"/>
        </w:rPr>
        <w:t>diagnóstico,</w:t>
      </w:r>
      <w:r>
        <w:rPr>
          <w:color w:val="231F20"/>
          <w:spacing w:val="-9"/>
        </w:rPr>
        <w:t> </w:t>
      </w:r>
      <w:r>
        <w:rPr>
          <w:color w:val="231F20"/>
        </w:rPr>
        <w:t>el</w:t>
      </w:r>
      <w:r>
        <w:rPr>
          <w:color w:val="231F20"/>
          <w:spacing w:val="-9"/>
        </w:rPr>
        <w:t> </w:t>
      </w:r>
      <w:r>
        <w:rPr>
          <w:color w:val="231F20"/>
          <w:spacing w:val="-3"/>
        </w:rPr>
        <w:t>pro- </w:t>
      </w:r>
      <w:r>
        <w:rPr>
          <w:color w:val="231F20"/>
          <w:spacing w:val="-4"/>
        </w:rPr>
        <w:t>nóstico </w:t>
      </w:r>
      <w:r>
        <w:rPr>
          <w:color w:val="231F20"/>
        </w:rPr>
        <w:t>y el </w:t>
      </w:r>
      <w:r>
        <w:rPr>
          <w:color w:val="231F20"/>
          <w:spacing w:val="-4"/>
        </w:rPr>
        <w:t>tratamiento. Asimismo, </w:t>
      </w:r>
      <w:r>
        <w:rPr>
          <w:color w:val="231F20"/>
        </w:rPr>
        <w:t>se </w:t>
      </w:r>
      <w:r>
        <w:rPr>
          <w:color w:val="231F20"/>
          <w:spacing w:val="-4"/>
        </w:rPr>
        <w:t>registrará la forma </w:t>
      </w:r>
      <w:r>
        <w:rPr>
          <w:color w:val="231F20"/>
        </w:rPr>
        <w:t>de </w:t>
      </w:r>
      <w:r>
        <w:rPr>
          <w:color w:val="231F20"/>
          <w:spacing w:val="-4"/>
        </w:rPr>
        <w:t>ordeño </w:t>
      </w:r>
      <w:r>
        <w:rPr>
          <w:color w:val="231F20"/>
        </w:rPr>
        <w:t>de la </w:t>
      </w:r>
      <w:r>
        <w:rPr>
          <w:color w:val="231F20"/>
          <w:spacing w:val="-3"/>
        </w:rPr>
        <w:t>vaca </w:t>
      </w:r>
      <w:r>
        <w:rPr>
          <w:color w:val="231F20"/>
          <w:spacing w:val="-4"/>
        </w:rPr>
        <w:t>enferma </w:t>
      </w:r>
      <w:r>
        <w:rPr>
          <w:color w:val="231F20"/>
        </w:rPr>
        <w:t>y el </w:t>
      </w:r>
      <w:r>
        <w:rPr>
          <w:color w:val="231F20"/>
          <w:spacing w:val="-4"/>
        </w:rPr>
        <w:t>destino de </w:t>
      </w:r>
      <w:r>
        <w:rPr>
          <w:color w:val="231F20"/>
        </w:rPr>
        <w:t>la </w:t>
      </w:r>
      <w:r>
        <w:rPr>
          <w:color w:val="231F20"/>
          <w:spacing w:val="-4"/>
        </w:rPr>
        <w:t>leche obtenida. </w:t>
      </w:r>
      <w:r>
        <w:rPr>
          <w:color w:val="231F20"/>
        </w:rPr>
        <w:t>La </w:t>
      </w:r>
      <w:r>
        <w:rPr>
          <w:color w:val="231F20"/>
          <w:spacing w:val="-4"/>
        </w:rPr>
        <w:t>información quedará integrada comprendiendo </w:t>
      </w:r>
      <w:r>
        <w:rPr>
          <w:color w:val="231F20"/>
          <w:spacing w:val="-3"/>
        </w:rPr>
        <w:t>por grupos </w:t>
      </w:r>
      <w:r>
        <w:rPr>
          <w:color w:val="231F20"/>
        </w:rPr>
        <w:t>a </w:t>
      </w:r>
      <w:r>
        <w:rPr>
          <w:color w:val="231F20"/>
          <w:spacing w:val="-3"/>
        </w:rPr>
        <w:t>las </w:t>
      </w:r>
      <w:r>
        <w:rPr>
          <w:color w:val="231F20"/>
          <w:spacing w:val="-4"/>
        </w:rPr>
        <w:t>vacas enfermas </w:t>
      </w:r>
      <w:r>
        <w:rPr>
          <w:color w:val="231F20"/>
        </w:rPr>
        <w:t>o    la </w:t>
      </w:r>
      <w:r>
        <w:rPr>
          <w:color w:val="231F20"/>
          <w:spacing w:val="-3"/>
        </w:rPr>
        <w:t>vaca </w:t>
      </w:r>
      <w:r>
        <w:rPr>
          <w:color w:val="231F20"/>
          <w:spacing w:val="-4"/>
        </w:rPr>
        <w:t>según </w:t>
      </w:r>
      <w:r>
        <w:rPr>
          <w:color w:val="231F20"/>
        </w:rPr>
        <w:t>el </w:t>
      </w:r>
      <w:r>
        <w:rPr>
          <w:color w:val="231F20"/>
          <w:spacing w:val="-4"/>
        </w:rPr>
        <w:t>número </w:t>
      </w:r>
      <w:r>
        <w:rPr>
          <w:color w:val="231F20"/>
        </w:rPr>
        <w:t>de </w:t>
      </w:r>
      <w:r>
        <w:rPr>
          <w:color w:val="231F20"/>
          <w:spacing w:val="-3"/>
        </w:rPr>
        <w:t>parto, días </w:t>
      </w:r>
      <w:r>
        <w:rPr>
          <w:color w:val="231F20"/>
        </w:rPr>
        <w:t>de </w:t>
      </w:r>
      <w:r>
        <w:rPr>
          <w:color w:val="231F20"/>
          <w:spacing w:val="-4"/>
        </w:rPr>
        <w:t>leche, fre- cuencia </w:t>
      </w:r>
      <w:r>
        <w:rPr>
          <w:color w:val="231F20"/>
        </w:rPr>
        <w:t>de </w:t>
      </w:r>
      <w:r>
        <w:rPr>
          <w:color w:val="231F20"/>
          <w:spacing w:val="-3"/>
        </w:rPr>
        <w:t>las </w:t>
      </w:r>
      <w:r>
        <w:rPr>
          <w:color w:val="231F20"/>
          <w:spacing w:val="-4"/>
        </w:rPr>
        <w:t>glándulas </w:t>
      </w:r>
      <w:r>
        <w:rPr>
          <w:color w:val="231F20"/>
          <w:spacing w:val="-3"/>
        </w:rPr>
        <w:t>con  </w:t>
      </w:r>
      <w:r>
        <w:rPr>
          <w:color w:val="231F20"/>
          <w:spacing w:val="-4"/>
        </w:rPr>
        <w:t>mastitis,  </w:t>
      </w:r>
      <w:r>
        <w:rPr>
          <w:color w:val="231F20"/>
          <w:spacing w:val="-3"/>
        </w:rPr>
        <w:t>gravedad  </w:t>
      </w:r>
      <w:r>
        <w:rPr>
          <w:color w:val="231F20"/>
          <w:spacing w:val="-4"/>
        </w:rPr>
        <w:t>de </w:t>
      </w:r>
      <w:r>
        <w:rPr>
          <w:color w:val="231F20"/>
        </w:rPr>
        <w:t>la </w:t>
      </w:r>
      <w:r>
        <w:rPr>
          <w:color w:val="231F20"/>
          <w:spacing w:val="-4"/>
        </w:rPr>
        <w:t>inflamación </w:t>
      </w:r>
      <w:r>
        <w:rPr>
          <w:color w:val="231F20"/>
        </w:rPr>
        <w:t>y </w:t>
      </w:r>
      <w:r>
        <w:rPr>
          <w:color w:val="231F20"/>
          <w:spacing w:val="-4"/>
        </w:rPr>
        <w:t>frecuencia </w:t>
      </w:r>
      <w:r>
        <w:rPr>
          <w:color w:val="231F20"/>
        </w:rPr>
        <w:t>de </w:t>
      </w:r>
      <w:r>
        <w:rPr>
          <w:color w:val="231F20"/>
          <w:spacing w:val="-4"/>
        </w:rPr>
        <w:t>vacas clínicas </w:t>
      </w:r>
      <w:r>
        <w:rPr>
          <w:color w:val="231F20"/>
          <w:spacing w:val="-3"/>
        </w:rPr>
        <w:t>con </w:t>
      </w:r>
      <w:r>
        <w:rPr>
          <w:color w:val="231F20"/>
          <w:spacing w:val="-4"/>
        </w:rPr>
        <w:t>res- pecto </w:t>
      </w:r>
      <w:r>
        <w:rPr>
          <w:color w:val="231F20"/>
        </w:rPr>
        <w:t>a la </w:t>
      </w:r>
      <w:r>
        <w:rPr>
          <w:color w:val="231F20"/>
          <w:spacing w:val="-4"/>
        </w:rPr>
        <w:t>población </w:t>
      </w:r>
      <w:r>
        <w:rPr>
          <w:color w:val="231F20"/>
        </w:rPr>
        <w:t>de </w:t>
      </w:r>
      <w:r>
        <w:rPr>
          <w:color w:val="231F20"/>
          <w:spacing w:val="-4"/>
        </w:rPr>
        <w:t>vacas </w:t>
      </w:r>
      <w:r>
        <w:rPr>
          <w:color w:val="231F20"/>
        </w:rPr>
        <w:t>en el </w:t>
      </w:r>
      <w:r>
        <w:rPr>
          <w:color w:val="231F20"/>
          <w:spacing w:val="16"/>
        </w:rPr>
        <w:t> </w:t>
      </w:r>
      <w:r>
        <w:rPr>
          <w:color w:val="231F20"/>
          <w:spacing w:val="-4"/>
        </w:rPr>
        <w:t>hato.</w:t>
      </w:r>
    </w:p>
    <w:p>
      <w:pPr>
        <w:spacing w:before="171"/>
        <w:ind w:left="1553" w:right="0" w:firstLine="0"/>
        <w:jc w:val="both"/>
        <w:rPr>
          <w:rFonts w:ascii="Cambria"/>
          <w:i/>
          <w:sz w:val="20"/>
        </w:rPr>
      </w:pPr>
      <w:r>
        <w:rPr>
          <w:rFonts w:ascii="Cambria"/>
          <w:i/>
          <w:color w:val="231F20"/>
          <w:w w:val="110"/>
          <w:sz w:val="20"/>
        </w:rPr>
        <w:t>Medicamentos y su uso</w:t>
      </w:r>
    </w:p>
    <w:p>
      <w:pPr>
        <w:spacing w:before="29"/>
        <w:ind w:left="1553" w:right="0" w:firstLine="0"/>
        <w:jc w:val="both"/>
        <w:rPr>
          <w:rFonts w:ascii="Cambria"/>
          <w:i/>
          <w:sz w:val="20"/>
        </w:rPr>
      </w:pPr>
      <w:r>
        <w:rPr>
          <w:rFonts w:ascii="Cambria"/>
          <w:i/>
          <w:color w:val="231F20"/>
          <w:w w:val="105"/>
          <w:sz w:val="20"/>
        </w:rPr>
        <w:t>en otras actividades  sanitarias</w:t>
      </w:r>
    </w:p>
    <w:p>
      <w:pPr>
        <w:pStyle w:val="BodyText"/>
        <w:spacing w:line="259" w:lineRule="auto" w:before="142"/>
        <w:ind w:left="1553"/>
        <w:jc w:val="both"/>
      </w:pPr>
      <w:r>
        <w:rPr>
          <w:color w:val="231F20"/>
        </w:rPr>
        <w:t>Se</w:t>
      </w:r>
      <w:r>
        <w:rPr>
          <w:color w:val="231F20"/>
          <w:spacing w:val="-16"/>
        </w:rPr>
        <w:t> </w:t>
      </w:r>
      <w:r>
        <w:rPr>
          <w:color w:val="231F20"/>
        </w:rPr>
        <w:t>identificarán</w:t>
      </w:r>
      <w:r>
        <w:rPr>
          <w:color w:val="231F20"/>
          <w:spacing w:val="-16"/>
        </w:rPr>
        <w:t> </w:t>
      </w:r>
      <w:r>
        <w:rPr>
          <w:color w:val="231F20"/>
        </w:rPr>
        <w:t>y</w:t>
      </w:r>
      <w:r>
        <w:rPr>
          <w:color w:val="231F20"/>
          <w:spacing w:val="-16"/>
        </w:rPr>
        <w:t> </w:t>
      </w:r>
      <w:r>
        <w:rPr>
          <w:color w:val="231F20"/>
        </w:rPr>
        <w:t>registrarán</w:t>
      </w:r>
      <w:r>
        <w:rPr>
          <w:color w:val="231F20"/>
          <w:spacing w:val="-16"/>
        </w:rPr>
        <w:t> </w:t>
      </w:r>
      <w:r>
        <w:rPr>
          <w:color w:val="231F20"/>
        </w:rPr>
        <w:t>los</w:t>
      </w:r>
      <w:r>
        <w:rPr>
          <w:color w:val="231F20"/>
          <w:spacing w:val="-16"/>
        </w:rPr>
        <w:t> </w:t>
      </w:r>
      <w:r>
        <w:rPr>
          <w:color w:val="231F20"/>
        </w:rPr>
        <w:t>quimioterapéuticos que se aplican para el tratamiento y el control en otros problemas clínicos, como en reproducción, afecciones respiratorias y digestivas, y otras, inclu- yendo dosis, vía de administración y</w:t>
      </w:r>
      <w:r>
        <w:rPr>
          <w:color w:val="231F20"/>
          <w:spacing w:val="-19"/>
        </w:rPr>
        <w:t> </w:t>
      </w:r>
      <w:r>
        <w:rPr>
          <w:color w:val="231F20"/>
        </w:rPr>
        <w:t>frecuencia.</w:t>
      </w:r>
    </w:p>
    <w:p>
      <w:pPr>
        <w:pStyle w:val="BodyText"/>
        <w:spacing w:before="11"/>
        <w:rPr>
          <w:sz w:val="28"/>
        </w:rPr>
      </w:pPr>
      <w:r>
        <w:rPr/>
        <w:br w:type="column"/>
      </w:r>
      <w:r>
        <w:rPr>
          <w:sz w:val="28"/>
        </w:rPr>
      </w:r>
    </w:p>
    <w:p>
      <w:pPr>
        <w:spacing w:before="1"/>
        <w:ind w:left="413" w:right="0" w:firstLine="0"/>
        <w:jc w:val="both"/>
        <w:rPr>
          <w:rFonts w:ascii="Cambria" w:hAnsi="Cambria"/>
          <w:i/>
          <w:sz w:val="20"/>
        </w:rPr>
      </w:pPr>
      <w:r>
        <w:rPr>
          <w:rFonts w:ascii="Cambria" w:hAnsi="Cambria"/>
          <w:i/>
          <w:color w:val="231F20"/>
          <w:w w:val="110"/>
          <w:sz w:val="20"/>
        </w:rPr>
        <w:t>Capacidad y eficiencia del equipo para ordeño</w:t>
      </w:r>
    </w:p>
    <w:p>
      <w:pPr>
        <w:pStyle w:val="BodyText"/>
        <w:spacing w:line="268" w:lineRule="auto" w:before="152"/>
        <w:ind w:left="413" w:right="1551"/>
        <w:jc w:val="both"/>
      </w:pPr>
      <w:r>
        <w:rPr>
          <w:color w:val="231F20"/>
        </w:rPr>
        <w:t>Se procede a determinar la capacidad y la</w:t>
      </w:r>
      <w:r>
        <w:rPr>
          <w:color w:val="231F20"/>
          <w:spacing w:val="-31"/>
        </w:rPr>
        <w:t> </w:t>
      </w:r>
      <w:r>
        <w:rPr>
          <w:color w:val="231F20"/>
        </w:rPr>
        <w:t>eficiencia del equipo, siguiendo el procedimiento descrito</w:t>
      </w:r>
      <w:r>
        <w:rPr>
          <w:color w:val="231F20"/>
          <w:spacing w:val="-29"/>
        </w:rPr>
        <w:t> </w:t>
      </w:r>
      <w:r>
        <w:rPr>
          <w:color w:val="231F20"/>
          <w:spacing w:val="-2"/>
        </w:rPr>
        <w:t>por </w:t>
      </w:r>
      <w:r>
        <w:rPr>
          <w:color w:val="231F20"/>
        </w:rPr>
        <w:t>Ávila y </w:t>
      </w:r>
      <w:r>
        <w:rPr>
          <w:color w:val="231F20"/>
          <w:spacing w:val="-3"/>
        </w:rPr>
        <w:t>Valdivieso </w:t>
      </w:r>
      <w:r>
        <w:rPr>
          <w:color w:val="231F20"/>
          <w:spacing w:val="-4"/>
        </w:rPr>
        <w:t>(2001). </w:t>
      </w:r>
      <w:r>
        <w:rPr>
          <w:color w:val="231F20"/>
          <w:spacing w:val="-3"/>
        </w:rPr>
        <w:t>Para </w:t>
      </w:r>
      <w:r>
        <w:rPr>
          <w:color w:val="231F20"/>
        </w:rPr>
        <w:t>el análisis del com- portamiento de la unidad ordeñadora se requiere conocer la condición de las </w:t>
      </w:r>
      <w:r>
        <w:rPr>
          <w:color w:val="231F20"/>
          <w:spacing w:val="-3"/>
        </w:rPr>
        <w:t>pezoneras </w:t>
      </w:r>
      <w:r>
        <w:rPr>
          <w:color w:val="231F20"/>
        </w:rPr>
        <w:t>y su resisten- cia al colapso, así como el comportamiento de la onda del aire pulsado en el interior de la </w:t>
      </w:r>
      <w:r>
        <w:rPr>
          <w:color w:val="231F20"/>
          <w:spacing w:val="-3"/>
        </w:rPr>
        <w:t>pezonera</w:t>
      </w:r>
      <w:r>
        <w:rPr>
          <w:color w:val="231F20"/>
          <w:spacing w:val="-29"/>
        </w:rPr>
        <w:t> </w:t>
      </w:r>
      <w:r>
        <w:rPr>
          <w:color w:val="231F20"/>
        </w:rPr>
        <w:t>y entre ésta y el casquillo (Cuadros 7 y </w:t>
      </w:r>
      <w:r>
        <w:rPr>
          <w:color w:val="231F20"/>
          <w:spacing w:val="42"/>
        </w:rPr>
        <w:t> </w:t>
      </w:r>
      <w:r>
        <w:rPr>
          <w:color w:val="231F20"/>
          <w:spacing w:val="-2"/>
        </w:rPr>
        <w:t>8).</w:t>
      </w:r>
    </w:p>
    <w:p>
      <w:pPr>
        <w:pStyle w:val="BodyText"/>
        <w:spacing w:line="268" w:lineRule="auto" w:before="113"/>
        <w:ind w:left="413" w:right="1551"/>
        <w:jc w:val="both"/>
      </w:pPr>
      <w:r>
        <w:rPr>
          <w:color w:val="231F20"/>
          <w:spacing w:val="-3"/>
        </w:rPr>
        <w:t>También </w:t>
      </w:r>
      <w:r>
        <w:rPr>
          <w:color w:val="231F20"/>
        </w:rPr>
        <w:t>se registra el método de limpieza entre vacas ordeñadas y se procede a la identificación   de los microorganismos prevalentes en las pezo- neras, los sifones de ordeño, los lactoductos, los jarrones, los botes, los tanques enfriadores y las mangueras para las descargas de la leche al carro cisterna. Esta actividad también se realiza después de concluida la práctica de ordeño con la limpieza del equipo y antes de que se inicie la siguiente sesión  de</w:t>
      </w:r>
      <w:r>
        <w:rPr>
          <w:color w:val="231F20"/>
          <w:spacing w:val="2"/>
        </w:rPr>
        <w:t> </w:t>
      </w:r>
      <w:r>
        <w:rPr>
          <w:color w:val="231F20"/>
        </w:rPr>
        <w:t>ordeño.</w:t>
      </w:r>
    </w:p>
    <w:p>
      <w:pPr>
        <w:spacing w:after="0" w:line="268" w:lineRule="auto"/>
        <w:jc w:val="both"/>
        <w:sectPr>
          <w:type w:val="continuous"/>
          <w:pgSz w:w="11900" w:h="14450"/>
          <w:pgMar w:top="420" w:bottom="420" w:left="0" w:right="0"/>
          <w:cols w:num="2" w:equalWidth="0">
            <w:col w:w="5722" w:space="40"/>
            <w:col w:w="6138"/>
          </w:cols>
        </w:sectPr>
      </w:pPr>
    </w:p>
    <w:p>
      <w:pPr>
        <w:pStyle w:val="BodyText"/>
        <w:spacing w:before="1"/>
        <w:rPr>
          <w:sz w:val="18"/>
        </w:rPr>
      </w:pPr>
    </w:p>
    <w:p>
      <w:pPr>
        <w:spacing w:before="72"/>
        <w:ind w:left="1553" w:right="2503" w:firstLine="0"/>
        <w:jc w:val="left"/>
        <w:rPr>
          <w:sz w:val="18"/>
        </w:rPr>
      </w:pPr>
      <w:r>
        <w:rPr>
          <w:color w:val="231F20"/>
          <w:sz w:val="18"/>
        </w:rPr>
        <w:t>Cuadro 7.         Resistencia de las pezoneras y recuperación del vacío.</w:t>
      </w:r>
    </w:p>
    <w:p>
      <w:pPr>
        <w:pStyle w:val="BodyText"/>
        <w:spacing w:before="11"/>
        <w:rPr>
          <w:sz w:val="8"/>
        </w:rPr>
      </w:pPr>
      <w:r>
        <w:rPr/>
        <w:pict>
          <v:group style="position:absolute;margin-left:77.442902pt;margin-top:7.430713pt;width:439.95pt;height:.5pt;mso-position-horizontal-relative:page;mso-position-vertical-relative:paragraph;z-index:2128;mso-wrap-distance-left:0;mso-wrap-distance-right:0" coordorigin="1549,149" coordsize="8799,10">
            <v:line style="position:absolute" from="1554,154" to="4020,154" stroked="true" strokeweight=".5pt" strokecolor="#231f20"/>
            <v:line style="position:absolute" from="4020,154" to="4662,154" stroked="true" strokeweight=".5pt" strokecolor="#231f20"/>
            <v:line style="position:absolute" from="4662,154" to="5316,154" stroked="true" strokeweight=".5pt" strokecolor="#231f20"/>
            <v:line style="position:absolute" from="5316,154" to="5970,154" stroked="true" strokeweight=".5pt" strokecolor="#231f20"/>
            <v:line style="position:absolute" from="5970,154" to="6624,154" stroked="true" strokeweight=".5pt" strokecolor="#231f20"/>
            <v:line style="position:absolute" from="6624,154" to="7277,154" stroked="true" strokeweight=".5pt" strokecolor="#231f20"/>
            <v:line style="position:absolute" from="7277,154" to="7931,154" stroked="true" strokeweight=".5pt" strokecolor="#231f20"/>
            <v:line style="position:absolute" from="7931,154" to="8585,154" stroked="true" strokeweight=".5pt" strokecolor="#231f20"/>
            <v:line style="position:absolute" from="8585,154" to="9239,154" stroked="true" strokeweight=".5pt" strokecolor="#231f20"/>
            <v:line style="position:absolute" from="9239,154" to="9892,154" stroked="true" strokeweight=".5pt" strokecolor="#231f20"/>
            <v:line style="position:absolute" from="9892,154" to="10343,154" stroked="true" strokeweight=".5pt" strokecolor="#231f20"/>
            <w10:wrap type="topAndBottom"/>
          </v:group>
        </w:pict>
      </w:r>
    </w:p>
    <w:p>
      <w:pPr>
        <w:spacing w:before="50"/>
        <w:ind w:left="1667" w:right="2503" w:firstLine="0"/>
        <w:jc w:val="left"/>
        <w:rPr>
          <w:rFonts w:ascii="Cambria"/>
          <w:i/>
          <w:sz w:val="18"/>
        </w:rPr>
      </w:pPr>
      <w:r>
        <w:rPr>
          <w:rFonts w:ascii="Cambria"/>
          <w:i/>
          <w:color w:val="231F20"/>
          <w:w w:val="105"/>
          <w:sz w:val="18"/>
        </w:rPr>
        <w:t>Pezonera  muestreada</w:t>
      </w:r>
    </w:p>
    <w:p>
      <w:pPr>
        <w:pStyle w:val="BodyText"/>
        <w:spacing w:before="9"/>
        <w:rPr>
          <w:rFonts w:ascii="Cambria"/>
          <w:i/>
          <w:sz w:val="5"/>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466"/>
        <w:gridCol w:w="642"/>
        <w:gridCol w:w="654"/>
        <w:gridCol w:w="654"/>
        <w:gridCol w:w="654"/>
        <w:gridCol w:w="653"/>
        <w:gridCol w:w="654"/>
        <w:gridCol w:w="654"/>
        <w:gridCol w:w="654"/>
        <w:gridCol w:w="653"/>
        <w:gridCol w:w="451"/>
      </w:tblGrid>
      <w:tr>
        <w:trPr>
          <w:trHeight w:val="370" w:hRule="exact"/>
        </w:trPr>
        <w:tc>
          <w:tcPr>
            <w:tcW w:w="2466" w:type="dxa"/>
            <w:tcBorders>
              <w:left w:val="nil"/>
            </w:tcBorders>
          </w:tcPr>
          <w:p>
            <w:pPr/>
          </w:p>
        </w:tc>
        <w:tc>
          <w:tcPr>
            <w:tcW w:w="642" w:type="dxa"/>
          </w:tcPr>
          <w:p>
            <w:pPr>
              <w:pStyle w:val="TableParagraph"/>
              <w:spacing w:before="80"/>
              <w:jc w:val="center"/>
              <w:rPr>
                <w:sz w:val="18"/>
              </w:rPr>
            </w:pPr>
            <w:r>
              <w:rPr>
                <w:color w:val="231F20"/>
                <w:w w:val="115"/>
                <w:sz w:val="18"/>
              </w:rPr>
              <w:t>1</w:t>
            </w:r>
          </w:p>
        </w:tc>
        <w:tc>
          <w:tcPr>
            <w:tcW w:w="654" w:type="dxa"/>
          </w:tcPr>
          <w:p>
            <w:pPr>
              <w:pStyle w:val="TableParagraph"/>
              <w:spacing w:before="80"/>
              <w:jc w:val="center"/>
              <w:rPr>
                <w:sz w:val="18"/>
              </w:rPr>
            </w:pPr>
            <w:r>
              <w:rPr>
                <w:color w:val="231F20"/>
                <w:w w:val="115"/>
                <w:sz w:val="18"/>
              </w:rPr>
              <w:t>2</w:t>
            </w:r>
          </w:p>
        </w:tc>
        <w:tc>
          <w:tcPr>
            <w:tcW w:w="654" w:type="dxa"/>
          </w:tcPr>
          <w:p>
            <w:pPr>
              <w:pStyle w:val="TableParagraph"/>
              <w:spacing w:before="80"/>
              <w:jc w:val="center"/>
              <w:rPr>
                <w:sz w:val="18"/>
              </w:rPr>
            </w:pPr>
            <w:r>
              <w:rPr>
                <w:color w:val="231F20"/>
                <w:w w:val="115"/>
                <w:sz w:val="18"/>
              </w:rPr>
              <w:t>3</w:t>
            </w:r>
          </w:p>
        </w:tc>
        <w:tc>
          <w:tcPr>
            <w:tcW w:w="654" w:type="dxa"/>
          </w:tcPr>
          <w:p>
            <w:pPr>
              <w:pStyle w:val="TableParagraph"/>
              <w:spacing w:before="80"/>
              <w:jc w:val="center"/>
              <w:rPr>
                <w:sz w:val="18"/>
              </w:rPr>
            </w:pPr>
            <w:r>
              <w:rPr>
                <w:color w:val="231F20"/>
                <w:w w:val="115"/>
                <w:sz w:val="18"/>
              </w:rPr>
              <w:t>4</w:t>
            </w:r>
          </w:p>
        </w:tc>
        <w:tc>
          <w:tcPr>
            <w:tcW w:w="653" w:type="dxa"/>
          </w:tcPr>
          <w:p>
            <w:pPr>
              <w:pStyle w:val="TableParagraph"/>
              <w:spacing w:before="80"/>
              <w:jc w:val="center"/>
              <w:rPr>
                <w:sz w:val="18"/>
              </w:rPr>
            </w:pPr>
            <w:r>
              <w:rPr>
                <w:color w:val="231F20"/>
                <w:w w:val="115"/>
                <w:sz w:val="18"/>
              </w:rPr>
              <w:t>5</w:t>
            </w:r>
          </w:p>
        </w:tc>
        <w:tc>
          <w:tcPr>
            <w:tcW w:w="654" w:type="dxa"/>
          </w:tcPr>
          <w:p>
            <w:pPr>
              <w:pStyle w:val="TableParagraph"/>
              <w:spacing w:before="80"/>
              <w:jc w:val="center"/>
              <w:rPr>
                <w:sz w:val="18"/>
              </w:rPr>
            </w:pPr>
            <w:r>
              <w:rPr>
                <w:color w:val="231F20"/>
                <w:w w:val="115"/>
                <w:sz w:val="18"/>
              </w:rPr>
              <w:t>6</w:t>
            </w:r>
          </w:p>
        </w:tc>
        <w:tc>
          <w:tcPr>
            <w:tcW w:w="654" w:type="dxa"/>
          </w:tcPr>
          <w:p>
            <w:pPr>
              <w:pStyle w:val="TableParagraph"/>
              <w:spacing w:before="80"/>
              <w:jc w:val="center"/>
              <w:rPr>
                <w:sz w:val="18"/>
              </w:rPr>
            </w:pPr>
            <w:r>
              <w:rPr>
                <w:color w:val="231F20"/>
                <w:w w:val="115"/>
                <w:sz w:val="18"/>
              </w:rPr>
              <w:t>7</w:t>
            </w:r>
          </w:p>
        </w:tc>
        <w:tc>
          <w:tcPr>
            <w:tcW w:w="654" w:type="dxa"/>
          </w:tcPr>
          <w:p>
            <w:pPr>
              <w:pStyle w:val="TableParagraph"/>
              <w:spacing w:before="80"/>
              <w:jc w:val="center"/>
              <w:rPr>
                <w:sz w:val="18"/>
              </w:rPr>
            </w:pPr>
            <w:r>
              <w:rPr>
                <w:color w:val="231F20"/>
                <w:w w:val="115"/>
                <w:sz w:val="18"/>
              </w:rPr>
              <w:t>8</w:t>
            </w:r>
          </w:p>
        </w:tc>
        <w:tc>
          <w:tcPr>
            <w:tcW w:w="653" w:type="dxa"/>
          </w:tcPr>
          <w:p>
            <w:pPr>
              <w:pStyle w:val="TableParagraph"/>
              <w:spacing w:before="80"/>
              <w:jc w:val="center"/>
              <w:rPr>
                <w:sz w:val="18"/>
              </w:rPr>
            </w:pPr>
            <w:r>
              <w:rPr>
                <w:color w:val="231F20"/>
                <w:w w:val="115"/>
                <w:sz w:val="18"/>
              </w:rPr>
              <w:t>9</w:t>
            </w:r>
          </w:p>
        </w:tc>
        <w:tc>
          <w:tcPr>
            <w:tcW w:w="451" w:type="dxa"/>
            <w:tcBorders>
              <w:right w:val="nil"/>
            </w:tcBorders>
          </w:tcPr>
          <w:p>
            <w:pPr>
              <w:pStyle w:val="TableParagraph"/>
              <w:spacing w:before="80"/>
              <w:ind w:left="119"/>
              <w:rPr>
                <w:sz w:val="18"/>
              </w:rPr>
            </w:pPr>
            <w:r>
              <w:rPr>
                <w:color w:val="231F20"/>
                <w:w w:val="115"/>
                <w:sz w:val="18"/>
              </w:rPr>
              <w:t>10</w:t>
            </w:r>
          </w:p>
        </w:tc>
      </w:tr>
      <w:tr>
        <w:trPr>
          <w:trHeight w:val="517" w:hRule="exact"/>
        </w:trPr>
        <w:tc>
          <w:tcPr>
            <w:tcW w:w="2466" w:type="dxa"/>
            <w:tcBorders>
              <w:left w:val="nil"/>
            </w:tcBorders>
          </w:tcPr>
          <w:p>
            <w:pPr>
              <w:pStyle w:val="TableParagraph"/>
              <w:spacing w:before="45"/>
              <w:ind w:left="113" w:right="18"/>
              <w:rPr>
                <w:sz w:val="17"/>
              </w:rPr>
            </w:pPr>
            <w:r>
              <w:rPr>
                <w:color w:val="231F20"/>
                <w:sz w:val="17"/>
              </w:rPr>
              <w:t>Resistencia</w:t>
            </w:r>
          </w:p>
          <w:p>
            <w:pPr>
              <w:pStyle w:val="TableParagraph"/>
              <w:spacing w:before="12"/>
              <w:ind w:left="113" w:right="18"/>
              <w:rPr>
                <w:sz w:val="17"/>
              </w:rPr>
            </w:pPr>
            <w:r>
              <w:rPr>
                <w:color w:val="231F20"/>
                <w:w w:val="105"/>
                <w:sz w:val="17"/>
              </w:rPr>
              <w:t>(pulgadas de mercurio)</w:t>
            </w:r>
          </w:p>
        </w:tc>
        <w:tc>
          <w:tcPr>
            <w:tcW w:w="642" w:type="dxa"/>
          </w:tcPr>
          <w:p>
            <w:pPr/>
          </w:p>
        </w:tc>
        <w:tc>
          <w:tcPr>
            <w:tcW w:w="654" w:type="dxa"/>
          </w:tcPr>
          <w:p>
            <w:pPr/>
          </w:p>
        </w:tc>
        <w:tc>
          <w:tcPr>
            <w:tcW w:w="654" w:type="dxa"/>
          </w:tcPr>
          <w:p>
            <w:pPr/>
          </w:p>
        </w:tc>
        <w:tc>
          <w:tcPr>
            <w:tcW w:w="654" w:type="dxa"/>
          </w:tcPr>
          <w:p>
            <w:pPr/>
          </w:p>
        </w:tc>
        <w:tc>
          <w:tcPr>
            <w:tcW w:w="653" w:type="dxa"/>
          </w:tcPr>
          <w:p>
            <w:pPr/>
          </w:p>
        </w:tc>
        <w:tc>
          <w:tcPr>
            <w:tcW w:w="654" w:type="dxa"/>
          </w:tcPr>
          <w:p>
            <w:pPr/>
          </w:p>
        </w:tc>
        <w:tc>
          <w:tcPr>
            <w:tcW w:w="654" w:type="dxa"/>
          </w:tcPr>
          <w:p>
            <w:pPr/>
          </w:p>
        </w:tc>
        <w:tc>
          <w:tcPr>
            <w:tcW w:w="654" w:type="dxa"/>
          </w:tcPr>
          <w:p>
            <w:pPr/>
          </w:p>
        </w:tc>
        <w:tc>
          <w:tcPr>
            <w:tcW w:w="653" w:type="dxa"/>
          </w:tcPr>
          <w:p>
            <w:pPr/>
          </w:p>
        </w:tc>
        <w:tc>
          <w:tcPr>
            <w:tcW w:w="451" w:type="dxa"/>
            <w:tcBorders>
              <w:right w:val="nil"/>
            </w:tcBorders>
          </w:tcPr>
          <w:p>
            <w:pPr/>
          </w:p>
        </w:tc>
      </w:tr>
      <w:tr>
        <w:trPr>
          <w:trHeight w:val="517" w:hRule="exact"/>
        </w:trPr>
        <w:tc>
          <w:tcPr>
            <w:tcW w:w="2466" w:type="dxa"/>
            <w:tcBorders>
              <w:left w:val="nil"/>
            </w:tcBorders>
          </w:tcPr>
          <w:p>
            <w:pPr>
              <w:pStyle w:val="TableParagraph"/>
              <w:spacing w:line="254" w:lineRule="auto" w:before="45"/>
              <w:ind w:left="113" w:right="18"/>
              <w:rPr>
                <w:sz w:val="17"/>
              </w:rPr>
            </w:pPr>
            <w:r>
              <w:rPr>
                <w:color w:val="231F20"/>
                <w:sz w:val="17"/>
              </w:rPr>
              <w:t>Recuperación del vacío (segundos)</w:t>
            </w:r>
          </w:p>
        </w:tc>
        <w:tc>
          <w:tcPr>
            <w:tcW w:w="642" w:type="dxa"/>
          </w:tcPr>
          <w:p>
            <w:pPr/>
          </w:p>
        </w:tc>
        <w:tc>
          <w:tcPr>
            <w:tcW w:w="654" w:type="dxa"/>
          </w:tcPr>
          <w:p>
            <w:pPr/>
          </w:p>
        </w:tc>
        <w:tc>
          <w:tcPr>
            <w:tcW w:w="654" w:type="dxa"/>
          </w:tcPr>
          <w:p>
            <w:pPr/>
          </w:p>
        </w:tc>
        <w:tc>
          <w:tcPr>
            <w:tcW w:w="654" w:type="dxa"/>
          </w:tcPr>
          <w:p>
            <w:pPr/>
          </w:p>
        </w:tc>
        <w:tc>
          <w:tcPr>
            <w:tcW w:w="653" w:type="dxa"/>
          </w:tcPr>
          <w:p>
            <w:pPr/>
          </w:p>
        </w:tc>
        <w:tc>
          <w:tcPr>
            <w:tcW w:w="654" w:type="dxa"/>
          </w:tcPr>
          <w:p>
            <w:pPr/>
          </w:p>
        </w:tc>
        <w:tc>
          <w:tcPr>
            <w:tcW w:w="654" w:type="dxa"/>
          </w:tcPr>
          <w:p>
            <w:pPr/>
          </w:p>
        </w:tc>
        <w:tc>
          <w:tcPr>
            <w:tcW w:w="654" w:type="dxa"/>
          </w:tcPr>
          <w:p>
            <w:pPr/>
          </w:p>
        </w:tc>
        <w:tc>
          <w:tcPr>
            <w:tcW w:w="653" w:type="dxa"/>
          </w:tcPr>
          <w:p>
            <w:pPr/>
          </w:p>
        </w:tc>
        <w:tc>
          <w:tcPr>
            <w:tcW w:w="451" w:type="dxa"/>
            <w:tcBorders>
              <w:right w:val="nil"/>
            </w:tcBorders>
          </w:tcPr>
          <w:p>
            <w:pPr/>
          </w:p>
        </w:tc>
      </w:tr>
    </w:tbl>
    <w:p>
      <w:pPr>
        <w:pStyle w:val="BodyText"/>
        <w:rPr>
          <w:rFonts w:ascii="Cambria"/>
          <w:i/>
          <w:sz w:val="24"/>
        </w:rPr>
      </w:pPr>
    </w:p>
    <w:p>
      <w:pPr>
        <w:spacing w:before="71"/>
        <w:ind w:left="1553" w:right="2503" w:firstLine="0"/>
        <w:jc w:val="left"/>
        <w:rPr>
          <w:sz w:val="18"/>
        </w:rPr>
      </w:pPr>
      <w:r>
        <w:rPr>
          <w:color w:val="231F20"/>
          <w:sz w:val="18"/>
        </w:rPr>
        <w:t>Cuadro 8.   Comportamiento de las unidades para el    ordeño.</w:t>
      </w:r>
    </w:p>
    <w:p>
      <w:pPr>
        <w:pStyle w:val="BodyText"/>
        <w:spacing w:before="11"/>
        <w:rPr>
          <w:sz w:val="8"/>
        </w:rPr>
      </w:pPr>
      <w:r>
        <w:rPr/>
        <w:pict>
          <v:group style="position:absolute;margin-left:77.442902pt;margin-top:7.430714pt;width:439.9pt;height:.5pt;mso-position-horizontal-relative:page;mso-position-vertical-relative:paragraph;z-index:2152;mso-wrap-distance-left:0;mso-wrap-distance-right:0" coordorigin="1549,149" coordsize="8798,10">
            <v:line style="position:absolute" from="1554,154" to="2711,154" stroked="true" strokeweight=".5pt" strokecolor="#231f20"/>
            <v:line style="position:absolute" from="2711,154" to="4150,154" stroked="true" strokeweight=".5pt" strokecolor="#231f20"/>
            <v:line style="position:absolute" from="4150,154" to="5522,154" stroked="true" strokeweight=".5pt" strokecolor="#231f20"/>
            <v:line style="position:absolute" from="5522,154" to="6812,154" stroked="true" strokeweight=".5pt" strokecolor="#231f20"/>
            <v:line style="position:absolute" from="6812,154" to="8028,154" stroked="true" strokeweight=".5pt" strokecolor="#231f20"/>
            <v:line style="position:absolute" from="8028,154" to="9046,154" stroked="true" strokeweight=".5pt" strokecolor="#231f20"/>
            <v:line style="position:absolute" from="9046,154" to="10341,154" stroked="true" strokeweight=".5pt" strokecolor="#231f20"/>
            <w10:wrap type="topAndBottom"/>
          </v:group>
        </w:pict>
      </w:r>
    </w:p>
    <w:p>
      <w:pPr>
        <w:spacing w:before="50"/>
        <w:ind w:left="1667" w:right="2503" w:firstLine="0"/>
        <w:jc w:val="left"/>
        <w:rPr>
          <w:rFonts w:ascii="Cambria" w:hAnsi="Cambria"/>
          <w:i/>
          <w:sz w:val="18"/>
        </w:rPr>
      </w:pPr>
      <w:r>
        <w:rPr>
          <w:rFonts w:ascii="Cambria" w:hAnsi="Cambria"/>
          <w:i/>
          <w:color w:val="231F20"/>
          <w:w w:val="110"/>
          <w:sz w:val="18"/>
        </w:rPr>
        <w:t>Vacío en pezonera</w:t>
      </w:r>
    </w:p>
    <w:p>
      <w:pPr>
        <w:pStyle w:val="BodyText"/>
        <w:spacing w:before="9"/>
        <w:rPr>
          <w:rFonts w:ascii="Cambria"/>
          <w:i/>
          <w:sz w:val="5"/>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57"/>
        <w:gridCol w:w="1440"/>
        <w:gridCol w:w="1372"/>
        <w:gridCol w:w="1290"/>
        <w:gridCol w:w="1216"/>
        <w:gridCol w:w="1018"/>
        <w:gridCol w:w="1295"/>
      </w:tblGrid>
      <w:tr>
        <w:trPr>
          <w:trHeight w:val="574" w:hRule="exact"/>
        </w:trPr>
        <w:tc>
          <w:tcPr>
            <w:tcW w:w="1157" w:type="dxa"/>
            <w:tcBorders>
              <w:left w:val="nil"/>
            </w:tcBorders>
          </w:tcPr>
          <w:p>
            <w:pPr>
              <w:pStyle w:val="TableParagraph"/>
              <w:spacing w:line="254" w:lineRule="auto"/>
              <w:ind w:left="113"/>
              <w:rPr>
                <w:sz w:val="17"/>
              </w:rPr>
            </w:pPr>
            <w:r>
              <w:rPr>
                <w:color w:val="231F20"/>
                <w:sz w:val="17"/>
              </w:rPr>
              <w:t>Unidad de ordeño</w:t>
            </w:r>
          </w:p>
        </w:tc>
        <w:tc>
          <w:tcPr>
            <w:tcW w:w="1440" w:type="dxa"/>
          </w:tcPr>
          <w:p>
            <w:pPr>
              <w:pStyle w:val="TableParagraph"/>
              <w:spacing w:before="7"/>
              <w:rPr>
                <w:rFonts w:ascii="Cambria"/>
                <w:i/>
                <w:sz w:val="15"/>
              </w:rPr>
            </w:pPr>
          </w:p>
          <w:p>
            <w:pPr>
              <w:pStyle w:val="TableParagraph"/>
              <w:spacing w:before="1"/>
              <w:ind w:left="108"/>
              <w:rPr>
                <w:sz w:val="17"/>
              </w:rPr>
            </w:pPr>
            <w:r>
              <w:rPr>
                <w:color w:val="231F20"/>
                <w:w w:val="105"/>
                <w:sz w:val="17"/>
              </w:rPr>
              <w:t>Pulsaciones/min</w:t>
            </w:r>
          </w:p>
        </w:tc>
        <w:tc>
          <w:tcPr>
            <w:tcW w:w="1372" w:type="dxa"/>
          </w:tcPr>
          <w:p>
            <w:pPr>
              <w:pStyle w:val="TableParagraph"/>
              <w:spacing w:line="254" w:lineRule="auto"/>
              <w:ind w:left="108" w:right="65"/>
              <w:rPr>
                <w:sz w:val="17"/>
              </w:rPr>
            </w:pPr>
            <w:r>
              <w:rPr>
                <w:color w:val="231F20"/>
                <w:sz w:val="17"/>
              </w:rPr>
              <w:t>Relación ordeño a descanso</w:t>
            </w:r>
          </w:p>
        </w:tc>
        <w:tc>
          <w:tcPr>
            <w:tcW w:w="1290" w:type="dxa"/>
          </w:tcPr>
          <w:p>
            <w:pPr>
              <w:pStyle w:val="TableParagraph"/>
              <w:spacing w:line="254" w:lineRule="auto"/>
              <w:ind w:left="108"/>
              <w:rPr>
                <w:sz w:val="17"/>
              </w:rPr>
            </w:pPr>
            <w:r>
              <w:rPr>
                <w:color w:val="231F20"/>
                <w:w w:val="105"/>
                <w:sz w:val="17"/>
              </w:rPr>
              <w:t>Tiempo de descanso</w:t>
            </w:r>
          </w:p>
        </w:tc>
        <w:tc>
          <w:tcPr>
            <w:tcW w:w="1216" w:type="dxa"/>
          </w:tcPr>
          <w:p>
            <w:pPr>
              <w:pStyle w:val="TableParagraph"/>
              <w:spacing w:line="254" w:lineRule="auto"/>
              <w:ind w:left="108" w:right="405"/>
              <w:rPr>
                <w:sz w:val="17"/>
              </w:rPr>
            </w:pPr>
            <w:r>
              <w:rPr>
                <w:color w:val="231F20"/>
                <w:sz w:val="17"/>
              </w:rPr>
              <w:t>Fuerza de masaje</w:t>
            </w:r>
          </w:p>
        </w:tc>
        <w:tc>
          <w:tcPr>
            <w:tcW w:w="1018" w:type="dxa"/>
          </w:tcPr>
          <w:p>
            <w:pPr>
              <w:pStyle w:val="TableParagraph"/>
              <w:spacing w:before="7"/>
              <w:rPr>
                <w:rFonts w:ascii="Cambria"/>
                <w:i/>
                <w:sz w:val="15"/>
              </w:rPr>
            </w:pPr>
          </w:p>
          <w:p>
            <w:pPr>
              <w:pStyle w:val="TableParagraph"/>
              <w:spacing w:before="1"/>
              <w:ind w:left="108"/>
              <w:rPr>
                <w:sz w:val="17"/>
              </w:rPr>
            </w:pPr>
            <w:r>
              <w:rPr>
                <w:color w:val="231F20"/>
                <w:sz w:val="17"/>
              </w:rPr>
              <w:t>Nivel</w:t>
            </w:r>
          </w:p>
        </w:tc>
        <w:tc>
          <w:tcPr>
            <w:tcW w:w="1295" w:type="dxa"/>
            <w:tcBorders>
              <w:right w:val="nil"/>
            </w:tcBorders>
          </w:tcPr>
          <w:p>
            <w:pPr>
              <w:pStyle w:val="TableParagraph"/>
              <w:spacing w:before="7"/>
              <w:rPr>
                <w:rFonts w:ascii="Cambria"/>
                <w:i/>
                <w:sz w:val="15"/>
              </w:rPr>
            </w:pPr>
          </w:p>
          <w:p>
            <w:pPr>
              <w:pStyle w:val="TableParagraph"/>
              <w:spacing w:before="1"/>
              <w:ind w:left="108"/>
              <w:rPr>
                <w:sz w:val="17"/>
              </w:rPr>
            </w:pPr>
            <w:r>
              <w:rPr>
                <w:color w:val="231F20"/>
                <w:sz w:val="17"/>
              </w:rPr>
              <w:t>Fluctuación</w:t>
            </w:r>
          </w:p>
        </w:tc>
      </w:tr>
      <w:tr>
        <w:trPr>
          <w:trHeight w:val="326" w:hRule="exact"/>
        </w:trPr>
        <w:tc>
          <w:tcPr>
            <w:tcW w:w="1157" w:type="dxa"/>
            <w:tcBorders>
              <w:left w:val="nil"/>
            </w:tcBorders>
          </w:tcPr>
          <w:p>
            <w:pPr/>
          </w:p>
        </w:tc>
        <w:tc>
          <w:tcPr>
            <w:tcW w:w="1440" w:type="dxa"/>
          </w:tcPr>
          <w:p>
            <w:pPr/>
          </w:p>
        </w:tc>
        <w:tc>
          <w:tcPr>
            <w:tcW w:w="1372" w:type="dxa"/>
          </w:tcPr>
          <w:p>
            <w:pPr/>
          </w:p>
        </w:tc>
        <w:tc>
          <w:tcPr>
            <w:tcW w:w="1290" w:type="dxa"/>
          </w:tcPr>
          <w:p>
            <w:pPr/>
          </w:p>
        </w:tc>
        <w:tc>
          <w:tcPr>
            <w:tcW w:w="1216" w:type="dxa"/>
          </w:tcPr>
          <w:p>
            <w:pPr/>
          </w:p>
        </w:tc>
        <w:tc>
          <w:tcPr>
            <w:tcW w:w="1018" w:type="dxa"/>
          </w:tcPr>
          <w:p>
            <w:pPr/>
          </w:p>
        </w:tc>
        <w:tc>
          <w:tcPr>
            <w:tcW w:w="1295" w:type="dxa"/>
            <w:tcBorders>
              <w:right w:val="nil"/>
            </w:tcBorders>
          </w:tcPr>
          <w:p>
            <w:pPr/>
          </w:p>
        </w:tc>
      </w:tr>
      <w:tr>
        <w:trPr>
          <w:trHeight w:val="326" w:hRule="exact"/>
        </w:trPr>
        <w:tc>
          <w:tcPr>
            <w:tcW w:w="1157" w:type="dxa"/>
            <w:tcBorders>
              <w:left w:val="nil"/>
            </w:tcBorders>
          </w:tcPr>
          <w:p>
            <w:pPr/>
          </w:p>
        </w:tc>
        <w:tc>
          <w:tcPr>
            <w:tcW w:w="1440" w:type="dxa"/>
          </w:tcPr>
          <w:p>
            <w:pPr/>
          </w:p>
        </w:tc>
        <w:tc>
          <w:tcPr>
            <w:tcW w:w="1372" w:type="dxa"/>
          </w:tcPr>
          <w:p>
            <w:pPr/>
          </w:p>
        </w:tc>
        <w:tc>
          <w:tcPr>
            <w:tcW w:w="1290" w:type="dxa"/>
          </w:tcPr>
          <w:p>
            <w:pPr/>
          </w:p>
        </w:tc>
        <w:tc>
          <w:tcPr>
            <w:tcW w:w="1216" w:type="dxa"/>
          </w:tcPr>
          <w:p>
            <w:pPr/>
          </w:p>
        </w:tc>
        <w:tc>
          <w:tcPr>
            <w:tcW w:w="1018" w:type="dxa"/>
          </w:tcPr>
          <w:p>
            <w:pPr/>
          </w:p>
        </w:tc>
        <w:tc>
          <w:tcPr>
            <w:tcW w:w="1295" w:type="dxa"/>
            <w:tcBorders>
              <w:right w:val="nil"/>
            </w:tcBorders>
          </w:tcPr>
          <w:p>
            <w:pPr/>
          </w:p>
        </w:tc>
      </w:tr>
      <w:tr>
        <w:trPr>
          <w:trHeight w:val="326" w:hRule="exact"/>
        </w:trPr>
        <w:tc>
          <w:tcPr>
            <w:tcW w:w="1157" w:type="dxa"/>
            <w:tcBorders>
              <w:left w:val="nil"/>
            </w:tcBorders>
          </w:tcPr>
          <w:p>
            <w:pPr/>
          </w:p>
        </w:tc>
        <w:tc>
          <w:tcPr>
            <w:tcW w:w="1440" w:type="dxa"/>
          </w:tcPr>
          <w:p>
            <w:pPr/>
          </w:p>
        </w:tc>
        <w:tc>
          <w:tcPr>
            <w:tcW w:w="1372" w:type="dxa"/>
          </w:tcPr>
          <w:p>
            <w:pPr/>
          </w:p>
        </w:tc>
        <w:tc>
          <w:tcPr>
            <w:tcW w:w="1290" w:type="dxa"/>
          </w:tcPr>
          <w:p>
            <w:pPr/>
          </w:p>
        </w:tc>
        <w:tc>
          <w:tcPr>
            <w:tcW w:w="1216" w:type="dxa"/>
          </w:tcPr>
          <w:p>
            <w:pPr/>
          </w:p>
        </w:tc>
        <w:tc>
          <w:tcPr>
            <w:tcW w:w="1018" w:type="dxa"/>
          </w:tcPr>
          <w:p>
            <w:pPr/>
          </w:p>
        </w:tc>
        <w:tc>
          <w:tcPr>
            <w:tcW w:w="1295" w:type="dxa"/>
            <w:tcBorders>
              <w:right w:val="nil"/>
            </w:tcBorders>
          </w:tcPr>
          <w:p>
            <w:pPr/>
          </w:p>
        </w:tc>
      </w:tr>
      <w:tr>
        <w:trPr>
          <w:trHeight w:val="326" w:hRule="exact"/>
        </w:trPr>
        <w:tc>
          <w:tcPr>
            <w:tcW w:w="1157" w:type="dxa"/>
            <w:tcBorders>
              <w:left w:val="nil"/>
            </w:tcBorders>
          </w:tcPr>
          <w:p>
            <w:pPr/>
          </w:p>
        </w:tc>
        <w:tc>
          <w:tcPr>
            <w:tcW w:w="1440" w:type="dxa"/>
          </w:tcPr>
          <w:p>
            <w:pPr/>
          </w:p>
        </w:tc>
        <w:tc>
          <w:tcPr>
            <w:tcW w:w="1372" w:type="dxa"/>
          </w:tcPr>
          <w:p>
            <w:pPr/>
          </w:p>
        </w:tc>
        <w:tc>
          <w:tcPr>
            <w:tcW w:w="1290" w:type="dxa"/>
          </w:tcPr>
          <w:p>
            <w:pPr/>
          </w:p>
        </w:tc>
        <w:tc>
          <w:tcPr>
            <w:tcW w:w="1216" w:type="dxa"/>
          </w:tcPr>
          <w:p>
            <w:pPr/>
          </w:p>
        </w:tc>
        <w:tc>
          <w:tcPr>
            <w:tcW w:w="1018" w:type="dxa"/>
          </w:tcPr>
          <w:p>
            <w:pPr/>
          </w:p>
        </w:tc>
        <w:tc>
          <w:tcPr>
            <w:tcW w:w="1295" w:type="dxa"/>
            <w:tcBorders>
              <w:right w:val="nil"/>
            </w:tcBorders>
          </w:tcPr>
          <w:p>
            <w:pPr/>
          </w:p>
        </w:tc>
      </w:tr>
      <w:tr>
        <w:trPr>
          <w:trHeight w:val="326" w:hRule="exact"/>
        </w:trPr>
        <w:tc>
          <w:tcPr>
            <w:tcW w:w="1157" w:type="dxa"/>
            <w:tcBorders>
              <w:left w:val="nil"/>
            </w:tcBorders>
          </w:tcPr>
          <w:p>
            <w:pPr/>
          </w:p>
        </w:tc>
        <w:tc>
          <w:tcPr>
            <w:tcW w:w="1440" w:type="dxa"/>
          </w:tcPr>
          <w:p>
            <w:pPr/>
          </w:p>
        </w:tc>
        <w:tc>
          <w:tcPr>
            <w:tcW w:w="1372" w:type="dxa"/>
          </w:tcPr>
          <w:p>
            <w:pPr/>
          </w:p>
        </w:tc>
        <w:tc>
          <w:tcPr>
            <w:tcW w:w="1290" w:type="dxa"/>
          </w:tcPr>
          <w:p>
            <w:pPr/>
          </w:p>
        </w:tc>
        <w:tc>
          <w:tcPr>
            <w:tcW w:w="1216" w:type="dxa"/>
          </w:tcPr>
          <w:p>
            <w:pPr/>
          </w:p>
        </w:tc>
        <w:tc>
          <w:tcPr>
            <w:tcW w:w="1018" w:type="dxa"/>
          </w:tcPr>
          <w:p>
            <w:pPr/>
          </w:p>
        </w:tc>
        <w:tc>
          <w:tcPr>
            <w:tcW w:w="1295" w:type="dxa"/>
            <w:tcBorders>
              <w:right w:val="nil"/>
            </w:tcBorders>
          </w:tcPr>
          <w:p>
            <w:pPr/>
          </w:p>
        </w:tc>
      </w:tr>
    </w:tbl>
    <w:p>
      <w:pPr>
        <w:spacing w:after="0"/>
        <w:sectPr>
          <w:type w:val="continuous"/>
          <w:pgSz w:w="11900" w:h="14450"/>
          <w:pgMar w:top="420" w:bottom="420" w:left="0" w:right="0"/>
        </w:sectPr>
      </w:pPr>
    </w:p>
    <w:p>
      <w:pPr>
        <w:pStyle w:val="BodyText"/>
        <w:rPr>
          <w:rFonts w:ascii="Cambria"/>
          <w:i/>
        </w:rPr>
      </w:pPr>
    </w:p>
    <w:p>
      <w:pPr>
        <w:pStyle w:val="BodyText"/>
        <w:rPr>
          <w:rFonts w:ascii="Cambria"/>
          <w:i/>
        </w:rPr>
      </w:pPr>
    </w:p>
    <w:p>
      <w:pPr>
        <w:pStyle w:val="BodyText"/>
        <w:spacing w:before="4"/>
        <w:rPr>
          <w:rFonts w:ascii="Cambria"/>
          <w:i/>
          <w:sz w:val="19"/>
        </w:rPr>
      </w:pPr>
    </w:p>
    <w:p>
      <w:pPr>
        <w:tabs>
          <w:tab w:pos="6969" w:val="left" w:leader="none"/>
        </w:tabs>
        <w:spacing w:before="64"/>
        <w:ind w:left="1551" w:right="0" w:firstLine="0"/>
        <w:jc w:val="left"/>
        <w:rPr>
          <w:sz w:val="12"/>
        </w:rPr>
      </w:pPr>
      <w:r>
        <w:rPr>
          <w:color w:val="231F20"/>
          <w:w w:val="120"/>
          <w:sz w:val="22"/>
        </w:rPr>
        <w:t>42</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spacing w:before="76"/>
        <w:ind w:left="1553" w:right="0" w:firstLine="0"/>
        <w:jc w:val="both"/>
        <w:rPr>
          <w:rFonts w:ascii="Cambria" w:hAnsi="Cambria"/>
          <w:i/>
          <w:sz w:val="20"/>
        </w:rPr>
      </w:pPr>
      <w:r>
        <w:rPr>
          <w:rFonts w:ascii="Cambria" w:hAnsi="Cambria"/>
          <w:i/>
          <w:color w:val="231F20"/>
          <w:w w:val="105"/>
          <w:sz w:val="20"/>
        </w:rPr>
        <w:t>Diagnóstico integral</w:t>
      </w:r>
    </w:p>
    <w:p>
      <w:pPr>
        <w:pStyle w:val="BodyText"/>
        <w:spacing w:line="266" w:lineRule="auto" w:before="148"/>
        <w:ind w:left="1553"/>
        <w:jc w:val="both"/>
      </w:pPr>
      <w:r>
        <w:rPr>
          <w:color w:val="231F20"/>
        </w:rPr>
        <w:t>Los resultados integrados y caracterizados permi- ten el análisis y la evaluación de la información, considerando la cantidad y la calidad de la leche producida, los costos y los pronósticos de posibles pérdidas de producción. Basándose en este aná- lisis se procede a desarrollar un proyecto especí- fico para el control de la mastitis y la obtención    de leche de calidad, mencionando el pronóstico esperado con su aplicación. </w:t>
      </w:r>
      <w:r>
        <w:rPr>
          <w:color w:val="231F20"/>
          <w:spacing w:val="-3"/>
        </w:rPr>
        <w:t>También </w:t>
      </w:r>
      <w:r>
        <w:rPr>
          <w:color w:val="231F20"/>
        </w:rPr>
        <w:t>se incluirán los tiempos y las actividades para el control del desarrollo del</w:t>
      </w:r>
      <w:r>
        <w:rPr>
          <w:color w:val="231F20"/>
          <w:spacing w:val="-2"/>
        </w:rPr>
        <w:t> </w:t>
      </w:r>
      <w:r>
        <w:rPr>
          <w:color w:val="231F20"/>
        </w:rPr>
        <w:t>proyecto.</w:t>
      </w:r>
    </w:p>
    <w:p>
      <w:pPr>
        <w:pStyle w:val="BodyText"/>
      </w:pPr>
    </w:p>
    <w:p>
      <w:pPr>
        <w:pStyle w:val="BodyText"/>
        <w:spacing w:before="152"/>
        <w:ind w:left="1553"/>
        <w:jc w:val="both"/>
      </w:pPr>
      <w:r>
        <w:rPr>
          <w:color w:val="231F20"/>
          <w:w w:val="110"/>
        </w:rPr>
        <w:t>CUIDADO DE LAS VACAS AL FINAL</w:t>
      </w:r>
    </w:p>
    <w:p>
      <w:pPr>
        <w:pStyle w:val="BodyText"/>
        <w:spacing w:line="266" w:lineRule="auto" w:before="26"/>
        <w:ind w:left="1553"/>
      </w:pPr>
      <w:r>
        <w:rPr>
          <w:color w:val="231F20"/>
          <w:w w:val="110"/>
        </w:rPr>
        <w:t>DE LA LACTACIÓN, DURANTE EL DESCANSO LACTACIONAL Y EN LOS PRIMEROS</w:t>
      </w:r>
    </w:p>
    <w:p>
      <w:pPr>
        <w:pStyle w:val="BodyText"/>
        <w:spacing w:line="243" w:lineRule="exact"/>
        <w:ind w:left="1553"/>
        <w:jc w:val="both"/>
      </w:pPr>
      <w:r>
        <w:rPr>
          <w:color w:val="231F20"/>
          <w:w w:val="115"/>
        </w:rPr>
        <w:t>90 DÍAS EN LECHE</w:t>
      </w:r>
    </w:p>
    <w:p>
      <w:pPr>
        <w:pStyle w:val="BodyText"/>
        <w:spacing w:line="266" w:lineRule="auto" w:before="139"/>
        <w:ind w:left="1553" w:right="1"/>
        <w:jc w:val="both"/>
      </w:pPr>
      <w:r>
        <w:rPr>
          <w:color w:val="231F20"/>
        </w:rPr>
        <w:t>El control de la mastitis es una estrategia impor- tante en la atención clínico-zootécnica de las vacas en producción de leche al final del último tercio   de la lactación, en el periodo de descanso lacta- cional, en el parto y en el primer tercio de la nueva lactación, buscando que la vaca, en el momento del parto, presente un buen estado de salud de la ubre y con buena secreción </w:t>
      </w:r>
      <w:r>
        <w:rPr>
          <w:color w:val="231F20"/>
          <w:spacing w:val="25"/>
        </w:rPr>
        <w:t> </w:t>
      </w:r>
      <w:r>
        <w:rPr>
          <w:color w:val="231F20"/>
        </w:rPr>
        <w:t>glandular.</w:t>
      </w:r>
    </w:p>
    <w:p>
      <w:pPr>
        <w:pStyle w:val="BodyText"/>
        <w:spacing w:line="266" w:lineRule="auto" w:before="112"/>
        <w:ind w:left="1553"/>
        <w:jc w:val="both"/>
      </w:pPr>
      <w:r>
        <w:rPr>
          <w:color w:val="231F20"/>
        </w:rPr>
        <w:t>La primera etapa se inicia 90 días antes de la fe- cha prevista del parto, analizando los registros de salud y producción de las vacas candidatas para ingresar en el programa. En este tiempo se reali- zan las actividades siguientes: 1) evaluación clíni-  ca general, 2) confirmación de la gestación y de la edad del producto de la concepción, 3) obtención de muestras de heces para examen coproparasi- toscópico,  4)  evaluación  de  la  salud  de  la </w:t>
      </w:r>
      <w:r>
        <w:rPr>
          <w:color w:val="231F20"/>
          <w:spacing w:val="20"/>
        </w:rPr>
        <w:t> </w:t>
      </w:r>
      <w:r>
        <w:rPr>
          <w:color w:val="231F20"/>
        </w:rPr>
        <w:t>ubre,</w:t>
      </w:r>
    </w:p>
    <w:p>
      <w:pPr>
        <w:pStyle w:val="ListParagraph"/>
        <w:numPr>
          <w:ilvl w:val="0"/>
          <w:numId w:val="6"/>
        </w:numPr>
        <w:tabs>
          <w:tab w:pos="1819" w:val="left" w:leader="none"/>
        </w:tabs>
        <w:spacing w:line="266" w:lineRule="auto" w:before="0" w:after="0"/>
        <w:ind w:left="1553" w:right="0" w:firstLine="0"/>
        <w:jc w:val="both"/>
        <w:rPr>
          <w:sz w:val="20"/>
        </w:rPr>
      </w:pPr>
      <w:r>
        <w:rPr>
          <w:color w:val="231F20"/>
          <w:sz w:val="20"/>
        </w:rPr>
        <w:t>calificación corporal y 6) aplicación de selenio con vitamina E (50 mg  de  selenito  de  sodio  y  680 </w:t>
      </w:r>
      <w:r>
        <w:rPr>
          <w:color w:val="231F20"/>
          <w:spacing w:val="2"/>
          <w:sz w:val="20"/>
        </w:rPr>
        <w:t>UI </w:t>
      </w:r>
      <w:r>
        <w:rPr>
          <w:color w:val="231F20"/>
          <w:sz w:val="20"/>
        </w:rPr>
        <w:t>de vitamina E). De resultar la ubre con mastitis clínica o infeccionas latentes, se procede  al  control  de  la  patología.  Igualmente,  se</w:t>
      </w:r>
      <w:r>
        <w:rPr>
          <w:color w:val="231F20"/>
          <w:spacing w:val="14"/>
          <w:sz w:val="20"/>
        </w:rPr>
        <w:t> </w:t>
      </w:r>
      <w:r>
        <w:rPr>
          <w:color w:val="231F20"/>
          <w:sz w:val="20"/>
        </w:rPr>
        <w:t>realiza</w:t>
      </w:r>
    </w:p>
    <w:p>
      <w:pPr>
        <w:pStyle w:val="BodyText"/>
        <w:spacing w:line="256" w:lineRule="auto" w:before="67"/>
        <w:ind w:left="412" w:right="1551"/>
        <w:jc w:val="both"/>
      </w:pPr>
      <w:r>
        <w:rPr/>
        <w:br w:type="column"/>
      </w:r>
      <w:r>
        <w:rPr>
          <w:color w:val="231F20"/>
        </w:rPr>
        <w:t>la desparasitación de la vaca si está justificado a juicio médico.</w:t>
      </w:r>
    </w:p>
    <w:p>
      <w:pPr>
        <w:pStyle w:val="BodyText"/>
        <w:spacing w:line="256" w:lineRule="auto" w:before="113"/>
        <w:ind w:left="412" w:right="1551"/>
        <w:jc w:val="both"/>
      </w:pPr>
      <w:r>
        <w:rPr>
          <w:color w:val="231F20"/>
        </w:rPr>
        <w:t>Sesenta y cinco días antes del parto, de nuevo se evalúa la condición clínica de la vaca y se realiza     la calificación corporal. Durante todo este tiempo, en cada ordeño, el personal responsable del grupo de vacas en descanso lactacional pondrá especial atención en la salud de las ubres  </w:t>
      </w:r>
      <w:r>
        <w:rPr>
          <w:color w:val="231F20"/>
          <w:spacing w:val="28"/>
        </w:rPr>
        <w:t> </w:t>
      </w:r>
      <w:r>
        <w:rPr>
          <w:color w:val="231F20"/>
        </w:rPr>
        <w:t>ordeñadas.</w:t>
      </w:r>
    </w:p>
    <w:p>
      <w:pPr>
        <w:pStyle w:val="BodyText"/>
        <w:spacing w:line="256" w:lineRule="auto" w:before="113"/>
        <w:ind w:left="412" w:right="1551"/>
        <w:jc w:val="both"/>
      </w:pPr>
      <w:r>
        <w:rPr>
          <w:color w:val="231F20"/>
        </w:rPr>
        <w:t>Sesenta días antes del parto, por la mañana, se procede a la valoración clínica general de las va- cas, con calificación corporal, aplicación de selenio con vitamina E, obtención de muestras de heces para examen coproparasitoscópico, y rasurado de la ubre, el interior de las piernas y la región del recto y la vulva. Por la tarde, durante la práctica   de ordeño, se valora clínicamente la condición de  la salud de las ubres, actividad que realiza el perso- nal médico dedicado a esta práctica. A ese tiempo, de las ubres positivas con 2 o 3 en la prueba CMT   y de los casos clínicos de mastitis se procede a la toma de muestras de secreción láctea para cultivo microbiológico, identificación de microorganismos y determinación de la sensibilidad a los antimicro- bianos disponibles para tratar la mastitis en vacas secas; esto se realiza de manera  </w:t>
      </w:r>
      <w:r>
        <w:rPr>
          <w:color w:val="231F20"/>
          <w:spacing w:val="31"/>
        </w:rPr>
        <w:t> </w:t>
      </w:r>
      <w:r>
        <w:rPr>
          <w:color w:val="231F20"/>
        </w:rPr>
        <w:t>mensual.</w:t>
      </w:r>
    </w:p>
    <w:p>
      <w:pPr>
        <w:pStyle w:val="BodyText"/>
        <w:spacing w:line="256" w:lineRule="auto" w:before="113"/>
        <w:ind w:left="412" w:right="1551"/>
        <w:jc w:val="both"/>
      </w:pPr>
      <w:r>
        <w:rPr>
          <w:color w:val="231F20"/>
        </w:rPr>
        <w:t>De identificarse cualquier caso de mastitis, será tratado de inmediato según el criterio del médi-    co responsable, apoyándose para la selección del medicamento a usar en la información mensual obtenida de los análisis </w:t>
      </w:r>
      <w:r>
        <w:rPr>
          <w:color w:val="231F20"/>
          <w:spacing w:val="7"/>
        </w:rPr>
        <w:t> </w:t>
      </w:r>
      <w:r>
        <w:rPr>
          <w:color w:val="231F20"/>
        </w:rPr>
        <w:t>bacteriológicos.</w:t>
      </w:r>
    </w:p>
    <w:p>
      <w:pPr>
        <w:pStyle w:val="BodyText"/>
        <w:spacing w:line="256" w:lineRule="auto" w:before="113"/>
        <w:ind w:left="412" w:right="1551"/>
        <w:jc w:val="both"/>
      </w:pPr>
      <w:r>
        <w:rPr>
          <w:color w:val="231F20"/>
        </w:rPr>
        <w:t>Cuatro días después, 56 días antes del parto, se espera que las vacas tratadas hayan tenido res- puesta clínica y se integren en el grupo de vacas a secar. La vaca que no haya respondido clínicamen- te a los tratamientos se incorpora al grupo de aisla- miento, y su destino será el dictado por la decisión médica y administrativa de la  empresa.</w:t>
      </w:r>
    </w:p>
    <w:p>
      <w:pPr>
        <w:pStyle w:val="BodyText"/>
        <w:spacing w:line="256" w:lineRule="auto" w:before="113"/>
        <w:ind w:left="412" w:right="1551"/>
        <w:jc w:val="both"/>
      </w:pPr>
      <w:r>
        <w:rPr>
          <w:color w:val="231F20"/>
        </w:rPr>
        <w:t>La segunda etapa tiene lugar de 55 a 60 días antes del parto. Después del ordeño matutino, las vacas  a secar son trasladadas al área de manejo,   </w:t>
      </w:r>
      <w:r>
        <w:rPr>
          <w:color w:val="231F20"/>
          <w:spacing w:val="31"/>
        </w:rPr>
        <w:t> </w:t>
      </w:r>
      <w:r>
        <w:rPr>
          <w:color w:val="231F20"/>
        </w:rPr>
        <w:t>donde</w:t>
      </w:r>
    </w:p>
    <w:p>
      <w:pPr>
        <w:spacing w:after="0" w:line="256" w:lineRule="auto"/>
        <w:jc w:val="both"/>
        <w:sectPr>
          <w:type w:val="continuous"/>
          <w:pgSz w:w="11900" w:h="14450"/>
          <w:pgMar w:top="420" w:bottom="420" w:left="0" w:right="0"/>
          <w:cols w:num="2" w:equalWidth="0">
            <w:col w:w="5723" w:space="40"/>
            <w:col w:w="6137"/>
          </w:cols>
        </w:sectPr>
      </w:pPr>
    </w:p>
    <w:p>
      <w:pPr>
        <w:pStyle w:val="BodyText"/>
      </w:pPr>
    </w:p>
    <w:p>
      <w:pPr>
        <w:pStyle w:val="BodyText"/>
      </w:pPr>
    </w:p>
    <w:p>
      <w:pPr>
        <w:pStyle w:val="BodyText"/>
        <w:rPr>
          <w:sz w:val="17"/>
        </w:rPr>
      </w:pPr>
    </w:p>
    <w:p>
      <w:pPr>
        <w:tabs>
          <w:tab w:pos="10338"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3"/>
          <w:sz w:val="22"/>
        </w:rPr>
        <w:t>43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9" w:lineRule="auto"/>
        <w:ind w:left="1553"/>
        <w:jc w:val="both"/>
      </w:pPr>
      <w:r>
        <w:rPr>
          <w:color w:val="231F20"/>
        </w:rPr>
        <w:t>se les practica un examen clínico general, y acción seguida se dirigen a un alojamiento destinado a vacas que finalizan la lactación. Esto se realizará  en los casos en que se cuente con alojamiento, o por lo menos hay que buscar que el sitio donde se encuentre la vaca esté limpio, seco y con suficien- te cama, y allí recibirá alimentación especialmente formulada para este grupo de </w:t>
      </w:r>
      <w:r>
        <w:rPr>
          <w:color w:val="231F20"/>
          <w:spacing w:val="30"/>
        </w:rPr>
        <w:t> </w:t>
      </w:r>
      <w:r>
        <w:rPr>
          <w:color w:val="231F20"/>
        </w:rPr>
        <w:t>animales.</w:t>
      </w:r>
    </w:p>
    <w:p>
      <w:pPr>
        <w:pStyle w:val="BodyText"/>
        <w:spacing w:line="259" w:lineRule="auto" w:before="113"/>
        <w:ind w:left="1553"/>
        <w:jc w:val="both"/>
      </w:pPr>
      <w:r>
        <w:rPr>
          <w:color w:val="231F20"/>
        </w:rPr>
        <w:t>Este día, durante el ordeño vespertino se proce-  de a la valoración clínica de la ubre, identificando el número de células somáticas en cada glándula    y la CTU (González, </w:t>
      </w:r>
      <w:r>
        <w:rPr>
          <w:color w:val="231F20"/>
          <w:spacing w:val="-3"/>
        </w:rPr>
        <w:t>1991). </w:t>
      </w:r>
      <w:r>
        <w:rPr>
          <w:color w:val="231F20"/>
        </w:rPr>
        <w:t>Acto seguido se pro- cede al ordeño de la vaca, asegurándose de que   ha quedado ordeñada de manera correcta. Como siguiente actividad se procede a la preparación de los pezones y la aplicación del tratamiento. En la práctica, la clase y la cantidad del antimicrobiano   a seleccionar será a criterio médico, consideran-  do el resultado de los exámenes bacteriológicos,  el número de células somáticas identificadas por glándula, la historia clínica y el cuidado de que en el momento del parto no haya residuos del antimi- crobiano en el</w:t>
      </w:r>
      <w:r>
        <w:rPr>
          <w:color w:val="231F20"/>
          <w:spacing w:val="24"/>
        </w:rPr>
        <w:t> </w:t>
      </w:r>
      <w:r>
        <w:rPr>
          <w:color w:val="231F20"/>
        </w:rPr>
        <w:t>calostro.</w:t>
      </w:r>
    </w:p>
    <w:p>
      <w:pPr>
        <w:pStyle w:val="BodyText"/>
        <w:spacing w:line="259" w:lineRule="auto" w:before="113"/>
        <w:ind w:left="1553"/>
        <w:jc w:val="both"/>
      </w:pPr>
      <w:r>
        <w:rPr>
          <w:color w:val="231F20"/>
        </w:rPr>
        <w:t>En vacas negativas para mastitis subclínica, una al- ternativa de tratamiento es la administración por vía intrapezón de un sellador que contiene, en 4 g de excipiente, un 65% (2,6 g) de subnitrato de bismuto, sin aplicar masaje a la  ubre.</w:t>
      </w:r>
    </w:p>
    <w:p>
      <w:pPr>
        <w:pStyle w:val="BodyText"/>
        <w:spacing w:line="259" w:lineRule="auto" w:before="113"/>
        <w:ind w:left="1553"/>
        <w:jc w:val="both"/>
      </w:pPr>
      <w:r>
        <w:rPr>
          <w:color w:val="231F20"/>
        </w:rPr>
        <w:t>Concluida esta actividad, las vacas tratadas son desplazadas al alojamiento correspondiente, don- de serán supervisadas dos veces al día con es- pecial atención durante los primeros 14 días de secado. De identificarse cualquier alteración en la ubre, debe reportarse de inmediato al personal médico para su pronta  atención.</w:t>
      </w:r>
    </w:p>
    <w:p>
      <w:pPr>
        <w:pStyle w:val="BodyText"/>
        <w:spacing w:line="259" w:lineRule="auto" w:before="113"/>
        <w:ind w:left="1553"/>
        <w:jc w:val="both"/>
      </w:pPr>
      <w:r>
        <w:rPr>
          <w:color w:val="231F20"/>
        </w:rPr>
        <w:t>Un día después (54 días antes del parto), a ese grupo de vacas se les administra por vía parenteral vitaminas  A,  D  y  E  (82000  a  120000  UI;  50000</w:t>
      </w:r>
    </w:p>
    <w:p>
      <w:pPr>
        <w:pStyle w:val="BodyText"/>
        <w:spacing w:line="259" w:lineRule="auto"/>
        <w:ind w:left="1553"/>
        <w:jc w:val="both"/>
      </w:pPr>
      <w:r>
        <w:rPr>
          <w:color w:val="231F20"/>
        </w:rPr>
        <w:t>a 100000 UI; 50 a 100 UI, respectivamente), así como  inmunización contra  las  enfermedades pro-</w:t>
      </w:r>
    </w:p>
    <w:p>
      <w:pPr>
        <w:pStyle w:val="BodyText"/>
        <w:spacing w:before="3"/>
        <w:rPr>
          <w:sz w:val="28"/>
        </w:rPr>
      </w:pPr>
      <w:r>
        <w:rPr/>
        <w:br w:type="column"/>
      </w:r>
      <w:r>
        <w:rPr>
          <w:sz w:val="28"/>
        </w:rPr>
      </w:r>
    </w:p>
    <w:p>
      <w:pPr>
        <w:pStyle w:val="BodyText"/>
        <w:spacing w:line="256" w:lineRule="auto"/>
        <w:ind w:left="413" w:right="1551"/>
        <w:jc w:val="both"/>
      </w:pPr>
      <w:r>
        <w:rPr>
          <w:color w:val="231F20"/>
        </w:rPr>
        <w:t>ducidas por los  microorganismos  prevalentes  en la unidad ganadera, por ejemplo </w:t>
      </w:r>
      <w:r>
        <w:rPr>
          <w:i/>
          <w:color w:val="231F20"/>
        </w:rPr>
        <w:t>Escherichia   coli</w:t>
      </w:r>
      <w:r>
        <w:rPr>
          <w:color w:val="231F20"/>
        </w:rPr>
        <w:t>.</w:t>
      </w:r>
    </w:p>
    <w:p>
      <w:pPr>
        <w:pStyle w:val="BodyText"/>
        <w:spacing w:line="256" w:lineRule="auto" w:before="114"/>
        <w:ind w:left="413" w:right="1551"/>
        <w:jc w:val="both"/>
      </w:pPr>
      <w:r>
        <w:rPr>
          <w:color w:val="231F20"/>
        </w:rPr>
        <w:t>Cuarenta y cinco días antes del parto de nuevo se realiza el examen clínico general de las vacas, y si   a criterio médico es necesario se muestrea para examen</w:t>
      </w:r>
      <w:r>
        <w:rPr>
          <w:color w:val="231F20"/>
          <w:spacing w:val="20"/>
        </w:rPr>
        <w:t> </w:t>
      </w:r>
      <w:r>
        <w:rPr>
          <w:color w:val="231F20"/>
        </w:rPr>
        <w:t>coproparasitoscópico.</w:t>
      </w:r>
    </w:p>
    <w:p>
      <w:pPr>
        <w:pStyle w:val="BodyText"/>
        <w:spacing w:line="256" w:lineRule="auto" w:before="114"/>
        <w:ind w:left="413" w:right="1551"/>
        <w:jc w:val="both"/>
      </w:pPr>
      <w:r>
        <w:rPr>
          <w:color w:val="231F20"/>
        </w:rPr>
        <w:t>El día 41 antes del parto se repite la aplicación pa- renteral de selenio con vitamina E, con los criterios antes señalados.</w:t>
      </w:r>
    </w:p>
    <w:p>
      <w:pPr>
        <w:pStyle w:val="BodyText"/>
        <w:spacing w:line="256" w:lineRule="auto" w:before="114"/>
        <w:ind w:left="413" w:right="1551"/>
        <w:jc w:val="both"/>
      </w:pPr>
      <w:r>
        <w:rPr>
          <w:color w:val="231F20"/>
        </w:rPr>
        <w:t>La tercera etapa comprende las semanas 4, 5, 6      y 7 antes del parto, periodo en que se inicia la incorporación de poco ensilado y concentrado en  la dieta, así como grasa de paso; si este elemento se administra con el alimento durante la lactación, también se añade niacina en dosis de 6 a </w:t>
      </w:r>
      <w:r>
        <w:rPr>
          <w:color w:val="231F20"/>
          <w:spacing w:val="-5"/>
        </w:rPr>
        <w:t>12 </w:t>
      </w:r>
      <w:r>
        <w:rPr>
          <w:color w:val="231F20"/>
        </w:rPr>
        <w:t>g por vaca al</w:t>
      </w:r>
      <w:r>
        <w:rPr>
          <w:color w:val="231F20"/>
          <w:spacing w:val="12"/>
        </w:rPr>
        <w:t> </w:t>
      </w:r>
      <w:r>
        <w:rPr>
          <w:color w:val="231F20"/>
        </w:rPr>
        <w:t>día.</w:t>
      </w:r>
    </w:p>
    <w:p>
      <w:pPr>
        <w:pStyle w:val="BodyText"/>
        <w:spacing w:line="256" w:lineRule="auto" w:before="114"/>
        <w:ind w:left="413" w:right="1551"/>
        <w:jc w:val="both"/>
      </w:pPr>
      <w:r>
        <w:rPr>
          <w:color w:val="231F20"/>
        </w:rPr>
        <w:t>La cuarta etapa incluye las dos últimas semanas. Diez días antes del parto se desplaza a la vaca a los alojamientos destinados a partos, donde se cuida que la condición de esta instalación sea óptima. Para entonces se procura una condición corporal de</w:t>
      </w:r>
      <w:r>
        <w:rPr>
          <w:color w:val="231F20"/>
          <w:spacing w:val="20"/>
        </w:rPr>
        <w:t> </w:t>
      </w:r>
      <w:r>
        <w:rPr>
          <w:color w:val="231F20"/>
        </w:rPr>
        <w:t>3</w:t>
      </w:r>
      <w:r>
        <w:rPr>
          <w:color w:val="231F20"/>
          <w:spacing w:val="20"/>
        </w:rPr>
        <w:t> </w:t>
      </w:r>
      <w:r>
        <w:rPr>
          <w:color w:val="231F20"/>
        </w:rPr>
        <w:t>en</w:t>
      </w:r>
      <w:r>
        <w:rPr>
          <w:color w:val="231F20"/>
          <w:spacing w:val="20"/>
        </w:rPr>
        <w:t> </w:t>
      </w:r>
      <w:r>
        <w:rPr>
          <w:color w:val="231F20"/>
        </w:rPr>
        <w:t>becerras</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3</w:t>
      </w:r>
      <w:r>
        <w:rPr>
          <w:color w:val="231F20"/>
          <w:spacing w:val="20"/>
        </w:rPr>
        <w:t> </w:t>
      </w:r>
      <w:r>
        <w:rPr>
          <w:color w:val="231F20"/>
        </w:rPr>
        <w:t>o</w:t>
      </w:r>
      <w:r>
        <w:rPr>
          <w:color w:val="231F20"/>
          <w:spacing w:val="20"/>
        </w:rPr>
        <w:t> </w:t>
      </w:r>
      <w:r>
        <w:rPr>
          <w:color w:val="231F20"/>
        </w:rPr>
        <w:t>4</w:t>
      </w:r>
      <w:r>
        <w:rPr>
          <w:color w:val="231F20"/>
          <w:spacing w:val="20"/>
        </w:rPr>
        <w:t> </w:t>
      </w:r>
      <w:r>
        <w:rPr>
          <w:color w:val="231F20"/>
        </w:rPr>
        <w:t>en</w:t>
      </w:r>
      <w:r>
        <w:rPr>
          <w:color w:val="231F20"/>
          <w:spacing w:val="20"/>
        </w:rPr>
        <w:t> </w:t>
      </w:r>
      <w:r>
        <w:rPr>
          <w:color w:val="231F20"/>
        </w:rPr>
        <w:t>vacas.</w:t>
      </w:r>
    </w:p>
    <w:p>
      <w:pPr>
        <w:pStyle w:val="BodyText"/>
        <w:spacing w:line="256" w:lineRule="auto" w:before="114"/>
        <w:ind w:left="413" w:right="1549"/>
        <w:jc w:val="both"/>
      </w:pPr>
      <w:r>
        <w:rPr>
          <w:color w:val="231F20"/>
        </w:rPr>
        <w:t>Después del parto se procede a realizar un exa- men clínico general del becerro y de la vaca, evaluando la condición de salud de la ubre y la calidad del calostro mediante la prueba CMT y el calostrómero.</w:t>
      </w:r>
    </w:p>
    <w:p>
      <w:pPr>
        <w:pStyle w:val="BodyText"/>
        <w:spacing w:line="256" w:lineRule="auto" w:before="114"/>
        <w:ind w:left="413" w:right="1551"/>
        <w:jc w:val="both"/>
      </w:pPr>
      <w:r>
        <w:rPr>
          <w:color w:val="231F20"/>
        </w:rPr>
        <w:t>La quinta etapa se inicia al incorporar la vaca al grupo de animales recién  paridos  (Fig.  25),  que  se ordeñan al inicio de la ordeña y son manejados con mayor cuidado por el ordeñador, quien realiza sus actividades con limpieza y eficiencia. Estas va- cas serán ordeñadas en estas instalaciones por un periodo de </w:t>
      </w:r>
      <w:r>
        <w:rPr>
          <w:color w:val="231F20"/>
          <w:spacing w:val="-5"/>
        </w:rPr>
        <w:t>10 </w:t>
      </w:r>
      <w:r>
        <w:rPr>
          <w:color w:val="231F20"/>
        </w:rPr>
        <w:t>días, y después pasarán al grupo de vacas que inician la</w:t>
      </w:r>
      <w:r>
        <w:rPr>
          <w:color w:val="231F20"/>
          <w:spacing w:val="43"/>
        </w:rPr>
        <w:t> </w:t>
      </w:r>
      <w:r>
        <w:rPr>
          <w:color w:val="231F20"/>
        </w:rPr>
        <w:t>lactación.</w:t>
      </w:r>
    </w:p>
    <w:p>
      <w:pPr>
        <w:pStyle w:val="BodyText"/>
        <w:spacing w:line="256" w:lineRule="auto" w:before="114"/>
        <w:ind w:left="413" w:right="1551"/>
        <w:jc w:val="both"/>
      </w:pPr>
      <w:r>
        <w:rPr>
          <w:color w:val="231F20"/>
        </w:rPr>
        <w:t>A partir de este tiempo, y durante el primer mes</w:t>
      </w:r>
      <w:r>
        <w:rPr>
          <w:color w:val="231F20"/>
          <w:spacing w:val="-11"/>
        </w:rPr>
        <w:t> </w:t>
      </w:r>
      <w:r>
        <w:rPr>
          <w:color w:val="231F20"/>
        </w:rPr>
        <w:t>de leche, cada 7 días la vaca es sujeto de evaluación clínica general y en especial de la ubre, actividades que</w:t>
      </w:r>
      <w:r>
        <w:rPr>
          <w:color w:val="231F20"/>
          <w:spacing w:val="26"/>
        </w:rPr>
        <w:t> </w:t>
      </w:r>
      <w:r>
        <w:rPr>
          <w:color w:val="231F20"/>
        </w:rPr>
        <w:t>durante</w:t>
      </w:r>
      <w:r>
        <w:rPr>
          <w:color w:val="231F20"/>
          <w:spacing w:val="26"/>
        </w:rPr>
        <w:t> </w:t>
      </w:r>
      <w:r>
        <w:rPr>
          <w:color w:val="231F20"/>
        </w:rPr>
        <w:t>el</w:t>
      </w:r>
      <w:r>
        <w:rPr>
          <w:color w:val="231F20"/>
          <w:spacing w:val="26"/>
        </w:rPr>
        <w:t> </w:t>
      </w:r>
      <w:r>
        <w:rPr>
          <w:color w:val="231F20"/>
        </w:rPr>
        <w:t>segundo</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tercer</w:t>
      </w:r>
      <w:r>
        <w:rPr>
          <w:color w:val="231F20"/>
          <w:spacing w:val="26"/>
        </w:rPr>
        <w:t> </w:t>
      </w:r>
      <w:r>
        <w:rPr>
          <w:color w:val="231F20"/>
        </w:rPr>
        <w:t>mes</w:t>
      </w:r>
      <w:r>
        <w:rPr>
          <w:color w:val="231F20"/>
          <w:spacing w:val="26"/>
        </w:rPr>
        <w:t> </w:t>
      </w:r>
      <w:r>
        <w:rPr>
          <w:color w:val="231F20"/>
        </w:rPr>
        <w:t>de</w:t>
      </w:r>
      <w:r>
        <w:rPr>
          <w:color w:val="231F20"/>
          <w:spacing w:val="26"/>
        </w:rPr>
        <w:t> </w:t>
      </w:r>
      <w:r>
        <w:rPr>
          <w:color w:val="231F20"/>
        </w:rPr>
        <w:t>lacta-</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69" w:val="left" w:leader="none"/>
        </w:tabs>
        <w:spacing w:before="64"/>
        <w:ind w:left="1551" w:right="0" w:firstLine="0"/>
        <w:jc w:val="left"/>
        <w:rPr>
          <w:sz w:val="12"/>
        </w:rPr>
      </w:pPr>
      <w:r>
        <w:rPr>
          <w:color w:val="231F20"/>
          <w:w w:val="120"/>
          <w:sz w:val="22"/>
        </w:rPr>
        <w:t>44</w:t>
        <w:tab/>
      </w:r>
      <w:r>
        <w:rPr>
          <w:color w:val="231F20"/>
          <w:w w:val="120"/>
          <w:sz w:val="18"/>
        </w:rPr>
        <w:t>SECCIÓN 2.  A. S</w:t>
      </w:r>
      <w:r>
        <w:rPr>
          <w:color w:val="231F20"/>
          <w:w w:val="120"/>
          <w:sz w:val="12"/>
        </w:rPr>
        <w:t>iStemAS de producción de  </w:t>
      </w:r>
      <w:r>
        <w:rPr>
          <w:color w:val="231F20"/>
          <w:spacing w:val="5"/>
          <w:w w:val="120"/>
          <w:sz w:val="12"/>
        </w:rPr>
        <w:t> </w:t>
      </w:r>
      <w:r>
        <w:rPr>
          <w:color w:val="231F20"/>
          <w:w w:val="120"/>
          <w:sz w:val="12"/>
        </w:rPr>
        <w:t>leche</w:t>
      </w:r>
    </w:p>
    <w:p>
      <w:pPr>
        <w:pStyle w:val="BodyText"/>
        <w:spacing w:before="10"/>
        <w:rPr>
          <w:sz w:val="22"/>
        </w:rPr>
      </w:pPr>
    </w:p>
    <w:p>
      <w:pPr>
        <w:spacing w:after="0"/>
        <w:rPr>
          <w:sz w:val="22"/>
        </w:rPr>
        <w:sectPr>
          <w:pgSz w:w="11900" w:h="14450"/>
          <w:pgMar w:header="0" w:footer="222" w:top="420" w:bottom="420" w:left="0" w:right="0"/>
        </w:sectPr>
      </w:pPr>
    </w:p>
    <w:p>
      <w:pPr>
        <w:pStyle w:val="BodyText"/>
        <w:spacing w:before="9"/>
        <w:rPr>
          <w:sz w:val="8"/>
        </w:rPr>
      </w:pPr>
    </w:p>
    <w:p>
      <w:pPr>
        <w:pStyle w:val="BodyText"/>
        <w:ind w:left="1553"/>
      </w:pPr>
      <w:r>
        <w:rPr/>
        <w:drawing>
          <wp:inline distT="0" distB="0" distL="0" distR="0">
            <wp:extent cx="2610325" cy="1958435"/>
            <wp:effectExtent l="0" t="0" r="0" b="0"/>
            <wp:docPr id="61" name="image47.png" descr=""/>
            <wp:cNvGraphicFramePr>
              <a:graphicFrameLocks noChangeAspect="1"/>
            </wp:cNvGraphicFramePr>
            <a:graphic>
              <a:graphicData uri="http://schemas.openxmlformats.org/drawingml/2006/picture">
                <pic:pic>
                  <pic:nvPicPr>
                    <pic:cNvPr id="62" name="image47.png"/>
                    <pic:cNvPicPr/>
                  </pic:nvPicPr>
                  <pic:blipFill>
                    <a:blip r:embed="rId70" cstate="print"/>
                    <a:stretch>
                      <a:fillRect/>
                    </a:stretch>
                  </pic:blipFill>
                  <pic:spPr>
                    <a:xfrm>
                      <a:off x="0" y="0"/>
                      <a:ext cx="2610325" cy="1958435"/>
                    </a:xfrm>
                    <a:prstGeom prst="rect">
                      <a:avLst/>
                    </a:prstGeom>
                  </pic:spPr>
                </pic:pic>
              </a:graphicData>
            </a:graphic>
          </wp:inline>
        </w:drawing>
      </w:r>
      <w:r>
        <w:rPr/>
      </w:r>
    </w:p>
    <w:p>
      <w:pPr>
        <w:pStyle w:val="BodyText"/>
        <w:spacing w:before="3"/>
        <w:rPr>
          <w:sz w:val="15"/>
        </w:rPr>
      </w:pPr>
    </w:p>
    <w:p>
      <w:pPr>
        <w:spacing w:before="0"/>
        <w:ind w:left="1553" w:right="0" w:firstLine="0"/>
        <w:jc w:val="center"/>
        <w:rPr>
          <w:sz w:val="18"/>
        </w:rPr>
      </w:pPr>
      <w:r>
        <w:rPr>
          <w:color w:val="231F20"/>
          <w:sz w:val="18"/>
        </w:rPr>
        <w:t>Figura 25.   Vaca recién parida.</w:t>
      </w:r>
    </w:p>
    <w:p>
      <w:pPr>
        <w:pStyle w:val="BodyText"/>
        <w:rPr>
          <w:sz w:val="18"/>
        </w:rPr>
      </w:pPr>
    </w:p>
    <w:p>
      <w:pPr>
        <w:pStyle w:val="BodyText"/>
        <w:spacing w:line="266" w:lineRule="auto" w:before="144"/>
        <w:ind w:left="1553"/>
        <w:jc w:val="both"/>
      </w:pPr>
      <w:r>
        <w:rPr>
          <w:color w:val="231F20"/>
        </w:rPr>
        <w:t>ción se realizarán con una frecuencia quincenal o mensual, según indicación del personal médico. Mensualmente se procede a la administración de selenio con vitamina  E.</w:t>
      </w:r>
    </w:p>
    <w:p>
      <w:pPr>
        <w:pStyle w:val="BodyText"/>
      </w:pPr>
    </w:p>
    <w:p>
      <w:pPr>
        <w:pStyle w:val="BodyText"/>
        <w:spacing w:before="151"/>
        <w:ind w:left="1553"/>
        <w:jc w:val="both"/>
      </w:pPr>
      <w:r>
        <w:rPr>
          <w:color w:val="231F20"/>
          <w:w w:val="110"/>
        </w:rPr>
        <w:t>BIBLIOGRAFÍA</w:t>
      </w:r>
    </w:p>
    <w:p>
      <w:pPr>
        <w:spacing w:before="138"/>
        <w:ind w:left="1553" w:right="0" w:firstLine="0"/>
        <w:jc w:val="both"/>
        <w:rPr>
          <w:sz w:val="18"/>
        </w:rPr>
      </w:pPr>
      <w:r>
        <w:rPr>
          <w:color w:val="231F20"/>
          <w:sz w:val="18"/>
        </w:rPr>
        <w:t>Ávila </w:t>
      </w:r>
      <w:r>
        <w:rPr>
          <w:color w:val="231F20"/>
          <w:spacing w:val="-3"/>
          <w:sz w:val="18"/>
        </w:rPr>
        <w:t>T.S.,  </w:t>
      </w:r>
      <w:r>
        <w:rPr>
          <w:color w:val="231F20"/>
          <w:sz w:val="18"/>
        </w:rPr>
        <w:t>Gasque G.R., Cano </w:t>
      </w:r>
      <w:r>
        <w:rPr>
          <w:color w:val="231F20"/>
          <w:spacing w:val="-3"/>
          <w:sz w:val="18"/>
        </w:rPr>
        <w:t>C.P.,  </w:t>
      </w:r>
      <w:r>
        <w:rPr>
          <w:color w:val="231F20"/>
          <w:sz w:val="18"/>
        </w:rPr>
        <w:t>Baños C.A.,     Fuentes</w:t>
      </w:r>
    </w:p>
    <w:p>
      <w:pPr>
        <w:spacing w:line="273" w:lineRule="auto" w:before="30"/>
        <w:ind w:left="1837" w:right="0" w:firstLine="0"/>
        <w:jc w:val="both"/>
        <w:rPr>
          <w:sz w:val="18"/>
        </w:rPr>
      </w:pPr>
      <w:r>
        <w:rPr>
          <w:color w:val="231F20"/>
          <w:sz w:val="18"/>
        </w:rPr>
        <w:t>H.V. (1993). Frecuencia anual de mastitis  clínica  y sus costos en una explotación del Valle de México. Memorias del XVIII Congreso Nacional de Buiatría, 11-13 de noviembre de 1993; México, D.F. Asocia- ción de Médicos Veterinarios Especialistas en Bovi- nos,  AC.  pp. 234-244.</w:t>
      </w:r>
    </w:p>
    <w:p>
      <w:pPr>
        <w:spacing w:line="273" w:lineRule="auto" w:before="56"/>
        <w:ind w:left="1837" w:right="0" w:hanging="284"/>
        <w:jc w:val="both"/>
        <w:rPr>
          <w:sz w:val="18"/>
        </w:rPr>
      </w:pPr>
      <w:r>
        <w:rPr>
          <w:color w:val="231F20"/>
          <w:sz w:val="18"/>
        </w:rPr>
        <w:t>Ávila T.S., Valdivieso N.G. (2001). Fisiopatología de la glándula mamaria y ordeño. Centro de Cómputo de la FMVZ-UNAM. Libro en CD-ROM. Facultad de Me- dicina Veterinaria y Zootecnia, UNAM, México.</w:t>
      </w:r>
    </w:p>
    <w:p>
      <w:pPr>
        <w:spacing w:line="273" w:lineRule="auto" w:before="56"/>
        <w:ind w:left="1837" w:right="0" w:hanging="284"/>
        <w:jc w:val="both"/>
        <w:rPr>
          <w:sz w:val="18"/>
        </w:rPr>
      </w:pPr>
      <w:r>
        <w:rPr>
          <w:color w:val="231F20"/>
          <w:spacing w:val="-4"/>
          <w:sz w:val="18"/>
        </w:rPr>
        <w:t>Ávila </w:t>
      </w:r>
      <w:r>
        <w:rPr>
          <w:color w:val="231F20"/>
          <w:spacing w:val="-7"/>
          <w:sz w:val="18"/>
        </w:rPr>
        <w:t>T.S., </w:t>
      </w:r>
      <w:r>
        <w:rPr>
          <w:color w:val="231F20"/>
          <w:spacing w:val="-4"/>
          <w:sz w:val="18"/>
        </w:rPr>
        <w:t>Blanco O.M.A., Romero </w:t>
      </w:r>
      <w:r>
        <w:rPr>
          <w:color w:val="231F20"/>
          <w:spacing w:val="-7"/>
          <w:sz w:val="18"/>
        </w:rPr>
        <w:t>A.T. </w:t>
      </w:r>
      <w:r>
        <w:rPr>
          <w:color w:val="231F20"/>
          <w:spacing w:val="-4"/>
          <w:sz w:val="18"/>
        </w:rPr>
        <w:t>(2002). Mastitis </w:t>
      </w:r>
      <w:r>
        <w:rPr>
          <w:color w:val="231F20"/>
          <w:sz w:val="18"/>
        </w:rPr>
        <w:t>y </w:t>
      </w:r>
      <w:r>
        <w:rPr>
          <w:color w:val="231F20"/>
          <w:spacing w:val="-4"/>
          <w:sz w:val="18"/>
        </w:rPr>
        <w:t>producción </w:t>
      </w:r>
      <w:r>
        <w:rPr>
          <w:color w:val="231F20"/>
          <w:sz w:val="18"/>
        </w:rPr>
        <w:t>de </w:t>
      </w:r>
      <w:r>
        <w:rPr>
          <w:color w:val="231F20"/>
          <w:spacing w:val="-4"/>
          <w:sz w:val="18"/>
        </w:rPr>
        <w:t>leche </w:t>
      </w:r>
      <w:r>
        <w:rPr>
          <w:color w:val="231F20"/>
          <w:sz w:val="18"/>
        </w:rPr>
        <w:t>en el </w:t>
      </w:r>
      <w:r>
        <w:rPr>
          <w:color w:val="231F20"/>
          <w:spacing w:val="-4"/>
          <w:sz w:val="18"/>
        </w:rPr>
        <w:t>trópico húmedo. SUA-FMVZ, Facultad </w:t>
      </w:r>
      <w:r>
        <w:rPr>
          <w:color w:val="231F20"/>
          <w:sz w:val="18"/>
        </w:rPr>
        <w:t>de </w:t>
      </w:r>
      <w:r>
        <w:rPr>
          <w:color w:val="231F20"/>
          <w:spacing w:val="-4"/>
          <w:sz w:val="18"/>
        </w:rPr>
        <w:t>Medicina </w:t>
      </w:r>
      <w:r>
        <w:rPr>
          <w:color w:val="231F20"/>
          <w:spacing w:val="-5"/>
          <w:sz w:val="18"/>
        </w:rPr>
        <w:t>Veterinaria </w:t>
      </w:r>
      <w:r>
        <w:rPr>
          <w:color w:val="231F20"/>
          <w:sz w:val="18"/>
        </w:rPr>
        <w:t>y </w:t>
      </w:r>
      <w:r>
        <w:rPr>
          <w:color w:val="231F20"/>
          <w:spacing w:val="-4"/>
          <w:sz w:val="18"/>
        </w:rPr>
        <w:t>Zootecnia, UNAM, México.</w:t>
      </w:r>
    </w:p>
    <w:p>
      <w:pPr>
        <w:spacing w:line="273" w:lineRule="auto" w:before="56"/>
        <w:ind w:left="1837" w:right="0" w:hanging="284"/>
        <w:jc w:val="both"/>
        <w:rPr>
          <w:sz w:val="18"/>
        </w:rPr>
      </w:pPr>
      <w:r>
        <w:rPr>
          <w:color w:val="231F20"/>
          <w:sz w:val="18"/>
        </w:rPr>
        <w:t>Ávila T.S., Lazcano P.R., Olguín B.A., Navarro J.A. (2005). Comparación entre cinco pruebas utilizadas para el recuento de células somáticas en leche de vacas. Memorias del XII Congreso Latinoamericano de Buiatría, VII Jornadas Chilenas de Buiatría, 15-18 de noviembre de 2005. Valdivia, Chile. pp.    325-326.</w:t>
      </w:r>
    </w:p>
    <w:p>
      <w:pPr>
        <w:spacing w:line="264" w:lineRule="auto" w:before="70"/>
        <w:ind w:left="696" w:right="1551" w:hanging="284"/>
        <w:jc w:val="both"/>
        <w:rPr>
          <w:sz w:val="18"/>
        </w:rPr>
      </w:pPr>
      <w:r>
        <w:rPr/>
        <w:br w:type="column"/>
      </w:r>
      <w:r>
        <w:rPr>
          <w:color w:val="231F20"/>
          <w:sz w:val="18"/>
        </w:rPr>
        <w:t>Ávila </w:t>
      </w:r>
      <w:r>
        <w:rPr>
          <w:color w:val="231F20"/>
          <w:spacing w:val="-4"/>
          <w:sz w:val="18"/>
        </w:rPr>
        <w:t>T.S, </w:t>
      </w:r>
      <w:r>
        <w:rPr>
          <w:color w:val="231F20"/>
          <w:sz w:val="18"/>
        </w:rPr>
        <w:t>Ruiz S.H, Hurley D., Smith </w:t>
      </w:r>
      <w:r>
        <w:rPr>
          <w:color w:val="231F20"/>
          <w:spacing w:val="-8"/>
          <w:sz w:val="18"/>
        </w:rPr>
        <w:t>F. </w:t>
      </w:r>
      <w:r>
        <w:rPr>
          <w:color w:val="231F20"/>
          <w:spacing w:val="-3"/>
          <w:sz w:val="18"/>
        </w:rPr>
        <w:t>(2010). </w:t>
      </w:r>
      <w:r>
        <w:rPr>
          <w:color w:val="231F20"/>
          <w:sz w:val="18"/>
        </w:rPr>
        <w:t>Corre-  lación entre las condiciones del equipo, higiene y microorganismos aislados de la leche de vacas de establos del Valle de México. Memorias de Congreso Mundial de Buiatría, </w:t>
      </w:r>
      <w:r>
        <w:rPr>
          <w:color w:val="231F20"/>
          <w:spacing w:val="-4"/>
          <w:sz w:val="18"/>
        </w:rPr>
        <w:t>16-19 </w:t>
      </w:r>
      <w:r>
        <w:rPr>
          <w:color w:val="231F20"/>
          <w:sz w:val="18"/>
        </w:rPr>
        <w:t>de noviembre de </w:t>
      </w:r>
      <w:r>
        <w:rPr>
          <w:color w:val="231F20"/>
          <w:spacing w:val="-4"/>
          <w:sz w:val="18"/>
        </w:rPr>
        <w:t>2010; </w:t>
      </w:r>
      <w:r>
        <w:rPr>
          <w:color w:val="231F20"/>
          <w:sz w:val="18"/>
        </w:rPr>
        <w:t>Santiago,  Chile.  pp.</w:t>
      </w:r>
      <w:r>
        <w:rPr>
          <w:color w:val="231F20"/>
          <w:spacing w:val="25"/>
          <w:sz w:val="18"/>
        </w:rPr>
        <w:t> </w:t>
      </w:r>
      <w:r>
        <w:rPr>
          <w:color w:val="231F20"/>
          <w:spacing w:val="-5"/>
          <w:sz w:val="18"/>
        </w:rPr>
        <w:t>544-557.</w:t>
      </w:r>
    </w:p>
    <w:p>
      <w:pPr>
        <w:spacing w:line="264" w:lineRule="auto" w:before="55"/>
        <w:ind w:left="696" w:right="1551" w:hanging="284"/>
        <w:jc w:val="both"/>
        <w:rPr>
          <w:sz w:val="18"/>
        </w:rPr>
      </w:pPr>
      <w:r>
        <w:rPr>
          <w:color w:val="231F20"/>
          <w:sz w:val="18"/>
        </w:rPr>
        <w:t>Ayala G.G. (1990). Evaluación germicida de cinco an- tisépticos empleados en los pezones de bovinos. </w:t>
      </w:r>
      <w:r>
        <w:rPr>
          <w:color w:val="231F20"/>
          <w:spacing w:val="-4"/>
          <w:sz w:val="18"/>
        </w:rPr>
        <w:t>Tesis  </w:t>
      </w:r>
      <w:r>
        <w:rPr>
          <w:color w:val="231F20"/>
          <w:sz w:val="18"/>
        </w:rPr>
        <w:t>de Maestría. Facultad de Medicina Veterinaria  y Zootecnia, UNAM, México,</w:t>
      </w:r>
      <w:r>
        <w:rPr>
          <w:color w:val="231F20"/>
          <w:spacing w:val="18"/>
          <w:sz w:val="18"/>
        </w:rPr>
        <w:t> </w:t>
      </w:r>
      <w:r>
        <w:rPr>
          <w:color w:val="231F20"/>
          <w:spacing w:val="-4"/>
          <w:sz w:val="18"/>
        </w:rPr>
        <w:t>D.F.</w:t>
      </w:r>
    </w:p>
    <w:p>
      <w:pPr>
        <w:spacing w:line="264" w:lineRule="auto" w:before="55"/>
        <w:ind w:left="696" w:right="1551" w:hanging="284"/>
        <w:jc w:val="both"/>
        <w:rPr>
          <w:sz w:val="18"/>
        </w:rPr>
      </w:pPr>
      <w:r>
        <w:rPr>
          <w:color w:val="231F20"/>
          <w:sz w:val="18"/>
        </w:rPr>
        <w:t>Blood D.C., Radostits O.M., Arundel H.J.,  Gay  C.C. (1992). Medicina veterinaria. Interamericana Mc- Graw-Hill, México.</w:t>
      </w:r>
    </w:p>
    <w:p>
      <w:pPr>
        <w:spacing w:line="264" w:lineRule="auto" w:before="55"/>
        <w:ind w:left="696" w:right="1551" w:hanging="284"/>
        <w:jc w:val="both"/>
        <w:rPr>
          <w:sz w:val="18"/>
        </w:rPr>
      </w:pPr>
      <w:r>
        <w:rPr>
          <w:color w:val="231F20"/>
          <w:sz w:val="18"/>
        </w:rPr>
        <w:t>Brown </w:t>
      </w:r>
      <w:r>
        <w:rPr>
          <w:color w:val="231F20"/>
          <w:spacing w:val="-3"/>
          <w:sz w:val="18"/>
        </w:rPr>
        <w:t>W.R., </w:t>
      </w:r>
      <w:r>
        <w:rPr>
          <w:color w:val="231F20"/>
          <w:sz w:val="18"/>
        </w:rPr>
        <w:t>Morse E.G., Mewbould </w:t>
      </w:r>
      <w:r>
        <w:rPr>
          <w:color w:val="231F20"/>
          <w:spacing w:val="-3"/>
          <w:sz w:val="18"/>
        </w:rPr>
        <w:t>S.H.F., </w:t>
      </w:r>
      <w:r>
        <w:rPr>
          <w:color w:val="231F20"/>
          <w:sz w:val="18"/>
        </w:rPr>
        <w:t>Slanetz </w:t>
      </w:r>
      <w:r>
        <w:rPr>
          <w:color w:val="231F20"/>
          <w:spacing w:val="-4"/>
          <w:sz w:val="18"/>
        </w:rPr>
        <w:t>W.L. </w:t>
      </w:r>
      <w:r>
        <w:rPr>
          <w:color w:val="231F20"/>
          <w:sz w:val="18"/>
        </w:rPr>
        <w:t>(2009). Microbiological procedures for the diagno- sis of bovine mastitis. National Mastitis Council Inc., Washington,</w:t>
      </w:r>
      <w:r>
        <w:rPr>
          <w:color w:val="231F20"/>
          <w:spacing w:val="4"/>
          <w:sz w:val="18"/>
        </w:rPr>
        <w:t> </w:t>
      </w:r>
      <w:r>
        <w:rPr>
          <w:color w:val="231F20"/>
          <w:sz w:val="18"/>
        </w:rPr>
        <w:t>D.C.</w:t>
      </w:r>
    </w:p>
    <w:p>
      <w:pPr>
        <w:spacing w:line="264" w:lineRule="auto" w:before="55"/>
        <w:ind w:left="696" w:right="1551" w:hanging="284"/>
        <w:jc w:val="both"/>
        <w:rPr>
          <w:sz w:val="18"/>
        </w:rPr>
      </w:pPr>
      <w:r>
        <w:rPr>
          <w:color w:val="231F20"/>
          <w:sz w:val="18"/>
        </w:rPr>
        <w:t>Carrol E.J. (1997). Environmental factors in bovine mas- titis.   </w:t>
      </w:r>
      <w:r>
        <w:rPr>
          <w:i/>
          <w:color w:val="231F20"/>
          <w:sz w:val="18"/>
        </w:rPr>
        <w:t>JAVMA,   </w:t>
      </w:r>
      <w:r>
        <w:rPr>
          <w:color w:val="231F20"/>
          <w:sz w:val="18"/>
        </w:rPr>
        <w:t>170(10-2): 1143-1145.</w:t>
      </w:r>
    </w:p>
    <w:p>
      <w:pPr>
        <w:spacing w:line="264" w:lineRule="auto" w:before="55"/>
        <w:ind w:left="696" w:right="1551" w:hanging="284"/>
        <w:jc w:val="both"/>
        <w:rPr>
          <w:sz w:val="18"/>
        </w:rPr>
      </w:pPr>
      <w:r>
        <w:rPr>
          <w:color w:val="231F20"/>
          <w:sz w:val="18"/>
        </w:rPr>
        <w:t>Chávez A.H.R. (1989). Pérdidas en la producción de  leche relacionadas con la mastitis subclínica en la región de Martínez de la </w:t>
      </w:r>
      <w:r>
        <w:rPr>
          <w:color w:val="231F20"/>
          <w:spacing w:val="-4"/>
          <w:sz w:val="18"/>
        </w:rPr>
        <w:t>Torre, </w:t>
      </w:r>
      <w:r>
        <w:rPr>
          <w:color w:val="231F20"/>
          <w:sz w:val="18"/>
        </w:rPr>
        <w:t>Veracruz. </w:t>
      </w:r>
      <w:r>
        <w:rPr>
          <w:color w:val="231F20"/>
          <w:spacing w:val="-4"/>
          <w:sz w:val="18"/>
        </w:rPr>
        <w:t>Tesis </w:t>
      </w:r>
      <w:r>
        <w:rPr>
          <w:color w:val="231F20"/>
          <w:sz w:val="18"/>
        </w:rPr>
        <w:t>de Licenciatura. Facultad de Medicina Veterinaria y Zoo- tecnia, UNAM. México,</w:t>
      </w:r>
      <w:r>
        <w:rPr>
          <w:color w:val="231F20"/>
          <w:spacing w:val="-2"/>
          <w:sz w:val="18"/>
        </w:rPr>
        <w:t> </w:t>
      </w:r>
      <w:r>
        <w:rPr>
          <w:color w:val="231F20"/>
          <w:spacing w:val="-4"/>
          <w:sz w:val="18"/>
        </w:rPr>
        <w:t>D.F.</w:t>
      </w:r>
    </w:p>
    <w:p>
      <w:pPr>
        <w:spacing w:line="264" w:lineRule="auto" w:before="55"/>
        <w:ind w:left="696" w:right="1551" w:hanging="284"/>
        <w:jc w:val="both"/>
        <w:rPr>
          <w:sz w:val="18"/>
        </w:rPr>
      </w:pPr>
      <w:r>
        <w:rPr>
          <w:color w:val="231F20"/>
          <w:sz w:val="18"/>
        </w:rPr>
        <w:t>Corona L.A.S. </w:t>
      </w:r>
      <w:r>
        <w:rPr>
          <w:color w:val="231F20"/>
          <w:spacing w:val="-3"/>
          <w:sz w:val="18"/>
        </w:rPr>
        <w:t>(2009). </w:t>
      </w:r>
      <w:r>
        <w:rPr>
          <w:color w:val="231F20"/>
          <w:sz w:val="18"/>
        </w:rPr>
        <w:t>Impacto económico de la produc- ción de leche relacionada con la mastitis subclínica y clínica en la región de la Laguna </w:t>
      </w:r>
      <w:r>
        <w:rPr>
          <w:color w:val="231F20"/>
          <w:spacing w:val="-5"/>
          <w:sz w:val="18"/>
        </w:rPr>
        <w:t>Torreón, </w:t>
      </w:r>
      <w:r>
        <w:rPr>
          <w:color w:val="231F20"/>
          <w:sz w:val="18"/>
        </w:rPr>
        <w:t>Coahuila. </w:t>
      </w:r>
      <w:r>
        <w:rPr>
          <w:color w:val="231F20"/>
          <w:spacing w:val="-6"/>
          <w:sz w:val="18"/>
        </w:rPr>
        <w:t>Tesis </w:t>
      </w:r>
      <w:r>
        <w:rPr>
          <w:color w:val="231F20"/>
          <w:sz w:val="18"/>
        </w:rPr>
        <w:t>de Maestría. </w:t>
      </w:r>
      <w:r>
        <w:rPr>
          <w:color w:val="231F20"/>
          <w:spacing w:val="-3"/>
          <w:sz w:val="18"/>
        </w:rPr>
        <w:t>Facultad </w:t>
      </w:r>
      <w:r>
        <w:rPr>
          <w:color w:val="231F20"/>
          <w:sz w:val="18"/>
        </w:rPr>
        <w:t>de Medicina </w:t>
      </w:r>
      <w:r>
        <w:rPr>
          <w:color w:val="231F20"/>
          <w:spacing w:val="-3"/>
          <w:sz w:val="18"/>
        </w:rPr>
        <w:t>Veterinaria </w:t>
      </w:r>
      <w:r>
        <w:rPr>
          <w:color w:val="231F20"/>
          <w:sz w:val="18"/>
        </w:rPr>
        <w:t>y Zootecnia, UNAM. México, </w:t>
      </w:r>
      <w:r>
        <w:rPr>
          <w:color w:val="231F20"/>
          <w:spacing w:val="-6"/>
          <w:sz w:val="18"/>
        </w:rPr>
        <w:t>D.F.</w:t>
      </w:r>
    </w:p>
    <w:p>
      <w:pPr>
        <w:spacing w:line="264" w:lineRule="auto" w:before="55"/>
        <w:ind w:left="696" w:right="1551" w:hanging="284"/>
        <w:jc w:val="both"/>
        <w:rPr>
          <w:sz w:val="18"/>
        </w:rPr>
      </w:pPr>
      <w:r>
        <w:rPr>
          <w:color w:val="231F20"/>
          <w:w w:val="105"/>
          <w:sz w:val="18"/>
        </w:rPr>
        <w:t>Dodd</w:t>
      </w:r>
      <w:r>
        <w:rPr>
          <w:color w:val="231F20"/>
          <w:spacing w:val="-6"/>
          <w:w w:val="105"/>
          <w:sz w:val="18"/>
        </w:rPr>
        <w:t> </w:t>
      </w:r>
      <w:r>
        <w:rPr>
          <w:color w:val="231F20"/>
          <w:spacing w:val="-3"/>
          <w:w w:val="105"/>
          <w:sz w:val="18"/>
        </w:rPr>
        <w:t>F.H.,</w:t>
      </w:r>
      <w:r>
        <w:rPr>
          <w:color w:val="231F20"/>
          <w:spacing w:val="-6"/>
          <w:w w:val="105"/>
          <w:sz w:val="18"/>
        </w:rPr>
        <w:t> </w:t>
      </w:r>
      <w:r>
        <w:rPr>
          <w:color w:val="231F20"/>
          <w:w w:val="105"/>
          <w:sz w:val="18"/>
        </w:rPr>
        <w:t>Neave</w:t>
      </w:r>
      <w:r>
        <w:rPr>
          <w:color w:val="231F20"/>
          <w:spacing w:val="-6"/>
          <w:w w:val="105"/>
          <w:sz w:val="18"/>
        </w:rPr>
        <w:t> </w:t>
      </w:r>
      <w:r>
        <w:rPr>
          <w:color w:val="231F20"/>
          <w:spacing w:val="-4"/>
          <w:w w:val="105"/>
          <w:sz w:val="18"/>
        </w:rPr>
        <w:t>F.K.</w:t>
      </w:r>
      <w:r>
        <w:rPr>
          <w:color w:val="231F20"/>
          <w:spacing w:val="-6"/>
          <w:w w:val="105"/>
          <w:sz w:val="18"/>
        </w:rPr>
        <w:t> </w:t>
      </w:r>
      <w:r>
        <w:rPr>
          <w:color w:val="231F20"/>
          <w:w w:val="105"/>
          <w:sz w:val="18"/>
        </w:rPr>
        <w:t>(1951).</w:t>
      </w:r>
      <w:r>
        <w:rPr>
          <w:color w:val="231F20"/>
          <w:spacing w:val="-6"/>
          <w:w w:val="105"/>
          <w:sz w:val="18"/>
        </w:rPr>
        <w:t> </w:t>
      </w:r>
      <w:r>
        <w:rPr>
          <w:color w:val="231F20"/>
          <w:w w:val="105"/>
          <w:sz w:val="18"/>
        </w:rPr>
        <w:t>Machine</w:t>
      </w:r>
      <w:r>
        <w:rPr>
          <w:color w:val="231F20"/>
          <w:spacing w:val="-6"/>
          <w:w w:val="105"/>
          <w:sz w:val="18"/>
        </w:rPr>
        <w:t> </w:t>
      </w:r>
      <w:r>
        <w:rPr>
          <w:color w:val="231F20"/>
          <w:w w:val="105"/>
          <w:sz w:val="18"/>
        </w:rPr>
        <w:t>milking</w:t>
      </w:r>
      <w:r>
        <w:rPr>
          <w:color w:val="231F20"/>
          <w:spacing w:val="-6"/>
          <w:w w:val="105"/>
          <w:sz w:val="18"/>
        </w:rPr>
        <w:t> </w:t>
      </w:r>
      <w:r>
        <w:rPr>
          <w:color w:val="231F20"/>
          <w:w w:val="105"/>
          <w:sz w:val="18"/>
        </w:rPr>
        <w:t>rate</w:t>
      </w:r>
      <w:r>
        <w:rPr>
          <w:color w:val="231F20"/>
          <w:spacing w:val="-6"/>
          <w:w w:val="105"/>
          <w:sz w:val="18"/>
        </w:rPr>
        <w:t> </w:t>
      </w:r>
      <w:r>
        <w:rPr>
          <w:color w:val="231F20"/>
          <w:w w:val="105"/>
          <w:sz w:val="18"/>
        </w:rPr>
        <w:t>and mastitis. </w:t>
      </w:r>
      <w:r>
        <w:rPr>
          <w:i/>
          <w:color w:val="231F20"/>
          <w:w w:val="105"/>
          <w:sz w:val="18"/>
        </w:rPr>
        <w:t>Journal Dairy Research, </w:t>
      </w:r>
      <w:r>
        <w:rPr>
          <w:color w:val="231F20"/>
          <w:spacing w:val="-3"/>
          <w:w w:val="105"/>
          <w:sz w:val="18"/>
        </w:rPr>
        <w:t>18:</w:t>
      </w:r>
      <w:r>
        <w:rPr>
          <w:color w:val="231F20"/>
          <w:spacing w:val="6"/>
          <w:w w:val="105"/>
          <w:sz w:val="18"/>
        </w:rPr>
        <w:t> </w:t>
      </w:r>
      <w:r>
        <w:rPr>
          <w:color w:val="231F20"/>
          <w:w w:val="105"/>
          <w:sz w:val="18"/>
        </w:rPr>
        <w:t>240-245.</w:t>
      </w:r>
    </w:p>
    <w:p>
      <w:pPr>
        <w:spacing w:line="264" w:lineRule="auto" w:before="55"/>
        <w:ind w:left="696" w:right="1551" w:hanging="284"/>
        <w:jc w:val="both"/>
        <w:rPr>
          <w:sz w:val="18"/>
        </w:rPr>
      </w:pPr>
      <w:r>
        <w:rPr>
          <w:color w:val="231F20"/>
          <w:sz w:val="18"/>
        </w:rPr>
        <w:t>Foster T.L., Ashworth U.S., Luedecke L.O. (1967). Re- lationship between California Mastitis Test reaction and production of milk from opposite quarter. </w:t>
      </w:r>
      <w:r>
        <w:rPr>
          <w:i/>
          <w:color w:val="231F20"/>
          <w:sz w:val="18"/>
        </w:rPr>
        <w:t>Jour- </w:t>
      </w:r>
      <w:r>
        <w:rPr>
          <w:i/>
          <w:color w:val="231F20"/>
          <w:sz w:val="18"/>
        </w:rPr>
        <w:t>nal  Dairy  Science,  </w:t>
      </w:r>
      <w:r>
        <w:rPr>
          <w:color w:val="231F20"/>
          <w:sz w:val="18"/>
        </w:rPr>
        <w:t>50:  675-682.</w:t>
      </w:r>
    </w:p>
    <w:p>
      <w:pPr>
        <w:spacing w:line="264" w:lineRule="auto" w:before="55"/>
        <w:ind w:left="696" w:right="1551" w:hanging="284"/>
        <w:jc w:val="both"/>
        <w:rPr>
          <w:sz w:val="18"/>
        </w:rPr>
      </w:pPr>
      <w:r>
        <w:rPr>
          <w:color w:val="231F20"/>
          <w:sz w:val="18"/>
        </w:rPr>
        <w:t>Frank N.A., Pounden W.D. (1961). The effect of diethyl- stilbestrol and progesterone on the growth of four mastitis-producing bacterias. </w:t>
      </w:r>
      <w:r>
        <w:rPr>
          <w:i/>
          <w:color w:val="231F20"/>
          <w:sz w:val="18"/>
        </w:rPr>
        <w:t>American Journal Vete- </w:t>
      </w:r>
      <w:r>
        <w:rPr>
          <w:i/>
          <w:color w:val="231F20"/>
          <w:sz w:val="18"/>
        </w:rPr>
        <w:t>rinary  Research,  </w:t>
      </w:r>
      <w:r>
        <w:rPr>
          <w:color w:val="231F20"/>
          <w:sz w:val="18"/>
        </w:rPr>
        <w:t>6: 22:32.</w:t>
      </w:r>
    </w:p>
    <w:p>
      <w:pPr>
        <w:spacing w:line="264" w:lineRule="auto" w:before="55"/>
        <w:ind w:left="696" w:right="1551" w:hanging="284"/>
        <w:jc w:val="both"/>
        <w:rPr>
          <w:sz w:val="18"/>
        </w:rPr>
      </w:pPr>
      <w:r>
        <w:rPr>
          <w:color w:val="231F20"/>
          <w:sz w:val="18"/>
        </w:rPr>
        <w:t>Gaytán G.G. (1992). Mastitis clínica, evaluación de la frecuencia, presentación y costos durante otoño en una explotación típica del Valle de México. Tesis de Licenciatura. Facultad de Medicina Veterinaria y Zoo- tecnia, UNAM. México, D.F.</w:t>
      </w:r>
    </w:p>
    <w:p>
      <w:pPr>
        <w:spacing w:after="0" w:line="264"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8" w:val="right" w:leader="none"/>
        </w:tabs>
        <w:spacing w:before="64"/>
        <w:ind w:left="1553" w:right="0" w:firstLine="0"/>
        <w:jc w:val="left"/>
        <w:rPr>
          <w:sz w:val="22"/>
        </w:rPr>
      </w:pPr>
      <w:r>
        <w:rPr>
          <w:color w:val="231F20"/>
          <w:sz w:val="18"/>
        </w:rPr>
        <w:t>Capítulo 2.  Buenas prácticas de ordeño, control de la mastitis e impacto en los sistemas  </w:t>
      </w:r>
      <w:r>
        <w:rPr>
          <w:color w:val="231F20"/>
          <w:spacing w:val="8"/>
          <w:sz w:val="18"/>
        </w:rPr>
        <w:t> </w:t>
      </w:r>
      <w:r>
        <w:rPr>
          <w:color w:val="231F20"/>
          <w:sz w:val="18"/>
        </w:rPr>
        <w:t>de</w:t>
      </w:r>
      <w:r>
        <w:rPr>
          <w:color w:val="231F20"/>
          <w:spacing w:val="5"/>
          <w:sz w:val="18"/>
        </w:rPr>
        <w:t> </w:t>
      </w:r>
      <w:r>
        <w:rPr>
          <w:color w:val="231F20"/>
          <w:sz w:val="18"/>
        </w:rPr>
        <w:t>producción...</w:t>
      </w:r>
      <w:r>
        <w:rPr>
          <w:color w:val="231F20"/>
          <w:sz w:val="22"/>
        </w:rPr>
        <w:tab/>
      </w:r>
      <w:r>
        <w:rPr>
          <w:color w:val="231F20"/>
          <w:spacing w:val="-3"/>
          <w:sz w:val="22"/>
        </w:rPr>
        <w:t>45</w:t>
      </w:r>
    </w:p>
    <w:p>
      <w:pPr>
        <w:spacing w:after="0"/>
        <w:jc w:val="left"/>
        <w:rPr>
          <w:sz w:val="22"/>
        </w:rPr>
        <w:sectPr>
          <w:footerReference w:type="default" r:id="rId71"/>
          <w:pgSz w:w="11900" w:h="14450"/>
          <w:pgMar w:footer="222" w:header="0" w:top="420" w:bottom="420" w:left="0" w:right="0"/>
        </w:sectPr>
      </w:pPr>
    </w:p>
    <w:p>
      <w:pPr>
        <w:pStyle w:val="BodyText"/>
        <w:rPr>
          <w:sz w:val="18"/>
        </w:rPr>
      </w:pPr>
    </w:p>
    <w:p>
      <w:pPr>
        <w:spacing w:line="261" w:lineRule="auto" w:before="129"/>
        <w:ind w:left="1837" w:right="0" w:hanging="284"/>
        <w:jc w:val="both"/>
        <w:rPr>
          <w:sz w:val="18"/>
        </w:rPr>
      </w:pPr>
      <w:r>
        <w:rPr>
          <w:color w:val="231F20"/>
          <w:sz w:val="18"/>
        </w:rPr>
        <w:t>Gieseck </w:t>
      </w:r>
      <w:r>
        <w:rPr>
          <w:color w:val="231F20"/>
          <w:spacing w:val="-4"/>
          <w:sz w:val="18"/>
        </w:rPr>
        <w:t>H.W. (1975).  </w:t>
      </w:r>
      <w:r>
        <w:rPr>
          <w:color w:val="231F20"/>
          <w:sz w:val="18"/>
        </w:rPr>
        <w:t>The  definition  of  bovine  masti-  tis and the diagnosis of its subclinical types during normal lactation. Proceedings of the IDF seminar on mastitis control. Reading University College of Estate Management, Reading</w:t>
      </w:r>
      <w:r>
        <w:rPr>
          <w:color w:val="231F20"/>
          <w:spacing w:val="37"/>
          <w:sz w:val="18"/>
        </w:rPr>
        <w:t> </w:t>
      </w:r>
      <w:r>
        <w:rPr>
          <w:color w:val="231F20"/>
          <w:sz w:val="18"/>
        </w:rPr>
        <w:t>England.</w:t>
      </w:r>
    </w:p>
    <w:p>
      <w:pPr>
        <w:spacing w:line="261" w:lineRule="auto" w:before="57"/>
        <w:ind w:left="1837" w:right="0" w:hanging="284"/>
        <w:jc w:val="both"/>
        <w:rPr>
          <w:sz w:val="18"/>
        </w:rPr>
      </w:pPr>
      <w:r>
        <w:rPr>
          <w:color w:val="231F20"/>
          <w:sz w:val="18"/>
        </w:rPr>
        <w:t>Gonzáles G.G.A. (1991). Pérdidas en la producción de leche relacionadas con la mastitis subclínica en va- cas Holstein-Friesian. Tesis de Licenciatura. Facultad de Medicina Veterinaria y Zootecnia, UNAM. México, D.F.</w:t>
      </w:r>
    </w:p>
    <w:p>
      <w:pPr>
        <w:spacing w:line="261" w:lineRule="auto" w:before="57"/>
        <w:ind w:left="1837" w:right="1" w:hanging="284"/>
        <w:jc w:val="both"/>
        <w:rPr>
          <w:sz w:val="18"/>
        </w:rPr>
      </w:pPr>
      <w:r>
        <w:rPr>
          <w:color w:val="231F20"/>
          <w:spacing w:val="-3"/>
          <w:sz w:val="18"/>
        </w:rPr>
        <w:t>González, </w:t>
      </w:r>
      <w:r>
        <w:rPr>
          <w:color w:val="231F20"/>
          <w:spacing w:val="-6"/>
          <w:sz w:val="18"/>
        </w:rPr>
        <w:t>A.F. </w:t>
      </w:r>
      <w:r>
        <w:rPr>
          <w:color w:val="231F20"/>
          <w:spacing w:val="-3"/>
          <w:sz w:val="18"/>
        </w:rPr>
        <w:t>(1998). </w:t>
      </w:r>
      <w:r>
        <w:rPr>
          <w:color w:val="231F20"/>
          <w:sz w:val="18"/>
        </w:rPr>
        <w:t>Higiene de la ubre al momento </w:t>
      </w:r>
      <w:r>
        <w:rPr>
          <w:color w:val="231F20"/>
          <w:spacing w:val="-2"/>
          <w:sz w:val="18"/>
        </w:rPr>
        <w:t>del</w:t>
      </w:r>
      <w:r>
        <w:rPr>
          <w:color w:val="231F20"/>
          <w:spacing w:val="36"/>
          <w:sz w:val="18"/>
        </w:rPr>
        <w:t> </w:t>
      </w:r>
      <w:r>
        <w:rPr>
          <w:color w:val="231F20"/>
          <w:sz w:val="18"/>
        </w:rPr>
        <w:t>ordeño y su relación con la presentación de mastitis subclínica. </w:t>
      </w:r>
      <w:r>
        <w:rPr>
          <w:color w:val="231F20"/>
          <w:spacing w:val="-6"/>
          <w:sz w:val="18"/>
        </w:rPr>
        <w:t>Tesis </w:t>
      </w:r>
      <w:r>
        <w:rPr>
          <w:color w:val="231F20"/>
          <w:sz w:val="18"/>
        </w:rPr>
        <w:t>de Licenciatura. </w:t>
      </w:r>
      <w:r>
        <w:rPr>
          <w:color w:val="231F20"/>
          <w:spacing w:val="-3"/>
          <w:sz w:val="18"/>
        </w:rPr>
        <w:t>Facultad </w:t>
      </w:r>
      <w:r>
        <w:rPr>
          <w:color w:val="231F20"/>
          <w:sz w:val="18"/>
        </w:rPr>
        <w:t>de</w:t>
      </w:r>
      <w:r>
        <w:rPr>
          <w:color w:val="231F20"/>
          <w:spacing w:val="-30"/>
          <w:sz w:val="18"/>
        </w:rPr>
        <w:t> </w:t>
      </w:r>
      <w:r>
        <w:rPr>
          <w:color w:val="231F20"/>
          <w:sz w:val="18"/>
        </w:rPr>
        <w:t>Medicina </w:t>
      </w:r>
      <w:r>
        <w:rPr>
          <w:color w:val="231F20"/>
          <w:spacing w:val="-3"/>
          <w:sz w:val="18"/>
        </w:rPr>
        <w:t>Veterinaria</w:t>
      </w:r>
      <w:r>
        <w:rPr>
          <w:color w:val="231F20"/>
          <w:spacing w:val="-11"/>
          <w:sz w:val="18"/>
        </w:rPr>
        <w:t> </w:t>
      </w:r>
      <w:r>
        <w:rPr>
          <w:color w:val="231F20"/>
          <w:sz w:val="18"/>
        </w:rPr>
        <w:t>y</w:t>
      </w:r>
      <w:r>
        <w:rPr>
          <w:color w:val="231F20"/>
          <w:spacing w:val="-11"/>
          <w:sz w:val="18"/>
        </w:rPr>
        <w:t> </w:t>
      </w:r>
      <w:r>
        <w:rPr>
          <w:color w:val="231F20"/>
          <w:sz w:val="18"/>
        </w:rPr>
        <w:t>Zootecnia,</w:t>
      </w:r>
      <w:r>
        <w:rPr>
          <w:color w:val="231F20"/>
          <w:spacing w:val="-11"/>
          <w:sz w:val="18"/>
        </w:rPr>
        <w:t> </w:t>
      </w:r>
      <w:r>
        <w:rPr>
          <w:color w:val="231F20"/>
          <w:sz w:val="18"/>
        </w:rPr>
        <w:t>UNAM.</w:t>
      </w:r>
      <w:r>
        <w:rPr>
          <w:color w:val="231F20"/>
          <w:spacing w:val="-11"/>
          <w:sz w:val="18"/>
        </w:rPr>
        <w:t> </w:t>
      </w:r>
      <w:r>
        <w:rPr>
          <w:color w:val="231F20"/>
          <w:sz w:val="18"/>
        </w:rPr>
        <w:t>México,</w:t>
      </w:r>
      <w:r>
        <w:rPr>
          <w:color w:val="231F20"/>
          <w:spacing w:val="-11"/>
          <w:sz w:val="18"/>
        </w:rPr>
        <w:t> </w:t>
      </w:r>
      <w:r>
        <w:rPr>
          <w:color w:val="231F20"/>
          <w:spacing w:val="-6"/>
          <w:sz w:val="18"/>
        </w:rPr>
        <w:t>D.F.</w:t>
      </w:r>
    </w:p>
    <w:p>
      <w:pPr>
        <w:spacing w:line="261" w:lineRule="auto" w:before="57"/>
        <w:ind w:left="1837" w:right="0" w:hanging="284"/>
        <w:jc w:val="both"/>
        <w:rPr>
          <w:sz w:val="18"/>
        </w:rPr>
      </w:pPr>
      <w:r>
        <w:rPr>
          <w:color w:val="231F20"/>
          <w:sz w:val="18"/>
        </w:rPr>
        <w:t>Jubb </w:t>
      </w:r>
      <w:r>
        <w:rPr>
          <w:color w:val="231F20"/>
          <w:spacing w:val="-5"/>
          <w:sz w:val="18"/>
        </w:rPr>
        <w:t>F.V.K.,  </w:t>
      </w:r>
      <w:r>
        <w:rPr>
          <w:color w:val="231F20"/>
          <w:sz w:val="18"/>
        </w:rPr>
        <w:t>Kennedy </w:t>
      </w:r>
      <w:r>
        <w:rPr>
          <w:color w:val="231F20"/>
          <w:spacing w:val="-3"/>
          <w:sz w:val="18"/>
        </w:rPr>
        <w:t>C.P.,  </w:t>
      </w:r>
      <w:r>
        <w:rPr>
          <w:color w:val="231F20"/>
          <w:sz w:val="18"/>
        </w:rPr>
        <w:t>Palmer N. (1995). Pathology  of domestic animals. 3rd ed. Academic Press Inc., Orlando, Fl,</w:t>
      </w:r>
      <w:r>
        <w:rPr>
          <w:color w:val="231F20"/>
          <w:spacing w:val="17"/>
          <w:sz w:val="18"/>
        </w:rPr>
        <w:t> </w:t>
      </w:r>
      <w:r>
        <w:rPr>
          <w:color w:val="231F20"/>
          <w:sz w:val="18"/>
        </w:rPr>
        <w:t>USA.</w:t>
      </w:r>
    </w:p>
    <w:p>
      <w:pPr>
        <w:spacing w:before="57"/>
        <w:ind w:left="1553" w:right="0" w:firstLine="0"/>
        <w:jc w:val="left"/>
        <w:rPr>
          <w:i/>
          <w:sz w:val="18"/>
        </w:rPr>
      </w:pPr>
      <w:r>
        <w:rPr>
          <w:color w:val="231F20"/>
          <w:sz w:val="18"/>
        </w:rPr>
        <w:t>McDonald  J.S.  (2007).  Streptococcal  mastitis.   </w:t>
      </w:r>
      <w:r>
        <w:rPr>
          <w:i/>
          <w:color w:val="231F20"/>
          <w:sz w:val="18"/>
        </w:rPr>
        <w:t>JAVMA,</w:t>
      </w:r>
    </w:p>
    <w:p>
      <w:pPr>
        <w:spacing w:before="20"/>
        <w:ind w:left="1837" w:right="0" w:firstLine="0"/>
        <w:jc w:val="left"/>
        <w:rPr>
          <w:sz w:val="18"/>
        </w:rPr>
      </w:pPr>
      <w:r>
        <w:rPr>
          <w:color w:val="231F20"/>
          <w:w w:val="115"/>
          <w:sz w:val="18"/>
        </w:rPr>
        <w:t>170(10-2): 1057-1058.</w:t>
      </w:r>
    </w:p>
    <w:p>
      <w:pPr>
        <w:pStyle w:val="BodyText"/>
        <w:rPr>
          <w:sz w:val="18"/>
        </w:rPr>
      </w:pPr>
      <w:r>
        <w:rPr/>
        <w:br w:type="column"/>
      </w:r>
      <w:r>
        <w:rPr>
          <w:sz w:val="18"/>
        </w:rPr>
      </w:r>
    </w:p>
    <w:p>
      <w:pPr>
        <w:spacing w:line="278" w:lineRule="auto" w:before="129"/>
        <w:ind w:left="696" w:right="1551" w:hanging="284"/>
        <w:jc w:val="both"/>
        <w:rPr>
          <w:sz w:val="18"/>
        </w:rPr>
      </w:pPr>
      <w:r>
        <w:rPr>
          <w:color w:val="231F20"/>
          <w:sz w:val="18"/>
        </w:rPr>
        <w:t>Quintanilla R., Loustalot M., Vega A., Fuentes G., Caliz E., Palomares J., Segovia V. (2002). Secretaría de Salud. Compendio de anatomía patológica de la glándula mamaria. Disponible en línea en: http://www.salud. gob.mx/unidades/cdi/</w:t>
      </w:r>
    </w:p>
    <w:p>
      <w:pPr>
        <w:spacing w:line="278" w:lineRule="auto" w:before="56"/>
        <w:ind w:left="696" w:right="1551" w:hanging="284"/>
        <w:jc w:val="both"/>
        <w:rPr>
          <w:sz w:val="18"/>
        </w:rPr>
      </w:pPr>
      <w:r>
        <w:rPr>
          <w:color w:val="231F20"/>
          <w:sz w:val="18"/>
        </w:rPr>
        <w:t>Schalm O.W., Carrol J.E., Jain N.C. (2001). Bovine masti- tis. Lea &amp; Febiger, Philadelphia, USA.</w:t>
      </w:r>
    </w:p>
    <w:p>
      <w:pPr>
        <w:spacing w:line="278" w:lineRule="auto" w:before="56"/>
        <w:ind w:left="696" w:right="1551" w:hanging="284"/>
        <w:jc w:val="both"/>
        <w:rPr>
          <w:sz w:val="18"/>
        </w:rPr>
      </w:pPr>
      <w:r>
        <w:rPr>
          <w:color w:val="231F20"/>
          <w:sz w:val="18"/>
        </w:rPr>
        <w:t>Sepúlveda A.J.F. (2006). Uso de los laboratorios para el control de mastitis para mejorar la calidad de leche. </w:t>
      </w:r>
      <w:r>
        <w:rPr>
          <w:i/>
          <w:color w:val="231F20"/>
          <w:sz w:val="18"/>
        </w:rPr>
        <w:t>Entorno  Ganadero,  </w:t>
      </w:r>
      <w:r>
        <w:rPr>
          <w:color w:val="231F20"/>
          <w:sz w:val="18"/>
        </w:rPr>
        <w:t>3(18).</w:t>
      </w:r>
    </w:p>
    <w:p>
      <w:pPr>
        <w:spacing w:line="278" w:lineRule="auto" w:before="56"/>
        <w:ind w:left="696" w:right="1551" w:hanging="284"/>
        <w:jc w:val="both"/>
        <w:rPr>
          <w:sz w:val="18"/>
        </w:rPr>
      </w:pPr>
      <w:r>
        <w:rPr>
          <w:color w:val="231F20"/>
          <w:sz w:val="18"/>
        </w:rPr>
        <w:t>Silva M.F. (2003). Eficacia de tres antisépticos utilizados en la preparación de vacas al ordeño con base en la reducción de la población bacteriana sobre los pe- zones. Tesis de Licenciatura. Facultad de Medicina Veterinaria y Zootecnia, UNAM. México, D.F.</w:t>
      </w:r>
    </w:p>
    <w:p>
      <w:pPr>
        <w:spacing w:line="278" w:lineRule="auto" w:before="56"/>
        <w:ind w:left="696" w:right="1551" w:hanging="284"/>
        <w:jc w:val="both"/>
        <w:rPr>
          <w:sz w:val="18"/>
        </w:rPr>
      </w:pPr>
      <w:r>
        <w:rPr>
          <w:color w:val="231F20"/>
          <w:sz w:val="18"/>
        </w:rPr>
        <w:t>Stob M., Walker B.H., Andrews F.N. (1958). Factors affec- ting the estrogenic content of alfalfa silage. </w:t>
      </w:r>
      <w:r>
        <w:rPr>
          <w:i/>
          <w:color w:val="231F20"/>
          <w:sz w:val="18"/>
        </w:rPr>
        <w:t>Journal </w:t>
      </w:r>
      <w:r>
        <w:rPr>
          <w:i/>
          <w:color w:val="231F20"/>
          <w:sz w:val="18"/>
        </w:rPr>
        <w:t>Dairy  Science,  </w:t>
      </w:r>
      <w:r>
        <w:rPr>
          <w:color w:val="231F20"/>
          <w:sz w:val="18"/>
        </w:rPr>
        <w:t>41;   438-439.</w:t>
      </w:r>
    </w:p>
    <w:p>
      <w:pPr>
        <w:spacing w:after="0" w:line="278" w:lineRule="auto"/>
        <w:jc w:val="both"/>
        <w:rPr>
          <w:sz w:val="18"/>
        </w:rPr>
        <w:sectPr>
          <w:type w:val="continuous"/>
          <w:pgSz w:w="11900" w:h="14450"/>
          <w:pgMar w:top="420" w:bottom="420" w:left="0" w:right="0"/>
          <w:cols w:num="2" w:equalWidth="0">
            <w:col w:w="5722" w:space="40"/>
            <w:col w:w="6138"/>
          </w:cols>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before="154"/>
        <w:ind w:left="1553" w:right="0" w:firstLine="0"/>
        <w:jc w:val="both"/>
        <w:rPr>
          <w:sz w:val="28"/>
        </w:rPr>
      </w:pPr>
      <w:r>
        <w:rPr>
          <w:color w:val="6D6E71"/>
          <w:w w:val="120"/>
          <w:sz w:val="54"/>
        </w:rPr>
        <w:t>A. </w:t>
      </w:r>
      <w:r>
        <w:rPr>
          <w:color w:val="6D6E71"/>
          <w:w w:val="120"/>
          <w:sz w:val="40"/>
        </w:rPr>
        <w:t>S</w:t>
      </w:r>
      <w:r>
        <w:rPr>
          <w:color w:val="6D6E71"/>
          <w:w w:val="120"/>
          <w:sz w:val="28"/>
        </w:rPr>
        <w:t>iStemAS de producción de  leche</w:t>
      </w:r>
    </w:p>
    <w:p>
      <w:pPr>
        <w:spacing w:before="290"/>
        <w:ind w:left="1553" w:right="0" w:firstLine="0"/>
        <w:jc w:val="both"/>
        <w:rPr>
          <w:sz w:val="60"/>
        </w:rPr>
      </w:pPr>
      <w:r>
        <w:rPr>
          <w:color w:val="231F20"/>
          <w:w w:val="110"/>
          <w:sz w:val="36"/>
        </w:rPr>
        <w:t>CAPÍTULO </w:t>
      </w:r>
      <w:r>
        <w:rPr>
          <w:color w:val="231F20"/>
          <w:w w:val="110"/>
          <w:sz w:val="60"/>
        </w:rPr>
        <w:t>3</w:t>
      </w:r>
    </w:p>
    <w:p>
      <w:pPr>
        <w:spacing w:before="276"/>
        <w:ind w:left="1553" w:right="4107" w:firstLine="0"/>
        <w:jc w:val="left"/>
        <w:rPr>
          <w:sz w:val="36"/>
        </w:rPr>
      </w:pPr>
      <w:r>
        <w:rPr>
          <w:color w:val="231F20"/>
          <w:w w:val="105"/>
          <w:sz w:val="36"/>
        </w:rPr>
        <w:t>CALIDAD DE LA LECHE EN LOS SISTEMAS DE PRODUCCIÓN EN PEQUEÑA   ESCALA</w:t>
      </w:r>
    </w:p>
    <w:p>
      <w:pPr>
        <w:spacing w:before="0"/>
        <w:ind w:left="1553" w:right="0" w:firstLine="0"/>
        <w:jc w:val="both"/>
        <w:rPr>
          <w:sz w:val="36"/>
        </w:rPr>
      </w:pPr>
      <w:r>
        <w:rPr>
          <w:color w:val="231F20"/>
          <w:w w:val="105"/>
          <w:sz w:val="36"/>
        </w:rPr>
        <w:t>EN </w:t>
      </w:r>
      <w:r>
        <w:rPr>
          <w:color w:val="231F20"/>
          <w:spacing w:val="3"/>
          <w:w w:val="105"/>
          <w:sz w:val="36"/>
        </w:rPr>
        <w:t>LA </w:t>
      </w:r>
      <w:r>
        <w:rPr>
          <w:color w:val="231F20"/>
          <w:w w:val="105"/>
          <w:sz w:val="36"/>
        </w:rPr>
        <w:t>ZONA </w:t>
      </w:r>
      <w:r>
        <w:rPr>
          <w:color w:val="231F20"/>
          <w:spacing w:val="2"/>
          <w:w w:val="105"/>
          <w:sz w:val="36"/>
        </w:rPr>
        <w:t>SURORIENTE </w:t>
      </w:r>
      <w:r>
        <w:rPr>
          <w:color w:val="231F20"/>
          <w:w w:val="105"/>
          <w:sz w:val="36"/>
        </w:rPr>
        <w:t>DEL </w:t>
      </w:r>
      <w:r>
        <w:rPr>
          <w:color w:val="231F20"/>
          <w:spacing w:val="-7"/>
          <w:w w:val="105"/>
          <w:sz w:val="36"/>
        </w:rPr>
        <w:t>ESTADO </w:t>
      </w:r>
      <w:r>
        <w:rPr>
          <w:color w:val="231F20"/>
          <w:w w:val="105"/>
          <w:sz w:val="36"/>
        </w:rPr>
        <w:t>DE </w:t>
      </w:r>
      <w:r>
        <w:rPr>
          <w:color w:val="231F20"/>
          <w:spacing w:val="85"/>
          <w:w w:val="105"/>
          <w:sz w:val="36"/>
        </w:rPr>
        <w:t> </w:t>
      </w:r>
      <w:r>
        <w:rPr>
          <w:color w:val="231F20"/>
          <w:w w:val="105"/>
          <w:sz w:val="36"/>
        </w:rPr>
        <w:t>MÉXICO</w:t>
      </w:r>
    </w:p>
    <w:p>
      <w:pPr>
        <w:pStyle w:val="Heading4"/>
        <w:spacing w:line="331" w:lineRule="exact" w:before="297"/>
        <w:rPr>
          <w:i/>
        </w:rPr>
      </w:pPr>
      <w:r>
        <w:rPr>
          <w:i/>
          <w:color w:val="231F20"/>
        </w:rPr>
        <w:t>José Dobler López</w:t>
      </w:r>
      <w:r>
        <w:rPr>
          <w:i/>
          <w:color w:val="231F20"/>
          <w:position w:val="9"/>
          <w:sz w:val="16"/>
        </w:rPr>
        <w:t>a</w:t>
      </w:r>
      <w:r>
        <w:rPr>
          <w:i/>
          <w:color w:val="231F20"/>
        </w:rPr>
        <w:t>, Luis Brunett Pérez</w:t>
      </w:r>
      <w:r>
        <w:rPr>
          <w:i/>
          <w:color w:val="231F20"/>
          <w:position w:val="9"/>
          <w:sz w:val="16"/>
        </w:rPr>
        <w:t>b</w:t>
      </w:r>
      <w:r>
        <w:rPr>
          <w:i/>
          <w:color w:val="231F20"/>
        </w:rPr>
        <w:t>, Leticia Xochitl López Martínez</w:t>
      </w:r>
      <w:r>
        <w:rPr>
          <w:i/>
          <w:color w:val="231F20"/>
          <w:position w:val="9"/>
          <w:sz w:val="16"/>
        </w:rPr>
        <w:t>c</w:t>
      </w:r>
      <w:r>
        <w:rPr>
          <w:i/>
          <w:color w:val="231F20"/>
        </w:rPr>
        <w:t>,</w:t>
      </w:r>
    </w:p>
    <w:p>
      <w:pPr>
        <w:spacing w:line="331" w:lineRule="exact" w:before="0"/>
        <w:ind w:left="1553" w:right="0" w:firstLine="0"/>
        <w:jc w:val="both"/>
        <w:rPr>
          <w:i/>
          <w:sz w:val="16"/>
        </w:rPr>
      </w:pPr>
      <w:r>
        <w:rPr>
          <w:i/>
          <w:color w:val="231F20"/>
          <w:sz w:val="28"/>
        </w:rPr>
        <w:t>Enrique Espinosa Ayala</w:t>
      </w:r>
      <w:r>
        <w:rPr>
          <w:i/>
          <w:color w:val="231F20"/>
          <w:position w:val="9"/>
          <w:sz w:val="16"/>
        </w:rPr>
        <w:t>b   </w:t>
      </w:r>
      <w:r>
        <w:rPr>
          <w:i/>
          <w:color w:val="231F20"/>
          <w:sz w:val="28"/>
        </w:rPr>
        <w:t>y Ofelia Márquez   Molina</w:t>
      </w:r>
      <w:r>
        <w:rPr>
          <w:i/>
          <w:color w:val="231F20"/>
          <w:position w:val="9"/>
          <w:sz w:val="16"/>
        </w:rPr>
        <w:t>b,*</w:t>
      </w:r>
    </w:p>
    <w:p>
      <w:pPr>
        <w:pStyle w:val="BodyText"/>
        <w:spacing w:line="254" w:lineRule="auto" w:before="164"/>
        <w:ind w:left="1553" w:right="2961"/>
      </w:pPr>
      <w:r>
        <w:rPr>
          <w:color w:val="231F20"/>
          <w:position w:val="7"/>
          <w:sz w:val="11"/>
        </w:rPr>
        <w:t>a </w:t>
      </w:r>
      <w:r>
        <w:rPr>
          <w:color w:val="231F20"/>
        </w:rPr>
        <w:t>Facultad de Estudios Superiores Cuautitlan, Universidad Nacional Autónoma de México. Km. 2,5 Carretera Cuautitlan-Teoloyucan. Cuautitlan Izcalli, Estado de México, C.P.    54740</w:t>
      </w:r>
    </w:p>
    <w:p>
      <w:pPr>
        <w:pStyle w:val="BodyText"/>
        <w:spacing w:before="114"/>
        <w:ind w:left="1553"/>
        <w:jc w:val="both"/>
      </w:pPr>
      <w:r>
        <w:rPr>
          <w:color w:val="231F20"/>
          <w:position w:val="7"/>
          <w:sz w:val="11"/>
        </w:rPr>
        <w:t>b  </w:t>
      </w:r>
      <w:r>
        <w:rPr>
          <w:color w:val="231F20"/>
        </w:rPr>
        <w:t>Centro Universitario UAEM Amecameca, Universidad Autónoma del Estado de   México.</w:t>
      </w:r>
    </w:p>
    <w:p>
      <w:pPr>
        <w:pStyle w:val="BodyText"/>
        <w:spacing w:before="16"/>
        <w:ind w:left="1553"/>
        <w:jc w:val="both"/>
      </w:pPr>
      <w:r>
        <w:rPr>
          <w:color w:val="231F20"/>
        </w:rPr>
        <w:t>Km 2,5 Carretera Amecameca-Ayapango. Amecameca, Estado de México, C.P. 56900</w:t>
      </w:r>
    </w:p>
    <w:p>
      <w:pPr>
        <w:pStyle w:val="BodyText"/>
        <w:spacing w:before="129"/>
        <w:ind w:left="1553"/>
        <w:jc w:val="both"/>
      </w:pPr>
      <w:r>
        <w:rPr>
          <w:color w:val="231F20"/>
          <w:position w:val="7"/>
          <w:sz w:val="11"/>
        </w:rPr>
        <w:t>c  </w:t>
      </w:r>
      <w:r>
        <w:rPr>
          <w:color w:val="231F20"/>
        </w:rPr>
        <w:t>Facultad de Química, Universidad Autónoma del Estado de   México.</w:t>
      </w:r>
    </w:p>
    <w:p>
      <w:pPr>
        <w:pStyle w:val="BodyText"/>
        <w:spacing w:line="254" w:lineRule="auto" w:before="16"/>
        <w:ind w:left="1553" w:right="3345"/>
      </w:pPr>
      <w:r>
        <w:rPr>
          <w:color w:val="231F20"/>
        </w:rPr>
        <w:t>Km. 15 Carretera Toluca-Ixtlahuaca entronque al Cerrillo. El Cerrillo Piedras Blancas, Municipio de Toluca,  Estado de México, C.P.    50200</w:t>
      </w:r>
    </w:p>
    <w:p>
      <w:pPr>
        <w:pStyle w:val="BodyText"/>
      </w:pPr>
    </w:p>
    <w:p>
      <w:pPr>
        <w:pStyle w:val="BodyText"/>
        <w:spacing w:before="5"/>
        <w:rPr>
          <w:sz w:val="11"/>
        </w:rPr>
      </w:pPr>
      <w:r>
        <w:rPr/>
        <w:pict>
          <v:line style="position:absolute;mso-position-horizontal-relative:page;mso-position-vertical-relative:paragraph;z-index:2176;mso-wrap-distance-left:0;mso-wrap-distance-right:0" from="77.692902pt,9.180904pt" to="517.062902pt,9.180904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1"/>
        <w:jc w:val="both"/>
      </w:pPr>
      <w:r>
        <w:rPr>
          <w:color w:val="231F20"/>
        </w:rPr>
        <w:t>Esta investigación se centra en la calidad de la leche en los sistemas de producción en pequeña escala        en la región suroriente del Estado de México, que comprende los municipios de Amecameca, Atlautla, Ayapango, Cocotitlán, Juchitepec, Ozumba, </w:t>
      </w:r>
      <w:r>
        <w:rPr>
          <w:color w:val="231F20"/>
          <w:spacing w:val="-3"/>
        </w:rPr>
        <w:t>Tenango </w:t>
      </w:r>
      <w:r>
        <w:rPr>
          <w:color w:val="231F20"/>
        </w:rPr>
        <w:t>y Tepetlixpa, entre otros, en las faldas de los volcanes Popocatépetl e Iztaccíhuatl de la sierra nevada entre el Distrito Federal y la Ciudad de Cuautla Morelos.       Se analizaron los factores que influyen en la calidad de la leche y los resultados se compararon con los obtenidos en establos cooperantes en la investigación. Asimismo, se consideraron las disposiciones legales referentes a la calidad de la leche para evaluar la producida en la región, y se abordaron los problemas con que se encuentran los sistemas de producción en pequeña escala, tratando de plantear posibles opciones de</w:t>
      </w:r>
      <w:r>
        <w:rPr>
          <w:color w:val="231F20"/>
          <w:spacing w:val="24"/>
        </w:rPr>
        <w:t> </w:t>
      </w:r>
      <w:r>
        <w:rPr>
          <w:color w:val="231F20"/>
        </w:rPr>
        <w:t>solución.</w:t>
      </w:r>
    </w:p>
    <w:p>
      <w:pPr>
        <w:pStyle w:val="BodyText"/>
        <w:spacing w:before="114"/>
        <w:ind w:left="1553"/>
        <w:jc w:val="both"/>
      </w:pPr>
      <w:r>
        <w:rPr>
          <w:color w:val="231F20"/>
        </w:rPr>
        <w:t>Palabras clave: Leche - Calidad - Producción - Sistemas de producción en pequeña escala.</w:t>
      </w:r>
    </w:p>
    <w:p>
      <w:pPr>
        <w:pStyle w:val="BodyText"/>
        <w:spacing w:before="3"/>
      </w:pPr>
      <w:r>
        <w:rPr/>
        <w:pict>
          <v:line style="position:absolute;mso-position-horizontal-relative:page;mso-position-vertical-relative:paragraph;z-index:2200;mso-wrap-distance-left:0;mso-wrap-distance-right:0" from="77.692902pt,14.572256pt" to="517.062902pt,14.572256pt" stroked="true" strokeweight=".5pt" strokecolor="#231f20">
            <w10:wrap type="topAndBottom"/>
          </v:line>
        </w:pict>
      </w:r>
      <w:r>
        <w:rPr/>
        <w:pict>
          <v:group style="position:absolute;margin-left:77.692902pt;margin-top:25.442356pt;width:70.9pt;height:.5pt;mso-position-horizontal-relative:page;mso-position-vertical-relative:paragraph;z-index:2224;mso-wrap-distance-left:0;mso-wrap-distance-right:0" coordorigin="1554,509" coordsize="1418,10">
            <v:line style="position:absolute" from="1589,514" to="2951,514" stroked="true" strokeweight=".5pt" strokecolor="#231f20">
              <v:stroke dashstyle="dash"/>
            </v:line>
            <v:line style="position:absolute" from="1559,514" to="1559,514" stroked="true" strokeweight=".5pt" strokecolor="#231f20"/>
            <v:line style="position:absolute" from="2966,514" to="2966,514" stroked="true" strokeweight=".5pt" strokecolor="#231f20"/>
            <w10:wrap type="topAndBottom"/>
          </v:group>
        </w:pict>
      </w:r>
    </w:p>
    <w:p>
      <w:pPr>
        <w:pStyle w:val="BodyText"/>
        <w:spacing w:before="10"/>
        <w:rPr>
          <w:sz w:val="11"/>
        </w:rPr>
      </w:pPr>
    </w:p>
    <w:p>
      <w:pPr>
        <w:spacing w:before="70"/>
        <w:ind w:left="1553" w:right="2503" w:firstLine="0"/>
        <w:jc w:val="left"/>
        <w:rPr>
          <w:sz w:val="16"/>
        </w:rPr>
      </w:pPr>
      <w:r>
        <w:rPr>
          <w:color w:val="231F20"/>
          <w:sz w:val="16"/>
        </w:rPr>
        <w:t>* Para correspondencia:  </w:t>
      </w:r>
      <w:hyperlink r:id="rId72">
        <w:r>
          <w:rPr>
            <w:color w:val="231F20"/>
            <w:sz w:val="16"/>
          </w:rPr>
          <w:t>ofeliammolina@yahoo.com</w:t>
        </w:r>
      </w:hyperlink>
    </w:p>
    <w:p>
      <w:pPr>
        <w:pStyle w:val="BodyText"/>
        <w:spacing w:before="2"/>
      </w:pPr>
    </w:p>
    <w:p>
      <w:pPr>
        <w:pStyle w:val="Heading5"/>
        <w:spacing w:before="64"/>
      </w:pPr>
      <w:r>
        <w:rPr>
          <w:color w:val="231F20"/>
          <w:w w:val="115"/>
        </w:rPr>
        <w:t>47</w:t>
      </w:r>
    </w:p>
    <w:p>
      <w:pPr>
        <w:spacing w:after="0"/>
        <w:sectPr>
          <w:pgSz w:w="11900" w:h="14450"/>
          <w:pgMar w:header="0" w:footer="222" w:top="420" w:bottom="420" w:left="0" w:right="0"/>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48</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9" w:lineRule="auto" w:before="133"/>
        <w:ind w:left="1553"/>
        <w:jc w:val="both"/>
      </w:pPr>
      <w:r>
        <w:rPr>
          <w:color w:val="231F20"/>
        </w:rPr>
        <w:t>En México, la producción de leche en pequeña escala equivale a poco más de la tercera parte de  la producción nacional de leche </w:t>
      </w:r>
      <w:r>
        <w:rPr>
          <w:color w:val="231F20"/>
          <w:spacing w:val="-3"/>
        </w:rPr>
        <w:t>(Tapia, </w:t>
      </w:r>
      <w:r>
        <w:rPr>
          <w:color w:val="231F20"/>
          <w:spacing w:val="-4"/>
        </w:rPr>
        <w:t>2010). </w:t>
      </w:r>
      <w:r>
        <w:rPr>
          <w:color w:val="231F20"/>
        </w:rPr>
        <w:t>Se- gún Hernández  (2008),  en  2004  la  producción  de leche de vaca en México fue de </w:t>
      </w:r>
      <w:r>
        <w:rPr>
          <w:color w:val="231F20"/>
          <w:spacing w:val="-3"/>
        </w:rPr>
        <w:t>9873,8 </w:t>
      </w:r>
      <w:r>
        <w:rPr>
          <w:color w:val="231F20"/>
        </w:rPr>
        <w:t>mi- llones de litros, con una tasa anual en los últimos </w:t>
      </w:r>
      <w:r>
        <w:rPr>
          <w:color w:val="231F20"/>
          <w:spacing w:val="-5"/>
        </w:rPr>
        <w:t>10 </w:t>
      </w:r>
      <w:r>
        <w:rPr>
          <w:color w:val="231F20"/>
        </w:rPr>
        <w:t>años del 30%, el  aumento  de  la  producción  en los últimos años ha mostrado un crecimiento marginal, para 2002 México producía 9560 millo- nes de litros, en </w:t>
      </w:r>
      <w:r>
        <w:rPr>
          <w:color w:val="231F20"/>
          <w:spacing w:val="-4"/>
        </w:rPr>
        <w:t>2007 </w:t>
      </w:r>
      <w:r>
        <w:rPr>
          <w:color w:val="231F20"/>
        </w:rPr>
        <w:t>el volumen de producción alcanzó los 10100 millones de litros, en 2008 la producción fue de 10754 millones y en 2009 de 10758 millones  de  litros,  alcanzando  un  100,3% y un 98% de la producción pronosticada, respec- tivamente (SAGARPA-SIAP 2009). Diferentes au- tores manejan el mismo concepto de “lechería </w:t>
      </w:r>
      <w:r>
        <w:rPr>
          <w:color w:val="231F20"/>
          <w:spacing w:val="-3"/>
        </w:rPr>
        <w:t>familiar”, </w:t>
      </w:r>
      <w:r>
        <w:rPr>
          <w:color w:val="231F20"/>
        </w:rPr>
        <w:t>aunque con distinto nombre; según Espi- noza (2009) “sistemas campesinos de producción de </w:t>
      </w:r>
      <w:r>
        <w:rPr>
          <w:color w:val="231F20"/>
          <w:spacing w:val="-3"/>
        </w:rPr>
        <w:t>leche”, </w:t>
      </w:r>
      <w:r>
        <w:rPr>
          <w:color w:val="231F20"/>
        </w:rPr>
        <w:t>para  Cervantes  </w:t>
      </w:r>
      <w:r>
        <w:rPr>
          <w:i/>
          <w:color w:val="231F20"/>
        </w:rPr>
        <w:t>et  al</w:t>
      </w:r>
      <w:r>
        <w:rPr>
          <w:color w:val="231F20"/>
        </w:rPr>
        <w:t>.  </w:t>
      </w:r>
      <w:r>
        <w:rPr>
          <w:color w:val="231F20"/>
          <w:spacing w:val="-4"/>
        </w:rPr>
        <w:t>(2011)  </w:t>
      </w:r>
      <w:r>
        <w:rPr>
          <w:color w:val="231F20"/>
        </w:rPr>
        <w:t>“lechería o producción </w:t>
      </w:r>
      <w:r>
        <w:rPr>
          <w:color w:val="231F20"/>
          <w:spacing w:val="-3"/>
        </w:rPr>
        <w:t>familiar”, </w:t>
      </w:r>
      <w:r>
        <w:rPr>
          <w:color w:val="231F20"/>
        </w:rPr>
        <w:t>Wiggins </w:t>
      </w:r>
      <w:r>
        <w:rPr>
          <w:i/>
          <w:color w:val="231F20"/>
        </w:rPr>
        <w:t>et al</w:t>
      </w:r>
      <w:r>
        <w:rPr>
          <w:color w:val="231F20"/>
        </w:rPr>
        <w:t>. </w:t>
      </w:r>
      <w:r>
        <w:rPr>
          <w:color w:val="231F20"/>
          <w:spacing w:val="-3"/>
        </w:rPr>
        <w:t>(2001) </w:t>
      </w:r>
      <w:r>
        <w:rPr>
          <w:color w:val="231F20"/>
        </w:rPr>
        <w:t>los nombran como “producción de leche en pequeña </w:t>
      </w:r>
      <w:r>
        <w:rPr>
          <w:color w:val="231F20"/>
          <w:spacing w:val="-3"/>
        </w:rPr>
        <w:t>escala”, </w:t>
      </w:r>
      <w:r>
        <w:rPr>
          <w:color w:val="231F20"/>
        </w:rPr>
        <w:t>para </w:t>
      </w:r>
      <w:r>
        <w:rPr>
          <w:color w:val="231F20"/>
          <w:spacing w:val="-5"/>
        </w:rPr>
        <w:t>Tapia </w:t>
      </w:r>
      <w:r>
        <w:rPr>
          <w:color w:val="231F20"/>
        </w:rPr>
        <w:t>(2004) son “sistemas de pro- ducción familiar o de traspatio”, y Espinosa-Ayala </w:t>
      </w:r>
      <w:r>
        <w:rPr>
          <w:i/>
          <w:color w:val="231F20"/>
        </w:rPr>
        <w:t>et al</w:t>
      </w:r>
      <w:r>
        <w:rPr>
          <w:color w:val="231F20"/>
        </w:rPr>
        <w:t>. (2002)  denominan  “sistemas  campesinos  de producción de leche” a aquellas unidades de producción con pequeñas superficies de tierra, donde la venta de leche proporciona ingresos fundamentales  para  la  familia  (que  pueden  o  no complementarse con ingresos generados por otras actividades dentro de la unidad de produc- ción o fuera de ésta) y cuentan con un mínimo de tres vacas y un máximo de 20 y sus reemplazos, emplean mano de obra familiar y están integradas en el mercado como  </w:t>
      </w:r>
      <w:r>
        <w:rPr>
          <w:color w:val="231F20"/>
          <w:spacing w:val="1"/>
        </w:rPr>
        <w:t> </w:t>
      </w:r>
      <w:r>
        <w:rPr>
          <w:color w:val="231F20"/>
        </w:rPr>
        <w:t>proveedores.</w:t>
      </w:r>
    </w:p>
    <w:p>
      <w:pPr>
        <w:pStyle w:val="BodyText"/>
        <w:spacing w:line="259" w:lineRule="auto" w:before="113"/>
        <w:ind w:left="1553"/>
        <w:jc w:val="both"/>
      </w:pPr>
      <w:r>
        <w:rPr>
          <w:color w:val="231F20"/>
        </w:rPr>
        <w:t>El sistema en pequeña escala se lleva a cabo con formas de manejo transmitidas de generación en generación, y es una actividad primaria o secun- daria para los productores que cuentan con otros ingresos. El sistema de producción aprovecha re- cursos  humanos,  naturales  y  materiales,  como</w:t>
      </w:r>
      <w:r>
        <w:rPr>
          <w:color w:val="231F20"/>
          <w:spacing w:val="-19"/>
        </w:rPr>
        <w:t> </w:t>
      </w:r>
      <w:r>
        <w:rPr>
          <w:color w:val="231F20"/>
        </w:rPr>
        <w:t>la</w:t>
      </w:r>
    </w:p>
    <w:p>
      <w:pPr>
        <w:pStyle w:val="BodyText"/>
        <w:spacing w:line="256" w:lineRule="auto" w:before="67"/>
        <w:ind w:left="413" w:right="1551"/>
        <w:jc w:val="both"/>
      </w:pPr>
      <w:r>
        <w:rPr/>
        <w:br w:type="column"/>
      </w:r>
      <w:r>
        <w:rPr>
          <w:color w:val="231F20"/>
        </w:rPr>
        <w:t>utilización de subproductos de cosechas propias, abono orgánico, cultivos forrajeros, maquinaria e infraestructura (Wiggins </w:t>
      </w:r>
      <w:r>
        <w:rPr>
          <w:i/>
          <w:color w:val="231F20"/>
        </w:rPr>
        <w:t>et al</w:t>
      </w:r>
      <w:r>
        <w:rPr>
          <w:color w:val="231F20"/>
        </w:rPr>
        <w:t>.,  2001).</w:t>
      </w:r>
    </w:p>
    <w:p>
      <w:pPr>
        <w:pStyle w:val="BodyText"/>
        <w:spacing w:line="256" w:lineRule="auto" w:before="114"/>
        <w:ind w:left="413" w:right="1551"/>
        <w:jc w:val="both"/>
      </w:pPr>
      <w:r>
        <w:rPr>
          <w:color w:val="231F20"/>
        </w:rPr>
        <w:t>La lechería familiar está formada por sistemas pro- ductivos de tipo campesino, dirigidos a aprovechar los recursos familiares rurales: mano de obra, culti- vos</w:t>
      </w:r>
      <w:r>
        <w:rPr>
          <w:color w:val="231F20"/>
          <w:spacing w:val="-7"/>
        </w:rPr>
        <w:t> </w:t>
      </w:r>
      <w:r>
        <w:rPr>
          <w:color w:val="231F20"/>
        </w:rPr>
        <w:t>forrajeros</w:t>
      </w:r>
      <w:r>
        <w:rPr>
          <w:color w:val="231F20"/>
          <w:spacing w:val="-7"/>
        </w:rPr>
        <w:t> </w:t>
      </w:r>
      <w:r>
        <w:rPr>
          <w:color w:val="231F20"/>
        </w:rPr>
        <w:t>y</w:t>
      </w:r>
      <w:r>
        <w:rPr>
          <w:color w:val="231F20"/>
          <w:spacing w:val="-7"/>
        </w:rPr>
        <w:t> </w:t>
      </w:r>
      <w:r>
        <w:rPr>
          <w:color w:val="231F20"/>
        </w:rPr>
        <w:t>residuos</w:t>
      </w:r>
      <w:r>
        <w:rPr>
          <w:color w:val="231F20"/>
          <w:spacing w:val="-7"/>
        </w:rPr>
        <w:t> </w:t>
      </w:r>
      <w:r>
        <w:rPr>
          <w:color w:val="231F20"/>
        </w:rPr>
        <w:t>de</w:t>
      </w:r>
      <w:r>
        <w:rPr>
          <w:color w:val="231F20"/>
          <w:spacing w:val="-7"/>
        </w:rPr>
        <w:t> </w:t>
      </w:r>
      <w:r>
        <w:rPr>
          <w:color w:val="231F20"/>
        </w:rPr>
        <w:t>cosechas</w:t>
      </w:r>
      <w:r>
        <w:rPr>
          <w:color w:val="231F20"/>
          <w:spacing w:val="-7"/>
        </w:rPr>
        <w:t> </w:t>
      </w:r>
      <w:r>
        <w:rPr>
          <w:color w:val="231F20"/>
        </w:rPr>
        <w:t>producidas</w:t>
      </w:r>
      <w:r>
        <w:rPr>
          <w:color w:val="231F20"/>
          <w:spacing w:val="-7"/>
        </w:rPr>
        <w:t> </w:t>
      </w:r>
      <w:r>
        <w:rPr>
          <w:color w:val="231F20"/>
        </w:rPr>
        <w:t>en sus pequeñas parcelas, con poco uso de insumos comprados</w:t>
      </w:r>
      <w:r>
        <w:rPr>
          <w:color w:val="231F20"/>
          <w:spacing w:val="-9"/>
        </w:rPr>
        <w:t> </w:t>
      </w:r>
      <w:r>
        <w:rPr>
          <w:color w:val="231F20"/>
        </w:rPr>
        <w:t>a</w:t>
      </w:r>
      <w:r>
        <w:rPr>
          <w:color w:val="231F20"/>
          <w:spacing w:val="-9"/>
        </w:rPr>
        <w:t> </w:t>
      </w:r>
      <w:r>
        <w:rPr>
          <w:color w:val="231F20"/>
        </w:rPr>
        <w:t>otros</w:t>
      </w:r>
      <w:r>
        <w:rPr>
          <w:color w:val="231F20"/>
          <w:spacing w:val="-9"/>
        </w:rPr>
        <w:t> </w:t>
      </w:r>
      <w:r>
        <w:rPr>
          <w:color w:val="231F20"/>
        </w:rPr>
        <w:t>y</w:t>
      </w:r>
      <w:r>
        <w:rPr>
          <w:color w:val="231F20"/>
          <w:spacing w:val="-9"/>
        </w:rPr>
        <w:t> </w:t>
      </w:r>
      <w:r>
        <w:rPr>
          <w:color w:val="231F20"/>
        </w:rPr>
        <w:t>poca</w:t>
      </w:r>
      <w:r>
        <w:rPr>
          <w:color w:val="231F20"/>
          <w:spacing w:val="-9"/>
        </w:rPr>
        <w:t> </w:t>
      </w:r>
      <w:r>
        <w:rPr>
          <w:color w:val="231F20"/>
        </w:rPr>
        <w:t>inversión</w:t>
      </w:r>
      <w:r>
        <w:rPr>
          <w:color w:val="231F20"/>
          <w:spacing w:val="-9"/>
        </w:rPr>
        <w:t> </w:t>
      </w:r>
      <w:r>
        <w:rPr>
          <w:color w:val="231F20"/>
        </w:rPr>
        <w:t>en</w:t>
      </w:r>
      <w:r>
        <w:rPr>
          <w:color w:val="231F20"/>
          <w:spacing w:val="-9"/>
        </w:rPr>
        <w:t> </w:t>
      </w:r>
      <w:r>
        <w:rPr>
          <w:color w:val="231F20"/>
        </w:rPr>
        <w:t>mejoramien- to de infraestructura. La ventaja de este sistema es su flexibilidad, pues depende poco de insumos ex- ternos y tiene bajos costos, lo cual le hace menos vulnerable a las variaciones en los mercados (FIRA, </w:t>
      </w:r>
      <w:r>
        <w:rPr>
          <w:color w:val="231F20"/>
          <w:spacing w:val="-5"/>
        </w:rPr>
        <w:t>2001).</w:t>
      </w:r>
    </w:p>
    <w:p>
      <w:pPr>
        <w:pStyle w:val="BodyText"/>
        <w:spacing w:line="256" w:lineRule="auto" w:before="114"/>
        <w:ind w:left="413" w:right="1551"/>
        <w:jc w:val="both"/>
      </w:pPr>
      <w:r>
        <w:rPr>
          <w:color w:val="231F20"/>
        </w:rPr>
        <w:t>El ganado está confinado en pequeñas superficies de terreno, principalmente en los patios de las vi- viendas (de ahí el nombre de “lechería de tras- patio”), y se considera de buena calidad (Tapia, 2010).</w:t>
      </w:r>
    </w:p>
    <w:p>
      <w:pPr>
        <w:pStyle w:val="BodyText"/>
        <w:spacing w:line="256" w:lineRule="auto" w:before="114"/>
        <w:ind w:left="413" w:right="1551"/>
        <w:jc w:val="both"/>
      </w:pPr>
      <w:r>
        <w:rPr>
          <w:color w:val="231F20"/>
        </w:rPr>
        <w:t>La lechería familiar constituye una fuente impor- tante de materia prima para toda la industria de lácteos, en especial la industria de derivados como el queso, el yogur, otros postres lácteos y la leche en polvo. Las principales desventajas son la disper- sión de la oferta y la calidad sanitaria (FIRA,  2001).</w:t>
      </w:r>
    </w:p>
    <w:p>
      <w:pPr>
        <w:pStyle w:val="BodyText"/>
        <w:spacing w:line="256" w:lineRule="auto" w:before="114"/>
        <w:ind w:left="413" w:right="1551"/>
        <w:jc w:val="both"/>
      </w:pPr>
      <w:r>
        <w:rPr>
          <w:color w:val="231F20"/>
        </w:rPr>
        <w:t>Predomina la mano de obra familiar o propia, con- siderada como costo de oportunidad, con lo </w:t>
      </w:r>
      <w:r>
        <w:rPr>
          <w:color w:val="231F20"/>
          <w:spacing w:val="-2"/>
        </w:rPr>
        <w:t>que </w:t>
      </w:r>
      <w:r>
        <w:rPr>
          <w:color w:val="231F20"/>
          <w:spacing w:val="41"/>
        </w:rPr>
        <w:t> </w:t>
      </w:r>
      <w:r>
        <w:rPr>
          <w:color w:val="231F20"/>
        </w:rPr>
        <w:t>se reducen los costos de producción a pesar de </w:t>
      </w:r>
      <w:r>
        <w:rPr>
          <w:color w:val="231F20"/>
          <w:spacing w:val="-2"/>
        </w:rPr>
        <w:t>los </w:t>
      </w:r>
      <w:r>
        <w:rPr>
          <w:color w:val="231F20"/>
        </w:rPr>
        <w:t>altos costos por concepto de alimentación </w:t>
      </w:r>
      <w:r>
        <w:rPr>
          <w:color w:val="231F20"/>
          <w:spacing w:val="-3"/>
        </w:rPr>
        <w:t>(Jiménez </w:t>
      </w:r>
      <w:r>
        <w:rPr>
          <w:i/>
          <w:color w:val="231F20"/>
        </w:rPr>
        <w:t>et al.</w:t>
      </w:r>
      <w:r>
        <w:rPr>
          <w:color w:val="231F20"/>
        </w:rPr>
        <w:t>, </w:t>
      </w:r>
      <w:r>
        <w:rPr>
          <w:color w:val="231F20"/>
          <w:spacing w:val="-3"/>
        </w:rPr>
        <w:t>2008). </w:t>
      </w:r>
      <w:r>
        <w:rPr>
          <w:color w:val="231F20"/>
        </w:rPr>
        <w:t>Una característica es que las instala- ciones están muy cercanas a la vivienda de la fa- milia y son adaptadas para la producción de </w:t>
      </w:r>
      <w:r>
        <w:rPr>
          <w:color w:val="231F20"/>
          <w:spacing w:val="-2"/>
        </w:rPr>
        <w:t>leche, </w:t>
      </w:r>
      <w:r>
        <w:rPr>
          <w:color w:val="231F20"/>
        </w:rPr>
        <w:t>aunque son poco funcionales. Las razas del </w:t>
      </w:r>
      <w:r>
        <w:rPr>
          <w:color w:val="231F20"/>
          <w:spacing w:val="-2"/>
        </w:rPr>
        <w:t>ganado </w:t>
      </w:r>
      <w:r>
        <w:rPr>
          <w:color w:val="231F20"/>
        </w:rPr>
        <w:t>son Holstein, </w:t>
      </w:r>
      <w:r>
        <w:rPr>
          <w:color w:val="231F20"/>
          <w:spacing w:val="-3"/>
        </w:rPr>
        <w:t>Pardo </w:t>
      </w:r>
      <w:r>
        <w:rPr>
          <w:color w:val="231F20"/>
        </w:rPr>
        <w:t>Suizo o cruzas en </w:t>
      </w:r>
      <w:r>
        <w:rPr>
          <w:color w:val="231F20"/>
          <w:spacing w:val="-2"/>
        </w:rPr>
        <w:t>proporciones </w:t>
      </w:r>
      <w:r>
        <w:rPr>
          <w:color w:val="231F20"/>
        </w:rPr>
        <w:t>cercanas a la </w:t>
      </w:r>
      <w:r>
        <w:rPr>
          <w:color w:val="231F20"/>
          <w:spacing w:val="-3"/>
        </w:rPr>
        <w:t>pureza. </w:t>
      </w:r>
      <w:r>
        <w:rPr>
          <w:color w:val="231F20"/>
        </w:rPr>
        <w:t>El sistema se basa en la explo- tación de ganado en condiciones de estabulación o semiestabulación  (FIRA, </w:t>
      </w:r>
      <w:r>
        <w:rPr>
          <w:color w:val="231F20"/>
          <w:spacing w:val="1"/>
        </w:rPr>
        <w:t> </w:t>
      </w:r>
      <w:r>
        <w:rPr>
          <w:color w:val="231F20"/>
          <w:spacing w:val="-5"/>
        </w:rPr>
        <w:t>2001).</w:t>
      </w:r>
    </w:p>
    <w:p>
      <w:pPr>
        <w:pStyle w:val="BodyText"/>
        <w:spacing w:line="256" w:lineRule="auto" w:before="114"/>
        <w:ind w:left="413" w:right="1551"/>
        <w:jc w:val="both"/>
      </w:pPr>
      <w:r>
        <w:rPr>
          <w:color w:val="231F20"/>
        </w:rPr>
        <w:t>La región suroriente del Estado de México es una importante cuenca lechera constituida principal- mente  por  pequeños  productores,  que</w:t>
      </w:r>
      <w:r>
        <w:rPr>
          <w:color w:val="231F20"/>
          <w:spacing w:val="-19"/>
        </w:rPr>
        <w:t> </w:t>
      </w:r>
      <w:r>
        <w:rPr>
          <w:color w:val="231F20"/>
        </w:rPr>
        <w:t>enfrentan</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3.   Calidad de la leche en los sistemas de producción en   </w:t>
      </w:r>
      <w:r>
        <w:rPr>
          <w:color w:val="231F20"/>
          <w:spacing w:val="6"/>
          <w:sz w:val="18"/>
        </w:rPr>
        <w:t> </w:t>
      </w:r>
      <w:r>
        <w:rPr>
          <w:color w:val="231F20"/>
          <w:sz w:val="18"/>
        </w:rPr>
        <w:t>pequeña</w:t>
      </w:r>
      <w:r>
        <w:rPr>
          <w:color w:val="231F20"/>
          <w:spacing w:val="13"/>
          <w:sz w:val="18"/>
        </w:rPr>
        <w:t> </w:t>
      </w:r>
      <w:r>
        <w:rPr>
          <w:color w:val="231F20"/>
          <w:sz w:val="18"/>
        </w:rPr>
        <w:t>escala...</w:t>
      </w:r>
      <w:r>
        <w:rPr>
          <w:color w:val="231F20"/>
          <w:sz w:val="22"/>
        </w:rPr>
        <w:tab/>
        <w:t>49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cada día problemas como el elevado costo de los insumos y el bajo precio del producto, que ade- más es muy perecedero, lo que les obliga a co- mercializarlo con rapidez para evitar que el precio todavía sea más castigado por las alteraciones que la leche sufre tras el ordeño debidas al manejo, la temperatura y el tiempo.</w:t>
      </w:r>
    </w:p>
    <w:p>
      <w:pPr>
        <w:pStyle w:val="BodyText"/>
        <w:spacing w:line="256" w:lineRule="auto" w:before="113"/>
        <w:ind w:left="1553"/>
        <w:jc w:val="both"/>
      </w:pPr>
      <w:r>
        <w:rPr>
          <w:color w:val="231F20"/>
        </w:rPr>
        <w:t>Existen más de 400 pequeños  productores  de  diez municipios de la  región  agrupados  en  nue- ve sociedades de producción rural y una sociedad cooperativa que conforma la Integradora de</w:t>
      </w:r>
      <w:r>
        <w:rPr>
          <w:color w:val="231F20"/>
          <w:spacing w:val="-12"/>
        </w:rPr>
        <w:t> </w:t>
      </w:r>
      <w:r>
        <w:rPr>
          <w:color w:val="231F20"/>
        </w:rPr>
        <w:t>Micro- lecheros Izta-Popo S.A. de </w:t>
      </w:r>
      <w:r>
        <w:rPr>
          <w:color w:val="231F20"/>
          <w:spacing w:val="-4"/>
        </w:rPr>
        <w:t>C.V., </w:t>
      </w:r>
      <w:r>
        <w:rPr>
          <w:color w:val="231F20"/>
        </w:rPr>
        <w:t>cuyas instalaciones se ubican en la localidad de Zentlalpan, Municipio de </w:t>
      </w:r>
      <w:r>
        <w:rPr>
          <w:color w:val="231F20"/>
          <w:spacing w:val="1"/>
        </w:rPr>
        <w:t> </w:t>
      </w:r>
      <w:r>
        <w:rPr>
          <w:color w:val="231F20"/>
        </w:rPr>
        <w:t>Amecameca.</w:t>
      </w:r>
    </w:p>
    <w:p>
      <w:pPr>
        <w:pStyle w:val="BodyText"/>
        <w:spacing w:line="256" w:lineRule="auto" w:before="113"/>
        <w:ind w:left="1553"/>
        <w:jc w:val="both"/>
      </w:pPr>
      <w:r>
        <w:rPr>
          <w:color w:val="231F20"/>
        </w:rPr>
        <w:t>Numerosos</w:t>
      </w:r>
      <w:r>
        <w:rPr>
          <w:color w:val="231F20"/>
          <w:spacing w:val="-9"/>
        </w:rPr>
        <w:t> </w:t>
      </w:r>
      <w:r>
        <w:rPr>
          <w:color w:val="231F20"/>
        </w:rPr>
        <w:t>factores</w:t>
      </w:r>
      <w:r>
        <w:rPr>
          <w:color w:val="231F20"/>
          <w:spacing w:val="-9"/>
        </w:rPr>
        <w:t> </w:t>
      </w:r>
      <w:r>
        <w:rPr>
          <w:color w:val="231F20"/>
        </w:rPr>
        <w:t>relacionados</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producción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explotación</w:t>
      </w:r>
      <w:r>
        <w:rPr>
          <w:color w:val="231F20"/>
          <w:spacing w:val="-23"/>
          <w:w w:val="105"/>
        </w:rPr>
        <w:t> </w:t>
      </w:r>
      <w:r>
        <w:rPr>
          <w:color w:val="231F20"/>
          <w:w w:val="105"/>
        </w:rPr>
        <w:t>lechera</w:t>
      </w:r>
      <w:r>
        <w:rPr>
          <w:color w:val="231F20"/>
          <w:spacing w:val="-23"/>
          <w:w w:val="105"/>
        </w:rPr>
        <w:t> </w:t>
      </w:r>
      <w:r>
        <w:rPr>
          <w:color w:val="231F20"/>
          <w:w w:val="105"/>
        </w:rPr>
        <w:t>pueden</w:t>
      </w:r>
      <w:r>
        <w:rPr>
          <w:color w:val="231F20"/>
          <w:spacing w:val="-23"/>
          <w:w w:val="105"/>
        </w:rPr>
        <w:t> </w:t>
      </w:r>
      <w:r>
        <w:rPr>
          <w:color w:val="231F20"/>
          <w:w w:val="105"/>
        </w:rPr>
        <w:t>afectar</w:t>
      </w:r>
      <w:r>
        <w:rPr>
          <w:color w:val="231F20"/>
          <w:spacing w:val="-23"/>
          <w:w w:val="105"/>
        </w:rPr>
        <w:t> </w:t>
      </w:r>
      <w:r>
        <w:rPr>
          <w:color w:val="231F20"/>
          <w:w w:val="105"/>
        </w:rPr>
        <w:t>la</w:t>
      </w:r>
      <w:r>
        <w:rPr>
          <w:color w:val="231F20"/>
          <w:spacing w:val="-23"/>
          <w:w w:val="105"/>
        </w:rPr>
        <w:t> </w:t>
      </w:r>
      <w:r>
        <w:rPr>
          <w:color w:val="231F20"/>
          <w:w w:val="105"/>
        </w:rPr>
        <w:t>calidad</w:t>
      </w:r>
      <w:r>
        <w:rPr>
          <w:color w:val="231F20"/>
          <w:spacing w:val="-2"/>
          <w:w w:val="100"/>
        </w:rPr>
        <w:t> </w:t>
      </w:r>
      <w:r>
        <w:rPr>
          <w:color w:val="231F20"/>
          <w:w w:val="105"/>
        </w:rPr>
        <w:t>de la leche, por lo que deben aplicarse </w:t>
      </w:r>
      <w:r>
        <w:rPr>
          <w:color w:val="231F20"/>
          <w:spacing w:val="-2"/>
          <w:w w:val="105"/>
        </w:rPr>
        <w:t>buenas </w:t>
      </w:r>
      <w:r>
        <w:rPr>
          <w:color w:val="231F20"/>
          <w:w w:val="105"/>
        </w:rPr>
        <w:t>prácticas ganaderas y el cuidado de la salud y </w:t>
      </w:r>
      <w:r>
        <w:rPr>
          <w:color w:val="231F20"/>
          <w:spacing w:val="-2"/>
          <w:w w:val="105"/>
        </w:rPr>
        <w:t>del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animales,</w:t>
      </w:r>
      <w:r>
        <w:rPr>
          <w:color w:val="231F20"/>
          <w:spacing w:val="-16"/>
          <w:w w:val="105"/>
        </w:rPr>
        <w:t> </w:t>
      </w:r>
      <w:r>
        <w:rPr>
          <w:color w:val="231F20"/>
          <w:w w:val="105"/>
        </w:rPr>
        <w:t>así</w:t>
      </w:r>
      <w:r>
        <w:rPr>
          <w:color w:val="231F20"/>
          <w:spacing w:val="-16"/>
          <w:w w:val="105"/>
        </w:rPr>
        <w:t> </w:t>
      </w:r>
      <w:r>
        <w:rPr>
          <w:color w:val="231F20"/>
          <w:w w:val="105"/>
        </w:rPr>
        <w:t>como</w:t>
      </w:r>
      <w:r>
        <w:rPr>
          <w:color w:val="231F20"/>
          <w:spacing w:val="-16"/>
          <w:w w:val="105"/>
        </w:rPr>
        <w:t> </w:t>
      </w:r>
      <w:r>
        <w:rPr>
          <w:color w:val="231F20"/>
          <w:w w:val="105"/>
        </w:rPr>
        <w:t>buenas</w:t>
      </w:r>
      <w:r>
        <w:rPr>
          <w:color w:val="231F20"/>
          <w:spacing w:val="-16"/>
          <w:w w:val="105"/>
        </w:rPr>
        <w:t> </w:t>
      </w:r>
      <w:r>
        <w:rPr>
          <w:color w:val="231F20"/>
          <w:w w:val="105"/>
        </w:rPr>
        <w:t>prácticas de</w:t>
      </w:r>
      <w:r>
        <w:rPr>
          <w:color w:val="231F20"/>
          <w:spacing w:val="-17"/>
          <w:w w:val="105"/>
        </w:rPr>
        <w:t> </w:t>
      </w:r>
      <w:r>
        <w:rPr>
          <w:color w:val="231F20"/>
          <w:w w:val="105"/>
        </w:rPr>
        <w:t>higiene</w:t>
      </w:r>
      <w:r>
        <w:rPr>
          <w:color w:val="231F20"/>
          <w:spacing w:val="-17"/>
          <w:w w:val="105"/>
        </w:rPr>
        <w:t> </w:t>
      </w:r>
      <w:r>
        <w:rPr>
          <w:color w:val="231F20"/>
          <w:w w:val="105"/>
        </w:rPr>
        <w:t>durante</w:t>
      </w:r>
      <w:r>
        <w:rPr>
          <w:color w:val="231F20"/>
          <w:spacing w:val="-17"/>
          <w:w w:val="105"/>
        </w:rPr>
        <w:t> </w:t>
      </w:r>
      <w:r>
        <w:rPr>
          <w:color w:val="231F20"/>
          <w:w w:val="105"/>
        </w:rPr>
        <w:t>la</w:t>
      </w:r>
      <w:r>
        <w:rPr>
          <w:color w:val="231F20"/>
          <w:spacing w:val="-17"/>
          <w:w w:val="105"/>
        </w:rPr>
        <w:t> </w:t>
      </w:r>
      <w:r>
        <w:rPr>
          <w:color w:val="231F20"/>
          <w:w w:val="105"/>
        </w:rPr>
        <w:t>obtención</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procesamien- to de la leche. Muchos microorganismos </w:t>
      </w:r>
      <w:r>
        <w:rPr>
          <w:color w:val="231F20"/>
          <w:spacing w:val="-2"/>
          <w:w w:val="105"/>
        </w:rPr>
        <w:t>pueden </w:t>
      </w:r>
      <w:r>
        <w:rPr>
          <w:color w:val="231F20"/>
          <w:w w:val="105"/>
        </w:rPr>
        <w:t>proliferar</w:t>
      </w:r>
      <w:r>
        <w:rPr>
          <w:color w:val="231F20"/>
          <w:spacing w:val="-9"/>
          <w:w w:val="105"/>
        </w:rPr>
        <w:t> </w:t>
      </w:r>
      <w:r>
        <w:rPr>
          <w:color w:val="231F20"/>
          <w:w w:val="105"/>
        </w:rPr>
        <w:t>en</w:t>
      </w:r>
      <w:r>
        <w:rPr>
          <w:color w:val="231F20"/>
          <w:spacing w:val="-9"/>
          <w:w w:val="105"/>
        </w:rPr>
        <w:t> </w:t>
      </w:r>
      <w:r>
        <w:rPr>
          <w:color w:val="231F20"/>
          <w:w w:val="105"/>
        </w:rPr>
        <w:t>ella</w:t>
      </w:r>
      <w:r>
        <w:rPr>
          <w:color w:val="231F20"/>
          <w:spacing w:val="-9"/>
          <w:w w:val="105"/>
        </w:rPr>
        <w:t> </w:t>
      </w:r>
      <w:r>
        <w:rPr>
          <w:color w:val="231F20"/>
          <w:w w:val="105"/>
        </w:rPr>
        <w:t>si</w:t>
      </w:r>
      <w:r>
        <w:rPr>
          <w:color w:val="231F20"/>
          <w:spacing w:val="-9"/>
          <w:w w:val="105"/>
        </w:rPr>
        <w:t> </w:t>
      </w:r>
      <w:r>
        <w:rPr>
          <w:color w:val="231F20"/>
          <w:w w:val="105"/>
        </w:rPr>
        <w:t>no</w:t>
      </w:r>
      <w:r>
        <w:rPr>
          <w:color w:val="231F20"/>
          <w:spacing w:val="-9"/>
          <w:w w:val="105"/>
        </w:rPr>
        <w:t> </w:t>
      </w:r>
      <w:r>
        <w:rPr>
          <w:color w:val="231F20"/>
          <w:w w:val="105"/>
        </w:rPr>
        <w:t>se</w:t>
      </w:r>
      <w:r>
        <w:rPr>
          <w:color w:val="231F20"/>
          <w:spacing w:val="-9"/>
          <w:w w:val="105"/>
        </w:rPr>
        <w:t> </w:t>
      </w:r>
      <w:r>
        <w:rPr>
          <w:color w:val="231F20"/>
          <w:w w:val="105"/>
        </w:rPr>
        <w:t>conserva</w:t>
      </w:r>
      <w:r>
        <w:rPr>
          <w:color w:val="231F20"/>
          <w:spacing w:val="-9"/>
          <w:w w:val="105"/>
        </w:rPr>
        <w:t> </w:t>
      </w:r>
      <w:r>
        <w:rPr>
          <w:color w:val="231F20"/>
          <w:w w:val="105"/>
        </w:rPr>
        <w:t>en</w:t>
      </w:r>
      <w:r>
        <w:rPr>
          <w:color w:val="231F20"/>
          <w:spacing w:val="-9"/>
          <w:w w:val="105"/>
        </w:rPr>
        <w:t> </w:t>
      </w:r>
      <w:r>
        <w:rPr>
          <w:color w:val="231F20"/>
          <w:w w:val="105"/>
        </w:rPr>
        <w:t>condiciones </w:t>
      </w:r>
      <w:r>
        <w:rPr>
          <w:color w:val="231F20"/>
        </w:rPr>
        <w:t>de refrigeración, en especial aquellos que</w:t>
      </w:r>
      <w:r>
        <w:rPr>
          <w:color w:val="231F20"/>
          <w:spacing w:val="-31"/>
        </w:rPr>
        <w:t> </w:t>
      </w:r>
      <w:r>
        <w:rPr>
          <w:color w:val="231F20"/>
        </w:rPr>
        <w:t>degradan </w:t>
      </w:r>
      <w:r>
        <w:rPr>
          <w:color w:val="231F20"/>
          <w:w w:val="105"/>
        </w:rPr>
        <w:t>la lactosa y hacen que la leche se acidifique y </w:t>
      </w:r>
      <w:r>
        <w:rPr>
          <w:color w:val="231F20"/>
          <w:spacing w:val="-2"/>
          <w:w w:val="105"/>
        </w:rPr>
        <w:t>las </w:t>
      </w:r>
      <w:r>
        <w:rPr>
          <w:color w:val="231F20"/>
        </w:rPr>
        <w:t>proteínas coagulen. Los criterios que </w:t>
      </w:r>
      <w:r>
        <w:rPr>
          <w:color w:val="231F20"/>
          <w:spacing w:val="-2"/>
        </w:rPr>
        <w:t>generalmente </w:t>
      </w:r>
      <w:r>
        <w:rPr>
          <w:color w:val="231F20"/>
          <w:w w:val="105"/>
        </w:rPr>
        <w:t>se</w:t>
      </w:r>
      <w:r>
        <w:rPr>
          <w:color w:val="231F20"/>
          <w:spacing w:val="-15"/>
          <w:w w:val="105"/>
        </w:rPr>
        <w:t> </w:t>
      </w:r>
      <w:r>
        <w:rPr>
          <w:color w:val="231F20"/>
          <w:w w:val="105"/>
        </w:rPr>
        <w:t>aplican</w:t>
      </w:r>
      <w:r>
        <w:rPr>
          <w:color w:val="231F20"/>
          <w:spacing w:val="-15"/>
          <w:w w:val="105"/>
        </w:rPr>
        <w:t> </w:t>
      </w:r>
      <w:r>
        <w:rPr>
          <w:color w:val="231F20"/>
          <w:w w:val="105"/>
        </w:rPr>
        <w:t>para</w:t>
      </w:r>
      <w:r>
        <w:rPr>
          <w:color w:val="231F20"/>
          <w:spacing w:val="-15"/>
          <w:w w:val="105"/>
        </w:rPr>
        <w:t> </w:t>
      </w:r>
      <w:r>
        <w:rPr>
          <w:color w:val="231F20"/>
          <w:w w:val="105"/>
        </w:rPr>
        <w:t>evaluar</w:t>
      </w:r>
      <w:r>
        <w:rPr>
          <w:color w:val="231F20"/>
          <w:spacing w:val="-15"/>
          <w:w w:val="105"/>
        </w:rPr>
        <w:t> </w:t>
      </w:r>
      <w:r>
        <w:rPr>
          <w:color w:val="231F20"/>
          <w:w w:val="105"/>
        </w:rPr>
        <w:t>la</w:t>
      </w:r>
      <w:r>
        <w:rPr>
          <w:color w:val="231F20"/>
          <w:spacing w:val="-15"/>
          <w:w w:val="105"/>
        </w:rPr>
        <w:t> </w:t>
      </w:r>
      <w:r>
        <w:rPr>
          <w:color w:val="231F20"/>
          <w:w w:val="105"/>
        </w:rPr>
        <w:t>calidad</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leche</w:t>
      </w:r>
      <w:r>
        <w:rPr>
          <w:color w:val="231F20"/>
          <w:spacing w:val="-15"/>
          <w:w w:val="105"/>
        </w:rPr>
        <w:t> </w:t>
      </w:r>
      <w:r>
        <w:rPr>
          <w:color w:val="231F20"/>
          <w:w w:val="105"/>
        </w:rPr>
        <w:t>cruda son:</w:t>
      </w:r>
      <w:r>
        <w:rPr>
          <w:color w:val="231F20"/>
          <w:spacing w:val="-14"/>
          <w:w w:val="105"/>
        </w:rPr>
        <w:t> </w:t>
      </w:r>
      <w:r>
        <w:rPr>
          <w:color w:val="231F20"/>
          <w:w w:val="105"/>
        </w:rPr>
        <w:t>ausencia</w:t>
      </w:r>
      <w:r>
        <w:rPr>
          <w:color w:val="231F20"/>
          <w:spacing w:val="-14"/>
          <w:w w:val="105"/>
        </w:rPr>
        <w:t> </w:t>
      </w:r>
      <w:r>
        <w:rPr>
          <w:color w:val="231F20"/>
          <w:w w:val="105"/>
        </w:rPr>
        <w:t>de</w:t>
      </w:r>
      <w:r>
        <w:rPr>
          <w:color w:val="231F20"/>
          <w:spacing w:val="-14"/>
          <w:w w:val="105"/>
        </w:rPr>
        <w:t> </w:t>
      </w:r>
      <w:r>
        <w:rPr>
          <w:color w:val="231F20"/>
          <w:w w:val="105"/>
        </w:rPr>
        <w:t>sustancias</w:t>
      </w:r>
      <w:r>
        <w:rPr>
          <w:color w:val="231F20"/>
          <w:spacing w:val="-14"/>
          <w:w w:val="105"/>
        </w:rPr>
        <w:t> </w:t>
      </w:r>
      <w:r>
        <w:rPr>
          <w:color w:val="231F20"/>
          <w:w w:val="105"/>
        </w:rPr>
        <w:t>extrañas</w:t>
      </w:r>
      <w:r>
        <w:rPr>
          <w:color w:val="231F20"/>
          <w:spacing w:val="-14"/>
          <w:w w:val="105"/>
        </w:rPr>
        <w:t> </w:t>
      </w:r>
      <w:r>
        <w:rPr>
          <w:color w:val="231F20"/>
          <w:w w:val="105"/>
        </w:rPr>
        <w:t>(inhibidoras, </w:t>
      </w:r>
      <w:r>
        <w:rPr>
          <w:color w:val="231F20"/>
        </w:rPr>
        <w:t>antisépticas, conservadoras, tóxicas), contenido de </w:t>
      </w:r>
      <w:r>
        <w:rPr>
          <w:color w:val="231F20"/>
          <w:w w:val="105"/>
        </w:rPr>
        <w:t>microrganismos (bacterias mesófilas aerobias) y de</w:t>
      </w:r>
      <w:r>
        <w:rPr>
          <w:color w:val="231F20"/>
          <w:spacing w:val="-14"/>
          <w:w w:val="105"/>
        </w:rPr>
        <w:t> </w:t>
      </w:r>
      <w:r>
        <w:rPr>
          <w:color w:val="231F20"/>
          <w:w w:val="105"/>
        </w:rPr>
        <w:t>células</w:t>
      </w:r>
      <w:r>
        <w:rPr>
          <w:color w:val="231F20"/>
          <w:spacing w:val="-14"/>
          <w:w w:val="105"/>
        </w:rPr>
        <w:t> </w:t>
      </w:r>
      <w:r>
        <w:rPr>
          <w:color w:val="231F20"/>
          <w:w w:val="105"/>
        </w:rPr>
        <w:t>somáticas</w:t>
      </w:r>
      <w:r>
        <w:rPr>
          <w:color w:val="231F20"/>
          <w:spacing w:val="-14"/>
          <w:w w:val="105"/>
        </w:rPr>
        <w:t> </w:t>
      </w:r>
      <w:r>
        <w:rPr>
          <w:color w:val="231F20"/>
          <w:w w:val="105"/>
        </w:rPr>
        <w:t>dentro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parámetros</w:t>
      </w:r>
      <w:r>
        <w:rPr>
          <w:color w:val="231F20"/>
          <w:spacing w:val="-14"/>
          <w:w w:val="105"/>
        </w:rPr>
        <w:t> </w:t>
      </w:r>
      <w:r>
        <w:rPr>
          <w:color w:val="231F20"/>
          <w:w w:val="105"/>
        </w:rPr>
        <w:t>es- </w:t>
      </w:r>
      <w:r>
        <w:rPr>
          <w:color w:val="231F20"/>
        </w:rPr>
        <w:t>tablecidos, ausencia de microorganismos indesea- </w:t>
      </w:r>
      <w:r>
        <w:rPr>
          <w:color w:val="231F20"/>
          <w:w w:val="105"/>
        </w:rPr>
        <w:t>bles,</w:t>
      </w:r>
      <w:r>
        <w:rPr>
          <w:color w:val="231F20"/>
          <w:spacing w:val="-28"/>
          <w:w w:val="105"/>
        </w:rPr>
        <w:t> </w:t>
      </w:r>
      <w:r>
        <w:rPr>
          <w:color w:val="231F20"/>
          <w:w w:val="105"/>
        </w:rPr>
        <w:t>y</w:t>
      </w:r>
      <w:r>
        <w:rPr>
          <w:color w:val="231F20"/>
          <w:spacing w:val="-28"/>
          <w:w w:val="105"/>
        </w:rPr>
        <w:t> </w:t>
      </w:r>
      <w:r>
        <w:rPr>
          <w:color w:val="231F20"/>
          <w:spacing w:val="-4"/>
          <w:w w:val="105"/>
        </w:rPr>
        <w:t>color,</w:t>
      </w:r>
      <w:r>
        <w:rPr>
          <w:color w:val="231F20"/>
          <w:spacing w:val="-28"/>
          <w:w w:val="105"/>
        </w:rPr>
        <w:t> </w:t>
      </w:r>
      <w:r>
        <w:rPr>
          <w:color w:val="231F20"/>
          <w:spacing w:val="-4"/>
          <w:w w:val="105"/>
        </w:rPr>
        <w:t>olor,</w:t>
      </w:r>
      <w:r>
        <w:rPr>
          <w:color w:val="231F20"/>
          <w:spacing w:val="-28"/>
          <w:w w:val="105"/>
        </w:rPr>
        <w:t> </w:t>
      </w:r>
      <w:r>
        <w:rPr>
          <w:color w:val="231F20"/>
          <w:w w:val="105"/>
        </w:rPr>
        <w:t>sabor</w:t>
      </w:r>
      <w:r>
        <w:rPr>
          <w:color w:val="231F20"/>
          <w:spacing w:val="-28"/>
          <w:w w:val="105"/>
        </w:rPr>
        <w:t> </w:t>
      </w:r>
      <w:r>
        <w:rPr>
          <w:color w:val="231F20"/>
          <w:w w:val="105"/>
        </w:rPr>
        <w:t>y</w:t>
      </w:r>
      <w:r>
        <w:rPr>
          <w:color w:val="231F20"/>
          <w:spacing w:val="-28"/>
          <w:w w:val="105"/>
        </w:rPr>
        <w:t> </w:t>
      </w:r>
      <w:r>
        <w:rPr>
          <w:color w:val="231F20"/>
          <w:w w:val="105"/>
        </w:rPr>
        <w:t>composición</w:t>
      </w:r>
      <w:r>
        <w:rPr>
          <w:color w:val="231F20"/>
          <w:spacing w:val="-28"/>
          <w:w w:val="105"/>
        </w:rPr>
        <w:t> </w:t>
      </w:r>
      <w:r>
        <w:rPr>
          <w:color w:val="231F20"/>
          <w:w w:val="105"/>
        </w:rPr>
        <w:t>propios</w:t>
      </w:r>
      <w:r>
        <w:rPr>
          <w:color w:val="231F20"/>
          <w:spacing w:val="-28"/>
          <w:w w:val="105"/>
        </w:rPr>
        <w:t> </w:t>
      </w:r>
      <w:r>
        <w:rPr>
          <w:color w:val="231F20"/>
          <w:w w:val="105"/>
        </w:rPr>
        <w:t>de</w:t>
      </w:r>
      <w:r>
        <w:rPr>
          <w:color w:val="231F20"/>
          <w:spacing w:val="-28"/>
          <w:w w:val="105"/>
        </w:rPr>
        <w:t> </w:t>
      </w:r>
      <w:r>
        <w:rPr>
          <w:color w:val="231F20"/>
          <w:w w:val="105"/>
        </w:rPr>
        <w:t>la leche  </w:t>
      </w:r>
      <w:r>
        <w:rPr>
          <w:color w:val="231F20"/>
          <w:spacing w:val="-3"/>
          <w:w w:val="105"/>
        </w:rPr>
        <w:t>(NMX-F-700-COFOCALEC-200</w:t>
      </w:r>
      <w:r>
        <w:rPr>
          <w:color w:val="231F20"/>
          <w:spacing w:val="38"/>
          <w:w w:val="105"/>
        </w:rPr>
        <w:t> </w:t>
      </w:r>
      <w:r>
        <w:rPr>
          <w:color w:val="231F20"/>
          <w:spacing w:val="-2"/>
          <w:w w:val="105"/>
        </w:rPr>
        <w:t>4).</w:t>
      </w:r>
    </w:p>
    <w:p>
      <w:pPr>
        <w:pStyle w:val="BodyText"/>
        <w:spacing w:before="2"/>
        <w:rPr>
          <w:sz w:val="23"/>
        </w:rPr>
      </w:pPr>
    </w:p>
    <w:p>
      <w:pPr>
        <w:pStyle w:val="BodyText"/>
        <w:ind w:left="1553"/>
        <w:jc w:val="both"/>
      </w:pPr>
      <w:r>
        <w:rPr>
          <w:color w:val="231F20"/>
          <w:w w:val="110"/>
        </w:rPr>
        <w:t>ANTECEDENTES</w:t>
      </w:r>
    </w:p>
    <w:p>
      <w:pPr>
        <w:pStyle w:val="BodyText"/>
        <w:spacing w:line="256" w:lineRule="auto" w:before="130"/>
        <w:ind w:left="1553"/>
        <w:jc w:val="both"/>
      </w:pPr>
      <w:r>
        <w:rPr>
          <w:color w:val="231F20"/>
        </w:rPr>
        <w:t>La calidad es uno de los grandes temas y retos en este mundo globalizado; en algunos casos puede comprometerse la conservación de los recursos</w:t>
      </w:r>
      <w:r>
        <w:rPr>
          <w:color w:val="231F20"/>
          <w:spacing w:val="-11"/>
        </w:rPr>
        <w:t> </w:t>
      </w:r>
      <w:r>
        <w:rPr>
          <w:color w:val="231F20"/>
        </w:rPr>
        <w:t>na- turales por asegurar la satisfacción de las necesida- des humanas, sometiendo la capacidad de futuras generaciones.</w:t>
      </w:r>
      <w:r>
        <w:rPr>
          <w:color w:val="231F20"/>
          <w:spacing w:val="30"/>
        </w:rPr>
        <w:t> </w:t>
      </w:r>
      <w:r>
        <w:rPr>
          <w:color w:val="231F20"/>
        </w:rPr>
        <w:t>Los</w:t>
      </w:r>
      <w:r>
        <w:rPr>
          <w:color w:val="231F20"/>
          <w:spacing w:val="30"/>
        </w:rPr>
        <w:t> </w:t>
      </w:r>
      <w:r>
        <w:rPr>
          <w:color w:val="231F20"/>
        </w:rPr>
        <w:t>criterios</w:t>
      </w:r>
      <w:r>
        <w:rPr>
          <w:color w:val="231F20"/>
          <w:spacing w:val="30"/>
        </w:rPr>
        <w:t> </w:t>
      </w:r>
      <w:r>
        <w:rPr>
          <w:color w:val="231F20"/>
        </w:rPr>
        <w:t>de</w:t>
      </w:r>
      <w:r>
        <w:rPr>
          <w:color w:val="231F20"/>
          <w:spacing w:val="30"/>
        </w:rPr>
        <w:t> </w:t>
      </w:r>
      <w:r>
        <w:rPr>
          <w:color w:val="231F20"/>
        </w:rPr>
        <w:t>calidad</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leche</w:t>
      </w:r>
    </w:p>
    <w:p>
      <w:pPr>
        <w:pStyle w:val="BodyText"/>
        <w:spacing w:before="3"/>
        <w:rPr>
          <w:sz w:val="28"/>
        </w:rPr>
      </w:pPr>
      <w:r>
        <w:rPr/>
        <w:br w:type="column"/>
      </w:r>
      <w:r>
        <w:rPr>
          <w:sz w:val="28"/>
        </w:rPr>
      </w:r>
    </w:p>
    <w:p>
      <w:pPr>
        <w:pStyle w:val="BodyText"/>
        <w:spacing w:line="259" w:lineRule="auto"/>
        <w:ind w:left="413" w:right="1551"/>
        <w:jc w:val="both"/>
      </w:pPr>
      <w:r>
        <w:rPr>
          <w:color w:val="231F20"/>
        </w:rPr>
        <w:t>cruda incluyen las propiedades nutritivas, tecnoló- gicas, higiénicas y sanitarias que debe cumplir para ser aceptable a los propósitos de su utilización y consumo. La definición legal de “leche” indica que es el producto íntegro y fresco que proviene del ordeño completo ininterrumpido de una o más va- cas sanas bien alimentadas y en reposo, exento de calostro y que cumple con las características fisico- químicas y microbiológicas que establece el códi- go sanitario (Villegas, 1990). Al respecto, la Norma Oficial  Mexicana  NOM-184-SSA1-2002,  Productos y servicios. Leche, fórmula láctea y producto lácteo combinado. Especificaciones sanitarias, establece que la leche que se emplee como materia prima debe cumplir con lo siguiente:</w:t>
      </w:r>
    </w:p>
    <w:p>
      <w:pPr>
        <w:pStyle w:val="ListParagraph"/>
        <w:numPr>
          <w:ilvl w:val="0"/>
          <w:numId w:val="7"/>
        </w:numPr>
        <w:tabs>
          <w:tab w:pos="697" w:val="left" w:leader="none"/>
        </w:tabs>
        <w:spacing w:line="259" w:lineRule="auto" w:before="114" w:after="0"/>
        <w:ind w:left="696" w:right="1552" w:hanging="283"/>
        <w:jc w:val="left"/>
        <w:rPr>
          <w:sz w:val="20"/>
        </w:rPr>
      </w:pPr>
      <w:r>
        <w:rPr>
          <w:color w:val="231F20"/>
          <w:sz w:val="20"/>
        </w:rPr>
        <w:t>No presentar materias extrañas, conservadores ni sustancias</w:t>
      </w:r>
      <w:r>
        <w:rPr>
          <w:color w:val="231F20"/>
          <w:spacing w:val="7"/>
          <w:sz w:val="20"/>
        </w:rPr>
        <w:t> </w:t>
      </w:r>
      <w:r>
        <w:rPr>
          <w:color w:val="231F20"/>
          <w:sz w:val="20"/>
        </w:rPr>
        <w:t>neutralizantes.</w:t>
      </w:r>
    </w:p>
    <w:p>
      <w:pPr>
        <w:pStyle w:val="BodyText"/>
        <w:spacing w:line="259" w:lineRule="auto" w:before="114"/>
        <w:ind w:left="696" w:right="1551"/>
        <w:jc w:val="both"/>
      </w:pPr>
      <w:r>
        <w:rPr>
          <w:color w:val="231F20"/>
        </w:rPr>
        <w:t>La presencia de materias  extrañas  depende  en gran medida del tipo de ordeño. El </w:t>
      </w:r>
      <w:r>
        <w:rPr>
          <w:color w:val="231F20"/>
          <w:spacing w:val="-2"/>
        </w:rPr>
        <w:t>ordeño </w:t>
      </w:r>
      <w:r>
        <w:rPr>
          <w:color w:val="231F20"/>
        </w:rPr>
        <w:t>mecánico es más higiénico que el manual, si    se realiza adecuadamente (lavado y secado de los </w:t>
      </w:r>
      <w:r>
        <w:rPr>
          <w:color w:val="231F20"/>
          <w:spacing w:val="-3"/>
        </w:rPr>
        <w:t>pezones, </w:t>
      </w:r>
      <w:r>
        <w:rPr>
          <w:color w:val="231F20"/>
        </w:rPr>
        <w:t>presellado o desinfección, </w:t>
      </w:r>
      <w:r>
        <w:rPr>
          <w:color w:val="231F20"/>
          <w:spacing w:val="-2"/>
        </w:rPr>
        <w:t>prueba </w:t>
      </w:r>
      <w:r>
        <w:rPr>
          <w:color w:val="231F20"/>
        </w:rPr>
        <w:t>de despunte o tolondrón, enjuague y desinfec- ción de las </w:t>
      </w:r>
      <w:r>
        <w:rPr>
          <w:color w:val="231F20"/>
          <w:spacing w:val="-3"/>
        </w:rPr>
        <w:t>pezoneras, </w:t>
      </w:r>
      <w:r>
        <w:rPr>
          <w:color w:val="231F20"/>
        </w:rPr>
        <w:t>aplicación de sellador de </w:t>
      </w:r>
      <w:r>
        <w:rPr>
          <w:color w:val="231F20"/>
          <w:spacing w:val="-3"/>
        </w:rPr>
        <w:t>pezones, </w:t>
      </w:r>
      <w:r>
        <w:rPr>
          <w:color w:val="231F20"/>
        </w:rPr>
        <w:t>etc.), pues además de ser un circuito cerrado</w:t>
      </w:r>
      <w:r>
        <w:rPr>
          <w:color w:val="231F20"/>
          <w:spacing w:val="-13"/>
        </w:rPr>
        <w:t> </w:t>
      </w:r>
      <w:r>
        <w:rPr>
          <w:color w:val="231F20"/>
        </w:rPr>
        <w:t>incluye</w:t>
      </w:r>
      <w:r>
        <w:rPr>
          <w:color w:val="231F20"/>
          <w:spacing w:val="-13"/>
        </w:rPr>
        <w:t> </w:t>
      </w:r>
      <w:r>
        <w:rPr>
          <w:color w:val="231F20"/>
        </w:rPr>
        <w:t>un</w:t>
      </w:r>
      <w:r>
        <w:rPr>
          <w:color w:val="231F20"/>
          <w:spacing w:val="-13"/>
        </w:rPr>
        <w:t> </w:t>
      </w:r>
      <w:r>
        <w:rPr>
          <w:color w:val="231F20"/>
        </w:rPr>
        <w:t>filtro</w:t>
      </w:r>
      <w:r>
        <w:rPr>
          <w:color w:val="231F20"/>
          <w:spacing w:val="-13"/>
        </w:rPr>
        <w:t> </w:t>
      </w:r>
      <w:r>
        <w:rPr>
          <w:color w:val="231F20"/>
        </w:rPr>
        <w:t>que</w:t>
      </w:r>
      <w:r>
        <w:rPr>
          <w:color w:val="231F20"/>
          <w:spacing w:val="-13"/>
        </w:rPr>
        <w:t> </w:t>
      </w:r>
      <w:r>
        <w:rPr>
          <w:color w:val="231F20"/>
        </w:rPr>
        <w:t>elimina</w:t>
      </w:r>
      <w:r>
        <w:rPr>
          <w:color w:val="231F20"/>
          <w:spacing w:val="-13"/>
        </w:rPr>
        <w:t> </w:t>
      </w:r>
      <w:r>
        <w:rPr>
          <w:color w:val="231F20"/>
        </w:rPr>
        <w:t>las</w:t>
      </w:r>
      <w:r>
        <w:rPr>
          <w:color w:val="231F20"/>
          <w:spacing w:val="-13"/>
        </w:rPr>
        <w:t> </w:t>
      </w:r>
      <w:r>
        <w:rPr>
          <w:color w:val="231F20"/>
        </w:rPr>
        <w:t>materias extrañas que pudieran haber contaminado la leche antes de vaciarla a los botes. Desafortu- nadamente, por el número de vacas y el costo de adquisición, operación y mantenimiento,</w:t>
      </w:r>
      <w:r>
        <w:rPr>
          <w:color w:val="231F20"/>
          <w:spacing w:val="-23"/>
        </w:rPr>
        <w:t> </w:t>
      </w:r>
      <w:r>
        <w:rPr>
          <w:color w:val="231F20"/>
          <w:spacing w:val="-2"/>
        </w:rPr>
        <w:t>son </w:t>
      </w:r>
      <w:r>
        <w:rPr>
          <w:color w:val="231F20"/>
        </w:rPr>
        <w:t>pocos los productores que utilizan este sistema de ordeño. El ordeño manual, el más utilizado por los productores de la región, predispone a la aparición de mastitis clínica o subclínica y fa- vorece la contaminación y la presencia de</w:t>
      </w:r>
      <w:r>
        <w:rPr>
          <w:color w:val="231F20"/>
          <w:spacing w:val="-26"/>
        </w:rPr>
        <w:t> </w:t>
      </w:r>
      <w:r>
        <w:rPr>
          <w:color w:val="231F20"/>
          <w:spacing w:val="-2"/>
        </w:rPr>
        <w:t>pelos, </w:t>
      </w:r>
      <w:r>
        <w:rPr>
          <w:color w:val="231F20"/>
        </w:rPr>
        <w:t>paja, estiércol o tierra que puedan tener las va- cas en las ubres. Los productores, para eliminar o disminuir la presencia de estos</w:t>
      </w:r>
      <w:r>
        <w:rPr>
          <w:color w:val="231F20"/>
          <w:spacing w:val="-28"/>
        </w:rPr>
        <w:t> </w:t>
      </w:r>
      <w:r>
        <w:rPr>
          <w:color w:val="231F20"/>
        </w:rPr>
        <w:t>contaminantes de la leche, hacen pasar la leche por una manta que funciona como filtro antes de almacenarla en botes. El uso de conservadores, como  </w:t>
      </w:r>
      <w:r>
        <w:rPr>
          <w:color w:val="231F20"/>
          <w:spacing w:val="40"/>
        </w:rPr>
        <w:t> </w:t>
      </w:r>
      <w:r>
        <w:rPr>
          <w:color w:val="231F20"/>
        </w:rPr>
        <w:t>agua</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spacing w:val="-3"/>
          <w:w w:val="120"/>
          <w:sz w:val="22"/>
        </w:rPr>
        <w:t>50</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1" w:lineRule="auto" w:before="67"/>
        <w:ind w:left="1837"/>
        <w:jc w:val="both"/>
      </w:pPr>
      <w:r>
        <w:rPr>
          <w:color w:val="231F20"/>
        </w:rPr>
        <w:t>oxigenada, dióxido de cloro u otros inhibidores del crecimiento bacteriano, no es habitual en la zona debido a que, por ser de clima templado (temperatura promedio de </w:t>
      </w:r>
      <w:r>
        <w:rPr>
          <w:color w:val="231F20"/>
          <w:spacing w:val="-4"/>
        </w:rPr>
        <w:t>14,1 </w:t>
      </w:r>
      <w:r>
        <w:rPr>
          <w:color w:val="231F20"/>
        </w:rPr>
        <w:t>°C), la tempe- ratura fría del medio ambiente permite</w:t>
      </w:r>
      <w:r>
        <w:rPr>
          <w:color w:val="231F20"/>
          <w:spacing w:val="-32"/>
        </w:rPr>
        <w:t> </w:t>
      </w:r>
      <w:r>
        <w:rPr>
          <w:color w:val="231F20"/>
        </w:rPr>
        <w:t>manejar por más tiempo la leche. La aplicación de neu- tralizadores en la leche, como hidróxido de cal- cio o hidróxido de sodio, no es realizada por </w:t>
      </w:r>
      <w:r>
        <w:rPr>
          <w:color w:val="231F20"/>
          <w:spacing w:val="-2"/>
        </w:rPr>
        <w:t>los </w:t>
      </w:r>
      <w:r>
        <w:rPr>
          <w:color w:val="231F20"/>
        </w:rPr>
        <w:t>productores, quienes tienen que vender a me- nor precio la leche cuando se les acidifica</w:t>
      </w:r>
      <w:r>
        <w:rPr>
          <w:color w:val="231F20"/>
          <w:spacing w:val="20"/>
        </w:rPr>
        <w:t> </w:t>
      </w:r>
      <w:r>
        <w:rPr>
          <w:color w:val="231F20"/>
        </w:rPr>
        <w:t>o</w:t>
      </w:r>
      <w:r>
        <w:rPr>
          <w:color w:val="231F20"/>
          <w:spacing w:val="13"/>
        </w:rPr>
        <w:t> </w:t>
      </w:r>
      <w:r>
        <w:rPr>
          <w:color w:val="231F20"/>
        </w:rPr>
        <w:t>in-</w:t>
      </w:r>
      <w:r>
        <w:rPr>
          <w:color w:val="231F20"/>
          <w:w w:val="95"/>
        </w:rPr>
        <w:t> </w:t>
      </w:r>
      <w:r>
        <w:rPr>
          <w:color w:val="231F20"/>
        </w:rPr>
        <w:t>cluso</w:t>
      </w:r>
      <w:r>
        <w:rPr>
          <w:color w:val="231F20"/>
          <w:spacing w:val="-15"/>
        </w:rPr>
        <w:t> </w:t>
      </w:r>
      <w:r>
        <w:rPr>
          <w:color w:val="231F20"/>
        </w:rPr>
        <w:t>la</w:t>
      </w:r>
      <w:r>
        <w:rPr>
          <w:color w:val="231F20"/>
          <w:spacing w:val="-15"/>
        </w:rPr>
        <w:t> </w:t>
      </w:r>
      <w:r>
        <w:rPr>
          <w:color w:val="231F20"/>
        </w:rPr>
        <w:t>tiran</w:t>
      </w:r>
      <w:r>
        <w:rPr>
          <w:color w:val="231F20"/>
          <w:spacing w:val="-15"/>
        </w:rPr>
        <w:t> </w:t>
      </w:r>
      <w:r>
        <w:rPr>
          <w:color w:val="231F20"/>
        </w:rPr>
        <w:t>por</w:t>
      </w:r>
      <w:r>
        <w:rPr>
          <w:color w:val="231F20"/>
          <w:spacing w:val="-15"/>
        </w:rPr>
        <w:t> </w:t>
      </w:r>
      <w:r>
        <w:rPr>
          <w:color w:val="231F20"/>
        </w:rPr>
        <w:t>no</w:t>
      </w:r>
      <w:r>
        <w:rPr>
          <w:color w:val="231F20"/>
          <w:spacing w:val="-15"/>
        </w:rPr>
        <w:t> </w:t>
      </w:r>
      <w:r>
        <w:rPr>
          <w:color w:val="231F20"/>
        </w:rPr>
        <w:t>saber</w:t>
      </w:r>
      <w:r>
        <w:rPr>
          <w:color w:val="231F20"/>
          <w:spacing w:val="-15"/>
        </w:rPr>
        <w:t> </w:t>
      </w:r>
      <w:r>
        <w:rPr>
          <w:color w:val="231F20"/>
        </w:rPr>
        <w:t>utilizarla</w:t>
      </w:r>
      <w:r>
        <w:rPr>
          <w:color w:val="231F20"/>
          <w:spacing w:val="-15"/>
        </w:rPr>
        <w:t> </w:t>
      </w:r>
      <w:r>
        <w:rPr>
          <w:color w:val="231F20"/>
        </w:rPr>
        <w:t>para</w:t>
      </w:r>
      <w:r>
        <w:rPr>
          <w:color w:val="231F20"/>
          <w:spacing w:val="-15"/>
        </w:rPr>
        <w:t> </w:t>
      </w:r>
      <w:r>
        <w:rPr>
          <w:color w:val="231F20"/>
        </w:rPr>
        <w:t>elaborar queso asadero o Oaxaca, que es para lo que la aprovechan los fabricantes  de  queso  </w:t>
      </w:r>
      <w:r>
        <w:rPr>
          <w:color w:val="231F20"/>
          <w:spacing w:val="-2"/>
        </w:rPr>
        <w:t>cuando  </w:t>
      </w:r>
      <w:r>
        <w:rPr>
          <w:color w:val="231F20"/>
        </w:rPr>
        <w:t>la compran con cierto grado de </w:t>
      </w:r>
      <w:r>
        <w:rPr>
          <w:color w:val="231F20"/>
          <w:spacing w:val="-3"/>
        </w:rPr>
        <w:t>acidez. </w:t>
      </w:r>
      <w:r>
        <w:rPr>
          <w:color w:val="231F20"/>
          <w:spacing w:val="-7"/>
        </w:rPr>
        <w:t>Tapia </w:t>
      </w:r>
      <w:r>
        <w:rPr>
          <w:color w:val="231F20"/>
          <w:spacing w:val="-6"/>
        </w:rPr>
        <w:t>(2010) </w:t>
      </w:r>
      <w:r>
        <w:rPr>
          <w:color w:val="231F20"/>
        </w:rPr>
        <w:t>reporta que la adición de agua para au- mentar el volumen no es una práctica común debido a que es severamente castigada por el comprador; sin embargo, encontró volúmenes mínimos que pueden corresponder al agua re- sidual del lavado y enjuagado de los</w:t>
      </w:r>
      <w:r>
        <w:rPr>
          <w:color w:val="231F20"/>
          <w:spacing w:val="-10"/>
        </w:rPr>
        <w:t> </w:t>
      </w:r>
      <w:r>
        <w:rPr>
          <w:color w:val="231F20"/>
          <w:spacing w:val="-2"/>
        </w:rPr>
        <w:t>recipientes.</w:t>
      </w:r>
    </w:p>
    <w:p>
      <w:pPr>
        <w:pStyle w:val="ListParagraph"/>
        <w:numPr>
          <w:ilvl w:val="0"/>
          <w:numId w:val="7"/>
        </w:numPr>
        <w:tabs>
          <w:tab w:pos="1838" w:val="left" w:leader="none"/>
        </w:tabs>
        <w:spacing w:line="240" w:lineRule="auto" w:before="114" w:after="0"/>
        <w:ind w:left="1837" w:right="0" w:hanging="284"/>
        <w:jc w:val="left"/>
        <w:rPr>
          <w:sz w:val="20"/>
        </w:rPr>
      </w:pPr>
      <w:r>
        <w:rPr>
          <w:color w:val="231F20"/>
          <w:sz w:val="20"/>
        </w:rPr>
        <w:t>No coagular por</w:t>
      </w:r>
      <w:r>
        <w:rPr>
          <w:color w:val="231F20"/>
          <w:spacing w:val="35"/>
          <w:sz w:val="20"/>
        </w:rPr>
        <w:t> </w:t>
      </w:r>
      <w:r>
        <w:rPr>
          <w:color w:val="231F20"/>
          <w:sz w:val="20"/>
        </w:rPr>
        <w:t>ebullición.</w:t>
      </w:r>
    </w:p>
    <w:p>
      <w:pPr>
        <w:pStyle w:val="BodyText"/>
        <w:spacing w:line="261" w:lineRule="auto" w:before="136"/>
        <w:ind w:left="1837"/>
        <w:jc w:val="both"/>
      </w:pPr>
      <w:r>
        <w:rPr>
          <w:color w:val="231F20"/>
        </w:rPr>
        <w:t>La leche puede coagular por ebullición por dos causas. La primera, porque aun cuando esté recién ordeñada y fresca puede contener ca- lostro (secreción de la glándula mamaria una semana antes y hasta 3-5 días después del parto), que está compuesto por inmunoglobu- linas que coagulan incluso a temperatura más baja que la de pasteurización. Los productores saben que no deben mezclar calostro con la leche, y que 3 días  después  del  parto  toda-  vía sigue habiendo calostro; en caso</w:t>
      </w:r>
      <w:r>
        <w:rPr>
          <w:color w:val="231F20"/>
          <w:spacing w:val="16"/>
        </w:rPr>
        <w:t> </w:t>
      </w:r>
      <w:r>
        <w:rPr>
          <w:color w:val="231F20"/>
        </w:rPr>
        <w:t>de</w:t>
      </w:r>
      <w:r>
        <w:rPr>
          <w:color w:val="231F20"/>
          <w:spacing w:val="25"/>
        </w:rPr>
        <w:t> </w:t>
      </w:r>
      <w:r>
        <w:rPr>
          <w:color w:val="231F20"/>
        </w:rPr>
        <w:t>dudas</w:t>
      </w:r>
      <w:r>
        <w:rPr>
          <w:color w:val="231F20"/>
          <w:w w:val="103"/>
        </w:rPr>
        <w:t> </w:t>
      </w:r>
      <w:r>
        <w:rPr>
          <w:color w:val="231F20"/>
        </w:rPr>
        <w:t>al respecto, hierven una muestra. La segunda causa por la que la leche puede coagular por ebullición es que la acidez  láctica  sobrepase  los 22º Dornic o un 0,22% de acidez (Badui, 2006); tanto las condiciones del clima tem- plado de la región como una  buena  higiene  del ordeño y de los utensilios para almacenar-  la permiten que la leche ordeñada en la tarde pueda ser recogida la mañana siguiente por   </w:t>
      </w:r>
      <w:r>
        <w:rPr>
          <w:color w:val="231F20"/>
          <w:spacing w:val="3"/>
        </w:rPr>
        <w:t> </w:t>
      </w:r>
      <w:r>
        <w:rPr>
          <w:color w:val="231F20"/>
        </w:rPr>
        <w:t>el</w:t>
      </w:r>
    </w:p>
    <w:p>
      <w:pPr>
        <w:pStyle w:val="BodyText"/>
        <w:spacing w:line="259" w:lineRule="auto" w:before="67"/>
        <w:ind w:left="696" w:right="1551"/>
        <w:jc w:val="both"/>
      </w:pPr>
      <w:r>
        <w:rPr/>
        <w:br w:type="column"/>
      </w:r>
      <w:r>
        <w:rPr>
          <w:color w:val="231F20"/>
        </w:rPr>
        <w:t>fabricante de queso sin que coagule si se so- metiera a la prueba de  ebullición.</w:t>
      </w:r>
    </w:p>
    <w:p>
      <w:pPr>
        <w:pStyle w:val="ListParagraph"/>
        <w:numPr>
          <w:ilvl w:val="0"/>
          <w:numId w:val="7"/>
        </w:numPr>
        <w:tabs>
          <w:tab w:pos="697" w:val="left" w:leader="none"/>
        </w:tabs>
        <w:spacing w:line="259" w:lineRule="auto" w:before="112" w:after="0"/>
        <w:ind w:left="696" w:right="1551" w:hanging="284"/>
        <w:jc w:val="both"/>
        <w:rPr>
          <w:sz w:val="20"/>
        </w:rPr>
      </w:pPr>
      <w:r>
        <w:rPr>
          <w:color w:val="231F20"/>
          <w:sz w:val="20"/>
        </w:rPr>
        <w:t>Presentar una prueba de alcohol al 68% ne- gativa.</w:t>
      </w:r>
    </w:p>
    <w:p>
      <w:pPr>
        <w:pStyle w:val="BodyText"/>
        <w:spacing w:line="259" w:lineRule="auto" w:before="112"/>
        <w:ind w:left="696" w:right="1551"/>
        <w:jc w:val="both"/>
      </w:pPr>
      <w:r>
        <w:rPr>
          <w:color w:val="231F20"/>
        </w:rPr>
        <w:t>Esta prueba de campo está relacionada con la prueba de la ebullición (estabilidad al calor). La leche fresca no coagula con el alcohol al 68%, excepto cuando está mezclada con leche de cabra o de oveja. En la región no es usual que los recolectores de leche realicen esta prueba, ya que más bien se guían por el olor y el sabor de la leche para determinar su grado de acidez.</w:t>
      </w:r>
    </w:p>
    <w:p>
      <w:pPr>
        <w:pStyle w:val="ListParagraph"/>
        <w:numPr>
          <w:ilvl w:val="0"/>
          <w:numId w:val="7"/>
        </w:numPr>
        <w:tabs>
          <w:tab w:pos="697" w:val="left" w:leader="none"/>
        </w:tabs>
        <w:spacing w:line="259" w:lineRule="auto" w:before="112" w:after="0"/>
        <w:ind w:left="696" w:right="1551" w:hanging="284"/>
        <w:jc w:val="both"/>
        <w:rPr>
          <w:sz w:val="20"/>
        </w:rPr>
      </w:pPr>
      <w:r>
        <w:rPr>
          <w:color w:val="231F20"/>
          <w:sz w:val="20"/>
        </w:rPr>
        <w:t>Presentar una prueba de inhibidores bacteria- nos negativa, detectados por métodos fisico- químicos  y</w:t>
      </w:r>
      <w:r>
        <w:rPr>
          <w:color w:val="231F20"/>
          <w:spacing w:val="3"/>
          <w:sz w:val="20"/>
        </w:rPr>
        <w:t> </w:t>
      </w:r>
      <w:r>
        <w:rPr>
          <w:color w:val="231F20"/>
          <w:sz w:val="20"/>
        </w:rPr>
        <w:t>microbiológicos.</w:t>
      </w:r>
    </w:p>
    <w:p>
      <w:pPr>
        <w:pStyle w:val="BodyText"/>
        <w:spacing w:line="259" w:lineRule="auto" w:before="112"/>
        <w:ind w:left="696" w:right="1551"/>
        <w:jc w:val="both"/>
      </w:pPr>
      <w:r>
        <w:rPr>
          <w:color w:val="231F20"/>
        </w:rPr>
        <w:t>Esta prueba no la realizan los productores ni   los recolectores de leche. Sin embargo, </w:t>
      </w:r>
      <w:r>
        <w:rPr>
          <w:color w:val="231F20"/>
          <w:spacing w:val="-7"/>
        </w:rPr>
        <w:t>Tapia </w:t>
      </w:r>
      <w:r>
        <w:rPr>
          <w:color w:val="231F20"/>
          <w:spacing w:val="-6"/>
        </w:rPr>
        <w:t>(2010) </w:t>
      </w:r>
      <w:r>
        <w:rPr>
          <w:color w:val="231F20"/>
        </w:rPr>
        <w:t>reporta una baja incidencia de mastitis en una muestra de la región (8,3%) </w:t>
      </w:r>
      <w:r>
        <w:rPr>
          <w:color w:val="231F20"/>
          <w:spacing w:val="-2"/>
        </w:rPr>
        <w:t>debido </w:t>
      </w:r>
      <w:r>
        <w:rPr>
          <w:color w:val="231F20"/>
        </w:rPr>
        <w:t>probablemente al uso de antibióticos para su tratamiento, lo que sugiere que pudiera haber residuos de antibióticos en la leche, aunque a los fabricantes de queso no les ha importado determinar su presencia y su efecto en sus pro- </w:t>
      </w:r>
      <w:r>
        <w:rPr>
          <w:color w:val="231F20"/>
          <w:spacing w:val="-2"/>
        </w:rPr>
        <w:t>cesos.</w:t>
      </w:r>
    </w:p>
    <w:p>
      <w:pPr>
        <w:pStyle w:val="BodyText"/>
      </w:pPr>
    </w:p>
    <w:p>
      <w:pPr>
        <w:pStyle w:val="BodyText"/>
        <w:spacing w:before="8"/>
        <w:rPr>
          <w:sz w:val="21"/>
        </w:rPr>
      </w:pPr>
    </w:p>
    <w:p>
      <w:pPr>
        <w:pStyle w:val="BodyText"/>
        <w:spacing w:line="259" w:lineRule="auto"/>
        <w:ind w:left="412" w:right="2471"/>
      </w:pPr>
      <w:r>
        <w:rPr>
          <w:color w:val="231F20"/>
          <w:w w:val="110"/>
        </w:rPr>
        <w:t>CARACTERÍSTICAS FISICOQUÍMICAS Y BACTERIOLÓGICAS DE LA  LECHE</w:t>
      </w:r>
    </w:p>
    <w:p>
      <w:pPr>
        <w:spacing w:before="112"/>
        <w:ind w:left="412" w:right="0" w:firstLine="0"/>
        <w:jc w:val="both"/>
        <w:rPr>
          <w:rFonts w:ascii="Cambria" w:hAnsi="Cambria"/>
          <w:i/>
          <w:sz w:val="20"/>
        </w:rPr>
      </w:pPr>
      <w:r>
        <w:rPr>
          <w:rFonts w:ascii="Cambria" w:hAnsi="Cambria"/>
          <w:i/>
          <w:color w:val="231F20"/>
          <w:w w:val="105"/>
          <w:sz w:val="20"/>
        </w:rPr>
        <w:t>Análisis fisicoquímico de la   leche</w:t>
      </w:r>
    </w:p>
    <w:p>
      <w:pPr>
        <w:pStyle w:val="BodyText"/>
        <w:spacing w:line="259" w:lineRule="auto" w:before="141"/>
        <w:ind w:left="412" w:right="1550"/>
        <w:jc w:val="both"/>
      </w:pPr>
      <w:r>
        <w:rPr>
          <w:color w:val="231F20"/>
          <w:w w:val="105"/>
        </w:rPr>
        <w:t>El análisis de la leche con el </w:t>
      </w:r>
      <w:r>
        <w:rPr>
          <w:i/>
          <w:color w:val="231F20"/>
          <w:w w:val="105"/>
        </w:rPr>
        <w:t>Milkoscope Julie C2 </w:t>
      </w:r>
      <w:r>
        <w:rPr>
          <w:color w:val="231F20"/>
        </w:rPr>
        <w:t>proporciona seis parámetros: grasa, lactosa,</w:t>
      </w:r>
      <w:r>
        <w:rPr>
          <w:color w:val="231F20"/>
          <w:spacing w:val="-19"/>
        </w:rPr>
        <w:t> </w:t>
      </w:r>
      <w:r>
        <w:rPr>
          <w:color w:val="231F20"/>
        </w:rPr>
        <w:t>proteí- </w:t>
      </w:r>
      <w:r>
        <w:rPr>
          <w:color w:val="231F20"/>
          <w:w w:val="105"/>
        </w:rPr>
        <w:t>na, densidad, sólidos no grasos y agua agregada. Una vez obtenidos los resultados, se determina si la leche cumple o no con los parámetros fi- sicoquímicos que establece la Norma Mexicana NMX-F-700-COFOCALEC-2004 del Consejo  para el</w:t>
      </w:r>
      <w:r>
        <w:rPr>
          <w:color w:val="231F20"/>
          <w:spacing w:val="-6"/>
          <w:w w:val="105"/>
        </w:rPr>
        <w:t> </w:t>
      </w:r>
      <w:r>
        <w:rPr>
          <w:color w:val="231F20"/>
          <w:w w:val="105"/>
        </w:rPr>
        <w:t>Fomento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Calidad</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Leche</w:t>
      </w:r>
      <w:r>
        <w:rPr>
          <w:color w:val="231F20"/>
          <w:spacing w:val="-6"/>
          <w:w w:val="105"/>
        </w:rPr>
        <w:t> </w:t>
      </w:r>
      <w:r>
        <w:rPr>
          <w:color w:val="231F20"/>
          <w:w w:val="105"/>
        </w:rPr>
        <w:t>y</w:t>
      </w:r>
      <w:r>
        <w:rPr>
          <w:color w:val="231F20"/>
          <w:spacing w:val="-6"/>
          <w:w w:val="105"/>
        </w:rPr>
        <w:t> </w:t>
      </w:r>
      <w:r>
        <w:rPr>
          <w:color w:val="231F20"/>
          <w:w w:val="105"/>
        </w:rPr>
        <w:t>sus</w:t>
      </w:r>
      <w:r>
        <w:rPr>
          <w:color w:val="231F20"/>
          <w:spacing w:val="-6"/>
          <w:w w:val="105"/>
        </w:rPr>
        <w:t> </w:t>
      </w:r>
      <w:r>
        <w:rPr>
          <w:color w:val="231F20"/>
          <w:w w:val="105"/>
        </w:rPr>
        <w:t>deriva- dos.</w:t>
      </w:r>
      <w:r>
        <w:rPr>
          <w:color w:val="231F20"/>
          <w:spacing w:val="-8"/>
          <w:w w:val="105"/>
        </w:rPr>
        <w:t> </w:t>
      </w:r>
      <w:r>
        <w:rPr>
          <w:color w:val="231F20"/>
          <w:w w:val="105"/>
        </w:rPr>
        <w:t>La</w:t>
      </w:r>
      <w:r>
        <w:rPr>
          <w:color w:val="231F20"/>
          <w:spacing w:val="-8"/>
          <w:w w:val="105"/>
        </w:rPr>
        <w:t> </w:t>
      </w:r>
      <w:r>
        <w:rPr>
          <w:color w:val="231F20"/>
          <w:w w:val="105"/>
        </w:rPr>
        <w:t>calidad</w:t>
      </w:r>
      <w:r>
        <w:rPr>
          <w:color w:val="231F20"/>
          <w:spacing w:val="-8"/>
          <w:w w:val="105"/>
        </w:rPr>
        <w:t> </w:t>
      </w:r>
      <w:r>
        <w:rPr>
          <w:color w:val="231F20"/>
          <w:w w:val="105"/>
        </w:rPr>
        <w:t>fisicoquímica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leche</w:t>
      </w:r>
      <w:r>
        <w:rPr>
          <w:color w:val="231F20"/>
          <w:spacing w:val="-8"/>
          <w:w w:val="105"/>
        </w:rPr>
        <w:t> </w:t>
      </w:r>
      <w:r>
        <w:rPr>
          <w:color w:val="231F20"/>
          <w:w w:val="105"/>
        </w:rPr>
        <w:t>cruda</w:t>
      </w:r>
      <w:r>
        <w:rPr>
          <w:color w:val="231F20"/>
          <w:spacing w:val="-8"/>
          <w:w w:val="105"/>
        </w:rPr>
        <w:t> </w:t>
      </w:r>
      <w:r>
        <w:rPr>
          <w:color w:val="231F20"/>
          <w:w w:val="105"/>
        </w:rPr>
        <w:t>en- contrada en la región se muestra en el Cuadro</w:t>
      </w:r>
      <w:r>
        <w:rPr>
          <w:color w:val="231F20"/>
          <w:spacing w:val="-3"/>
          <w:w w:val="105"/>
        </w:rPr>
        <w:t> </w:t>
      </w:r>
      <w:r>
        <w:rPr>
          <w:color w:val="231F20"/>
          <w:w w:val="105"/>
        </w:rPr>
        <w:t>1.</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3.   Calidad de la leche en los sistemas de producción en   </w:t>
      </w:r>
      <w:r>
        <w:rPr>
          <w:color w:val="231F20"/>
          <w:spacing w:val="6"/>
          <w:sz w:val="18"/>
        </w:rPr>
        <w:t> </w:t>
      </w:r>
      <w:r>
        <w:rPr>
          <w:color w:val="231F20"/>
          <w:sz w:val="18"/>
        </w:rPr>
        <w:t>pequeña</w:t>
      </w:r>
      <w:r>
        <w:rPr>
          <w:color w:val="231F20"/>
          <w:spacing w:val="13"/>
          <w:sz w:val="18"/>
        </w:rPr>
        <w:t> </w:t>
      </w:r>
      <w:r>
        <w:rPr>
          <w:color w:val="231F20"/>
          <w:sz w:val="18"/>
        </w:rPr>
        <w:t>escala...</w:t>
      </w:r>
      <w:r>
        <w:rPr>
          <w:color w:val="231F20"/>
          <w:sz w:val="22"/>
        </w:rPr>
        <w:tab/>
      </w:r>
      <w:r>
        <w:rPr>
          <w:color w:val="231F20"/>
          <w:spacing w:val="-5"/>
          <w:sz w:val="22"/>
        </w:rPr>
        <w:t>51</w:t>
      </w:r>
    </w:p>
    <w:p>
      <w:pPr>
        <w:spacing w:line="300" w:lineRule="auto" w:before="349"/>
        <w:ind w:left="1553" w:right="1655" w:firstLine="0"/>
        <w:jc w:val="left"/>
        <w:rPr>
          <w:sz w:val="18"/>
        </w:rPr>
      </w:pPr>
      <w:r>
        <w:rPr>
          <w:color w:val="231F20"/>
          <w:w w:val="105"/>
          <w:sz w:val="18"/>
        </w:rPr>
        <w:t>Cuadro 1. Calidad fisicoquímica de la leche del agroecosistema de los Municipios de Amecameca y de Ayapango comparada con las especificaciones de la Norma Mexicana NMX-F-700-COFOCALEC-2004.</w:t>
      </w:r>
    </w:p>
    <w:p>
      <w:pPr>
        <w:pStyle w:val="BodyText"/>
        <w:spacing w:before="6"/>
        <w:rPr>
          <w:sz w:val="8"/>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16"/>
        <w:gridCol w:w="1191"/>
        <w:gridCol w:w="1191"/>
        <w:gridCol w:w="1191"/>
        <w:gridCol w:w="1191"/>
        <w:gridCol w:w="1191"/>
        <w:gridCol w:w="1191"/>
      </w:tblGrid>
      <w:tr>
        <w:trPr>
          <w:trHeight w:val="629" w:hRule="exact"/>
        </w:trPr>
        <w:tc>
          <w:tcPr>
            <w:tcW w:w="1616" w:type="dxa"/>
            <w:tcBorders>
              <w:left w:val="nil"/>
            </w:tcBorders>
          </w:tcPr>
          <w:p>
            <w:pPr/>
          </w:p>
        </w:tc>
        <w:tc>
          <w:tcPr>
            <w:tcW w:w="1191" w:type="dxa"/>
          </w:tcPr>
          <w:p>
            <w:pPr>
              <w:pStyle w:val="TableParagraph"/>
              <w:spacing w:line="295" w:lineRule="auto" w:before="79"/>
              <w:ind w:left="406" w:right="263" w:hanging="55"/>
              <w:rPr>
                <w:rFonts w:ascii="Cambria"/>
                <w:i/>
                <w:sz w:val="18"/>
              </w:rPr>
            </w:pPr>
            <w:r>
              <w:rPr>
                <w:rFonts w:ascii="Cambria"/>
                <w:i/>
                <w:color w:val="231F20"/>
                <w:w w:val="105"/>
                <w:sz w:val="18"/>
              </w:rPr>
              <w:t>Grasa </w:t>
            </w:r>
            <w:r>
              <w:rPr>
                <w:rFonts w:ascii="Cambria"/>
                <w:i/>
                <w:color w:val="231F20"/>
                <w:w w:val="105"/>
                <w:sz w:val="18"/>
              </w:rPr>
              <w:t>(g/l)</w:t>
            </w:r>
          </w:p>
        </w:tc>
        <w:tc>
          <w:tcPr>
            <w:tcW w:w="1191" w:type="dxa"/>
          </w:tcPr>
          <w:p>
            <w:pPr>
              <w:pStyle w:val="TableParagraph"/>
              <w:spacing w:line="295" w:lineRule="auto" w:before="79"/>
              <w:ind w:left="406" w:hanging="152"/>
              <w:rPr>
                <w:rFonts w:ascii="Cambria" w:hAnsi="Cambria"/>
                <w:i/>
                <w:sz w:val="18"/>
              </w:rPr>
            </w:pPr>
            <w:r>
              <w:rPr>
                <w:rFonts w:ascii="Cambria" w:hAnsi="Cambria"/>
                <w:i/>
                <w:color w:val="231F20"/>
                <w:sz w:val="18"/>
              </w:rPr>
              <w:t>Proteína </w:t>
            </w:r>
            <w:r>
              <w:rPr>
                <w:rFonts w:ascii="Cambria" w:hAnsi="Cambria"/>
                <w:i/>
                <w:color w:val="231F20"/>
                <w:w w:val="105"/>
                <w:sz w:val="18"/>
              </w:rPr>
              <w:t>(g/l)</w:t>
            </w:r>
          </w:p>
        </w:tc>
        <w:tc>
          <w:tcPr>
            <w:tcW w:w="1191" w:type="dxa"/>
          </w:tcPr>
          <w:p>
            <w:pPr>
              <w:pStyle w:val="TableParagraph"/>
              <w:spacing w:line="295" w:lineRule="auto" w:before="79"/>
              <w:ind w:left="406" w:right="263" w:hanging="122"/>
              <w:rPr>
                <w:rFonts w:ascii="Cambria"/>
                <w:i/>
                <w:sz w:val="18"/>
              </w:rPr>
            </w:pPr>
            <w:r>
              <w:rPr>
                <w:rFonts w:ascii="Cambria"/>
                <w:i/>
                <w:color w:val="231F20"/>
                <w:w w:val="105"/>
                <w:sz w:val="18"/>
              </w:rPr>
              <w:t>Lactosa </w:t>
            </w:r>
            <w:r>
              <w:rPr>
                <w:rFonts w:ascii="Cambria"/>
                <w:i/>
                <w:color w:val="231F20"/>
                <w:w w:val="105"/>
                <w:sz w:val="18"/>
              </w:rPr>
              <w:t>(g/l)</w:t>
            </w:r>
          </w:p>
        </w:tc>
        <w:tc>
          <w:tcPr>
            <w:tcW w:w="1191" w:type="dxa"/>
          </w:tcPr>
          <w:p>
            <w:pPr>
              <w:pStyle w:val="TableParagraph"/>
              <w:spacing w:before="79"/>
              <w:ind w:left="138" w:right="138"/>
              <w:jc w:val="center"/>
              <w:rPr>
                <w:rFonts w:ascii="Cambria"/>
                <w:i/>
                <w:sz w:val="18"/>
              </w:rPr>
            </w:pPr>
            <w:r>
              <w:rPr>
                <w:rFonts w:ascii="Cambria"/>
                <w:i/>
                <w:color w:val="231F20"/>
                <w:w w:val="115"/>
                <w:sz w:val="18"/>
              </w:rPr>
              <w:t>SNG</w:t>
            </w:r>
          </w:p>
          <w:p>
            <w:pPr>
              <w:pStyle w:val="TableParagraph"/>
              <w:spacing w:before="49"/>
              <w:ind w:left="138" w:right="138"/>
              <w:jc w:val="center"/>
              <w:rPr>
                <w:rFonts w:ascii="Cambria"/>
                <w:i/>
                <w:sz w:val="18"/>
              </w:rPr>
            </w:pPr>
            <w:r>
              <w:rPr>
                <w:rFonts w:ascii="Cambria"/>
                <w:i/>
                <w:color w:val="231F20"/>
                <w:sz w:val="18"/>
              </w:rPr>
              <w:t>(g/l)</w:t>
            </w:r>
          </w:p>
        </w:tc>
        <w:tc>
          <w:tcPr>
            <w:tcW w:w="1191" w:type="dxa"/>
          </w:tcPr>
          <w:p>
            <w:pPr>
              <w:pStyle w:val="TableParagraph"/>
              <w:spacing w:line="295" w:lineRule="auto" w:before="79"/>
              <w:ind w:left="327" w:hanging="122"/>
              <w:rPr>
                <w:rFonts w:ascii="Cambria"/>
                <w:i/>
                <w:sz w:val="18"/>
              </w:rPr>
            </w:pPr>
            <w:r>
              <w:rPr>
                <w:rFonts w:ascii="Cambria"/>
                <w:i/>
                <w:color w:val="231F20"/>
                <w:w w:val="105"/>
                <w:sz w:val="18"/>
              </w:rPr>
              <w:t>Densidad </w:t>
            </w:r>
            <w:r>
              <w:rPr>
                <w:rFonts w:ascii="Cambria"/>
                <w:i/>
                <w:color w:val="231F20"/>
                <w:w w:val="105"/>
                <w:sz w:val="18"/>
              </w:rPr>
              <w:t>(g/ml)</w:t>
            </w:r>
          </w:p>
        </w:tc>
        <w:tc>
          <w:tcPr>
            <w:tcW w:w="1191" w:type="dxa"/>
            <w:tcBorders>
              <w:right w:val="nil"/>
            </w:tcBorders>
          </w:tcPr>
          <w:p>
            <w:pPr>
              <w:pStyle w:val="TableParagraph"/>
              <w:spacing w:line="295" w:lineRule="auto" w:before="79"/>
              <w:ind w:left="194" w:firstLine="185"/>
              <w:rPr>
                <w:rFonts w:ascii="Cambria"/>
                <w:i/>
                <w:sz w:val="18"/>
              </w:rPr>
            </w:pPr>
            <w:r>
              <w:rPr>
                <w:rFonts w:ascii="Cambria"/>
                <w:i/>
                <w:color w:val="231F20"/>
                <w:w w:val="110"/>
                <w:sz w:val="18"/>
              </w:rPr>
              <w:t>Agua </w:t>
            </w:r>
            <w:r>
              <w:rPr>
                <w:rFonts w:ascii="Cambria"/>
                <w:i/>
                <w:color w:val="231F20"/>
                <w:w w:val="105"/>
                <w:sz w:val="18"/>
              </w:rPr>
              <w:t>agregada</w:t>
            </w:r>
          </w:p>
        </w:tc>
      </w:tr>
      <w:tr>
        <w:trPr>
          <w:trHeight w:val="574" w:hRule="exact"/>
        </w:trPr>
        <w:tc>
          <w:tcPr>
            <w:tcW w:w="1616" w:type="dxa"/>
            <w:tcBorders>
              <w:left w:val="nil"/>
            </w:tcBorders>
          </w:tcPr>
          <w:p>
            <w:pPr>
              <w:pStyle w:val="TableParagraph"/>
              <w:spacing w:before="0"/>
              <w:rPr>
                <w:sz w:val="15"/>
              </w:rPr>
            </w:pPr>
          </w:p>
          <w:p>
            <w:pPr>
              <w:pStyle w:val="TableParagraph"/>
              <w:spacing w:before="0"/>
              <w:ind w:left="113"/>
              <w:rPr>
                <w:sz w:val="17"/>
              </w:rPr>
            </w:pPr>
            <w:r>
              <w:rPr>
                <w:color w:val="231F20"/>
                <w:w w:val="110"/>
                <w:sz w:val="17"/>
              </w:rPr>
              <w:t>COFOCALEC</w:t>
            </w:r>
          </w:p>
        </w:tc>
        <w:tc>
          <w:tcPr>
            <w:tcW w:w="1191" w:type="dxa"/>
          </w:tcPr>
          <w:p>
            <w:pPr>
              <w:pStyle w:val="TableParagraph"/>
              <w:ind w:left="138" w:right="138"/>
              <w:jc w:val="center"/>
              <w:rPr>
                <w:sz w:val="17"/>
              </w:rPr>
            </w:pPr>
            <w:r>
              <w:rPr>
                <w:color w:val="231F20"/>
                <w:sz w:val="17"/>
              </w:rPr>
              <w:t>Clase A</w:t>
            </w:r>
          </w:p>
          <w:p>
            <w:pPr>
              <w:pStyle w:val="TableParagraph"/>
              <w:spacing w:before="3"/>
              <w:ind w:left="138" w:right="139"/>
              <w:jc w:val="center"/>
              <w:rPr>
                <w:sz w:val="17"/>
              </w:rPr>
            </w:pPr>
            <w:r>
              <w:rPr>
                <w:rFonts w:ascii="Symbol" w:hAnsi="Symbol"/>
                <w:color w:val="231F20"/>
                <w:w w:val="110"/>
                <w:sz w:val="17"/>
              </w:rPr>
              <w:t></w:t>
            </w:r>
            <w:r>
              <w:rPr>
                <w:rFonts w:ascii="Times New Roman" w:hAnsi="Times New Roman"/>
                <w:color w:val="231F20"/>
                <w:w w:val="110"/>
                <w:sz w:val="17"/>
              </w:rPr>
              <w:t> </w:t>
            </w:r>
            <w:r>
              <w:rPr>
                <w:color w:val="231F20"/>
                <w:w w:val="110"/>
                <w:sz w:val="17"/>
              </w:rPr>
              <w:t>32</w:t>
            </w:r>
          </w:p>
        </w:tc>
        <w:tc>
          <w:tcPr>
            <w:tcW w:w="1191" w:type="dxa"/>
          </w:tcPr>
          <w:p>
            <w:pPr>
              <w:pStyle w:val="TableParagraph"/>
              <w:spacing w:before="3"/>
              <w:rPr>
                <w:sz w:val="14"/>
              </w:rPr>
            </w:pPr>
          </w:p>
          <w:p>
            <w:pPr>
              <w:pStyle w:val="TableParagraph"/>
              <w:spacing w:before="0"/>
              <w:ind w:left="421"/>
              <w:rPr>
                <w:sz w:val="17"/>
              </w:rPr>
            </w:pPr>
            <w:r>
              <w:rPr>
                <w:rFonts w:ascii="Symbol" w:hAnsi="Symbol"/>
                <w:color w:val="231F20"/>
                <w:w w:val="110"/>
                <w:sz w:val="17"/>
              </w:rPr>
              <w:t></w:t>
            </w:r>
            <w:r>
              <w:rPr>
                <w:rFonts w:ascii="Times New Roman" w:hAnsi="Times New Roman"/>
                <w:color w:val="231F20"/>
                <w:w w:val="110"/>
                <w:sz w:val="17"/>
              </w:rPr>
              <w:t> </w:t>
            </w:r>
            <w:r>
              <w:rPr>
                <w:color w:val="231F20"/>
                <w:w w:val="110"/>
                <w:sz w:val="17"/>
              </w:rPr>
              <w:t>31</w:t>
            </w:r>
          </w:p>
        </w:tc>
        <w:tc>
          <w:tcPr>
            <w:tcW w:w="1191" w:type="dxa"/>
          </w:tcPr>
          <w:p>
            <w:pPr>
              <w:pStyle w:val="TableParagraph"/>
              <w:spacing w:before="0"/>
              <w:rPr>
                <w:sz w:val="15"/>
              </w:rPr>
            </w:pPr>
          </w:p>
          <w:p>
            <w:pPr>
              <w:pStyle w:val="TableParagraph"/>
              <w:spacing w:before="0"/>
              <w:ind w:right="301"/>
              <w:jc w:val="right"/>
              <w:rPr>
                <w:sz w:val="17"/>
              </w:rPr>
            </w:pPr>
            <w:r>
              <w:rPr>
                <w:color w:val="231F20"/>
                <w:w w:val="110"/>
                <w:sz w:val="17"/>
              </w:rPr>
              <w:t>43 a 50</w:t>
            </w:r>
          </w:p>
        </w:tc>
        <w:tc>
          <w:tcPr>
            <w:tcW w:w="1191" w:type="dxa"/>
          </w:tcPr>
          <w:p>
            <w:pPr>
              <w:pStyle w:val="TableParagraph"/>
              <w:spacing w:before="0"/>
              <w:rPr>
                <w:sz w:val="15"/>
              </w:rPr>
            </w:pPr>
          </w:p>
          <w:p>
            <w:pPr>
              <w:pStyle w:val="TableParagraph"/>
              <w:spacing w:before="0"/>
              <w:ind w:left="138" w:right="138"/>
              <w:jc w:val="center"/>
              <w:rPr>
                <w:sz w:val="17"/>
              </w:rPr>
            </w:pPr>
            <w:r>
              <w:rPr>
                <w:color w:val="231F20"/>
                <w:w w:val="110"/>
                <w:sz w:val="17"/>
              </w:rPr>
              <w:t>83 min</w:t>
            </w:r>
          </w:p>
        </w:tc>
        <w:tc>
          <w:tcPr>
            <w:tcW w:w="1191" w:type="dxa"/>
          </w:tcPr>
          <w:p>
            <w:pPr>
              <w:pStyle w:val="TableParagraph"/>
              <w:spacing w:before="0"/>
              <w:rPr>
                <w:sz w:val="15"/>
              </w:rPr>
            </w:pPr>
          </w:p>
          <w:p>
            <w:pPr>
              <w:pStyle w:val="TableParagraph"/>
              <w:spacing w:before="0"/>
              <w:ind w:left="326" w:right="263"/>
              <w:rPr>
                <w:sz w:val="17"/>
              </w:rPr>
            </w:pPr>
            <w:r>
              <w:rPr>
                <w:color w:val="231F20"/>
                <w:w w:val="110"/>
                <w:sz w:val="17"/>
              </w:rPr>
              <w:t>1,0295</w:t>
            </w:r>
          </w:p>
        </w:tc>
        <w:tc>
          <w:tcPr>
            <w:tcW w:w="1191" w:type="dxa"/>
            <w:tcBorders>
              <w:right w:val="nil"/>
            </w:tcBorders>
          </w:tcPr>
          <w:p>
            <w:pPr>
              <w:pStyle w:val="TableParagraph"/>
              <w:spacing w:before="0"/>
              <w:rPr>
                <w:sz w:val="15"/>
              </w:rPr>
            </w:pPr>
          </w:p>
          <w:p>
            <w:pPr>
              <w:pStyle w:val="TableParagraph"/>
              <w:spacing w:before="0"/>
              <w:ind w:left="260"/>
              <w:rPr>
                <w:sz w:val="17"/>
              </w:rPr>
            </w:pPr>
            <w:r>
              <w:rPr>
                <w:color w:val="231F20"/>
                <w:sz w:val="17"/>
              </w:rPr>
              <w:t>No aplica</w:t>
            </w:r>
          </w:p>
        </w:tc>
      </w:tr>
      <w:tr>
        <w:trPr>
          <w:trHeight w:val="354" w:hRule="exact"/>
        </w:trPr>
        <w:tc>
          <w:tcPr>
            <w:tcW w:w="1616" w:type="dxa"/>
            <w:tcBorders>
              <w:left w:val="nil"/>
            </w:tcBorders>
          </w:tcPr>
          <w:p>
            <w:pPr>
              <w:pStyle w:val="TableParagraph"/>
              <w:ind w:left="113"/>
              <w:rPr>
                <w:sz w:val="10"/>
              </w:rPr>
            </w:pPr>
            <w:r>
              <w:rPr>
                <w:color w:val="231F20"/>
                <w:w w:val="105"/>
                <w:sz w:val="17"/>
              </w:rPr>
              <w:t>Amecameca</w:t>
            </w:r>
            <w:r>
              <w:rPr>
                <w:color w:val="231F20"/>
                <w:w w:val="105"/>
                <w:position w:val="6"/>
                <w:sz w:val="10"/>
              </w:rPr>
              <w:t>1</w:t>
            </w:r>
          </w:p>
        </w:tc>
        <w:tc>
          <w:tcPr>
            <w:tcW w:w="1191" w:type="dxa"/>
          </w:tcPr>
          <w:p>
            <w:pPr>
              <w:pStyle w:val="TableParagraph"/>
              <w:ind w:left="138" w:right="114"/>
              <w:jc w:val="center"/>
              <w:rPr>
                <w:sz w:val="17"/>
              </w:rPr>
            </w:pPr>
            <w:r>
              <w:rPr>
                <w:color w:val="231F20"/>
                <w:w w:val="110"/>
                <w:sz w:val="17"/>
              </w:rPr>
              <w:t>33,18</w:t>
            </w:r>
          </w:p>
        </w:tc>
        <w:tc>
          <w:tcPr>
            <w:tcW w:w="1191" w:type="dxa"/>
          </w:tcPr>
          <w:p>
            <w:pPr>
              <w:pStyle w:val="TableParagraph"/>
              <w:ind w:left="391"/>
              <w:rPr>
                <w:sz w:val="17"/>
              </w:rPr>
            </w:pPr>
            <w:r>
              <w:rPr>
                <w:color w:val="231F20"/>
                <w:w w:val="110"/>
                <w:sz w:val="17"/>
              </w:rPr>
              <w:t>29,65</w:t>
            </w:r>
          </w:p>
        </w:tc>
        <w:tc>
          <w:tcPr>
            <w:tcW w:w="1191" w:type="dxa"/>
          </w:tcPr>
          <w:p>
            <w:pPr>
              <w:pStyle w:val="TableParagraph"/>
              <w:ind w:right="361"/>
              <w:jc w:val="right"/>
              <w:rPr>
                <w:sz w:val="17"/>
              </w:rPr>
            </w:pPr>
            <w:r>
              <w:rPr>
                <w:color w:val="231F20"/>
                <w:w w:val="110"/>
                <w:sz w:val="17"/>
              </w:rPr>
              <w:t>44,18</w:t>
            </w:r>
          </w:p>
        </w:tc>
        <w:tc>
          <w:tcPr>
            <w:tcW w:w="1191" w:type="dxa"/>
          </w:tcPr>
          <w:p>
            <w:pPr>
              <w:pStyle w:val="TableParagraph"/>
              <w:ind w:left="138" w:right="107"/>
              <w:jc w:val="center"/>
              <w:rPr>
                <w:sz w:val="17"/>
              </w:rPr>
            </w:pPr>
            <w:r>
              <w:rPr>
                <w:color w:val="231F20"/>
                <w:w w:val="110"/>
                <w:sz w:val="17"/>
              </w:rPr>
              <w:t>80,51</w:t>
            </w:r>
          </w:p>
        </w:tc>
        <w:tc>
          <w:tcPr>
            <w:tcW w:w="1191" w:type="dxa"/>
          </w:tcPr>
          <w:p>
            <w:pPr>
              <w:pStyle w:val="TableParagraph"/>
              <w:ind w:left="278" w:right="263"/>
              <w:rPr>
                <w:sz w:val="17"/>
              </w:rPr>
            </w:pPr>
            <w:r>
              <w:rPr>
                <w:color w:val="231F20"/>
                <w:w w:val="110"/>
                <w:sz w:val="17"/>
              </w:rPr>
              <w:t>1,030</w:t>
            </w:r>
          </w:p>
        </w:tc>
        <w:tc>
          <w:tcPr>
            <w:tcW w:w="1191" w:type="dxa"/>
            <w:tcBorders>
              <w:right w:val="nil"/>
            </w:tcBorders>
          </w:tcPr>
          <w:p>
            <w:pPr>
              <w:pStyle w:val="TableParagraph"/>
              <w:ind w:left="303"/>
              <w:rPr>
                <w:sz w:val="17"/>
              </w:rPr>
            </w:pPr>
            <w:r>
              <w:rPr>
                <w:color w:val="231F20"/>
                <w:w w:val="105"/>
                <w:sz w:val="17"/>
              </w:rPr>
              <w:t>1,6 ml/l</w:t>
            </w:r>
          </w:p>
        </w:tc>
      </w:tr>
      <w:tr>
        <w:trPr>
          <w:trHeight w:val="354" w:hRule="exact"/>
        </w:trPr>
        <w:tc>
          <w:tcPr>
            <w:tcW w:w="1616" w:type="dxa"/>
            <w:tcBorders>
              <w:left w:val="nil"/>
            </w:tcBorders>
          </w:tcPr>
          <w:p>
            <w:pPr>
              <w:pStyle w:val="TableParagraph"/>
              <w:ind w:left="113"/>
              <w:rPr>
                <w:sz w:val="10"/>
              </w:rPr>
            </w:pPr>
            <w:r>
              <w:rPr>
                <w:color w:val="231F20"/>
                <w:sz w:val="17"/>
              </w:rPr>
              <w:t>Ayapango</w:t>
            </w:r>
            <w:r>
              <w:rPr>
                <w:color w:val="231F20"/>
                <w:position w:val="6"/>
                <w:sz w:val="10"/>
              </w:rPr>
              <w:t>2</w:t>
            </w:r>
          </w:p>
        </w:tc>
        <w:tc>
          <w:tcPr>
            <w:tcW w:w="1191" w:type="dxa"/>
          </w:tcPr>
          <w:p>
            <w:pPr>
              <w:pStyle w:val="TableParagraph"/>
              <w:ind w:left="80" w:right="142"/>
              <w:jc w:val="center"/>
              <w:rPr>
                <w:sz w:val="17"/>
              </w:rPr>
            </w:pPr>
            <w:r>
              <w:rPr>
                <w:color w:val="231F20"/>
                <w:w w:val="110"/>
                <w:sz w:val="17"/>
              </w:rPr>
              <w:t>43,5</w:t>
            </w:r>
          </w:p>
        </w:tc>
        <w:tc>
          <w:tcPr>
            <w:tcW w:w="1191" w:type="dxa"/>
          </w:tcPr>
          <w:p>
            <w:pPr>
              <w:pStyle w:val="TableParagraph"/>
              <w:ind w:left="391"/>
              <w:rPr>
                <w:sz w:val="17"/>
              </w:rPr>
            </w:pPr>
            <w:r>
              <w:rPr>
                <w:color w:val="231F20"/>
                <w:w w:val="110"/>
                <w:sz w:val="17"/>
              </w:rPr>
              <w:t>27,9</w:t>
            </w:r>
          </w:p>
        </w:tc>
        <w:tc>
          <w:tcPr>
            <w:tcW w:w="1191" w:type="dxa"/>
          </w:tcPr>
          <w:p>
            <w:pPr>
              <w:pStyle w:val="TableParagraph"/>
              <w:ind w:left="391" w:right="263"/>
              <w:rPr>
                <w:sz w:val="17"/>
              </w:rPr>
            </w:pPr>
            <w:r>
              <w:rPr>
                <w:color w:val="231F20"/>
                <w:w w:val="115"/>
                <w:sz w:val="17"/>
              </w:rPr>
              <w:t>39</w:t>
            </w:r>
          </w:p>
        </w:tc>
        <w:tc>
          <w:tcPr>
            <w:tcW w:w="1191" w:type="dxa"/>
          </w:tcPr>
          <w:p>
            <w:pPr>
              <w:pStyle w:val="TableParagraph"/>
              <w:ind w:left="138" w:right="110"/>
              <w:jc w:val="center"/>
              <w:rPr>
                <w:sz w:val="17"/>
              </w:rPr>
            </w:pPr>
            <w:r>
              <w:rPr>
                <w:color w:val="231F20"/>
                <w:w w:val="110"/>
                <w:sz w:val="17"/>
              </w:rPr>
              <w:t>70,04</w:t>
            </w:r>
          </w:p>
        </w:tc>
        <w:tc>
          <w:tcPr>
            <w:tcW w:w="1191" w:type="dxa"/>
          </w:tcPr>
          <w:p>
            <w:pPr>
              <w:pStyle w:val="TableParagraph"/>
              <w:ind w:left="278" w:right="263"/>
              <w:rPr>
                <w:sz w:val="17"/>
              </w:rPr>
            </w:pPr>
            <w:r>
              <w:rPr>
                <w:color w:val="231F20"/>
                <w:w w:val="110"/>
                <w:sz w:val="17"/>
              </w:rPr>
              <w:t>1,0231</w:t>
            </w:r>
          </w:p>
        </w:tc>
        <w:tc>
          <w:tcPr>
            <w:tcW w:w="1191" w:type="dxa"/>
            <w:tcBorders>
              <w:right w:val="nil"/>
            </w:tcBorders>
          </w:tcPr>
          <w:p>
            <w:pPr>
              <w:pStyle w:val="TableParagraph"/>
              <w:ind w:left="303"/>
              <w:rPr>
                <w:sz w:val="17"/>
              </w:rPr>
            </w:pPr>
            <w:r>
              <w:rPr>
                <w:color w:val="231F20"/>
                <w:w w:val="105"/>
                <w:sz w:val="17"/>
              </w:rPr>
              <w:t>3,1 ml/l</w:t>
            </w:r>
          </w:p>
        </w:tc>
      </w:tr>
      <w:tr>
        <w:trPr>
          <w:trHeight w:val="354" w:hRule="exact"/>
        </w:trPr>
        <w:tc>
          <w:tcPr>
            <w:tcW w:w="1616" w:type="dxa"/>
            <w:tcBorders>
              <w:left w:val="nil"/>
            </w:tcBorders>
          </w:tcPr>
          <w:p>
            <w:pPr>
              <w:pStyle w:val="TableParagraph"/>
              <w:ind w:left="113"/>
              <w:rPr>
                <w:sz w:val="10"/>
              </w:rPr>
            </w:pPr>
            <w:r>
              <w:rPr>
                <w:color w:val="231F20"/>
                <w:sz w:val="17"/>
              </w:rPr>
              <w:t>Ayapango</w:t>
            </w:r>
            <w:r>
              <w:rPr>
                <w:color w:val="231F20"/>
                <w:position w:val="6"/>
                <w:sz w:val="10"/>
              </w:rPr>
              <w:t>3</w:t>
            </w:r>
          </w:p>
        </w:tc>
        <w:tc>
          <w:tcPr>
            <w:tcW w:w="1191" w:type="dxa"/>
          </w:tcPr>
          <w:p>
            <w:pPr>
              <w:pStyle w:val="TableParagraph"/>
              <w:ind w:left="138" w:right="114"/>
              <w:jc w:val="center"/>
              <w:rPr>
                <w:sz w:val="17"/>
              </w:rPr>
            </w:pPr>
            <w:r>
              <w:rPr>
                <w:color w:val="231F20"/>
                <w:w w:val="110"/>
                <w:sz w:val="17"/>
              </w:rPr>
              <w:t>39,58</w:t>
            </w:r>
          </w:p>
        </w:tc>
        <w:tc>
          <w:tcPr>
            <w:tcW w:w="1191" w:type="dxa"/>
          </w:tcPr>
          <w:p>
            <w:pPr>
              <w:pStyle w:val="TableParagraph"/>
              <w:ind w:left="391"/>
              <w:rPr>
                <w:sz w:val="17"/>
              </w:rPr>
            </w:pPr>
            <w:r>
              <w:rPr>
                <w:color w:val="231F20"/>
                <w:w w:val="110"/>
                <w:sz w:val="17"/>
              </w:rPr>
              <w:t>29,45</w:t>
            </w:r>
          </w:p>
        </w:tc>
        <w:tc>
          <w:tcPr>
            <w:tcW w:w="1191" w:type="dxa"/>
          </w:tcPr>
          <w:p>
            <w:pPr>
              <w:pStyle w:val="TableParagraph"/>
              <w:ind w:right="354"/>
              <w:jc w:val="right"/>
              <w:rPr>
                <w:sz w:val="17"/>
              </w:rPr>
            </w:pPr>
            <w:r>
              <w:rPr>
                <w:color w:val="231F20"/>
                <w:w w:val="110"/>
                <w:sz w:val="17"/>
              </w:rPr>
              <w:t>43,90</w:t>
            </w:r>
          </w:p>
        </w:tc>
        <w:tc>
          <w:tcPr>
            <w:tcW w:w="1191" w:type="dxa"/>
          </w:tcPr>
          <w:p>
            <w:pPr>
              <w:pStyle w:val="TableParagraph"/>
              <w:ind w:left="138" w:right="110"/>
              <w:jc w:val="center"/>
              <w:rPr>
                <w:sz w:val="17"/>
              </w:rPr>
            </w:pPr>
            <w:r>
              <w:rPr>
                <w:color w:val="231F20"/>
                <w:w w:val="110"/>
                <w:sz w:val="17"/>
              </w:rPr>
              <w:t>79,93</w:t>
            </w:r>
          </w:p>
        </w:tc>
        <w:tc>
          <w:tcPr>
            <w:tcW w:w="1191" w:type="dxa"/>
          </w:tcPr>
          <w:p>
            <w:pPr>
              <w:pStyle w:val="TableParagraph"/>
              <w:ind w:left="278" w:right="263"/>
              <w:rPr>
                <w:sz w:val="17"/>
              </w:rPr>
            </w:pPr>
            <w:r>
              <w:rPr>
                <w:color w:val="231F20"/>
                <w:w w:val="110"/>
                <w:sz w:val="17"/>
              </w:rPr>
              <w:t>1,0290</w:t>
            </w:r>
          </w:p>
        </w:tc>
        <w:tc>
          <w:tcPr>
            <w:tcW w:w="1191" w:type="dxa"/>
            <w:tcBorders>
              <w:right w:val="nil"/>
            </w:tcBorders>
          </w:tcPr>
          <w:p>
            <w:pPr>
              <w:pStyle w:val="TableParagraph"/>
              <w:ind w:left="303"/>
              <w:rPr>
                <w:sz w:val="17"/>
              </w:rPr>
            </w:pPr>
            <w:r>
              <w:rPr>
                <w:color w:val="231F20"/>
                <w:w w:val="105"/>
                <w:sz w:val="17"/>
              </w:rPr>
              <w:t>3,6 ml/l</w:t>
            </w:r>
          </w:p>
        </w:tc>
      </w:tr>
    </w:tbl>
    <w:p>
      <w:pPr>
        <w:spacing w:before="77"/>
        <w:ind w:left="1667" w:right="2503" w:firstLine="0"/>
        <w:jc w:val="left"/>
        <w:rPr>
          <w:sz w:val="15"/>
        </w:rPr>
      </w:pPr>
      <w:r>
        <w:rPr>
          <w:color w:val="231F20"/>
          <w:w w:val="110"/>
          <w:sz w:val="15"/>
        </w:rPr>
        <w:t>Fuente: </w:t>
      </w:r>
      <w:r>
        <w:rPr>
          <w:color w:val="231F20"/>
          <w:w w:val="110"/>
          <w:position w:val="5"/>
          <w:sz w:val="8"/>
        </w:rPr>
        <w:t>1</w:t>
      </w:r>
      <w:r>
        <w:rPr>
          <w:color w:val="231F20"/>
          <w:w w:val="110"/>
          <w:sz w:val="15"/>
        </w:rPr>
        <w:t>Tapia (2010), </w:t>
      </w:r>
      <w:r>
        <w:rPr>
          <w:color w:val="231F20"/>
          <w:w w:val="110"/>
          <w:position w:val="5"/>
          <w:sz w:val="8"/>
        </w:rPr>
        <w:t>2</w:t>
      </w:r>
      <w:r>
        <w:rPr>
          <w:color w:val="231F20"/>
          <w:w w:val="110"/>
          <w:sz w:val="15"/>
        </w:rPr>
        <w:t>Romero (2010) y </w:t>
      </w:r>
      <w:r>
        <w:rPr>
          <w:color w:val="231F20"/>
          <w:w w:val="110"/>
          <w:position w:val="5"/>
          <w:sz w:val="8"/>
        </w:rPr>
        <w:t>3</w:t>
      </w:r>
      <w:r>
        <w:rPr>
          <w:color w:val="231F20"/>
          <w:w w:val="110"/>
          <w:sz w:val="15"/>
        </w:rPr>
        <w:t>Farias (2012).</w:t>
      </w:r>
    </w:p>
    <w:p>
      <w:pPr>
        <w:pStyle w:val="BodyText"/>
      </w:pPr>
    </w:p>
    <w:p>
      <w:pPr>
        <w:pStyle w:val="BodyText"/>
        <w:spacing w:before="2"/>
        <w:rPr>
          <w:sz w:val="27"/>
        </w:rPr>
      </w:pPr>
    </w:p>
    <w:p>
      <w:pPr>
        <w:spacing w:after="0"/>
        <w:rPr>
          <w:sz w:val="27"/>
        </w:rPr>
        <w:sectPr>
          <w:pgSz w:w="11900" w:h="14450"/>
          <w:pgMar w:header="0" w:footer="222" w:top="420" w:bottom="420" w:left="0" w:right="0"/>
        </w:sectPr>
      </w:pPr>
    </w:p>
    <w:p>
      <w:pPr>
        <w:pStyle w:val="BodyText"/>
        <w:spacing w:line="268" w:lineRule="auto" w:before="67"/>
        <w:ind w:left="1553"/>
        <w:jc w:val="both"/>
      </w:pPr>
      <w:r>
        <w:rPr>
          <w:color w:val="231F20"/>
        </w:rPr>
        <w:t>Se observa que, para el parámetro de grasa en leche, Amecameca y Ayapango superan lo estable- cido en la norma. Esto puede deberse a que en la dieta de la región se incluyen alfalfa, avena y maíz ensilado (ricos en hidratos de carbono estructura- les), que al ser fermentados en el rumen originan ácidos acético, propiónico y butírico, que se consi- deran precursores de ácidos grasos componentes de la grasa de la  leche.</w:t>
      </w:r>
    </w:p>
    <w:p>
      <w:pPr>
        <w:pStyle w:val="BodyText"/>
        <w:spacing w:line="268" w:lineRule="auto" w:before="113"/>
        <w:ind w:left="1553"/>
        <w:jc w:val="both"/>
      </w:pPr>
      <w:r>
        <w:rPr>
          <w:color w:val="231F20"/>
        </w:rPr>
        <w:t>El contenido de proteínas de la leche se  centra para una calidad de clase C, lo cual puede deberse a que el suministro de alimento balanceado</w:t>
      </w:r>
      <w:r>
        <w:rPr>
          <w:color w:val="231F20"/>
          <w:spacing w:val="30"/>
        </w:rPr>
        <w:t> </w:t>
      </w:r>
      <w:r>
        <w:rPr>
          <w:color w:val="231F20"/>
        </w:rPr>
        <w:t>no</w:t>
      </w:r>
      <w:r>
        <w:rPr>
          <w:color w:val="231F20"/>
          <w:spacing w:val="17"/>
        </w:rPr>
        <w:t> </w:t>
      </w:r>
      <w:r>
        <w:rPr>
          <w:color w:val="231F20"/>
        </w:rPr>
        <w:t>es</w:t>
      </w:r>
      <w:r>
        <w:rPr>
          <w:color w:val="231F20"/>
          <w:w w:val="105"/>
        </w:rPr>
        <w:t> </w:t>
      </w:r>
      <w:r>
        <w:rPr>
          <w:color w:val="231F20"/>
        </w:rPr>
        <w:t>el adecuado para el aporte requerido por el</w:t>
      </w:r>
      <w:r>
        <w:rPr>
          <w:color w:val="231F20"/>
          <w:spacing w:val="-24"/>
        </w:rPr>
        <w:t> </w:t>
      </w:r>
      <w:r>
        <w:rPr>
          <w:color w:val="231F20"/>
        </w:rPr>
        <w:t>animal, aunado al pastoreo de caminos y agostaderos, que también son bajos en proteína. Podría recomen- darse el suministro de proteínas de sobrepaso ru- minal en la dieta con la finalidad de aumentar así   la cantidad de proteínas en la leche; aunque es  una medida ya conocida por los expertos en nutri- ción animal, en la zona se desconoce su empleo debido a falta de</w:t>
      </w:r>
      <w:r>
        <w:rPr>
          <w:color w:val="231F20"/>
          <w:spacing w:val="42"/>
        </w:rPr>
        <w:t> </w:t>
      </w:r>
      <w:r>
        <w:rPr>
          <w:color w:val="231F20"/>
        </w:rPr>
        <w:t>asesoría.</w:t>
      </w:r>
    </w:p>
    <w:p>
      <w:pPr>
        <w:pStyle w:val="BodyText"/>
        <w:spacing w:line="268" w:lineRule="auto" w:before="113"/>
        <w:ind w:left="1553"/>
        <w:jc w:val="both"/>
      </w:pPr>
      <w:r>
        <w:rPr>
          <w:color w:val="231F20"/>
        </w:rPr>
        <w:t>Al verse disminuida la cantidad de proteínas en la leche resulta directamente afectada la cantidad de</w:t>
      </w:r>
      <w:r>
        <w:rPr>
          <w:color w:val="231F20"/>
          <w:w w:val="103"/>
        </w:rPr>
        <w:t> </w:t>
      </w:r>
      <w:r>
        <w:rPr>
          <w:color w:val="231F20"/>
        </w:rPr>
        <w:t>sólidos no grasos (lactosa, minerales y proteínas) en la leche, con una estrecha relación con el con- tenido de proteínas observado.</w:t>
      </w:r>
    </w:p>
    <w:p>
      <w:pPr>
        <w:pStyle w:val="BodyText"/>
        <w:spacing w:line="273" w:lineRule="auto" w:before="67"/>
        <w:ind w:left="413" w:right="1551"/>
        <w:jc w:val="both"/>
      </w:pPr>
      <w:r>
        <w:rPr/>
        <w:br w:type="column"/>
      </w:r>
      <w:r>
        <w:rPr>
          <w:color w:val="231F20"/>
        </w:rPr>
        <w:t>La densidad se encuentra dentro del intervalo de 1,029 a 1,032 establecido por la Norma Mexica-  na. No es común la utilización del lactodensímetro (pesaleche), y quienes lo utilizan no lo hacen co- rrectamente, pues no lo ajustan de acuerdo con     la temperatura y no consideran que cuanta más grasa tiene la leche más disminuye su   </w:t>
      </w:r>
      <w:r>
        <w:rPr>
          <w:color w:val="231F20"/>
          <w:spacing w:val="11"/>
        </w:rPr>
        <w:t> </w:t>
      </w:r>
      <w:r>
        <w:rPr>
          <w:color w:val="231F20"/>
        </w:rPr>
        <w:t>densidad.</w:t>
      </w:r>
    </w:p>
    <w:p>
      <w:pPr>
        <w:pStyle w:val="BodyText"/>
        <w:spacing w:line="273" w:lineRule="auto" w:before="113"/>
        <w:ind w:left="413" w:right="1551"/>
        <w:jc w:val="both"/>
      </w:pPr>
      <w:r>
        <w:rPr>
          <w:color w:val="231F20"/>
        </w:rPr>
        <w:t>La cantidad de agua agregada encontrada en la leche fue de 1,6 a 3,6 ml/l. Esta variación podría explicarse porque tras enjuagar las cubetas reco- lectoras no se secan completamente y queda un poco de agua en sus paredes, que  al  mezclarse con la leche aparece como agua agregada. El que- sero les “castiga” el precio de la leche si ésta se encuentra adulterada con agua, por lo que los pro- ductores no la añaden.</w:t>
      </w:r>
    </w:p>
    <w:p>
      <w:pPr>
        <w:pStyle w:val="BodyText"/>
      </w:pPr>
    </w:p>
    <w:p>
      <w:pPr>
        <w:pStyle w:val="BodyText"/>
        <w:spacing w:before="1"/>
        <w:rPr>
          <w:sz w:val="17"/>
        </w:rPr>
      </w:pPr>
    </w:p>
    <w:p>
      <w:pPr>
        <w:spacing w:before="0"/>
        <w:ind w:left="413" w:right="0" w:firstLine="0"/>
        <w:jc w:val="both"/>
        <w:rPr>
          <w:rFonts w:ascii="Cambria" w:hAnsi="Cambria"/>
          <w:i/>
          <w:sz w:val="20"/>
        </w:rPr>
      </w:pPr>
      <w:r>
        <w:rPr>
          <w:rFonts w:ascii="Cambria" w:hAnsi="Cambria"/>
          <w:i/>
          <w:color w:val="231F20"/>
          <w:w w:val="105"/>
          <w:sz w:val="20"/>
        </w:rPr>
        <w:t>Calidad bacteriológica</w:t>
      </w:r>
    </w:p>
    <w:p>
      <w:pPr>
        <w:pStyle w:val="BodyText"/>
        <w:spacing w:line="273" w:lineRule="auto" w:before="156"/>
        <w:ind w:left="413" w:right="1551"/>
        <w:jc w:val="both"/>
      </w:pPr>
      <w:r>
        <w:rPr>
          <w:color w:val="231F20"/>
        </w:rPr>
        <w:t>En lo que respecta a la calidad bacteriológica, los estudios realizados se hicieron recolectando tres muestras de leche por productor en diferentes ocasiones: una sin previo aviso y las dos siguientes bajo aviso de recolección. Los resultados se com- pararon con las especificaciones sanitarias según COFOCALEC   (Cuadro  2).</w:t>
      </w:r>
    </w:p>
    <w:p>
      <w:pPr>
        <w:spacing w:after="0" w:line="273"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spacing w:val="-3"/>
          <w:w w:val="120"/>
          <w:sz w:val="22"/>
        </w:rPr>
        <w:t>52</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7"/>
        <w:rPr>
          <w:sz w:val="28"/>
        </w:rPr>
      </w:pPr>
    </w:p>
    <w:p>
      <w:pPr>
        <w:spacing w:before="0"/>
        <w:ind w:left="1553" w:right="2503" w:firstLine="0"/>
        <w:jc w:val="left"/>
        <w:rPr>
          <w:sz w:val="18"/>
        </w:rPr>
      </w:pPr>
      <w:r>
        <w:rPr>
          <w:color w:val="231F20"/>
          <w:w w:val="105"/>
          <w:sz w:val="18"/>
        </w:rPr>
        <w:t>Cuadro 2.  Especificaciones sanitarias según NMX-F-700-COFOCALEC-2004.</w:t>
      </w:r>
    </w:p>
    <w:p>
      <w:pPr>
        <w:pStyle w:val="BodyText"/>
        <w:spacing w:before="1"/>
        <w:rPr>
          <w:sz w:val="12"/>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59"/>
        <w:gridCol w:w="2419"/>
        <w:gridCol w:w="2419"/>
        <w:gridCol w:w="1992"/>
      </w:tblGrid>
      <w:tr>
        <w:trPr>
          <w:trHeight w:val="778" w:hRule="exact"/>
        </w:trPr>
        <w:tc>
          <w:tcPr>
            <w:tcW w:w="4378" w:type="dxa"/>
            <w:gridSpan w:val="2"/>
            <w:tcBorders>
              <w:left w:val="nil"/>
            </w:tcBorders>
          </w:tcPr>
          <w:p>
            <w:pPr>
              <w:pStyle w:val="TableParagraph"/>
              <w:spacing w:before="3"/>
              <w:rPr>
                <w:sz w:val="23"/>
              </w:rPr>
            </w:pPr>
          </w:p>
          <w:p>
            <w:pPr>
              <w:pStyle w:val="TableParagraph"/>
              <w:spacing w:before="0"/>
              <w:ind w:left="633"/>
              <w:rPr>
                <w:rFonts w:ascii="Cambria" w:hAnsi="Cambria"/>
                <w:i/>
                <w:sz w:val="18"/>
              </w:rPr>
            </w:pPr>
            <w:r>
              <w:rPr>
                <w:rFonts w:ascii="Cambria" w:hAnsi="Cambria"/>
                <w:i/>
                <w:color w:val="231F20"/>
                <w:w w:val="105"/>
                <w:sz w:val="18"/>
              </w:rPr>
              <w:t>Bacterias  mesófilas  aerobias (UFC/ml)</w:t>
            </w:r>
          </w:p>
        </w:tc>
        <w:tc>
          <w:tcPr>
            <w:tcW w:w="2419" w:type="dxa"/>
          </w:tcPr>
          <w:p>
            <w:pPr>
              <w:pStyle w:val="TableParagraph"/>
              <w:spacing w:before="3"/>
              <w:rPr>
                <w:sz w:val="23"/>
              </w:rPr>
            </w:pPr>
          </w:p>
          <w:p>
            <w:pPr>
              <w:pStyle w:val="TableParagraph"/>
              <w:spacing w:before="0"/>
              <w:ind w:left="375"/>
              <w:rPr>
                <w:rFonts w:ascii="Cambria"/>
                <w:i/>
                <w:sz w:val="18"/>
              </w:rPr>
            </w:pPr>
            <w:r>
              <w:rPr>
                <w:rFonts w:ascii="Cambria"/>
                <w:i/>
                <w:color w:val="231F20"/>
                <w:w w:val="105"/>
                <w:sz w:val="18"/>
              </w:rPr>
              <w:t>Coliformes (UFC/ml)</w:t>
            </w:r>
          </w:p>
        </w:tc>
        <w:tc>
          <w:tcPr>
            <w:tcW w:w="1992" w:type="dxa"/>
            <w:tcBorders>
              <w:right w:val="nil"/>
            </w:tcBorders>
          </w:tcPr>
          <w:p>
            <w:pPr>
              <w:pStyle w:val="TableParagraph"/>
              <w:spacing w:line="295" w:lineRule="auto" w:before="154"/>
              <w:ind w:left="484" w:right="337" w:hanging="139"/>
              <w:rPr>
                <w:rFonts w:ascii="Cambria"/>
                <w:i/>
                <w:sz w:val="18"/>
              </w:rPr>
            </w:pPr>
            <w:r>
              <w:rPr>
                <w:rFonts w:ascii="Cambria"/>
                <w:i/>
                <w:color w:val="231F20"/>
                <w:w w:val="110"/>
                <w:sz w:val="18"/>
              </w:rPr>
              <w:t>Salmonella spp. </w:t>
            </w:r>
            <w:r>
              <w:rPr>
                <w:rFonts w:ascii="Cambria"/>
                <w:i/>
                <w:color w:val="231F20"/>
                <w:w w:val="105"/>
                <w:sz w:val="18"/>
              </w:rPr>
              <w:t>(UFC/25 ml)</w:t>
            </w:r>
          </w:p>
        </w:tc>
      </w:tr>
      <w:tr>
        <w:trPr>
          <w:trHeight w:val="354" w:hRule="exact"/>
        </w:trPr>
        <w:tc>
          <w:tcPr>
            <w:tcW w:w="1959" w:type="dxa"/>
            <w:tcBorders>
              <w:left w:val="nil"/>
            </w:tcBorders>
          </w:tcPr>
          <w:p>
            <w:pPr>
              <w:pStyle w:val="TableParagraph"/>
              <w:ind w:left="113"/>
              <w:rPr>
                <w:sz w:val="17"/>
              </w:rPr>
            </w:pPr>
            <w:r>
              <w:rPr>
                <w:color w:val="231F20"/>
                <w:w w:val="110"/>
                <w:sz w:val="17"/>
              </w:rPr>
              <w:t>Clase 1</w:t>
            </w:r>
          </w:p>
        </w:tc>
        <w:tc>
          <w:tcPr>
            <w:tcW w:w="2419" w:type="dxa"/>
          </w:tcPr>
          <w:p>
            <w:pPr>
              <w:pStyle w:val="TableParagraph"/>
              <w:spacing w:before="64"/>
              <w:ind w:left="108"/>
              <w:rPr>
                <w:sz w:val="17"/>
              </w:rPr>
            </w:pPr>
            <w:r>
              <w:rPr>
                <w:rFonts w:ascii="Symbol" w:hAnsi="Symbol"/>
                <w:color w:val="231F20"/>
                <w:w w:val="115"/>
                <w:sz w:val="17"/>
              </w:rPr>
              <w:t></w:t>
            </w:r>
            <w:r>
              <w:rPr>
                <w:color w:val="231F20"/>
                <w:w w:val="115"/>
                <w:sz w:val="17"/>
              </w:rPr>
              <w:t>100000</w:t>
            </w:r>
          </w:p>
        </w:tc>
        <w:tc>
          <w:tcPr>
            <w:tcW w:w="2419" w:type="dxa"/>
            <w:vMerge w:val="restart"/>
          </w:tcPr>
          <w:p>
            <w:pPr>
              <w:pStyle w:val="TableParagraph"/>
              <w:spacing w:before="0"/>
              <w:rPr>
                <w:sz w:val="18"/>
              </w:rPr>
            </w:pPr>
          </w:p>
          <w:p>
            <w:pPr>
              <w:pStyle w:val="TableParagraph"/>
              <w:spacing w:before="0"/>
              <w:rPr>
                <w:sz w:val="18"/>
              </w:rPr>
            </w:pPr>
          </w:p>
          <w:p>
            <w:pPr>
              <w:pStyle w:val="TableParagraph"/>
              <w:spacing w:before="156"/>
              <w:ind w:left="943" w:right="943"/>
              <w:jc w:val="center"/>
              <w:rPr>
                <w:sz w:val="17"/>
              </w:rPr>
            </w:pPr>
            <w:r>
              <w:rPr>
                <w:rFonts w:ascii="Symbol" w:hAnsi="Symbol"/>
                <w:color w:val="231F20"/>
                <w:w w:val="110"/>
                <w:sz w:val="17"/>
              </w:rPr>
              <w:t></w:t>
            </w:r>
            <w:r>
              <w:rPr>
                <w:color w:val="231F20"/>
                <w:w w:val="110"/>
                <w:sz w:val="17"/>
              </w:rPr>
              <w:t>1000</w:t>
            </w:r>
          </w:p>
        </w:tc>
        <w:tc>
          <w:tcPr>
            <w:tcW w:w="1992" w:type="dxa"/>
            <w:vMerge w:val="restart"/>
            <w:tcBorders>
              <w:right w:val="nil"/>
            </w:tcBorders>
          </w:tcPr>
          <w:p>
            <w:pPr>
              <w:pStyle w:val="TableParagraph"/>
              <w:spacing w:before="0"/>
              <w:rPr>
                <w:sz w:val="16"/>
              </w:rPr>
            </w:pPr>
          </w:p>
          <w:p>
            <w:pPr>
              <w:pStyle w:val="TableParagraph"/>
              <w:spacing w:before="0"/>
              <w:rPr>
                <w:sz w:val="16"/>
              </w:rPr>
            </w:pPr>
          </w:p>
          <w:p>
            <w:pPr>
              <w:pStyle w:val="TableParagraph"/>
              <w:spacing w:before="6"/>
              <w:rPr>
                <w:sz w:val="17"/>
              </w:rPr>
            </w:pPr>
          </w:p>
          <w:p>
            <w:pPr>
              <w:pStyle w:val="TableParagraph"/>
              <w:spacing w:before="0"/>
              <w:ind w:left="686" w:right="690"/>
              <w:jc w:val="center"/>
              <w:rPr>
                <w:sz w:val="17"/>
              </w:rPr>
            </w:pPr>
            <w:r>
              <w:rPr>
                <w:color w:val="231F20"/>
                <w:sz w:val="17"/>
              </w:rPr>
              <w:t>Ausente</w:t>
            </w:r>
          </w:p>
        </w:tc>
      </w:tr>
      <w:tr>
        <w:trPr>
          <w:trHeight w:val="354" w:hRule="exact"/>
        </w:trPr>
        <w:tc>
          <w:tcPr>
            <w:tcW w:w="1959" w:type="dxa"/>
            <w:tcBorders>
              <w:left w:val="nil"/>
            </w:tcBorders>
          </w:tcPr>
          <w:p>
            <w:pPr>
              <w:pStyle w:val="TableParagraph"/>
              <w:ind w:left="113"/>
              <w:rPr>
                <w:sz w:val="17"/>
              </w:rPr>
            </w:pPr>
            <w:r>
              <w:rPr>
                <w:color w:val="231F20"/>
                <w:w w:val="110"/>
                <w:sz w:val="17"/>
              </w:rPr>
              <w:t>Clase 2</w:t>
            </w:r>
          </w:p>
        </w:tc>
        <w:tc>
          <w:tcPr>
            <w:tcW w:w="2419" w:type="dxa"/>
          </w:tcPr>
          <w:p>
            <w:pPr>
              <w:pStyle w:val="TableParagraph"/>
              <w:ind w:left="108"/>
              <w:rPr>
                <w:sz w:val="17"/>
              </w:rPr>
            </w:pPr>
            <w:r>
              <w:rPr>
                <w:color w:val="231F20"/>
                <w:w w:val="115"/>
                <w:sz w:val="17"/>
              </w:rPr>
              <w:t>101000 a 300000</w:t>
            </w:r>
          </w:p>
        </w:tc>
        <w:tc>
          <w:tcPr>
            <w:tcW w:w="2419" w:type="dxa"/>
            <w:vMerge/>
          </w:tcPr>
          <w:p>
            <w:pPr/>
          </w:p>
        </w:tc>
        <w:tc>
          <w:tcPr>
            <w:tcW w:w="1992" w:type="dxa"/>
            <w:vMerge/>
            <w:tcBorders>
              <w:right w:val="nil"/>
            </w:tcBorders>
          </w:tcPr>
          <w:p>
            <w:pPr/>
          </w:p>
        </w:tc>
      </w:tr>
      <w:tr>
        <w:trPr>
          <w:trHeight w:val="354" w:hRule="exact"/>
        </w:trPr>
        <w:tc>
          <w:tcPr>
            <w:tcW w:w="1959" w:type="dxa"/>
            <w:tcBorders>
              <w:left w:val="nil"/>
            </w:tcBorders>
          </w:tcPr>
          <w:p>
            <w:pPr>
              <w:pStyle w:val="TableParagraph"/>
              <w:ind w:left="113"/>
              <w:rPr>
                <w:sz w:val="17"/>
              </w:rPr>
            </w:pPr>
            <w:r>
              <w:rPr>
                <w:color w:val="231F20"/>
                <w:w w:val="105"/>
                <w:sz w:val="17"/>
              </w:rPr>
              <w:t>Clase3</w:t>
            </w:r>
          </w:p>
        </w:tc>
        <w:tc>
          <w:tcPr>
            <w:tcW w:w="2419" w:type="dxa"/>
          </w:tcPr>
          <w:p>
            <w:pPr>
              <w:pStyle w:val="TableParagraph"/>
              <w:ind w:left="108"/>
              <w:rPr>
                <w:sz w:val="17"/>
              </w:rPr>
            </w:pPr>
            <w:r>
              <w:rPr>
                <w:color w:val="231F20"/>
                <w:w w:val="115"/>
                <w:sz w:val="17"/>
              </w:rPr>
              <w:t>301 000 a 599000</w:t>
            </w:r>
          </w:p>
        </w:tc>
        <w:tc>
          <w:tcPr>
            <w:tcW w:w="2419" w:type="dxa"/>
            <w:vMerge/>
          </w:tcPr>
          <w:p>
            <w:pPr/>
          </w:p>
        </w:tc>
        <w:tc>
          <w:tcPr>
            <w:tcW w:w="1992" w:type="dxa"/>
            <w:vMerge/>
            <w:tcBorders>
              <w:right w:val="nil"/>
            </w:tcBorders>
          </w:tcPr>
          <w:p>
            <w:pPr/>
          </w:p>
        </w:tc>
      </w:tr>
      <w:tr>
        <w:trPr>
          <w:trHeight w:val="354" w:hRule="exact"/>
        </w:trPr>
        <w:tc>
          <w:tcPr>
            <w:tcW w:w="1959" w:type="dxa"/>
            <w:tcBorders>
              <w:left w:val="nil"/>
            </w:tcBorders>
          </w:tcPr>
          <w:p>
            <w:pPr>
              <w:pStyle w:val="TableParagraph"/>
              <w:ind w:left="113"/>
              <w:rPr>
                <w:sz w:val="17"/>
              </w:rPr>
            </w:pPr>
            <w:r>
              <w:rPr>
                <w:color w:val="231F20"/>
                <w:w w:val="110"/>
                <w:sz w:val="17"/>
              </w:rPr>
              <w:t>Clase 4</w:t>
            </w:r>
          </w:p>
        </w:tc>
        <w:tc>
          <w:tcPr>
            <w:tcW w:w="2419" w:type="dxa"/>
          </w:tcPr>
          <w:p>
            <w:pPr>
              <w:pStyle w:val="TableParagraph"/>
              <w:ind w:left="108"/>
              <w:rPr>
                <w:sz w:val="17"/>
              </w:rPr>
            </w:pPr>
            <w:r>
              <w:rPr>
                <w:color w:val="231F20"/>
                <w:w w:val="115"/>
                <w:sz w:val="17"/>
              </w:rPr>
              <w:t>600000 a 1200000</w:t>
            </w:r>
          </w:p>
        </w:tc>
        <w:tc>
          <w:tcPr>
            <w:tcW w:w="2419" w:type="dxa"/>
            <w:vMerge/>
          </w:tcPr>
          <w:p>
            <w:pPr/>
          </w:p>
        </w:tc>
        <w:tc>
          <w:tcPr>
            <w:tcW w:w="1992" w:type="dxa"/>
            <w:vMerge/>
            <w:tcBorders>
              <w:right w:val="nil"/>
            </w:tcBorders>
          </w:tcPr>
          <w:p>
            <w:pPr/>
          </w:p>
        </w:tc>
      </w:tr>
    </w:tbl>
    <w:p>
      <w:pPr>
        <w:spacing w:before="77"/>
        <w:ind w:left="1667" w:right="2503" w:firstLine="0"/>
        <w:jc w:val="left"/>
        <w:rPr>
          <w:sz w:val="15"/>
        </w:rPr>
      </w:pPr>
      <w:r>
        <w:rPr>
          <w:color w:val="231F20"/>
          <w:sz w:val="15"/>
        </w:rPr>
        <w:t>UFC: unidades formadoras de  colonias.</w:t>
      </w:r>
    </w:p>
    <w:p>
      <w:pPr>
        <w:pStyle w:val="BodyText"/>
        <w:spacing w:before="11"/>
        <w:rPr>
          <w:sz w:val="10"/>
        </w:rPr>
      </w:pPr>
    </w:p>
    <w:p>
      <w:pPr>
        <w:spacing w:before="0"/>
        <w:ind w:left="1667" w:right="2503" w:firstLine="0"/>
        <w:jc w:val="left"/>
        <w:rPr>
          <w:sz w:val="15"/>
        </w:rPr>
      </w:pPr>
      <w:r>
        <w:rPr>
          <w:color w:val="231F20"/>
          <w:w w:val="105"/>
          <w:sz w:val="15"/>
        </w:rPr>
        <w:t>Fuente: Norma Mexicana NMX-F-700-COFOCALEC-2004.</w:t>
      </w:r>
    </w:p>
    <w:p>
      <w:pPr>
        <w:pStyle w:val="BodyText"/>
      </w:pPr>
    </w:p>
    <w:p>
      <w:pPr>
        <w:spacing w:after="0"/>
        <w:sectPr>
          <w:pgSz w:w="11900" w:h="14450"/>
          <w:pgMar w:header="0" w:footer="222" w:top="420" w:bottom="420" w:left="0" w:right="0"/>
        </w:sectPr>
      </w:pPr>
    </w:p>
    <w:p>
      <w:pPr>
        <w:pStyle w:val="BodyText"/>
        <w:spacing w:before="10"/>
        <w:rPr>
          <w:sz w:val="17"/>
        </w:rPr>
      </w:pPr>
    </w:p>
    <w:p>
      <w:pPr>
        <w:spacing w:before="0"/>
        <w:ind w:left="1553" w:right="0" w:firstLine="0"/>
        <w:jc w:val="both"/>
        <w:rPr>
          <w:i/>
          <w:sz w:val="20"/>
        </w:rPr>
      </w:pPr>
      <w:r>
        <w:rPr>
          <w:i/>
          <w:color w:val="231F20"/>
          <w:w w:val="105"/>
          <w:sz w:val="20"/>
        </w:rPr>
        <w:t>Bacterias mesófilas aerobias</w:t>
      </w:r>
    </w:p>
    <w:p>
      <w:pPr>
        <w:pStyle w:val="BodyText"/>
        <w:spacing w:line="259" w:lineRule="auto" w:before="132"/>
        <w:ind w:left="1553"/>
        <w:jc w:val="both"/>
      </w:pPr>
      <w:r>
        <w:rPr>
          <w:color w:val="231F20"/>
          <w:w w:val="105"/>
        </w:rPr>
        <w:t>Se obtuvieron los datos empleando la metodo- logía establecida por la Norma Oficial Mexicana NOM-092-SSA1-1994 de Bienes y servicios en su apartado</w:t>
      </w:r>
      <w:r>
        <w:rPr>
          <w:color w:val="231F20"/>
          <w:spacing w:val="-28"/>
          <w:w w:val="105"/>
        </w:rPr>
        <w:t> </w:t>
      </w:r>
      <w:r>
        <w:rPr>
          <w:color w:val="231F20"/>
          <w:w w:val="105"/>
        </w:rPr>
        <w:t>Método</w:t>
      </w:r>
      <w:r>
        <w:rPr>
          <w:color w:val="231F20"/>
          <w:spacing w:val="-28"/>
          <w:w w:val="105"/>
        </w:rPr>
        <w:t> </w:t>
      </w:r>
      <w:r>
        <w:rPr>
          <w:color w:val="231F20"/>
          <w:w w:val="105"/>
        </w:rPr>
        <w:t>para</w:t>
      </w:r>
      <w:r>
        <w:rPr>
          <w:color w:val="231F20"/>
          <w:spacing w:val="-28"/>
          <w:w w:val="105"/>
        </w:rPr>
        <w:t> </w:t>
      </w:r>
      <w:r>
        <w:rPr>
          <w:color w:val="231F20"/>
          <w:w w:val="105"/>
        </w:rPr>
        <w:t>la</w:t>
      </w:r>
      <w:r>
        <w:rPr>
          <w:color w:val="231F20"/>
          <w:spacing w:val="-28"/>
          <w:w w:val="105"/>
        </w:rPr>
        <w:t> </w:t>
      </w:r>
      <w:r>
        <w:rPr>
          <w:color w:val="231F20"/>
          <w:w w:val="105"/>
        </w:rPr>
        <w:t>cuenta</w:t>
      </w:r>
      <w:r>
        <w:rPr>
          <w:color w:val="231F20"/>
          <w:spacing w:val="-28"/>
          <w:w w:val="105"/>
        </w:rPr>
        <w:t> </w:t>
      </w:r>
      <w:r>
        <w:rPr>
          <w:color w:val="231F20"/>
          <w:w w:val="105"/>
        </w:rPr>
        <w:t>de</w:t>
      </w:r>
      <w:r>
        <w:rPr>
          <w:color w:val="231F20"/>
          <w:spacing w:val="-28"/>
          <w:w w:val="105"/>
        </w:rPr>
        <w:t> </w:t>
      </w:r>
      <w:r>
        <w:rPr>
          <w:color w:val="231F20"/>
          <w:w w:val="105"/>
        </w:rPr>
        <w:t>bacterias</w:t>
      </w:r>
      <w:r>
        <w:rPr>
          <w:color w:val="231F20"/>
          <w:spacing w:val="-28"/>
          <w:w w:val="105"/>
        </w:rPr>
        <w:t> </w:t>
      </w:r>
      <w:r>
        <w:rPr>
          <w:color w:val="231F20"/>
          <w:w w:val="105"/>
        </w:rPr>
        <w:t>aero- bias en placa</w:t>
      </w:r>
      <w:r>
        <w:rPr>
          <w:i/>
          <w:color w:val="231F20"/>
          <w:w w:val="105"/>
        </w:rPr>
        <w:t>. </w:t>
      </w:r>
      <w:r>
        <w:rPr>
          <w:color w:val="231F20"/>
          <w:w w:val="105"/>
        </w:rPr>
        <w:t>El conteo de unidades formadoras de colonias (UFC, por mililitro) de bacterias me- sófilas aerobias fue de </w:t>
      </w:r>
      <w:r>
        <w:rPr>
          <w:color w:val="231F20"/>
          <w:spacing w:val="6"/>
          <w:w w:val="105"/>
        </w:rPr>
        <w:t>1049400, </w:t>
      </w:r>
      <w:r>
        <w:rPr>
          <w:color w:val="231F20"/>
          <w:w w:val="105"/>
        </w:rPr>
        <w:t>lo que clasifica la leche como de clase 4 según las especificacio- nes sanitarias de la norma NMX-F-700-COFOCA- LEC-2004. Siendo que aún se encuentra dentro de lo establecido por la Norma, podría alcanzar una clasificación mejor, ya que los productores conocen y realizan ciertas prácticas de higiene de preordeño y postordeño, pero sólo las llevan a cabo con especial cuidado cuando saben que serán evaluados, mas no como rutina, debido a que</w:t>
      </w:r>
      <w:r>
        <w:rPr>
          <w:color w:val="231F20"/>
          <w:spacing w:val="-16"/>
          <w:w w:val="105"/>
        </w:rPr>
        <w:t> </w:t>
      </w:r>
      <w:r>
        <w:rPr>
          <w:color w:val="231F20"/>
          <w:w w:val="105"/>
        </w:rPr>
        <w:t>no</w:t>
      </w:r>
      <w:r>
        <w:rPr>
          <w:color w:val="231F20"/>
          <w:spacing w:val="-16"/>
          <w:w w:val="105"/>
        </w:rPr>
        <w:t> </w:t>
      </w:r>
      <w:r>
        <w:rPr>
          <w:color w:val="231F20"/>
          <w:w w:val="105"/>
        </w:rPr>
        <w:t>reciben</w:t>
      </w:r>
      <w:r>
        <w:rPr>
          <w:color w:val="231F20"/>
          <w:spacing w:val="-16"/>
          <w:w w:val="105"/>
        </w:rPr>
        <w:t> </w:t>
      </w:r>
      <w:r>
        <w:rPr>
          <w:color w:val="231F20"/>
          <w:w w:val="105"/>
        </w:rPr>
        <w:t>ningún</w:t>
      </w:r>
      <w:r>
        <w:rPr>
          <w:color w:val="231F20"/>
          <w:spacing w:val="-16"/>
          <w:w w:val="105"/>
        </w:rPr>
        <w:t> </w:t>
      </w:r>
      <w:r>
        <w:rPr>
          <w:color w:val="231F20"/>
          <w:w w:val="105"/>
        </w:rPr>
        <w:t>incentivo</w:t>
      </w:r>
      <w:r>
        <w:rPr>
          <w:color w:val="231F20"/>
          <w:spacing w:val="-16"/>
          <w:w w:val="105"/>
        </w:rPr>
        <w:t> </w:t>
      </w:r>
      <w:r>
        <w:rPr>
          <w:color w:val="231F20"/>
          <w:w w:val="105"/>
        </w:rPr>
        <w:t>económico</w:t>
      </w:r>
      <w:r>
        <w:rPr>
          <w:color w:val="231F20"/>
          <w:spacing w:val="-16"/>
          <w:w w:val="105"/>
        </w:rPr>
        <w:t> </w:t>
      </w:r>
      <w:r>
        <w:rPr>
          <w:color w:val="231F20"/>
          <w:w w:val="105"/>
        </w:rPr>
        <w:t>por</w:t>
      </w:r>
      <w:r>
        <w:rPr>
          <w:color w:val="231F20"/>
          <w:spacing w:val="-16"/>
          <w:w w:val="105"/>
        </w:rPr>
        <w:t> </w:t>
      </w:r>
      <w:r>
        <w:rPr>
          <w:color w:val="231F20"/>
          <w:w w:val="105"/>
        </w:rPr>
        <w:t>la calidad de la leche, sino que la remuneración es por</w:t>
      </w:r>
      <w:r>
        <w:rPr>
          <w:color w:val="231F20"/>
          <w:spacing w:val="-11"/>
          <w:w w:val="105"/>
        </w:rPr>
        <w:t> </w:t>
      </w:r>
      <w:r>
        <w:rPr>
          <w:color w:val="231F20"/>
          <w:w w:val="105"/>
        </w:rPr>
        <w:t>el</w:t>
      </w:r>
      <w:r>
        <w:rPr>
          <w:color w:val="231F20"/>
          <w:spacing w:val="-11"/>
          <w:w w:val="105"/>
        </w:rPr>
        <w:t> </w:t>
      </w:r>
      <w:r>
        <w:rPr>
          <w:color w:val="231F20"/>
          <w:w w:val="105"/>
        </w:rPr>
        <w:t>volumen</w:t>
      </w:r>
      <w:r>
        <w:rPr>
          <w:color w:val="231F20"/>
          <w:spacing w:val="-11"/>
          <w:w w:val="105"/>
        </w:rPr>
        <w:t> </w:t>
      </w:r>
      <w:r>
        <w:rPr>
          <w:color w:val="231F20"/>
          <w:w w:val="105"/>
        </w:rPr>
        <w:t>de</w:t>
      </w:r>
      <w:r>
        <w:rPr>
          <w:color w:val="231F20"/>
          <w:spacing w:val="-11"/>
          <w:w w:val="105"/>
        </w:rPr>
        <w:t> </w:t>
      </w:r>
      <w:r>
        <w:rPr>
          <w:color w:val="231F20"/>
          <w:w w:val="105"/>
        </w:rPr>
        <w:t>leche</w:t>
      </w:r>
      <w:r>
        <w:rPr>
          <w:color w:val="231F20"/>
          <w:spacing w:val="-11"/>
          <w:w w:val="105"/>
        </w:rPr>
        <w:t> </w:t>
      </w:r>
      <w:r>
        <w:rPr>
          <w:color w:val="231F20"/>
          <w:w w:val="105"/>
        </w:rPr>
        <w:t>producida.</w:t>
      </w:r>
    </w:p>
    <w:p>
      <w:pPr>
        <w:pStyle w:val="BodyText"/>
        <w:spacing w:before="6"/>
        <w:rPr>
          <w:sz w:val="18"/>
        </w:rPr>
      </w:pPr>
    </w:p>
    <w:p>
      <w:pPr>
        <w:spacing w:before="0"/>
        <w:ind w:left="1553" w:right="0" w:firstLine="0"/>
        <w:jc w:val="both"/>
        <w:rPr>
          <w:i/>
          <w:sz w:val="20"/>
        </w:rPr>
      </w:pPr>
      <w:r>
        <w:rPr>
          <w:i/>
          <w:color w:val="231F20"/>
          <w:sz w:val="20"/>
        </w:rPr>
        <w:t>Bacterias  coliformes totales</w:t>
      </w:r>
    </w:p>
    <w:p>
      <w:pPr>
        <w:pStyle w:val="BodyText"/>
        <w:spacing w:line="259" w:lineRule="auto" w:before="132"/>
        <w:ind w:left="1553"/>
        <w:jc w:val="both"/>
      </w:pPr>
      <w:r>
        <w:rPr>
          <w:color w:val="231F20"/>
        </w:rPr>
        <w:t>La determinación se realizó bajo los  lineamien-  tos de la Norma Oficial Mexicana NOM-113- SSA1-1994, Bienes y servicios en su </w:t>
      </w:r>
      <w:r>
        <w:rPr>
          <w:color w:val="231F20"/>
          <w:spacing w:val="2"/>
        </w:rPr>
        <w:t>apartado </w:t>
      </w:r>
      <w:r>
        <w:rPr>
          <w:color w:val="231F20"/>
        </w:rPr>
        <w:t>Método para la cuenta de microorganismos coli- formes totales en placa</w:t>
      </w:r>
      <w:r>
        <w:rPr>
          <w:i/>
          <w:color w:val="231F20"/>
        </w:rPr>
        <w:t>. </w:t>
      </w:r>
      <w:r>
        <w:rPr>
          <w:color w:val="231F20"/>
        </w:rPr>
        <w:t>Para el conteo de bacte- rias coliformes totales se encontró que  </w:t>
      </w:r>
      <w:r>
        <w:rPr>
          <w:color w:val="231F20"/>
          <w:spacing w:val="36"/>
        </w:rPr>
        <w:t> </w:t>
      </w:r>
      <w:r>
        <w:rPr>
          <w:color w:val="231F20"/>
        </w:rPr>
        <w:t>superaron</w:t>
      </w:r>
    </w:p>
    <w:p>
      <w:pPr>
        <w:pStyle w:val="BodyText"/>
        <w:spacing w:before="10"/>
        <w:rPr>
          <w:sz w:val="17"/>
        </w:rPr>
      </w:pPr>
      <w:r>
        <w:rPr/>
        <w:br w:type="column"/>
      </w:r>
      <w:r>
        <w:rPr>
          <w:sz w:val="17"/>
        </w:rPr>
      </w:r>
    </w:p>
    <w:p>
      <w:pPr>
        <w:pStyle w:val="BodyText"/>
        <w:spacing w:line="261" w:lineRule="auto"/>
        <w:ind w:left="410" w:right="1549"/>
        <w:jc w:val="both"/>
      </w:pPr>
      <w:r>
        <w:rPr>
          <w:color w:val="231F20"/>
        </w:rPr>
        <w:t>por mucho el límite establecido en la  </w:t>
      </w:r>
      <w:r>
        <w:rPr>
          <w:color w:val="231F20"/>
          <w:spacing w:val="2"/>
        </w:rPr>
        <w:t>Norma,  </w:t>
      </w:r>
      <w:r>
        <w:rPr>
          <w:color w:val="231F20"/>
        </w:rPr>
        <w:t>pues  fue  de  </w:t>
      </w:r>
      <w:r>
        <w:rPr>
          <w:color w:val="231F20"/>
          <w:spacing w:val="2"/>
        </w:rPr>
        <w:t>59150  UFC/ml  </w:t>
      </w:r>
      <w:r>
        <w:rPr>
          <w:color w:val="231F20"/>
        </w:rPr>
        <w:t>y  la  Norma    </w:t>
      </w:r>
      <w:r>
        <w:rPr>
          <w:color w:val="231F20"/>
          <w:spacing w:val="9"/>
        </w:rPr>
        <w:t> </w:t>
      </w:r>
      <w:r>
        <w:rPr>
          <w:color w:val="231F20"/>
          <w:spacing w:val="2"/>
        </w:rPr>
        <w:t>indica</w:t>
      </w:r>
    </w:p>
    <w:p>
      <w:pPr>
        <w:pStyle w:val="BodyText"/>
        <w:spacing w:line="261" w:lineRule="auto"/>
        <w:ind w:left="410" w:right="1549"/>
        <w:jc w:val="both"/>
      </w:pPr>
      <w:r>
        <w:rPr>
          <w:rFonts w:ascii="Symbol" w:hAnsi="Symbol"/>
          <w:color w:val="231F20"/>
        </w:rPr>
        <w:t></w:t>
      </w:r>
      <w:r>
        <w:rPr>
          <w:color w:val="231F20"/>
        </w:rPr>
        <w:t>1000 </w:t>
      </w:r>
      <w:r>
        <w:rPr>
          <w:color w:val="231F20"/>
          <w:spacing w:val="2"/>
        </w:rPr>
        <w:t>UFC/ml, </w:t>
      </w:r>
      <w:r>
        <w:rPr>
          <w:color w:val="231F20"/>
        </w:rPr>
        <w:t>lo que puede deberse a que </w:t>
      </w:r>
      <w:r>
        <w:rPr>
          <w:color w:val="231F20"/>
          <w:spacing w:val="2"/>
        </w:rPr>
        <w:t>los </w:t>
      </w:r>
      <w:r>
        <w:rPr>
          <w:color w:val="231F20"/>
        </w:rPr>
        <w:t>productores no realizan las prácticas  de  </w:t>
      </w:r>
      <w:r>
        <w:rPr>
          <w:color w:val="231F20"/>
          <w:spacing w:val="2"/>
        </w:rPr>
        <w:t>ordeño </w:t>
      </w:r>
      <w:r>
        <w:rPr>
          <w:color w:val="231F20"/>
        </w:rPr>
        <w:t>de una manera adecuada, ya que cuando se avi-   só de la recolección de la muestra de leche para    su análisis </w:t>
      </w:r>
      <w:r>
        <w:rPr>
          <w:color w:val="231F20"/>
          <w:spacing w:val="2"/>
        </w:rPr>
        <w:t>bacteriológico </w:t>
      </w:r>
      <w:r>
        <w:rPr>
          <w:color w:val="231F20"/>
        </w:rPr>
        <w:t>los conteos fueron in- feriores.</w:t>
      </w:r>
    </w:p>
    <w:p>
      <w:pPr>
        <w:pStyle w:val="BodyText"/>
        <w:spacing w:line="261" w:lineRule="auto" w:before="113"/>
        <w:ind w:left="410" w:right="1551"/>
        <w:jc w:val="both"/>
      </w:pPr>
      <w:r>
        <w:rPr>
          <w:color w:val="231F20"/>
          <w:w w:val="105"/>
        </w:rPr>
        <w:t>En un estudio realizado por </w:t>
      </w:r>
      <w:r>
        <w:rPr>
          <w:color w:val="231F20"/>
          <w:spacing w:val="-5"/>
          <w:w w:val="105"/>
        </w:rPr>
        <w:t>Tapia </w:t>
      </w:r>
      <w:r>
        <w:rPr>
          <w:color w:val="231F20"/>
          <w:spacing w:val="-4"/>
          <w:w w:val="105"/>
        </w:rPr>
        <w:t>(2010) </w:t>
      </w:r>
      <w:r>
        <w:rPr>
          <w:color w:val="231F20"/>
          <w:w w:val="105"/>
        </w:rPr>
        <w:t>en la región</w:t>
      </w:r>
      <w:r>
        <w:rPr>
          <w:color w:val="231F20"/>
          <w:spacing w:val="-19"/>
          <w:w w:val="105"/>
        </w:rPr>
        <w:t> </w:t>
      </w:r>
      <w:r>
        <w:rPr>
          <w:color w:val="231F20"/>
          <w:w w:val="105"/>
        </w:rPr>
        <w:t>se</w:t>
      </w:r>
      <w:r>
        <w:rPr>
          <w:color w:val="231F20"/>
          <w:spacing w:val="-19"/>
          <w:w w:val="105"/>
        </w:rPr>
        <w:t> </w:t>
      </w:r>
      <w:r>
        <w:rPr>
          <w:color w:val="231F20"/>
          <w:w w:val="105"/>
        </w:rPr>
        <w:t>otorgó</w:t>
      </w:r>
      <w:r>
        <w:rPr>
          <w:color w:val="231F20"/>
          <w:spacing w:val="-19"/>
          <w:w w:val="105"/>
        </w:rPr>
        <w:t> </w:t>
      </w:r>
      <w:r>
        <w:rPr>
          <w:color w:val="231F20"/>
          <w:w w:val="105"/>
        </w:rPr>
        <w:t>el</w:t>
      </w:r>
      <w:r>
        <w:rPr>
          <w:color w:val="231F20"/>
          <w:spacing w:val="-19"/>
          <w:w w:val="105"/>
        </w:rPr>
        <w:t> </w:t>
      </w:r>
      <w:r>
        <w:rPr>
          <w:color w:val="231F20"/>
          <w:w w:val="105"/>
        </w:rPr>
        <w:t>50%</w:t>
      </w:r>
      <w:r>
        <w:rPr>
          <w:color w:val="231F20"/>
          <w:spacing w:val="-19"/>
          <w:w w:val="105"/>
        </w:rPr>
        <w:t> </w:t>
      </w:r>
      <w:r>
        <w:rPr>
          <w:color w:val="231F20"/>
          <w:w w:val="105"/>
        </w:rPr>
        <w:t>del</w:t>
      </w:r>
      <w:r>
        <w:rPr>
          <w:color w:val="231F20"/>
          <w:spacing w:val="-19"/>
          <w:w w:val="105"/>
        </w:rPr>
        <w:t> </w:t>
      </w:r>
      <w:r>
        <w:rPr>
          <w:color w:val="231F20"/>
          <w:w w:val="105"/>
        </w:rPr>
        <w:t>valor</w:t>
      </w:r>
      <w:r>
        <w:rPr>
          <w:color w:val="231F20"/>
          <w:spacing w:val="-19"/>
          <w:w w:val="105"/>
        </w:rPr>
        <w:t> </w:t>
      </w:r>
      <w:r>
        <w:rPr>
          <w:color w:val="231F20"/>
          <w:w w:val="105"/>
        </w:rPr>
        <w:t>total</w:t>
      </w:r>
      <w:r>
        <w:rPr>
          <w:color w:val="231F20"/>
          <w:spacing w:val="-19"/>
          <w:w w:val="105"/>
        </w:rPr>
        <w:t> </w:t>
      </w:r>
      <w:r>
        <w:rPr>
          <w:color w:val="231F20"/>
          <w:w w:val="105"/>
        </w:rPr>
        <w:t>para</w:t>
      </w:r>
      <w:r>
        <w:rPr>
          <w:color w:val="231F20"/>
          <w:spacing w:val="-19"/>
          <w:w w:val="105"/>
        </w:rPr>
        <w:t> </w:t>
      </w:r>
      <w:r>
        <w:rPr>
          <w:color w:val="231F20"/>
          <w:w w:val="105"/>
        </w:rPr>
        <w:t>calidad fisicoquímica y el 50% para calidad bacteriológi- ca,</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finalidad</w:t>
      </w:r>
      <w:r>
        <w:rPr>
          <w:color w:val="231F20"/>
          <w:spacing w:val="-6"/>
          <w:w w:val="105"/>
        </w:rPr>
        <w:t> </w:t>
      </w:r>
      <w:r>
        <w:rPr>
          <w:color w:val="231F20"/>
          <w:w w:val="105"/>
        </w:rPr>
        <w:t>de</w:t>
      </w:r>
      <w:r>
        <w:rPr>
          <w:color w:val="231F20"/>
          <w:spacing w:val="-6"/>
          <w:w w:val="105"/>
        </w:rPr>
        <w:t> </w:t>
      </w:r>
      <w:r>
        <w:rPr>
          <w:color w:val="231F20"/>
          <w:w w:val="105"/>
        </w:rPr>
        <w:t>calificar</w:t>
      </w:r>
      <w:r>
        <w:rPr>
          <w:color w:val="231F20"/>
          <w:spacing w:val="-6"/>
          <w:w w:val="105"/>
        </w:rPr>
        <w:t> </w:t>
      </w:r>
      <w:r>
        <w:rPr>
          <w:color w:val="231F20"/>
          <w:w w:val="105"/>
        </w:rPr>
        <w:t>de</w:t>
      </w:r>
      <w:r>
        <w:rPr>
          <w:color w:val="231F20"/>
          <w:spacing w:val="-6"/>
          <w:w w:val="105"/>
        </w:rPr>
        <w:t> </w:t>
      </w:r>
      <w:r>
        <w:rPr>
          <w:color w:val="231F20"/>
          <w:w w:val="105"/>
        </w:rPr>
        <w:t>manera</w:t>
      </w:r>
      <w:r>
        <w:rPr>
          <w:color w:val="231F20"/>
          <w:spacing w:val="-6"/>
          <w:w w:val="105"/>
        </w:rPr>
        <w:t> </w:t>
      </w:r>
      <w:r>
        <w:rPr>
          <w:color w:val="231F20"/>
          <w:w w:val="105"/>
        </w:rPr>
        <w:t>general la calidad de la leche. Considerando para la cali- dad</w:t>
      </w:r>
      <w:r>
        <w:rPr>
          <w:color w:val="231F20"/>
          <w:spacing w:val="-12"/>
          <w:w w:val="105"/>
        </w:rPr>
        <w:t> </w:t>
      </w:r>
      <w:r>
        <w:rPr>
          <w:color w:val="231F20"/>
          <w:w w:val="105"/>
        </w:rPr>
        <w:t>fisicoquímica</w:t>
      </w:r>
      <w:r>
        <w:rPr>
          <w:color w:val="231F20"/>
          <w:spacing w:val="-12"/>
          <w:w w:val="105"/>
        </w:rPr>
        <w:t> </w:t>
      </w:r>
      <w:r>
        <w:rPr>
          <w:color w:val="231F20"/>
          <w:w w:val="105"/>
        </w:rPr>
        <w:t>el</w:t>
      </w:r>
      <w:r>
        <w:rPr>
          <w:color w:val="231F20"/>
          <w:spacing w:val="-12"/>
          <w:w w:val="105"/>
        </w:rPr>
        <w:t> </w:t>
      </w:r>
      <w:r>
        <w:rPr>
          <w:color w:val="231F20"/>
          <w:w w:val="105"/>
        </w:rPr>
        <w:t>promedio</w:t>
      </w:r>
      <w:r>
        <w:rPr>
          <w:color w:val="231F20"/>
          <w:spacing w:val="-12"/>
          <w:w w:val="105"/>
        </w:rPr>
        <w:t> </w:t>
      </w:r>
      <w:r>
        <w:rPr>
          <w:color w:val="231F20"/>
          <w:w w:val="105"/>
        </w:rPr>
        <w:t>de</w:t>
      </w:r>
      <w:r>
        <w:rPr>
          <w:color w:val="231F20"/>
          <w:spacing w:val="-12"/>
          <w:w w:val="105"/>
        </w:rPr>
        <w:t> </w:t>
      </w:r>
      <w:r>
        <w:rPr>
          <w:color w:val="231F20"/>
          <w:w w:val="105"/>
        </w:rPr>
        <w:t>seis</w:t>
      </w:r>
      <w:r>
        <w:rPr>
          <w:color w:val="231F20"/>
          <w:spacing w:val="-12"/>
          <w:w w:val="105"/>
        </w:rPr>
        <w:t> </w:t>
      </w:r>
      <w:r>
        <w:rPr>
          <w:color w:val="231F20"/>
          <w:w w:val="105"/>
        </w:rPr>
        <w:t>parámetros analizados, la puntuación otorgada a la proteína y la grasa fue de 33 a 44 puntos para la clase C, 66</w:t>
      </w:r>
      <w:r>
        <w:rPr>
          <w:color w:val="231F20"/>
          <w:spacing w:val="-7"/>
          <w:w w:val="105"/>
        </w:rPr>
        <w:t> </w:t>
      </w:r>
      <w:r>
        <w:rPr>
          <w:color w:val="231F20"/>
          <w:w w:val="105"/>
        </w:rPr>
        <w:t>puntos</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clase</w:t>
      </w:r>
      <w:r>
        <w:rPr>
          <w:color w:val="231F20"/>
          <w:spacing w:val="-7"/>
          <w:w w:val="105"/>
        </w:rPr>
        <w:t> </w:t>
      </w:r>
      <w:r>
        <w:rPr>
          <w:color w:val="231F20"/>
          <w:w w:val="105"/>
        </w:rPr>
        <w:t>B</w:t>
      </w:r>
      <w:r>
        <w:rPr>
          <w:color w:val="231F20"/>
          <w:spacing w:val="-7"/>
          <w:w w:val="105"/>
        </w:rPr>
        <w:t> </w:t>
      </w:r>
      <w:r>
        <w:rPr>
          <w:color w:val="231F20"/>
          <w:w w:val="105"/>
        </w:rPr>
        <w:t>y</w:t>
      </w:r>
      <w:r>
        <w:rPr>
          <w:color w:val="231F20"/>
          <w:spacing w:val="-7"/>
          <w:w w:val="105"/>
        </w:rPr>
        <w:t> </w:t>
      </w:r>
      <w:r>
        <w:rPr>
          <w:color w:val="231F20"/>
          <w:spacing w:val="-3"/>
          <w:w w:val="105"/>
        </w:rPr>
        <w:t>100</w:t>
      </w:r>
      <w:r>
        <w:rPr>
          <w:color w:val="231F20"/>
          <w:spacing w:val="-7"/>
          <w:w w:val="105"/>
        </w:rPr>
        <w:t> </w:t>
      </w:r>
      <w:r>
        <w:rPr>
          <w:color w:val="231F20"/>
          <w:w w:val="105"/>
        </w:rPr>
        <w:t>puntos</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cla- se A. Para los demás parámetros (lactosa,</w:t>
      </w:r>
      <w:r>
        <w:rPr>
          <w:color w:val="231F20"/>
          <w:spacing w:val="-19"/>
          <w:w w:val="105"/>
        </w:rPr>
        <w:t> </w:t>
      </w:r>
      <w:r>
        <w:rPr>
          <w:color w:val="231F20"/>
          <w:w w:val="105"/>
        </w:rPr>
        <w:t>sólidos no grasos y densidad) se consideró una puntua- ción</w:t>
      </w:r>
      <w:r>
        <w:rPr>
          <w:color w:val="231F20"/>
          <w:spacing w:val="-8"/>
          <w:w w:val="105"/>
        </w:rPr>
        <w:t> </w:t>
      </w:r>
      <w:r>
        <w:rPr>
          <w:color w:val="231F20"/>
          <w:w w:val="105"/>
        </w:rPr>
        <w:t>de</w:t>
      </w:r>
      <w:r>
        <w:rPr>
          <w:color w:val="231F20"/>
          <w:spacing w:val="-8"/>
          <w:w w:val="105"/>
        </w:rPr>
        <w:t> </w:t>
      </w:r>
      <w:r>
        <w:rPr>
          <w:color w:val="231F20"/>
          <w:spacing w:val="-3"/>
          <w:w w:val="105"/>
        </w:rPr>
        <w:t>100</w:t>
      </w:r>
      <w:r>
        <w:rPr>
          <w:color w:val="231F20"/>
          <w:spacing w:val="-8"/>
          <w:w w:val="105"/>
        </w:rPr>
        <w:t> </w:t>
      </w:r>
      <w:r>
        <w:rPr>
          <w:color w:val="231F20"/>
          <w:w w:val="105"/>
        </w:rPr>
        <w:t>si</w:t>
      </w:r>
      <w:r>
        <w:rPr>
          <w:color w:val="231F20"/>
          <w:spacing w:val="-8"/>
          <w:w w:val="105"/>
        </w:rPr>
        <w:t> </w:t>
      </w:r>
      <w:r>
        <w:rPr>
          <w:color w:val="231F20"/>
          <w:w w:val="105"/>
        </w:rPr>
        <w:t>se</w:t>
      </w:r>
      <w:r>
        <w:rPr>
          <w:color w:val="231F20"/>
          <w:spacing w:val="-8"/>
          <w:w w:val="105"/>
        </w:rPr>
        <w:t> </w:t>
      </w:r>
      <w:r>
        <w:rPr>
          <w:color w:val="231F20"/>
          <w:w w:val="105"/>
        </w:rPr>
        <w:t>cumplía</w:t>
      </w:r>
      <w:r>
        <w:rPr>
          <w:color w:val="231F20"/>
          <w:spacing w:val="-8"/>
          <w:w w:val="105"/>
        </w:rPr>
        <w:t> </w:t>
      </w:r>
      <w:r>
        <w:rPr>
          <w:color w:val="231F20"/>
          <w:w w:val="105"/>
        </w:rPr>
        <w:t>con</w:t>
      </w:r>
      <w:r>
        <w:rPr>
          <w:color w:val="231F20"/>
          <w:spacing w:val="-8"/>
          <w:w w:val="105"/>
        </w:rPr>
        <w:t> </w:t>
      </w:r>
      <w:r>
        <w:rPr>
          <w:color w:val="231F20"/>
          <w:w w:val="105"/>
        </w:rPr>
        <w:t>lo</w:t>
      </w:r>
      <w:r>
        <w:rPr>
          <w:color w:val="231F20"/>
          <w:spacing w:val="-8"/>
          <w:w w:val="105"/>
        </w:rPr>
        <w:t> </w:t>
      </w:r>
      <w:r>
        <w:rPr>
          <w:color w:val="231F20"/>
          <w:w w:val="105"/>
        </w:rPr>
        <w:t>establecido</w:t>
      </w:r>
      <w:r>
        <w:rPr>
          <w:color w:val="231F20"/>
          <w:spacing w:val="-8"/>
          <w:w w:val="105"/>
        </w:rPr>
        <w:t> </w:t>
      </w:r>
      <w:r>
        <w:rPr>
          <w:color w:val="231F20"/>
          <w:w w:val="105"/>
        </w:rPr>
        <w:t>por</w:t>
      </w:r>
      <w:r>
        <w:rPr>
          <w:color w:val="231F20"/>
          <w:spacing w:val="-8"/>
          <w:w w:val="105"/>
        </w:rPr>
        <w:t> </w:t>
      </w:r>
      <w:r>
        <w:rPr>
          <w:color w:val="231F20"/>
          <w:w w:val="105"/>
        </w:rPr>
        <w:t>la Norma;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caso</w:t>
      </w:r>
      <w:r>
        <w:rPr>
          <w:color w:val="231F20"/>
          <w:spacing w:val="-8"/>
          <w:w w:val="105"/>
        </w:rPr>
        <w:t> </w:t>
      </w:r>
      <w:r>
        <w:rPr>
          <w:color w:val="231F20"/>
          <w:w w:val="105"/>
        </w:rPr>
        <w:t>de</w:t>
      </w:r>
      <w:r>
        <w:rPr>
          <w:color w:val="231F20"/>
          <w:spacing w:val="-8"/>
          <w:w w:val="105"/>
        </w:rPr>
        <w:t> </w:t>
      </w:r>
      <w:r>
        <w:rPr>
          <w:color w:val="231F20"/>
          <w:w w:val="105"/>
        </w:rPr>
        <w:t>no</w:t>
      </w:r>
      <w:r>
        <w:rPr>
          <w:color w:val="231F20"/>
          <w:spacing w:val="-8"/>
          <w:w w:val="105"/>
        </w:rPr>
        <w:t> </w:t>
      </w:r>
      <w:r>
        <w:rPr>
          <w:color w:val="231F20"/>
          <w:w w:val="105"/>
        </w:rPr>
        <w:t>cumplirlo</w:t>
      </w:r>
      <w:r>
        <w:rPr>
          <w:color w:val="231F20"/>
          <w:spacing w:val="-8"/>
          <w:w w:val="105"/>
        </w:rPr>
        <w:t> </w:t>
      </w:r>
      <w:r>
        <w:rPr>
          <w:color w:val="231F20"/>
          <w:w w:val="105"/>
        </w:rPr>
        <w:t>se</w:t>
      </w:r>
      <w:r>
        <w:rPr>
          <w:color w:val="231F20"/>
          <w:spacing w:val="-8"/>
          <w:w w:val="105"/>
        </w:rPr>
        <w:t> </w:t>
      </w:r>
      <w:r>
        <w:rPr>
          <w:color w:val="231F20"/>
          <w:w w:val="105"/>
        </w:rPr>
        <w:t>otorgaban</w:t>
      </w:r>
      <w:r>
        <w:rPr>
          <w:color w:val="231F20"/>
          <w:spacing w:val="-8"/>
          <w:w w:val="105"/>
        </w:rPr>
        <w:t> </w:t>
      </w:r>
      <w:r>
        <w:rPr>
          <w:color w:val="231F20"/>
          <w:w w:val="105"/>
        </w:rPr>
        <w:t>0 puntos.</w:t>
      </w:r>
      <w:r>
        <w:rPr>
          <w:color w:val="231F20"/>
          <w:spacing w:val="-16"/>
          <w:w w:val="105"/>
        </w:rPr>
        <w:t> </w:t>
      </w:r>
      <w:r>
        <w:rPr>
          <w:color w:val="231F20"/>
          <w:w w:val="105"/>
        </w:rPr>
        <w:t>En</w:t>
      </w:r>
      <w:r>
        <w:rPr>
          <w:color w:val="231F20"/>
          <w:spacing w:val="-16"/>
          <w:w w:val="105"/>
        </w:rPr>
        <w:t> </w:t>
      </w:r>
      <w:r>
        <w:rPr>
          <w:color w:val="231F20"/>
          <w:w w:val="105"/>
        </w:rPr>
        <w:t>cuanto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calidad</w:t>
      </w:r>
      <w:r>
        <w:rPr>
          <w:color w:val="231F20"/>
          <w:spacing w:val="-16"/>
          <w:w w:val="105"/>
        </w:rPr>
        <w:t> </w:t>
      </w:r>
      <w:r>
        <w:rPr>
          <w:color w:val="231F20"/>
          <w:w w:val="105"/>
        </w:rPr>
        <w:t>bacteriológica,</w:t>
      </w:r>
      <w:r>
        <w:rPr>
          <w:color w:val="231F20"/>
          <w:spacing w:val="-16"/>
          <w:w w:val="105"/>
        </w:rPr>
        <w:t> </w:t>
      </w:r>
      <w:r>
        <w:rPr>
          <w:color w:val="231F20"/>
          <w:w w:val="105"/>
        </w:rPr>
        <w:t>para las bacterias mesófilas aerobias se consideraron 25</w:t>
      </w:r>
      <w:r>
        <w:rPr>
          <w:color w:val="231F20"/>
          <w:spacing w:val="24"/>
          <w:w w:val="105"/>
        </w:rPr>
        <w:t> </w:t>
      </w:r>
      <w:r>
        <w:rPr>
          <w:color w:val="231F20"/>
          <w:w w:val="105"/>
        </w:rPr>
        <w:t>puntos</w:t>
      </w:r>
      <w:r>
        <w:rPr>
          <w:color w:val="231F20"/>
          <w:spacing w:val="24"/>
          <w:w w:val="105"/>
        </w:rPr>
        <w:t> </w:t>
      </w:r>
      <w:r>
        <w:rPr>
          <w:color w:val="231F20"/>
          <w:w w:val="105"/>
        </w:rPr>
        <w:t>para</w:t>
      </w:r>
      <w:r>
        <w:rPr>
          <w:color w:val="231F20"/>
          <w:spacing w:val="24"/>
          <w:w w:val="105"/>
        </w:rPr>
        <w:t> </w:t>
      </w:r>
      <w:r>
        <w:rPr>
          <w:color w:val="231F20"/>
          <w:w w:val="105"/>
        </w:rPr>
        <w:t>cada</w:t>
      </w:r>
      <w:r>
        <w:rPr>
          <w:color w:val="231F20"/>
          <w:spacing w:val="24"/>
          <w:w w:val="105"/>
        </w:rPr>
        <w:t> </w:t>
      </w:r>
      <w:r>
        <w:rPr>
          <w:color w:val="231F20"/>
          <w:w w:val="105"/>
        </w:rPr>
        <w:t>clasificación</w:t>
      </w:r>
      <w:r>
        <w:rPr>
          <w:color w:val="231F20"/>
          <w:spacing w:val="24"/>
          <w:w w:val="105"/>
        </w:rPr>
        <w:t> </w:t>
      </w:r>
      <w:r>
        <w:rPr>
          <w:color w:val="231F20"/>
          <w:w w:val="105"/>
        </w:rPr>
        <w:t>(clase</w:t>
      </w:r>
      <w:r>
        <w:rPr>
          <w:color w:val="231F20"/>
          <w:spacing w:val="24"/>
          <w:w w:val="105"/>
        </w:rPr>
        <w:t> </w:t>
      </w:r>
      <w:r>
        <w:rPr>
          <w:color w:val="231F20"/>
          <w:w w:val="105"/>
        </w:rPr>
        <w:t>1</w:t>
      </w:r>
      <w:r>
        <w:rPr>
          <w:color w:val="231F20"/>
          <w:spacing w:val="24"/>
          <w:w w:val="105"/>
        </w:rPr>
        <w:t> </w:t>
      </w:r>
      <w:r>
        <w:rPr>
          <w:color w:val="231F20"/>
          <w:w w:val="105"/>
        </w:rPr>
        <w:t>=</w:t>
      </w:r>
      <w:r>
        <w:rPr>
          <w:color w:val="231F20"/>
          <w:spacing w:val="24"/>
          <w:w w:val="105"/>
        </w:rPr>
        <w:t> </w:t>
      </w:r>
      <w:r>
        <w:rPr>
          <w:color w:val="231F20"/>
          <w:w w:val="105"/>
        </w:rPr>
        <w:t>25,</w:t>
      </w:r>
    </w:p>
    <w:p>
      <w:pPr>
        <w:pStyle w:val="BodyText"/>
        <w:spacing w:line="261" w:lineRule="auto"/>
        <w:ind w:left="410" w:right="1551"/>
        <w:jc w:val="both"/>
      </w:pPr>
      <w:r>
        <w:rPr>
          <w:color w:val="231F20"/>
          <w:w w:val="105"/>
        </w:rPr>
        <w:t>clase 2 = 50, clase 3 = </w:t>
      </w:r>
      <w:r>
        <w:rPr>
          <w:color w:val="231F20"/>
          <w:spacing w:val="-5"/>
          <w:w w:val="105"/>
        </w:rPr>
        <w:t>75  </w:t>
      </w:r>
      <w:r>
        <w:rPr>
          <w:color w:val="231F20"/>
          <w:w w:val="105"/>
        </w:rPr>
        <w:t>y clase 4 = 100), y    para</w:t>
      </w:r>
      <w:r>
        <w:rPr>
          <w:color w:val="231F20"/>
          <w:spacing w:val="-12"/>
          <w:w w:val="105"/>
        </w:rPr>
        <w:t> </w:t>
      </w:r>
      <w:r>
        <w:rPr>
          <w:color w:val="231F20"/>
          <w:w w:val="105"/>
        </w:rPr>
        <w:t>las</w:t>
      </w:r>
      <w:r>
        <w:rPr>
          <w:color w:val="231F20"/>
          <w:spacing w:val="-12"/>
          <w:w w:val="105"/>
        </w:rPr>
        <w:t> </w:t>
      </w:r>
      <w:r>
        <w:rPr>
          <w:color w:val="231F20"/>
          <w:w w:val="105"/>
        </w:rPr>
        <w:t>bacterias</w:t>
      </w:r>
      <w:r>
        <w:rPr>
          <w:color w:val="231F20"/>
          <w:spacing w:val="-12"/>
          <w:w w:val="105"/>
        </w:rPr>
        <w:t> </w:t>
      </w:r>
      <w:r>
        <w:rPr>
          <w:color w:val="231F20"/>
          <w:w w:val="105"/>
        </w:rPr>
        <w:t>coliformes</w:t>
      </w:r>
      <w:r>
        <w:rPr>
          <w:color w:val="231F20"/>
          <w:spacing w:val="-12"/>
          <w:w w:val="105"/>
        </w:rPr>
        <w:t> </w:t>
      </w:r>
      <w:r>
        <w:rPr>
          <w:color w:val="231F20"/>
          <w:w w:val="105"/>
        </w:rPr>
        <w:t>totales</w:t>
      </w:r>
      <w:r>
        <w:rPr>
          <w:color w:val="231F20"/>
          <w:spacing w:val="-12"/>
          <w:w w:val="105"/>
        </w:rPr>
        <w:t> </w:t>
      </w:r>
      <w:r>
        <w:rPr>
          <w:color w:val="231F20"/>
          <w:spacing w:val="-3"/>
          <w:w w:val="105"/>
        </w:rPr>
        <w:t>100</w:t>
      </w:r>
      <w:r>
        <w:rPr>
          <w:color w:val="231F20"/>
          <w:spacing w:val="-12"/>
          <w:w w:val="105"/>
        </w:rPr>
        <w:t> </w:t>
      </w:r>
      <w:r>
        <w:rPr>
          <w:color w:val="231F20"/>
          <w:w w:val="105"/>
        </w:rPr>
        <w:t>puntos</w:t>
      </w:r>
      <w:r>
        <w:rPr>
          <w:color w:val="231F20"/>
          <w:spacing w:val="-12"/>
          <w:w w:val="105"/>
        </w:rPr>
        <w:t> </w:t>
      </w:r>
      <w:r>
        <w:rPr>
          <w:color w:val="231F20"/>
          <w:w w:val="105"/>
        </w:rPr>
        <w:t>si se cumplía con lo establecido y 0 puntos si no se cumplía (Cuadro</w:t>
      </w:r>
      <w:r>
        <w:rPr>
          <w:color w:val="231F20"/>
          <w:spacing w:val="14"/>
          <w:w w:val="105"/>
        </w:rPr>
        <w:t> </w:t>
      </w:r>
      <w:r>
        <w:rPr>
          <w:color w:val="231F20"/>
          <w:w w:val="105"/>
        </w:rPr>
        <w:t>3).</w:t>
      </w:r>
    </w:p>
    <w:p>
      <w:pPr>
        <w:spacing w:after="0" w:line="261"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3.   Calidad de la leche en los sistemas de producción en   </w:t>
      </w:r>
      <w:r>
        <w:rPr>
          <w:color w:val="231F20"/>
          <w:spacing w:val="6"/>
          <w:sz w:val="18"/>
        </w:rPr>
        <w:t> </w:t>
      </w:r>
      <w:r>
        <w:rPr>
          <w:color w:val="231F20"/>
          <w:sz w:val="18"/>
        </w:rPr>
        <w:t>pequeña</w:t>
      </w:r>
      <w:r>
        <w:rPr>
          <w:color w:val="231F20"/>
          <w:spacing w:val="13"/>
          <w:sz w:val="18"/>
        </w:rPr>
        <w:t> </w:t>
      </w:r>
      <w:r>
        <w:rPr>
          <w:color w:val="231F20"/>
          <w:sz w:val="18"/>
        </w:rPr>
        <w:t>escala...</w:t>
      </w:r>
      <w:r>
        <w:rPr>
          <w:color w:val="231F20"/>
          <w:sz w:val="22"/>
        </w:rPr>
        <w:tab/>
      </w:r>
      <w:r>
        <w:rPr>
          <w:color w:val="231F20"/>
          <w:spacing w:val="-5"/>
          <w:sz w:val="22"/>
        </w:rPr>
        <w:t>53</w:t>
      </w:r>
    </w:p>
    <w:p>
      <w:pPr>
        <w:spacing w:before="349"/>
        <w:ind w:left="1553" w:right="2503" w:firstLine="0"/>
        <w:jc w:val="left"/>
        <w:rPr>
          <w:sz w:val="18"/>
        </w:rPr>
      </w:pPr>
      <w:r>
        <w:rPr>
          <w:color w:val="231F20"/>
          <w:sz w:val="18"/>
        </w:rPr>
        <w:t>Cuadro 3.   Clasificación fisicoquímica y bacteriológica de la    leche.</w:t>
      </w:r>
    </w:p>
    <w:p>
      <w:pPr>
        <w:pStyle w:val="BodyText"/>
        <w:spacing w:before="4"/>
        <w:rPr>
          <w:sz w:val="12"/>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149"/>
        <w:gridCol w:w="2247"/>
        <w:gridCol w:w="2143"/>
        <w:gridCol w:w="2154"/>
      </w:tblGrid>
      <w:tr>
        <w:trPr>
          <w:trHeight w:val="369" w:hRule="exact"/>
        </w:trPr>
        <w:tc>
          <w:tcPr>
            <w:tcW w:w="4396" w:type="dxa"/>
            <w:gridSpan w:val="2"/>
            <w:tcBorders>
              <w:left w:val="nil"/>
            </w:tcBorders>
          </w:tcPr>
          <w:p>
            <w:pPr>
              <w:pStyle w:val="TableParagraph"/>
              <w:spacing w:before="79"/>
              <w:ind w:left="1337"/>
              <w:rPr>
                <w:rFonts w:ascii="Cambria" w:hAnsi="Cambria"/>
                <w:i/>
                <w:sz w:val="18"/>
              </w:rPr>
            </w:pPr>
            <w:r>
              <w:rPr>
                <w:rFonts w:ascii="Cambria" w:hAnsi="Cambria"/>
                <w:i/>
                <w:color w:val="231F20"/>
                <w:w w:val="105"/>
                <w:sz w:val="18"/>
              </w:rPr>
              <w:t>Calidad fisicoquímica</w:t>
            </w:r>
          </w:p>
        </w:tc>
        <w:tc>
          <w:tcPr>
            <w:tcW w:w="4297" w:type="dxa"/>
            <w:gridSpan w:val="2"/>
            <w:tcBorders>
              <w:right w:val="nil"/>
            </w:tcBorders>
          </w:tcPr>
          <w:p>
            <w:pPr>
              <w:pStyle w:val="TableParagraph"/>
              <w:spacing w:before="79"/>
              <w:ind w:left="1238"/>
              <w:rPr>
                <w:rFonts w:ascii="Cambria" w:hAnsi="Cambria"/>
                <w:i/>
                <w:sz w:val="18"/>
              </w:rPr>
            </w:pPr>
            <w:r>
              <w:rPr>
                <w:rFonts w:ascii="Cambria" w:hAnsi="Cambria"/>
                <w:i/>
                <w:color w:val="231F20"/>
                <w:w w:val="105"/>
                <w:sz w:val="18"/>
              </w:rPr>
              <w:t>Calidad bacteriológica</w:t>
            </w:r>
          </w:p>
        </w:tc>
      </w:tr>
      <w:tr>
        <w:trPr>
          <w:trHeight w:val="362" w:hRule="exact"/>
        </w:trPr>
        <w:tc>
          <w:tcPr>
            <w:tcW w:w="2149" w:type="dxa"/>
            <w:tcBorders>
              <w:left w:val="nil"/>
            </w:tcBorders>
          </w:tcPr>
          <w:p>
            <w:pPr>
              <w:pStyle w:val="TableParagraph"/>
              <w:spacing w:before="81"/>
              <w:ind w:left="683"/>
              <w:rPr>
                <w:sz w:val="17"/>
              </w:rPr>
            </w:pPr>
            <w:r>
              <w:rPr>
                <w:color w:val="231F20"/>
                <w:w w:val="105"/>
                <w:sz w:val="17"/>
              </w:rPr>
              <w:t>Parámetro</w:t>
            </w:r>
          </w:p>
        </w:tc>
        <w:tc>
          <w:tcPr>
            <w:tcW w:w="2247" w:type="dxa"/>
          </w:tcPr>
          <w:p>
            <w:pPr>
              <w:pStyle w:val="TableParagraph"/>
              <w:spacing w:before="81"/>
              <w:ind w:left="689"/>
              <w:rPr>
                <w:sz w:val="17"/>
              </w:rPr>
            </w:pPr>
            <w:r>
              <w:rPr>
                <w:color w:val="231F20"/>
                <w:w w:val="110"/>
                <w:sz w:val="17"/>
              </w:rPr>
              <w:t>Calificación</w:t>
            </w:r>
          </w:p>
        </w:tc>
        <w:tc>
          <w:tcPr>
            <w:tcW w:w="2143" w:type="dxa"/>
          </w:tcPr>
          <w:p>
            <w:pPr>
              <w:pStyle w:val="TableParagraph"/>
              <w:spacing w:before="81"/>
              <w:ind w:left="660" w:right="660"/>
              <w:jc w:val="center"/>
              <w:rPr>
                <w:sz w:val="17"/>
              </w:rPr>
            </w:pPr>
            <w:r>
              <w:rPr>
                <w:color w:val="231F20"/>
                <w:w w:val="105"/>
                <w:sz w:val="17"/>
              </w:rPr>
              <w:t>Parámetro</w:t>
            </w:r>
          </w:p>
        </w:tc>
        <w:tc>
          <w:tcPr>
            <w:tcW w:w="2154" w:type="dxa"/>
            <w:tcBorders>
              <w:right w:val="nil"/>
            </w:tcBorders>
          </w:tcPr>
          <w:p>
            <w:pPr>
              <w:pStyle w:val="TableParagraph"/>
              <w:spacing w:before="81"/>
              <w:ind w:left="398" w:right="402"/>
              <w:jc w:val="center"/>
              <w:rPr>
                <w:sz w:val="17"/>
              </w:rPr>
            </w:pPr>
            <w:r>
              <w:rPr>
                <w:color w:val="231F20"/>
                <w:w w:val="110"/>
                <w:sz w:val="17"/>
              </w:rPr>
              <w:t>Calificación</w:t>
            </w:r>
          </w:p>
        </w:tc>
      </w:tr>
      <w:tr>
        <w:trPr>
          <w:trHeight w:val="354" w:hRule="exact"/>
        </w:trPr>
        <w:tc>
          <w:tcPr>
            <w:tcW w:w="2149" w:type="dxa"/>
            <w:tcBorders>
              <w:left w:val="nil"/>
            </w:tcBorders>
          </w:tcPr>
          <w:p>
            <w:pPr>
              <w:pStyle w:val="TableParagraph"/>
              <w:ind w:left="113"/>
              <w:rPr>
                <w:sz w:val="17"/>
              </w:rPr>
            </w:pPr>
            <w:r>
              <w:rPr>
                <w:color w:val="231F20"/>
                <w:sz w:val="17"/>
              </w:rPr>
              <w:t>Agua</w:t>
            </w:r>
          </w:p>
        </w:tc>
        <w:tc>
          <w:tcPr>
            <w:tcW w:w="2247" w:type="dxa"/>
          </w:tcPr>
          <w:p>
            <w:pPr>
              <w:pStyle w:val="TableParagraph"/>
              <w:ind w:left="949" w:right="864"/>
              <w:jc w:val="center"/>
              <w:rPr>
                <w:sz w:val="17"/>
              </w:rPr>
            </w:pPr>
            <w:r>
              <w:rPr>
                <w:color w:val="231F20"/>
                <w:w w:val="115"/>
                <w:sz w:val="17"/>
              </w:rPr>
              <w:t>90</w:t>
            </w:r>
          </w:p>
        </w:tc>
        <w:tc>
          <w:tcPr>
            <w:tcW w:w="2143" w:type="dxa"/>
            <w:vMerge w:val="restart"/>
          </w:tcPr>
          <w:p>
            <w:pPr>
              <w:pStyle w:val="TableParagraph"/>
              <w:spacing w:before="0"/>
              <w:rPr>
                <w:sz w:val="16"/>
              </w:rPr>
            </w:pPr>
          </w:p>
          <w:p>
            <w:pPr>
              <w:pStyle w:val="TableParagraph"/>
              <w:spacing w:before="0"/>
              <w:rPr>
                <w:sz w:val="19"/>
              </w:rPr>
            </w:pPr>
          </w:p>
          <w:p>
            <w:pPr>
              <w:pStyle w:val="TableParagraph"/>
              <w:spacing w:before="0"/>
              <w:ind w:left="660" w:right="660"/>
              <w:jc w:val="center"/>
              <w:rPr>
                <w:sz w:val="17"/>
              </w:rPr>
            </w:pPr>
            <w:r>
              <w:rPr>
                <w:color w:val="231F20"/>
                <w:sz w:val="17"/>
              </w:rPr>
              <w:t>BMA</w:t>
            </w:r>
          </w:p>
        </w:tc>
        <w:tc>
          <w:tcPr>
            <w:tcW w:w="2154" w:type="dxa"/>
            <w:vMerge w:val="restart"/>
            <w:tcBorders>
              <w:right w:val="nil"/>
            </w:tcBorders>
          </w:tcPr>
          <w:p>
            <w:pPr>
              <w:pStyle w:val="TableParagraph"/>
              <w:spacing w:before="0"/>
              <w:rPr>
                <w:sz w:val="16"/>
              </w:rPr>
            </w:pPr>
          </w:p>
          <w:p>
            <w:pPr>
              <w:pStyle w:val="TableParagraph"/>
              <w:spacing w:before="0"/>
              <w:rPr>
                <w:sz w:val="19"/>
              </w:rPr>
            </w:pPr>
          </w:p>
          <w:p>
            <w:pPr>
              <w:pStyle w:val="TableParagraph"/>
              <w:spacing w:before="0"/>
              <w:ind w:left="396" w:right="402"/>
              <w:jc w:val="center"/>
              <w:rPr>
                <w:sz w:val="17"/>
              </w:rPr>
            </w:pPr>
            <w:r>
              <w:rPr>
                <w:color w:val="231F20"/>
                <w:w w:val="115"/>
                <w:sz w:val="17"/>
              </w:rPr>
              <w:t>25</w:t>
            </w:r>
          </w:p>
        </w:tc>
      </w:tr>
      <w:tr>
        <w:trPr>
          <w:trHeight w:val="354" w:hRule="exact"/>
        </w:trPr>
        <w:tc>
          <w:tcPr>
            <w:tcW w:w="2149" w:type="dxa"/>
            <w:tcBorders>
              <w:left w:val="nil"/>
            </w:tcBorders>
          </w:tcPr>
          <w:p>
            <w:pPr>
              <w:pStyle w:val="TableParagraph"/>
              <w:ind w:left="113"/>
              <w:rPr>
                <w:sz w:val="17"/>
              </w:rPr>
            </w:pPr>
            <w:r>
              <w:rPr>
                <w:color w:val="231F20"/>
                <w:sz w:val="17"/>
              </w:rPr>
              <w:t>Grasas</w:t>
            </w:r>
          </w:p>
        </w:tc>
        <w:tc>
          <w:tcPr>
            <w:tcW w:w="2247" w:type="dxa"/>
          </w:tcPr>
          <w:p>
            <w:pPr>
              <w:pStyle w:val="TableParagraph"/>
              <w:ind w:left="949" w:right="949"/>
              <w:jc w:val="center"/>
              <w:rPr>
                <w:sz w:val="17"/>
              </w:rPr>
            </w:pPr>
            <w:r>
              <w:rPr>
                <w:color w:val="231F20"/>
                <w:w w:val="115"/>
                <w:sz w:val="17"/>
              </w:rPr>
              <w:t>100</w:t>
            </w:r>
          </w:p>
        </w:tc>
        <w:tc>
          <w:tcPr>
            <w:tcW w:w="2143" w:type="dxa"/>
            <w:vMerge/>
          </w:tcPr>
          <w:p>
            <w:pPr/>
          </w:p>
        </w:tc>
        <w:tc>
          <w:tcPr>
            <w:tcW w:w="2154" w:type="dxa"/>
            <w:vMerge/>
            <w:tcBorders>
              <w:right w:val="nil"/>
            </w:tcBorders>
          </w:tcPr>
          <w:p>
            <w:pPr/>
          </w:p>
        </w:tc>
      </w:tr>
      <w:tr>
        <w:trPr>
          <w:trHeight w:val="354" w:hRule="exact"/>
        </w:trPr>
        <w:tc>
          <w:tcPr>
            <w:tcW w:w="2149" w:type="dxa"/>
            <w:tcBorders>
              <w:left w:val="nil"/>
            </w:tcBorders>
          </w:tcPr>
          <w:p>
            <w:pPr>
              <w:pStyle w:val="TableParagraph"/>
              <w:ind w:left="113"/>
              <w:rPr>
                <w:sz w:val="17"/>
              </w:rPr>
            </w:pPr>
            <w:r>
              <w:rPr>
                <w:color w:val="231F20"/>
                <w:sz w:val="17"/>
              </w:rPr>
              <w:t>Proteína</w:t>
            </w:r>
          </w:p>
        </w:tc>
        <w:tc>
          <w:tcPr>
            <w:tcW w:w="2247" w:type="dxa"/>
          </w:tcPr>
          <w:p>
            <w:pPr>
              <w:pStyle w:val="TableParagraph"/>
              <w:ind w:left="949" w:right="868"/>
              <w:jc w:val="center"/>
              <w:rPr>
                <w:sz w:val="17"/>
              </w:rPr>
            </w:pPr>
            <w:r>
              <w:rPr>
                <w:color w:val="231F20"/>
                <w:w w:val="115"/>
                <w:sz w:val="17"/>
              </w:rPr>
              <w:t>33</w:t>
            </w:r>
          </w:p>
        </w:tc>
        <w:tc>
          <w:tcPr>
            <w:tcW w:w="2143" w:type="dxa"/>
            <w:vMerge/>
          </w:tcPr>
          <w:p>
            <w:pPr/>
          </w:p>
        </w:tc>
        <w:tc>
          <w:tcPr>
            <w:tcW w:w="2154" w:type="dxa"/>
            <w:vMerge/>
            <w:tcBorders>
              <w:right w:val="nil"/>
            </w:tcBorders>
          </w:tcPr>
          <w:p>
            <w:pPr/>
          </w:p>
        </w:tc>
      </w:tr>
      <w:tr>
        <w:trPr>
          <w:trHeight w:val="354" w:hRule="exact"/>
        </w:trPr>
        <w:tc>
          <w:tcPr>
            <w:tcW w:w="2149" w:type="dxa"/>
            <w:tcBorders>
              <w:left w:val="nil"/>
            </w:tcBorders>
          </w:tcPr>
          <w:p>
            <w:pPr>
              <w:pStyle w:val="TableParagraph"/>
              <w:ind w:left="113"/>
              <w:rPr>
                <w:sz w:val="17"/>
              </w:rPr>
            </w:pPr>
            <w:r>
              <w:rPr>
                <w:color w:val="231F20"/>
                <w:w w:val="105"/>
                <w:sz w:val="17"/>
              </w:rPr>
              <w:t>Densidad</w:t>
            </w:r>
          </w:p>
        </w:tc>
        <w:tc>
          <w:tcPr>
            <w:tcW w:w="2247" w:type="dxa"/>
          </w:tcPr>
          <w:p>
            <w:pPr>
              <w:pStyle w:val="TableParagraph"/>
              <w:ind w:left="949" w:right="949"/>
              <w:jc w:val="center"/>
              <w:rPr>
                <w:sz w:val="17"/>
              </w:rPr>
            </w:pPr>
            <w:r>
              <w:rPr>
                <w:color w:val="231F20"/>
                <w:w w:val="115"/>
                <w:sz w:val="17"/>
              </w:rPr>
              <w:t>100</w:t>
            </w:r>
          </w:p>
        </w:tc>
        <w:tc>
          <w:tcPr>
            <w:tcW w:w="2143" w:type="dxa"/>
            <w:vMerge w:val="restart"/>
          </w:tcPr>
          <w:p>
            <w:pPr>
              <w:pStyle w:val="TableParagraph"/>
              <w:spacing w:before="0"/>
              <w:rPr>
                <w:sz w:val="16"/>
              </w:rPr>
            </w:pPr>
          </w:p>
          <w:p>
            <w:pPr>
              <w:pStyle w:val="TableParagraph"/>
              <w:spacing w:before="0"/>
              <w:rPr>
                <w:sz w:val="19"/>
              </w:rPr>
            </w:pPr>
          </w:p>
          <w:p>
            <w:pPr>
              <w:pStyle w:val="TableParagraph"/>
              <w:spacing w:before="0"/>
              <w:ind w:left="660" w:right="660"/>
              <w:jc w:val="center"/>
              <w:rPr>
                <w:sz w:val="17"/>
              </w:rPr>
            </w:pPr>
            <w:r>
              <w:rPr>
                <w:color w:val="231F20"/>
                <w:w w:val="110"/>
                <w:sz w:val="17"/>
              </w:rPr>
              <w:t>BCT</w:t>
            </w:r>
          </w:p>
        </w:tc>
        <w:tc>
          <w:tcPr>
            <w:tcW w:w="2154" w:type="dxa"/>
            <w:vMerge w:val="restart"/>
            <w:tcBorders>
              <w:right w:val="nil"/>
            </w:tcBorders>
          </w:tcPr>
          <w:p>
            <w:pPr>
              <w:pStyle w:val="TableParagraph"/>
              <w:spacing w:before="0"/>
              <w:rPr>
                <w:sz w:val="16"/>
              </w:rPr>
            </w:pPr>
          </w:p>
          <w:p>
            <w:pPr>
              <w:pStyle w:val="TableParagraph"/>
              <w:spacing w:before="0"/>
              <w:rPr>
                <w:sz w:val="19"/>
              </w:rPr>
            </w:pPr>
          </w:p>
          <w:p>
            <w:pPr>
              <w:pStyle w:val="TableParagraph"/>
              <w:spacing w:before="0"/>
              <w:ind w:right="4"/>
              <w:jc w:val="center"/>
              <w:rPr>
                <w:sz w:val="17"/>
              </w:rPr>
            </w:pPr>
            <w:r>
              <w:rPr>
                <w:color w:val="231F20"/>
                <w:w w:val="115"/>
                <w:sz w:val="17"/>
              </w:rPr>
              <w:t>0</w:t>
            </w:r>
          </w:p>
        </w:tc>
      </w:tr>
      <w:tr>
        <w:trPr>
          <w:trHeight w:val="354" w:hRule="exact"/>
        </w:trPr>
        <w:tc>
          <w:tcPr>
            <w:tcW w:w="2149" w:type="dxa"/>
            <w:tcBorders>
              <w:left w:val="nil"/>
            </w:tcBorders>
          </w:tcPr>
          <w:p>
            <w:pPr>
              <w:pStyle w:val="TableParagraph"/>
              <w:ind w:left="113"/>
              <w:rPr>
                <w:sz w:val="17"/>
              </w:rPr>
            </w:pPr>
            <w:r>
              <w:rPr>
                <w:color w:val="231F20"/>
                <w:sz w:val="17"/>
              </w:rPr>
              <w:t>Lactosa</w:t>
            </w:r>
          </w:p>
        </w:tc>
        <w:tc>
          <w:tcPr>
            <w:tcW w:w="2247" w:type="dxa"/>
          </w:tcPr>
          <w:p>
            <w:pPr>
              <w:pStyle w:val="TableParagraph"/>
              <w:ind w:left="949" w:right="949"/>
              <w:jc w:val="center"/>
              <w:rPr>
                <w:sz w:val="17"/>
              </w:rPr>
            </w:pPr>
            <w:r>
              <w:rPr>
                <w:color w:val="231F20"/>
                <w:w w:val="115"/>
                <w:sz w:val="17"/>
              </w:rPr>
              <w:t>100</w:t>
            </w:r>
          </w:p>
        </w:tc>
        <w:tc>
          <w:tcPr>
            <w:tcW w:w="2143" w:type="dxa"/>
            <w:vMerge/>
          </w:tcPr>
          <w:p>
            <w:pPr/>
          </w:p>
        </w:tc>
        <w:tc>
          <w:tcPr>
            <w:tcW w:w="2154" w:type="dxa"/>
            <w:vMerge/>
            <w:tcBorders>
              <w:right w:val="nil"/>
            </w:tcBorders>
          </w:tcPr>
          <w:p>
            <w:pPr/>
          </w:p>
        </w:tc>
      </w:tr>
      <w:tr>
        <w:trPr>
          <w:trHeight w:val="354" w:hRule="exact"/>
        </w:trPr>
        <w:tc>
          <w:tcPr>
            <w:tcW w:w="2149" w:type="dxa"/>
            <w:tcBorders>
              <w:left w:val="nil"/>
            </w:tcBorders>
          </w:tcPr>
          <w:p>
            <w:pPr>
              <w:pStyle w:val="TableParagraph"/>
              <w:ind w:left="113"/>
              <w:rPr>
                <w:sz w:val="17"/>
              </w:rPr>
            </w:pPr>
            <w:r>
              <w:rPr>
                <w:color w:val="231F20"/>
                <w:w w:val="110"/>
                <w:sz w:val="17"/>
              </w:rPr>
              <w:t>SNG</w:t>
            </w:r>
          </w:p>
        </w:tc>
        <w:tc>
          <w:tcPr>
            <w:tcW w:w="2247" w:type="dxa"/>
          </w:tcPr>
          <w:p>
            <w:pPr>
              <w:pStyle w:val="TableParagraph"/>
              <w:ind w:left="170"/>
              <w:jc w:val="center"/>
              <w:rPr>
                <w:sz w:val="17"/>
              </w:rPr>
            </w:pPr>
            <w:r>
              <w:rPr>
                <w:color w:val="231F20"/>
                <w:w w:val="115"/>
                <w:sz w:val="17"/>
              </w:rPr>
              <w:t>0</w:t>
            </w:r>
          </w:p>
        </w:tc>
        <w:tc>
          <w:tcPr>
            <w:tcW w:w="2143" w:type="dxa"/>
            <w:vMerge/>
          </w:tcPr>
          <w:p>
            <w:pPr/>
          </w:p>
        </w:tc>
        <w:tc>
          <w:tcPr>
            <w:tcW w:w="2154" w:type="dxa"/>
            <w:vMerge/>
            <w:tcBorders>
              <w:right w:val="nil"/>
            </w:tcBorders>
          </w:tcPr>
          <w:p>
            <w:pPr/>
          </w:p>
        </w:tc>
      </w:tr>
      <w:tr>
        <w:trPr>
          <w:trHeight w:val="354" w:hRule="exact"/>
        </w:trPr>
        <w:tc>
          <w:tcPr>
            <w:tcW w:w="2149" w:type="dxa"/>
            <w:tcBorders>
              <w:left w:val="nil"/>
            </w:tcBorders>
          </w:tcPr>
          <w:p>
            <w:pPr>
              <w:pStyle w:val="TableParagraph"/>
              <w:ind w:left="113"/>
              <w:rPr>
                <w:sz w:val="17"/>
              </w:rPr>
            </w:pPr>
            <w:r>
              <w:rPr>
                <w:color w:val="231F20"/>
                <w:sz w:val="17"/>
              </w:rPr>
              <w:t>Total</w:t>
            </w:r>
          </w:p>
        </w:tc>
        <w:tc>
          <w:tcPr>
            <w:tcW w:w="2247" w:type="dxa"/>
          </w:tcPr>
          <w:p>
            <w:pPr>
              <w:pStyle w:val="TableParagraph"/>
              <w:ind w:left="197"/>
              <w:rPr>
                <w:sz w:val="17"/>
              </w:rPr>
            </w:pPr>
            <w:r>
              <w:rPr>
                <w:color w:val="231F20"/>
                <w:w w:val="120"/>
                <w:sz w:val="17"/>
              </w:rPr>
              <w:t>(423÷6) × 50% = 35,25</w:t>
            </w:r>
          </w:p>
        </w:tc>
        <w:tc>
          <w:tcPr>
            <w:tcW w:w="2143" w:type="dxa"/>
          </w:tcPr>
          <w:p>
            <w:pPr>
              <w:pStyle w:val="TableParagraph"/>
              <w:ind w:left="660" w:right="660"/>
              <w:jc w:val="center"/>
              <w:rPr>
                <w:sz w:val="17"/>
              </w:rPr>
            </w:pPr>
            <w:r>
              <w:rPr>
                <w:color w:val="231F20"/>
                <w:sz w:val="17"/>
              </w:rPr>
              <w:t>Total</w:t>
            </w:r>
          </w:p>
        </w:tc>
        <w:tc>
          <w:tcPr>
            <w:tcW w:w="2154" w:type="dxa"/>
            <w:tcBorders>
              <w:right w:val="nil"/>
            </w:tcBorders>
          </w:tcPr>
          <w:p>
            <w:pPr>
              <w:pStyle w:val="TableParagraph"/>
              <w:ind w:left="398" w:right="402"/>
              <w:jc w:val="center"/>
              <w:rPr>
                <w:sz w:val="17"/>
              </w:rPr>
            </w:pPr>
            <w:r>
              <w:rPr>
                <w:color w:val="231F20"/>
                <w:w w:val="120"/>
                <w:sz w:val="17"/>
              </w:rPr>
              <w:t>25 × 50% = 12,5</w:t>
            </w:r>
          </w:p>
        </w:tc>
      </w:tr>
    </w:tbl>
    <w:p>
      <w:pPr>
        <w:spacing w:before="73"/>
        <w:ind w:left="1667" w:right="2503" w:firstLine="0"/>
        <w:jc w:val="left"/>
        <w:rPr>
          <w:sz w:val="17"/>
        </w:rPr>
      </w:pPr>
      <w:r>
        <w:rPr/>
        <w:pict>
          <v:group style="position:absolute;margin-left:77.442902pt;margin-top:17.162676pt;width:435.15pt;height:.5pt;mso-position-horizontal-relative:page;mso-position-vertical-relative:paragraph;z-index:2248;mso-wrap-distance-left:0;mso-wrap-distance-right:0" coordorigin="1549,343" coordsize="8703,10">
            <v:line style="position:absolute" from="1554,348" to="3703,348" stroked="true" strokeweight=".5pt" strokecolor="#231f20"/>
            <v:line style="position:absolute" from="3703,348" to="5950,348" stroked="true" strokeweight=".5pt" strokecolor="#231f20"/>
            <v:line style="position:absolute" from="5950,348" to="8093,348" stroked="true" strokeweight=".5pt" strokecolor="#231f20"/>
            <v:line style="position:absolute" from="8093,348" to="10247,348" stroked="true" strokeweight=".5pt" strokecolor="#231f20"/>
            <w10:wrap type="topAndBottom"/>
          </v:group>
        </w:pict>
      </w:r>
      <w:r>
        <w:rPr>
          <w:color w:val="231F20"/>
          <w:w w:val="110"/>
          <w:sz w:val="17"/>
        </w:rPr>
        <w:t>Calificación final 35,25 + 12,5 = 47,75 (clasificada como calidad C)</w:t>
      </w:r>
    </w:p>
    <w:p>
      <w:pPr>
        <w:spacing w:before="48"/>
        <w:ind w:left="1667" w:right="2503" w:firstLine="0"/>
        <w:jc w:val="left"/>
        <w:rPr>
          <w:sz w:val="15"/>
        </w:rPr>
      </w:pPr>
      <w:r>
        <w:rPr>
          <w:color w:val="231F20"/>
          <w:sz w:val="15"/>
        </w:rPr>
        <w:t>BMA: bacterias mesófilas aerobias; BCT: bacterias coliformes  totales.</w:t>
      </w:r>
    </w:p>
    <w:p>
      <w:pPr>
        <w:pStyle w:val="BodyText"/>
      </w:pPr>
    </w:p>
    <w:p>
      <w:pPr>
        <w:pStyle w:val="BodyText"/>
      </w:pPr>
    </w:p>
    <w:p>
      <w:pPr>
        <w:pStyle w:val="BodyText"/>
        <w:spacing w:before="9"/>
        <w:rPr>
          <w:sz w:val="15"/>
        </w:rPr>
      </w:pPr>
    </w:p>
    <w:p>
      <w:pPr>
        <w:spacing w:after="0"/>
        <w:rPr>
          <w:sz w:val="15"/>
        </w:rPr>
        <w:sectPr>
          <w:pgSz w:w="11900" w:h="14450"/>
          <w:pgMar w:header="0" w:footer="222" w:top="420" w:bottom="420" w:left="0" w:right="0"/>
        </w:sectPr>
      </w:pPr>
    </w:p>
    <w:p>
      <w:pPr>
        <w:pStyle w:val="BodyText"/>
        <w:spacing w:before="68"/>
        <w:ind w:left="1553"/>
        <w:jc w:val="both"/>
      </w:pPr>
      <w:r>
        <w:rPr>
          <w:color w:val="231F20"/>
          <w:w w:val="110"/>
        </w:rPr>
        <w:t>INFLUENCIA DE LA RAZA</w:t>
      </w:r>
    </w:p>
    <w:p>
      <w:pPr>
        <w:pStyle w:val="BodyText"/>
        <w:spacing w:before="21"/>
        <w:ind w:left="1553"/>
        <w:jc w:val="both"/>
      </w:pPr>
      <w:r>
        <w:rPr>
          <w:color w:val="231F20"/>
          <w:w w:val="110"/>
        </w:rPr>
        <w:t>EN LA CALIDAD DE LA  LECHE</w:t>
      </w:r>
    </w:p>
    <w:p>
      <w:pPr>
        <w:pStyle w:val="BodyText"/>
        <w:spacing w:line="261" w:lineRule="auto" w:before="135"/>
        <w:ind w:left="1553"/>
        <w:jc w:val="both"/>
      </w:pPr>
      <w:r>
        <w:rPr>
          <w:color w:val="231F20"/>
        </w:rPr>
        <w:t>El 90% de las vacas de producción de leche en la zona son de raza Holstein, que se caracteriza por producir un mayor volumen de leche con un bajo contenido de sólidos, pero que alcanzan los lími- tes establecidos por la normativa. En una mínima representación se encuentran la raza Jersey, la Par- do Suizo y cruzas entre éstas, que producen leche con un mayor contenido de grasa y sólidos  totales.</w:t>
      </w:r>
    </w:p>
    <w:p>
      <w:pPr>
        <w:pStyle w:val="BodyText"/>
      </w:pPr>
    </w:p>
    <w:p>
      <w:pPr>
        <w:pStyle w:val="BodyText"/>
        <w:spacing w:line="261" w:lineRule="auto" w:before="152"/>
        <w:ind w:left="1553" w:right="1047"/>
      </w:pPr>
      <w:r>
        <w:rPr>
          <w:color w:val="231F20"/>
          <w:w w:val="110"/>
        </w:rPr>
        <w:t>INFLUENCIA DE LA ALIMENTACIÓN EN LA CALIDAD DE LA  LECHE</w:t>
      </w:r>
    </w:p>
    <w:p>
      <w:pPr>
        <w:pStyle w:val="BodyText"/>
        <w:spacing w:line="261" w:lineRule="auto" w:before="113"/>
        <w:ind w:left="1553"/>
        <w:jc w:val="both"/>
      </w:pPr>
      <w:r>
        <w:rPr>
          <w:color w:val="231F20"/>
        </w:rPr>
        <w:t>La alimentación del ganado productor de leche está basada en forrajes, como la avena, el rastrojo de maíz y el maíz ensilado, y en el pastoreo en praderas nativas y cultivadas en áreas propias,</w:t>
      </w:r>
      <w:r>
        <w:rPr>
          <w:color w:val="231F20"/>
          <w:spacing w:val="-13"/>
        </w:rPr>
        <w:t> </w:t>
      </w:r>
      <w:r>
        <w:rPr>
          <w:color w:val="231F20"/>
        </w:rPr>
        <w:t>ade- más de alimento balanceado al </w:t>
      </w:r>
      <w:r>
        <w:rPr>
          <w:color w:val="231F20"/>
          <w:spacing w:val="-3"/>
        </w:rPr>
        <w:t>18% </w:t>
      </w:r>
      <w:r>
        <w:rPr>
          <w:color w:val="231F20"/>
        </w:rPr>
        <w:t>de proteína cruda. En menor proporción se ofrece bagazo de cervecería y desperdicio de panadería. No se uti- lizan ingredientes que puedan transferir su olor a  la</w:t>
      </w:r>
      <w:r>
        <w:rPr>
          <w:color w:val="231F20"/>
          <w:spacing w:val="26"/>
        </w:rPr>
        <w:t> </w:t>
      </w:r>
      <w:r>
        <w:rPr>
          <w:color w:val="231F20"/>
        </w:rPr>
        <w:t>leche,</w:t>
      </w:r>
      <w:r>
        <w:rPr>
          <w:color w:val="231F20"/>
          <w:spacing w:val="26"/>
        </w:rPr>
        <w:t> </w:t>
      </w:r>
      <w:r>
        <w:rPr>
          <w:color w:val="231F20"/>
        </w:rPr>
        <w:t>como</w:t>
      </w:r>
      <w:r>
        <w:rPr>
          <w:color w:val="231F20"/>
          <w:spacing w:val="26"/>
        </w:rPr>
        <w:t> </w:t>
      </w:r>
      <w:r>
        <w:rPr>
          <w:color w:val="231F20"/>
        </w:rPr>
        <w:t>son</w:t>
      </w:r>
      <w:r>
        <w:rPr>
          <w:color w:val="231F20"/>
          <w:spacing w:val="26"/>
        </w:rPr>
        <w:t> </w:t>
      </w:r>
      <w:r>
        <w:rPr>
          <w:color w:val="231F20"/>
        </w:rPr>
        <w:t>la</w:t>
      </w:r>
      <w:r>
        <w:rPr>
          <w:color w:val="231F20"/>
          <w:spacing w:val="26"/>
        </w:rPr>
        <w:t> </w:t>
      </w:r>
      <w:r>
        <w:rPr>
          <w:color w:val="231F20"/>
        </w:rPr>
        <w:t>harina</w:t>
      </w:r>
      <w:r>
        <w:rPr>
          <w:color w:val="231F20"/>
          <w:spacing w:val="26"/>
        </w:rPr>
        <w:t> </w:t>
      </w:r>
      <w:r>
        <w:rPr>
          <w:color w:val="231F20"/>
        </w:rPr>
        <w:t>de</w:t>
      </w:r>
      <w:r>
        <w:rPr>
          <w:color w:val="231F20"/>
          <w:spacing w:val="26"/>
        </w:rPr>
        <w:t> </w:t>
      </w:r>
      <w:r>
        <w:rPr>
          <w:color w:val="231F20"/>
        </w:rPr>
        <w:t>carne</w:t>
      </w:r>
      <w:r>
        <w:rPr>
          <w:color w:val="231F20"/>
          <w:spacing w:val="26"/>
        </w:rPr>
        <w:t> </w:t>
      </w:r>
      <w:r>
        <w:rPr>
          <w:color w:val="231F20"/>
        </w:rPr>
        <w:t>o</w:t>
      </w:r>
      <w:r>
        <w:rPr>
          <w:color w:val="231F20"/>
          <w:spacing w:val="26"/>
        </w:rPr>
        <w:t> </w:t>
      </w:r>
      <w:r>
        <w:rPr>
          <w:color w:val="231F20"/>
        </w:rPr>
        <w:t>pescado,</w:t>
      </w:r>
    </w:p>
    <w:p>
      <w:pPr>
        <w:pStyle w:val="BodyText"/>
        <w:spacing w:line="261" w:lineRule="auto" w:before="68"/>
        <w:ind w:left="413" w:right="1551"/>
        <w:jc w:val="both"/>
      </w:pPr>
      <w:r>
        <w:rPr/>
        <w:br w:type="column"/>
      </w:r>
      <w:r>
        <w:rPr>
          <w:color w:val="231F20"/>
        </w:rPr>
        <w:t>la pasta de coco o esquilmos de cebolla o ajo, por lo que la leche conserva su olor </w:t>
      </w:r>
      <w:r>
        <w:rPr>
          <w:i/>
          <w:color w:val="231F20"/>
        </w:rPr>
        <w:t>sui generis, </w:t>
      </w:r>
      <w:r>
        <w:rPr>
          <w:color w:val="231F20"/>
        </w:rPr>
        <w:t>que puede variar en el paso de la época de secas a        la de lluvia por el cambio de consumo de pastos secos a forrajes </w:t>
      </w:r>
      <w:r>
        <w:rPr>
          <w:color w:val="231F20"/>
          <w:spacing w:val="16"/>
        </w:rPr>
        <w:t> </w:t>
      </w:r>
      <w:r>
        <w:rPr>
          <w:color w:val="231F20"/>
        </w:rPr>
        <w:t>húmedos.</w:t>
      </w:r>
    </w:p>
    <w:p>
      <w:pPr>
        <w:pStyle w:val="BodyText"/>
      </w:pPr>
    </w:p>
    <w:p>
      <w:pPr>
        <w:pStyle w:val="BodyText"/>
        <w:spacing w:before="152"/>
        <w:ind w:left="413"/>
        <w:jc w:val="both"/>
      </w:pPr>
      <w:r>
        <w:rPr>
          <w:color w:val="231F20"/>
          <w:w w:val="110"/>
        </w:rPr>
        <w:t>SANIDAD DEL HATO  LECHERO</w:t>
      </w:r>
    </w:p>
    <w:p>
      <w:pPr>
        <w:pStyle w:val="BodyText"/>
        <w:spacing w:line="261" w:lineRule="auto" w:before="135"/>
        <w:ind w:left="413" w:right="1551"/>
        <w:jc w:val="both"/>
      </w:pPr>
      <w:r>
        <w:rPr>
          <w:color w:val="231F20"/>
        </w:rPr>
        <w:t>La sanidad del ganado bovino puede verse afec- tada por enfermedades como la mastitis y por el estrés ocasionado por el hacinamiento, así como por enfermedades zoonóticas de importancia para la salud pública, como la brucelosis, la leptospiro- sis, la tuberculosis y la  salmonelosis.</w:t>
      </w:r>
    </w:p>
    <w:p>
      <w:pPr>
        <w:pStyle w:val="BodyText"/>
        <w:spacing w:line="261" w:lineRule="auto" w:before="113"/>
        <w:ind w:left="413" w:right="1551"/>
        <w:jc w:val="both"/>
      </w:pPr>
      <w:r>
        <w:rPr>
          <w:color w:val="231F20"/>
          <w:spacing w:val="-5"/>
        </w:rPr>
        <w:t>Tapia </w:t>
      </w:r>
      <w:r>
        <w:rPr>
          <w:color w:val="231F20"/>
          <w:spacing w:val="-4"/>
        </w:rPr>
        <w:t>(2010) </w:t>
      </w:r>
      <w:r>
        <w:rPr>
          <w:color w:val="231F20"/>
        </w:rPr>
        <w:t>reporta que únicamente  el  50%  de las unidades de producción vacuna a sus animales de reemplazo a los 4 meses de edad frente a la brucelosis; el otro 50% participó en las campañas de vacunación contra la brucelosis y la tubercu- losis realizadas en 2006 por parte de SAGARPA. Considerando que el 33% de las unidades de producción estudiadas llevaban menos de 2 años en  la  producción  de  leche  de  manera</w:t>
      </w:r>
      <w:r>
        <w:rPr>
          <w:color w:val="231F20"/>
          <w:spacing w:val="-1"/>
        </w:rPr>
        <w:t> </w:t>
      </w:r>
      <w:r>
        <w:rPr>
          <w:color w:val="231F20"/>
        </w:rPr>
        <w:t>comercial,</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spacing w:val="-3"/>
          <w:w w:val="120"/>
          <w:sz w:val="22"/>
        </w:rPr>
        <w:t>54</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los productores no reconocen el riesgo que co- rren al no vacunar a sus animales, y señalan que confiaban en que cuando adquirieron sus vacas ya estaban vacunadas, y que en la región no se pre- sentan brotes ni casos de brucelosis, tuberculosis   y</w:t>
      </w:r>
      <w:r>
        <w:rPr>
          <w:color w:val="231F20"/>
          <w:spacing w:val="-4"/>
        </w:rPr>
        <w:t> </w:t>
      </w:r>
      <w:r>
        <w:rPr>
          <w:color w:val="231F20"/>
        </w:rPr>
        <w:t>leptospirosis.</w:t>
      </w:r>
    </w:p>
    <w:p>
      <w:pPr>
        <w:pStyle w:val="BodyText"/>
        <w:spacing w:line="256" w:lineRule="auto" w:before="113"/>
        <w:ind w:left="1553"/>
        <w:jc w:val="both"/>
      </w:pPr>
      <w:r>
        <w:rPr>
          <w:color w:val="231F20"/>
        </w:rPr>
        <w:t>Los estudios de sanidad del hato en la región oriente del Estado han permitido otorgar un va-   lor a las tres características consideradas de mayor impacto en la calidad de la leche: mastitis, 33,3%; manejo general del hato integrada por siete fac- tores (vitaminado, suplementación de minerales, desparasitación, descorne, vacunación, libre acce- so al agua y prácticas de higiene en la ordeña), 33,3%; y bienestar animal (superficie mínima re- querida por hato en establo), 33,3%. Los resulta- dos muestran que, en lo referente a la mastitis, la puntuación obtenida es del 29,3%, para el ma-  nejo general del hato es del 22,0%, y finalmente, para superficie por animal, es del 33,3%; esto da  un total del 84,6%, lo que indica que la sanidad    de los hatos de los sistemas de producción en pe- queña escala es </w:t>
      </w:r>
      <w:r>
        <w:rPr>
          <w:color w:val="231F20"/>
          <w:spacing w:val="19"/>
        </w:rPr>
        <w:t> </w:t>
      </w:r>
      <w:r>
        <w:rPr>
          <w:color w:val="231F20"/>
        </w:rPr>
        <w:t>aceptable.</w:t>
      </w:r>
    </w:p>
    <w:p>
      <w:pPr>
        <w:pStyle w:val="BodyText"/>
      </w:pPr>
    </w:p>
    <w:p>
      <w:pPr>
        <w:pStyle w:val="BodyText"/>
        <w:spacing w:before="152"/>
        <w:ind w:left="1553"/>
        <w:jc w:val="both"/>
      </w:pPr>
      <w:r>
        <w:rPr>
          <w:color w:val="231F20"/>
          <w:w w:val="115"/>
        </w:rPr>
        <w:t>CONCLUSIONES</w:t>
      </w:r>
    </w:p>
    <w:p>
      <w:pPr>
        <w:pStyle w:val="BodyText"/>
        <w:spacing w:line="256" w:lineRule="auto" w:before="130"/>
        <w:ind w:left="1553"/>
        <w:jc w:val="both"/>
      </w:pPr>
      <w:r>
        <w:rPr>
          <w:color w:val="231F20"/>
        </w:rPr>
        <w:t>En general puede concluirse que la calidad de la leche producida en los sistemas de producción en pequeña escala en la región suroriente del Estado de México se encuentra dentro de los parámetros normales de calidad establecidos por las normas oficiales vigentes. Más del 90% de la leche provie- ne de vacas de la raza Holstein, que por producir un mayor volumen contiene menos sólidos totales (aunque dentro del rango) que otras razas, como   la Jersey y la Pardo Suiza, que también se encuen- tran en la</w:t>
      </w:r>
      <w:r>
        <w:rPr>
          <w:color w:val="231F20"/>
          <w:spacing w:val="13"/>
        </w:rPr>
        <w:t> </w:t>
      </w:r>
      <w:r>
        <w:rPr>
          <w:color w:val="231F20"/>
        </w:rPr>
        <w:t>región.</w:t>
      </w:r>
    </w:p>
    <w:p>
      <w:pPr>
        <w:pStyle w:val="BodyText"/>
        <w:spacing w:line="256" w:lineRule="auto" w:before="113"/>
        <w:ind w:left="1553"/>
        <w:jc w:val="both"/>
      </w:pPr>
      <w:r>
        <w:rPr>
          <w:color w:val="231F20"/>
        </w:rPr>
        <w:t>Un indicador débil que muestran los sistemas de producción en pequeña escala es la calidad bac- teriológica de la leche, principalmente a causa de  la contaminación por un mal cuidado del ordeño y un deficiente manejo posterior del </w:t>
      </w:r>
      <w:r>
        <w:rPr>
          <w:color w:val="231F20"/>
          <w:spacing w:val="6"/>
        </w:rPr>
        <w:t> </w:t>
      </w:r>
      <w:r>
        <w:rPr>
          <w:color w:val="231F20"/>
        </w:rPr>
        <w:t>producto.</w:t>
      </w:r>
    </w:p>
    <w:p>
      <w:pPr>
        <w:pStyle w:val="BodyText"/>
        <w:spacing w:line="264" w:lineRule="auto" w:before="67"/>
        <w:ind w:left="412" w:right="1551"/>
        <w:jc w:val="both"/>
      </w:pPr>
      <w:r>
        <w:rPr/>
        <w:br w:type="column"/>
      </w:r>
      <w:r>
        <w:rPr>
          <w:color w:val="231F20"/>
        </w:rPr>
        <w:t>El principal destino de la leche producida en las unidades (90% aproximadamente) es el abas- tecimiento de las fábricas de queso de la región,  las cuales deben subsanar esta deficiencia en la calidad microbiológica mediante pasteurización, aunque no todos los queseros la realizan. Es de destacar que, en el queso Oaxaca, el fundido de la pasta alcanza una temperatura de 80 °C, que pue- de eliminar las bacterias como si la leche hubiera sido pasteurizada. Otra práctica que también es común entre los queseros es el uso de inhibidores de coliformes, como el nitrato de potasio. El res- tante </w:t>
      </w:r>
      <w:r>
        <w:rPr>
          <w:color w:val="231F20"/>
          <w:spacing w:val="-3"/>
        </w:rPr>
        <w:t>10% </w:t>
      </w:r>
      <w:r>
        <w:rPr>
          <w:color w:val="231F20"/>
        </w:rPr>
        <w:t>de la producción se destina a la venta directa al público a un precio de $8,00, otra parte  al autoconsumo y el resto a la cría de becerras de reemplazo.</w:t>
      </w:r>
    </w:p>
    <w:p>
      <w:pPr>
        <w:pStyle w:val="BodyText"/>
        <w:spacing w:line="264" w:lineRule="auto" w:before="112"/>
        <w:ind w:left="412" w:right="1551"/>
        <w:jc w:val="both"/>
      </w:pPr>
      <w:r>
        <w:rPr>
          <w:color w:val="231F20"/>
        </w:rPr>
        <w:t>La principal amenaza para los sistemas de produc- ción en pequeña escala es que los insumos au- mentan paulatinamente y el precio del producto   se mantiene durante varios años; y además de re- cibir un bajo precio, el pago puede ser a la semana o a la quincena, pero tienen asegurada la venta    de la producción. Por otro lado, resulta paradóji-  co que en una cuenca lechera la mayor parte de    la población consuma leches ultrapasteurizadas o fórmulas lácteas producidas en otras </w:t>
      </w:r>
      <w:r>
        <w:rPr>
          <w:color w:val="231F20"/>
          <w:spacing w:val="18"/>
        </w:rPr>
        <w:t> </w:t>
      </w:r>
      <w:r>
        <w:rPr>
          <w:color w:val="231F20"/>
        </w:rPr>
        <w:t>regiones.</w:t>
      </w:r>
    </w:p>
    <w:p>
      <w:pPr>
        <w:pStyle w:val="BodyText"/>
      </w:pPr>
    </w:p>
    <w:p>
      <w:pPr>
        <w:pStyle w:val="BodyText"/>
        <w:spacing w:before="151"/>
        <w:ind w:left="412"/>
        <w:jc w:val="both"/>
      </w:pPr>
      <w:r>
        <w:rPr>
          <w:color w:val="231F20"/>
          <w:w w:val="110"/>
        </w:rPr>
        <w:t>BIBLIOGRAFÍA</w:t>
      </w:r>
    </w:p>
    <w:p>
      <w:pPr>
        <w:spacing w:line="271" w:lineRule="auto" w:before="135"/>
        <w:ind w:left="696" w:right="1551" w:hanging="284"/>
        <w:jc w:val="both"/>
        <w:rPr>
          <w:sz w:val="18"/>
        </w:rPr>
      </w:pPr>
      <w:r>
        <w:rPr>
          <w:color w:val="231F20"/>
          <w:sz w:val="18"/>
        </w:rPr>
        <w:t>Cervantes E.F., Santoyo C.H., Álvarez M.A. (2011). Le- chería familiar: factores para el éxito en el negocio. 1ª ed. Plaza y Valdez, México, DF.</w:t>
      </w:r>
    </w:p>
    <w:p>
      <w:pPr>
        <w:spacing w:line="271" w:lineRule="auto" w:before="55"/>
        <w:ind w:left="696" w:right="1551" w:hanging="284"/>
        <w:jc w:val="both"/>
        <w:rPr>
          <w:sz w:val="18"/>
        </w:rPr>
      </w:pPr>
      <w:r>
        <w:rPr>
          <w:color w:val="231F20"/>
          <w:sz w:val="18"/>
        </w:rPr>
        <w:t>Espinosa-Ayala E., Arriaga-Jordán C.M., Castelán-Ortega O., Alonso P.F., Espinoza-Ortega A. (2002). Análisis económico de la lechería campesina de la zona no- roeste del Estado de México frente al TLCAN. En: Cavallotti V.B.A., Palacio M.V.H., editores. Situación y perspectivas de la ganadería en México. Universidad Autónoma de Chapingo,  México.</w:t>
      </w:r>
    </w:p>
    <w:p>
      <w:pPr>
        <w:spacing w:line="271" w:lineRule="auto" w:before="56"/>
        <w:ind w:left="696" w:right="1551" w:hanging="284"/>
        <w:jc w:val="both"/>
        <w:rPr>
          <w:sz w:val="18"/>
        </w:rPr>
      </w:pPr>
      <w:r>
        <w:rPr>
          <w:color w:val="231F20"/>
          <w:sz w:val="18"/>
        </w:rPr>
        <w:t>Farias B.A., Márquez M.O., Domínguez L.A., Bernal M.L. (2012). Efecto de las microondas sobre parámetros bioquímicos, fisicoquímicos y microbiológicos en   le-</w:t>
      </w:r>
    </w:p>
    <w:p>
      <w:pPr>
        <w:spacing w:after="0" w:line="271"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3.   Calidad de la leche en los sistemas de producción en   </w:t>
      </w:r>
      <w:r>
        <w:rPr>
          <w:color w:val="231F20"/>
          <w:spacing w:val="6"/>
          <w:sz w:val="18"/>
        </w:rPr>
        <w:t> </w:t>
      </w:r>
      <w:r>
        <w:rPr>
          <w:color w:val="231F20"/>
          <w:sz w:val="18"/>
        </w:rPr>
        <w:t>pequeña</w:t>
      </w:r>
      <w:r>
        <w:rPr>
          <w:color w:val="231F20"/>
          <w:spacing w:val="13"/>
          <w:sz w:val="18"/>
        </w:rPr>
        <w:t> </w:t>
      </w:r>
      <w:r>
        <w:rPr>
          <w:color w:val="231F20"/>
          <w:sz w:val="18"/>
        </w:rPr>
        <w:t>escala...</w:t>
      </w:r>
      <w:r>
        <w:rPr>
          <w:color w:val="231F20"/>
          <w:sz w:val="22"/>
        </w:rPr>
        <w:tab/>
      </w:r>
      <w:r>
        <w:rPr>
          <w:color w:val="231F20"/>
          <w:spacing w:val="-5"/>
          <w:sz w:val="22"/>
        </w:rPr>
        <w:t>55</w:t>
      </w:r>
    </w:p>
    <w:p>
      <w:pPr>
        <w:spacing w:after="0"/>
        <w:jc w:val="left"/>
        <w:rPr>
          <w:sz w:val="22"/>
        </w:rPr>
        <w:sectPr>
          <w:footerReference w:type="default" r:id="rId73"/>
          <w:pgSz w:w="11900" w:h="14450"/>
          <w:pgMar w:footer="222" w:header="0" w:top="420" w:bottom="420" w:left="0" w:right="0"/>
        </w:sectPr>
      </w:pPr>
    </w:p>
    <w:p>
      <w:pPr>
        <w:pStyle w:val="BodyText"/>
        <w:rPr>
          <w:sz w:val="18"/>
        </w:rPr>
      </w:pPr>
    </w:p>
    <w:p>
      <w:pPr>
        <w:spacing w:line="276" w:lineRule="auto" w:before="129"/>
        <w:ind w:left="1837" w:right="0" w:firstLine="0"/>
        <w:jc w:val="left"/>
        <w:rPr>
          <w:sz w:val="18"/>
        </w:rPr>
      </w:pPr>
      <w:r>
        <w:rPr>
          <w:color w:val="231F20"/>
          <w:sz w:val="18"/>
        </w:rPr>
        <w:t>che. Tesis de Maestría, Universidad Autónoma del Estado de México, México.</w:t>
      </w:r>
    </w:p>
    <w:p>
      <w:pPr>
        <w:spacing w:line="276" w:lineRule="auto" w:before="56"/>
        <w:ind w:left="1837" w:right="0" w:hanging="284"/>
        <w:jc w:val="both"/>
        <w:rPr>
          <w:sz w:val="18"/>
        </w:rPr>
      </w:pPr>
      <w:r>
        <w:rPr>
          <w:color w:val="231F20"/>
          <w:sz w:val="18"/>
        </w:rPr>
        <w:t>FIRA (2001). Tendencias y oportunidades  del  desarro- llo de la lechería en México. Boletín informativo No. 317,  Vol. XXIII. FIRA Banco de México,  México.</w:t>
      </w:r>
    </w:p>
    <w:p>
      <w:pPr>
        <w:spacing w:line="276" w:lineRule="auto" w:before="56"/>
        <w:ind w:left="1837" w:right="0" w:hanging="284"/>
        <w:jc w:val="both"/>
        <w:rPr>
          <w:sz w:val="18"/>
        </w:rPr>
      </w:pPr>
      <w:r>
        <w:rPr>
          <w:color w:val="231F20"/>
          <w:sz w:val="18"/>
        </w:rPr>
        <w:t>Hernández </w:t>
      </w:r>
      <w:r>
        <w:rPr>
          <w:color w:val="231F20"/>
          <w:spacing w:val="-3"/>
          <w:sz w:val="18"/>
        </w:rPr>
        <w:t>M.P., </w:t>
      </w:r>
      <w:r>
        <w:rPr>
          <w:color w:val="231F20"/>
          <w:sz w:val="18"/>
        </w:rPr>
        <w:t>Estrada </w:t>
      </w:r>
      <w:r>
        <w:rPr>
          <w:color w:val="231F20"/>
          <w:spacing w:val="-3"/>
          <w:sz w:val="18"/>
        </w:rPr>
        <w:t>F.J., </w:t>
      </w:r>
      <w:r>
        <w:rPr>
          <w:color w:val="231F20"/>
          <w:sz w:val="18"/>
        </w:rPr>
        <w:t>Avilés </w:t>
      </w:r>
      <w:r>
        <w:rPr>
          <w:color w:val="231F20"/>
          <w:spacing w:val="-3"/>
          <w:sz w:val="18"/>
        </w:rPr>
        <w:t>N.F., Yong </w:t>
      </w:r>
      <w:r>
        <w:rPr>
          <w:color w:val="231F20"/>
          <w:sz w:val="18"/>
        </w:rPr>
        <w:t>A.G., López </w:t>
      </w:r>
      <w:r>
        <w:rPr>
          <w:color w:val="231F20"/>
          <w:spacing w:val="-3"/>
          <w:sz w:val="18"/>
        </w:rPr>
        <w:t>G.F., </w:t>
      </w:r>
      <w:r>
        <w:rPr>
          <w:color w:val="231F20"/>
          <w:sz w:val="18"/>
        </w:rPr>
        <w:t>Mejía </w:t>
      </w:r>
      <w:r>
        <w:rPr>
          <w:color w:val="231F20"/>
          <w:spacing w:val="-3"/>
          <w:sz w:val="18"/>
        </w:rPr>
        <w:t>H.P., </w:t>
      </w:r>
      <w:r>
        <w:rPr>
          <w:color w:val="231F20"/>
          <w:sz w:val="18"/>
        </w:rPr>
        <w:t>Castelán O.O.A.  (2008).  Tipología  de los sistemas campesinos de producción de leche del sur del Estado de México. En: Cavallotti </w:t>
      </w:r>
      <w:r>
        <w:rPr>
          <w:color w:val="231F20"/>
          <w:spacing w:val="-3"/>
          <w:sz w:val="18"/>
        </w:rPr>
        <w:t>V.B.A., </w:t>
      </w:r>
      <w:r>
        <w:rPr>
          <w:color w:val="231F20"/>
          <w:sz w:val="18"/>
        </w:rPr>
        <w:t>Ramírez </w:t>
      </w:r>
      <w:r>
        <w:rPr>
          <w:color w:val="231F20"/>
          <w:spacing w:val="-3"/>
          <w:sz w:val="18"/>
        </w:rPr>
        <w:t>V.B., </w:t>
      </w:r>
      <w:r>
        <w:rPr>
          <w:color w:val="231F20"/>
          <w:sz w:val="18"/>
        </w:rPr>
        <w:t>Marcof </w:t>
      </w:r>
      <w:r>
        <w:rPr>
          <w:color w:val="231F20"/>
          <w:spacing w:val="-3"/>
          <w:sz w:val="18"/>
        </w:rPr>
        <w:t>A.C.F., </w:t>
      </w:r>
      <w:r>
        <w:rPr>
          <w:color w:val="231F20"/>
          <w:sz w:val="18"/>
        </w:rPr>
        <w:t>editores. Ganadería y</w:t>
      </w:r>
      <w:r>
        <w:rPr>
          <w:color w:val="231F20"/>
          <w:spacing w:val="-11"/>
          <w:sz w:val="18"/>
        </w:rPr>
        <w:t> </w:t>
      </w:r>
      <w:r>
        <w:rPr>
          <w:color w:val="231F20"/>
          <w:sz w:val="18"/>
        </w:rPr>
        <w:t>de- sarrollo rural en tiempo de crisis. Universidad Autó- noma de Chapingo, </w:t>
      </w:r>
      <w:r>
        <w:rPr>
          <w:color w:val="231F20"/>
          <w:spacing w:val="13"/>
          <w:sz w:val="18"/>
        </w:rPr>
        <w:t> </w:t>
      </w:r>
      <w:r>
        <w:rPr>
          <w:color w:val="231F20"/>
          <w:sz w:val="18"/>
        </w:rPr>
        <w:t>México.</w:t>
      </w:r>
    </w:p>
    <w:p>
      <w:pPr>
        <w:spacing w:line="276" w:lineRule="auto" w:before="56"/>
        <w:ind w:left="1837" w:right="0" w:hanging="284"/>
        <w:jc w:val="both"/>
        <w:rPr>
          <w:sz w:val="18"/>
        </w:rPr>
      </w:pPr>
      <w:r>
        <w:rPr>
          <w:color w:val="231F20"/>
          <w:sz w:val="18"/>
        </w:rPr>
        <w:t>Jiménez J.R.A., Espinosa </w:t>
      </w:r>
      <w:r>
        <w:rPr>
          <w:color w:val="231F20"/>
          <w:spacing w:val="-3"/>
          <w:sz w:val="18"/>
        </w:rPr>
        <w:t>O.V.E.,  </w:t>
      </w:r>
      <w:r>
        <w:rPr>
          <w:color w:val="231F20"/>
          <w:sz w:val="18"/>
        </w:rPr>
        <w:t>Rosales  R.S.  (2008).  Una experiencia en la transferencia  de  tecnología en la lechería familiar. En: Cavallotti </w:t>
      </w:r>
      <w:r>
        <w:rPr>
          <w:color w:val="231F20"/>
          <w:spacing w:val="-3"/>
          <w:sz w:val="18"/>
        </w:rPr>
        <w:t>V.B.A., </w:t>
      </w:r>
      <w:r>
        <w:rPr>
          <w:color w:val="231F20"/>
          <w:sz w:val="18"/>
        </w:rPr>
        <w:t>Ramírez </w:t>
      </w:r>
      <w:r>
        <w:rPr>
          <w:color w:val="231F20"/>
          <w:spacing w:val="-3"/>
          <w:sz w:val="18"/>
        </w:rPr>
        <w:t>V.B., </w:t>
      </w:r>
      <w:r>
        <w:rPr>
          <w:color w:val="231F20"/>
          <w:sz w:val="18"/>
        </w:rPr>
        <w:t>Marcof </w:t>
      </w:r>
      <w:r>
        <w:rPr>
          <w:color w:val="231F20"/>
          <w:spacing w:val="-3"/>
          <w:sz w:val="18"/>
        </w:rPr>
        <w:t>A.C.F., </w:t>
      </w:r>
      <w:r>
        <w:rPr>
          <w:color w:val="231F20"/>
          <w:sz w:val="18"/>
        </w:rPr>
        <w:t>editores. Ganadería y desarrollo rural en tiempo de crisis. Universidad Autónoma de Chapingo,</w:t>
      </w:r>
      <w:r>
        <w:rPr>
          <w:color w:val="231F20"/>
          <w:spacing w:val="8"/>
          <w:sz w:val="18"/>
        </w:rPr>
        <w:t> </w:t>
      </w:r>
      <w:r>
        <w:rPr>
          <w:color w:val="231F20"/>
          <w:sz w:val="18"/>
        </w:rPr>
        <w:t>México.</w:t>
      </w:r>
    </w:p>
    <w:p>
      <w:pPr>
        <w:spacing w:line="276" w:lineRule="auto" w:before="56"/>
        <w:ind w:left="1837" w:right="0" w:hanging="284"/>
        <w:jc w:val="both"/>
        <w:rPr>
          <w:sz w:val="18"/>
        </w:rPr>
      </w:pPr>
      <w:r>
        <w:rPr>
          <w:color w:val="231F20"/>
          <w:w w:val="105"/>
          <w:sz w:val="18"/>
        </w:rPr>
        <w:t>NOM-092-SSA1-1994 (1994). Bienes y servicios. Mé- todo para la cuenta de bacterias aerobias en</w:t>
      </w:r>
      <w:r>
        <w:rPr>
          <w:color w:val="231F20"/>
          <w:spacing w:val="-26"/>
          <w:w w:val="105"/>
          <w:sz w:val="18"/>
        </w:rPr>
        <w:t> </w:t>
      </w:r>
      <w:r>
        <w:rPr>
          <w:color w:val="231F20"/>
          <w:w w:val="105"/>
          <w:sz w:val="18"/>
        </w:rPr>
        <w:t>placa. Secretaria</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Salud,</w:t>
      </w:r>
      <w:r>
        <w:rPr>
          <w:color w:val="231F20"/>
          <w:spacing w:val="-23"/>
          <w:w w:val="105"/>
          <w:sz w:val="18"/>
        </w:rPr>
        <w:t> </w:t>
      </w:r>
      <w:r>
        <w:rPr>
          <w:color w:val="231F20"/>
          <w:w w:val="105"/>
          <w:sz w:val="18"/>
        </w:rPr>
        <w:t>México</w:t>
      </w:r>
      <w:r>
        <w:rPr>
          <w:color w:val="231F20"/>
          <w:spacing w:val="-23"/>
          <w:w w:val="105"/>
          <w:sz w:val="18"/>
        </w:rPr>
        <w:t> </w:t>
      </w:r>
      <w:r>
        <w:rPr>
          <w:color w:val="231F20"/>
          <w:spacing w:val="-5"/>
          <w:w w:val="105"/>
          <w:sz w:val="18"/>
        </w:rPr>
        <w:t>DF,</w:t>
      </w:r>
      <w:r>
        <w:rPr>
          <w:color w:val="231F20"/>
          <w:spacing w:val="-23"/>
          <w:w w:val="105"/>
          <w:sz w:val="18"/>
        </w:rPr>
        <w:t> </w:t>
      </w:r>
      <w:r>
        <w:rPr>
          <w:color w:val="231F20"/>
          <w:w w:val="105"/>
          <w:sz w:val="18"/>
        </w:rPr>
        <w:t>México.</w:t>
      </w:r>
    </w:p>
    <w:p>
      <w:pPr>
        <w:spacing w:line="276" w:lineRule="auto" w:before="56"/>
        <w:ind w:left="1837" w:right="0" w:hanging="284"/>
        <w:jc w:val="both"/>
        <w:rPr>
          <w:sz w:val="18"/>
        </w:rPr>
      </w:pPr>
      <w:r>
        <w:rPr>
          <w:color w:val="231F20"/>
          <w:sz w:val="18"/>
        </w:rPr>
        <w:t>NOM-113-SSA1-1994 (2004). Bienes y servicios. Mé- todo para la cuenta de microorganismos coliformes totales en placa. Secretaría de Salud, México </w:t>
      </w:r>
      <w:r>
        <w:rPr>
          <w:color w:val="231F20"/>
          <w:spacing w:val="-5"/>
          <w:sz w:val="18"/>
        </w:rPr>
        <w:t>DF, </w:t>
      </w:r>
      <w:r>
        <w:rPr>
          <w:color w:val="231F20"/>
          <w:sz w:val="18"/>
        </w:rPr>
        <w:t>México.</w:t>
      </w:r>
    </w:p>
    <w:p>
      <w:pPr>
        <w:pStyle w:val="BodyText"/>
        <w:rPr>
          <w:sz w:val="18"/>
        </w:rPr>
      </w:pPr>
      <w:r>
        <w:rPr/>
        <w:br w:type="column"/>
      </w:r>
      <w:r>
        <w:rPr>
          <w:sz w:val="18"/>
        </w:rPr>
      </w:r>
    </w:p>
    <w:p>
      <w:pPr>
        <w:spacing w:line="264" w:lineRule="auto" w:before="129"/>
        <w:ind w:left="696" w:right="1551" w:hanging="284"/>
        <w:jc w:val="both"/>
        <w:rPr>
          <w:sz w:val="18"/>
        </w:rPr>
      </w:pPr>
      <w:r>
        <w:rPr>
          <w:color w:val="231F20"/>
          <w:sz w:val="18"/>
        </w:rPr>
        <w:t>NMX-700-COFOCALEC-2004 (2004). Norma para leche cruda, especificaciones fisicoquímicas y sanitarias.</w:t>
      </w:r>
    </w:p>
    <w:p>
      <w:pPr>
        <w:spacing w:line="264" w:lineRule="auto" w:before="56"/>
        <w:ind w:left="696" w:right="1551" w:hanging="284"/>
        <w:jc w:val="both"/>
        <w:rPr>
          <w:sz w:val="18"/>
        </w:rPr>
      </w:pPr>
      <w:r>
        <w:rPr>
          <w:color w:val="231F20"/>
          <w:sz w:val="18"/>
        </w:rPr>
        <w:t>Romero C.G., Brunett P.L. (2010). Caracterización del agroecosistema de producción de leche en el mu- nicipio de Ayapango, Estado de México. Tesis de Licenciatura, Universidad Autónoma del Estado de México, México.</w:t>
      </w:r>
    </w:p>
    <w:p>
      <w:pPr>
        <w:spacing w:line="264" w:lineRule="auto" w:before="56"/>
        <w:ind w:left="696" w:right="1551" w:hanging="284"/>
        <w:jc w:val="both"/>
        <w:rPr>
          <w:sz w:val="18"/>
        </w:rPr>
      </w:pPr>
      <w:r>
        <w:rPr>
          <w:color w:val="231F20"/>
          <w:sz w:val="18"/>
        </w:rPr>
        <w:t>SAGARPA-SIAP-Sistema de Información  Agroalimenta-  ria de  Consulta  (SIACON)  1998-2008.  Disponible  en línea en: </w:t>
      </w:r>
      <w:hyperlink r:id="rId74">
        <w:r>
          <w:rPr>
            <w:color w:val="231F20"/>
            <w:sz w:val="18"/>
          </w:rPr>
          <w:t>http://www.siap.gob.mx/index.php?id-</w:t>
        </w:r>
      </w:hyperlink>
      <w:r>
        <w:rPr>
          <w:color w:val="231F20"/>
          <w:sz w:val="18"/>
        </w:rPr>
        <w:t> Cat=108  (Consultado  el  30  de  enero  de</w:t>
      </w:r>
      <w:r>
        <w:rPr>
          <w:color w:val="231F20"/>
          <w:spacing w:val="40"/>
          <w:sz w:val="18"/>
        </w:rPr>
        <w:t> </w:t>
      </w:r>
      <w:r>
        <w:rPr>
          <w:color w:val="231F20"/>
          <w:spacing w:val="-4"/>
          <w:sz w:val="18"/>
        </w:rPr>
        <w:t>2010.)</w:t>
      </w:r>
    </w:p>
    <w:p>
      <w:pPr>
        <w:spacing w:line="264" w:lineRule="auto" w:before="56"/>
        <w:ind w:left="696" w:right="1551" w:hanging="284"/>
        <w:jc w:val="both"/>
        <w:rPr>
          <w:sz w:val="18"/>
        </w:rPr>
      </w:pPr>
      <w:r>
        <w:rPr>
          <w:color w:val="231F20"/>
          <w:spacing w:val="-4"/>
          <w:sz w:val="18"/>
        </w:rPr>
        <w:t>Tapia </w:t>
      </w:r>
      <w:r>
        <w:rPr>
          <w:color w:val="231F20"/>
          <w:sz w:val="18"/>
        </w:rPr>
        <w:t>R.Z., Brunett </w:t>
      </w:r>
      <w:r>
        <w:rPr>
          <w:color w:val="231F20"/>
          <w:spacing w:val="-4"/>
          <w:sz w:val="18"/>
        </w:rPr>
        <w:t>P.L. </w:t>
      </w:r>
      <w:r>
        <w:rPr>
          <w:color w:val="231F20"/>
          <w:spacing w:val="-3"/>
          <w:sz w:val="18"/>
        </w:rPr>
        <w:t>(2010). </w:t>
      </w:r>
      <w:r>
        <w:rPr>
          <w:color w:val="231F20"/>
          <w:sz w:val="18"/>
        </w:rPr>
        <w:t>Indicadores para la eva- luación de la sustentabilidad en agroecosistemas de producción de leche de San Francisco Zentlalpan, Municipio de Amecameca de Juárez, Estado de Mé- xico. </w:t>
      </w:r>
      <w:r>
        <w:rPr>
          <w:color w:val="231F20"/>
          <w:spacing w:val="-4"/>
          <w:sz w:val="18"/>
        </w:rPr>
        <w:t>Tesis </w:t>
      </w:r>
      <w:r>
        <w:rPr>
          <w:color w:val="231F20"/>
          <w:sz w:val="18"/>
        </w:rPr>
        <w:t>de Licenciatura, Universidad Autónoma  del Estado de México,</w:t>
      </w:r>
      <w:r>
        <w:rPr>
          <w:color w:val="231F20"/>
          <w:spacing w:val="26"/>
          <w:sz w:val="18"/>
        </w:rPr>
        <w:t> </w:t>
      </w:r>
      <w:r>
        <w:rPr>
          <w:color w:val="231F20"/>
          <w:sz w:val="18"/>
        </w:rPr>
        <w:t>México.</w:t>
      </w:r>
    </w:p>
    <w:p>
      <w:pPr>
        <w:spacing w:line="264" w:lineRule="auto" w:before="56"/>
        <w:ind w:left="696" w:right="1551" w:hanging="284"/>
        <w:jc w:val="both"/>
        <w:rPr>
          <w:sz w:val="18"/>
        </w:rPr>
      </w:pPr>
      <w:r>
        <w:rPr>
          <w:color w:val="231F20"/>
          <w:sz w:val="18"/>
        </w:rPr>
        <w:t>Villegas de G.A. (1990). Elementos de ciencia del que-   so. Universidad Autónoma de Chapingo, </w:t>
      </w:r>
      <w:r>
        <w:rPr>
          <w:color w:val="231F20"/>
          <w:spacing w:val="27"/>
          <w:sz w:val="18"/>
        </w:rPr>
        <w:t> </w:t>
      </w:r>
      <w:r>
        <w:rPr>
          <w:color w:val="231F20"/>
          <w:sz w:val="18"/>
        </w:rPr>
        <w:t>México.</w:t>
      </w:r>
    </w:p>
    <w:p>
      <w:pPr>
        <w:spacing w:line="266" w:lineRule="auto" w:before="56"/>
        <w:ind w:left="696" w:right="1551" w:hanging="284"/>
        <w:jc w:val="both"/>
        <w:rPr>
          <w:sz w:val="18"/>
        </w:rPr>
      </w:pPr>
      <w:r>
        <w:rPr>
          <w:color w:val="231F20"/>
          <w:sz w:val="18"/>
        </w:rPr>
        <w:t>Wiggins S., Tzintzun R., Ramírez M., Ramírez R., Ramírez F., Ortiz G., Piña B., Aguilar U., Espinoza A., Pedraza A., Rivera G., Arriaga C., editores (2001). Costos y re- tornos de la producción de leche en pequeña escala en la zona central de México. Cuadernos de Investi- gación Cuarta época/19. Universidad Autónoma del Estado de México, Toluca, México.</w:t>
      </w:r>
    </w:p>
    <w:p>
      <w:pPr>
        <w:spacing w:after="0" w:line="266" w:lineRule="auto"/>
        <w:jc w:val="both"/>
        <w:rPr>
          <w:sz w:val="18"/>
        </w:rPr>
        <w:sectPr>
          <w:type w:val="continuous"/>
          <w:pgSz w:w="11900" w:h="14450"/>
          <w:pgMar w:top="420" w:bottom="420" w:left="0" w:right="0"/>
          <w:cols w:num="2" w:equalWidth="0">
            <w:col w:w="5722" w:space="40"/>
            <w:col w:w="6138"/>
          </w:cols>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before="154"/>
        <w:ind w:left="1553" w:right="0" w:firstLine="0"/>
        <w:jc w:val="both"/>
        <w:rPr>
          <w:sz w:val="28"/>
        </w:rPr>
      </w:pPr>
      <w:r>
        <w:rPr>
          <w:color w:val="6D6E71"/>
          <w:w w:val="120"/>
          <w:sz w:val="54"/>
        </w:rPr>
        <w:t>A. </w:t>
      </w:r>
      <w:r>
        <w:rPr>
          <w:color w:val="6D6E71"/>
          <w:w w:val="120"/>
          <w:sz w:val="40"/>
        </w:rPr>
        <w:t>S</w:t>
      </w:r>
      <w:r>
        <w:rPr>
          <w:color w:val="6D6E71"/>
          <w:w w:val="120"/>
          <w:sz w:val="28"/>
        </w:rPr>
        <w:t>iStemAS de producción de  leche</w:t>
      </w:r>
    </w:p>
    <w:p>
      <w:pPr>
        <w:pStyle w:val="Heading3"/>
        <w:spacing w:before="290"/>
        <w:rPr>
          <w:sz w:val="60"/>
        </w:rPr>
      </w:pPr>
      <w:bookmarkStart w:name="_TOC_250011" w:id="1"/>
      <w:r>
        <w:rPr>
          <w:color w:val="231F20"/>
          <w:w w:val="110"/>
        </w:rPr>
        <w:t>CAPÍTULO </w:t>
      </w:r>
      <w:bookmarkEnd w:id="1"/>
      <w:r>
        <w:rPr>
          <w:color w:val="231F20"/>
          <w:w w:val="110"/>
          <w:sz w:val="60"/>
        </w:rPr>
        <w:t>4</w:t>
      </w:r>
    </w:p>
    <w:p>
      <w:pPr>
        <w:spacing w:before="276"/>
        <w:ind w:left="1553" w:right="2503" w:firstLine="0"/>
        <w:jc w:val="left"/>
        <w:rPr>
          <w:sz w:val="36"/>
        </w:rPr>
      </w:pPr>
      <w:r>
        <w:rPr>
          <w:color w:val="231F20"/>
          <w:w w:val="105"/>
          <w:sz w:val="36"/>
        </w:rPr>
        <w:t>SUSTENTABILIDAD DE </w:t>
      </w:r>
      <w:r>
        <w:rPr>
          <w:color w:val="231F20"/>
          <w:spacing w:val="3"/>
          <w:w w:val="105"/>
          <w:sz w:val="36"/>
        </w:rPr>
        <w:t>LA </w:t>
      </w:r>
      <w:r>
        <w:rPr>
          <w:color w:val="231F20"/>
          <w:w w:val="105"/>
          <w:sz w:val="36"/>
        </w:rPr>
        <w:t>PRODUCCIÓN DE LECHE EN PEQUEÑA ESCALA Y SU </w:t>
      </w:r>
      <w:r>
        <w:rPr>
          <w:color w:val="231F20"/>
          <w:spacing w:val="85"/>
          <w:w w:val="105"/>
          <w:sz w:val="36"/>
        </w:rPr>
        <w:t> </w:t>
      </w:r>
      <w:r>
        <w:rPr>
          <w:color w:val="231F20"/>
          <w:w w:val="105"/>
          <w:sz w:val="36"/>
        </w:rPr>
        <w:t>CONTRIBUCIÓN</w:t>
      </w:r>
    </w:p>
    <w:p>
      <w:pPr>
        <w:spacing w:before="0"/>
        <w:ind w:left="1553" w:right="0" w:firstLine="0"/>
        <w:jc w:val="both"/>
        <w:rPr>
          <w:sz w:val="36"/>
        </w:rPr>
      </w:pPr>
      <w:r>
        <w:rPr>
          <w:color w:val="231F20"/>
          <w:w w:val="105"/>
          <w:sz w:val="36"/>
        </w:rPr>
        <w:t>AL DESARROLLO RURAL</w:t>
      </w:r>
    </w:p>
    <w:p>
      <w:pPr>
        <w:pStyle w:val="Heading4"/>
        <w:spacing w:before="307"/>
        <w:ind w:right="4620"/>
        <w:rPr>
          <w:sz w:val="16"/>
        </w:rPr>
      </w:pPr>
      <w:r>
        <w:rPr>
          <w:i/>
          <w:color w:val="231F20"/>
        </w:rPr>
        <w:t>Liliana Fadul Pacheco, Ángel René Alfonso Ávila, </w:t>
      </w:r>
      <w:r>
        <w:rPr>
          <w:color w:val="231F20"/>
        </w:rPr>
        <w:t>Angélica Espinoza Ortega, Ernesto Sánchez Vera    y Carlos Manuel Arriaga  </w:t>
      </w:r>
      <w:r>
        <w:rPr>
          <w:color w:val="231F20"/>
          <w:spacing w:val="5"/>
        </w:rPr>
        <w:t> </w:t>
      </w:r>
      <w:r>
        <w:rPr>
          <w:color w:val="231F20"/>
        </w:rPr>
        <w:t>Jordán</w:t>
      </w:r>
      <w:r>
        <w:rPr>
          <w:color w:val="231F20"/>
          <w:position w:val="9"/>
          <w:sz w:val="16"/>
        </w:rPr>
        <w:t>*</w:t>
      </w:r>
    </w:p>
    <w:p>
      <w:pPr>
        <w:pStyle w:val="BodyText"/>
        <w:spacing w:line="254" w:lineRule="auto" w:before="175"/>
        <w:ind w:left="1553" w:right="2144"/>
      </w:pPr>
      <w:r>
        <w:rPr>
          <w:color w:val="231F20"/>
          <w:w w:val="105"/>
        </w:rPr>
        <w:t>Instituto</w:t>
      </w:r>
      <w:r>
        <w:rPr>
          <w:color w:val="231F20"/>
          <w:spacing w:val="-17"/>
          <w:w w:val="105"/>
        </w:rPr>
        <w:t> </w:t>
      </w:r>
      <w:r>
        <w:rPr>
          <w:color w:val="231F20"/>
          <w:w w:val="105"/>
        </w:rPr>
        <w:t>de</w:t>
      </w:r>
      <w:r>
        <w:rPr>
          <w:color w:val="231F20"/>
          <w:spacing w:val="-17"/>
          <w:w w:val="105"/>
        </w:rPr>
        <w:t> </w:t>
      </w:r>
      <w:r>
        <w:rPr>
          <w:color w:val="231F20"/>
          <w:w w:val="105"/>
        </w:rPr>
        <w:t>Ciencias</w:t>
      </w:r>
      <w:r>
        <w:rPr>
          <w:color w:val="231F20"/>
          <w:spacing w:val="-17"/>
          <w:w w:val="105"/>
        </w:rPr>
        <w:t> </w:t>
      </w:r>
      <w:r>
        <w:rPr>
          <w:color w:val="231F20"/>
          <w:w w:val="105"/>
        </w:rPr>
        <w:t>Agropecuarias</w:t>
      </w:r>
      <w:r>
        <w:rPr>
          <w:color w:val="231F20"/>
          <w:spacing w:val="-17"/>
          <w:w w:val="105"/>
        </w:rPr>
        <w:t> </w:t>
      </w:r>
      <w:r>
        <w:rPr>
          <w:color w:val="231F20"/>
          <w:w w:val="105"/>
        </w:rPr>
        <w:t>y</w:t>
      </w:r>
      <w:r>
        <w:rPr>
          <w:color w:val="231F20"/>
          <w:spacing w:val="-17"/>
          <w:w w:val="105"/>
        </w:rPr>
        <w:t> </w:t>
      </w:r>
      <w:r>
        <w:rPr>
          <w:color w:val="231F20"/>
          <w:w w:val="105"/>
        </w:rPr>
        <w:t>Rurales</w:t>
      </w:r>
      <w:r>
        <w:rPr>
          <w:color w:val="231F20"/>
          <w:spacing w:val="-17"/>
          <w:w w:val="105"/>
        </w:rPr>
        <w:t> </w:t>
      </w:r>
      <w:r>
        <w:rPr>
          <w:color w:val="231F20"/>
          <w:w w:val="105"/>
        </w:rPr>
        <w:t>(ICAR),</w:t>
      </w:r>
      <w:r>
        <w:rPr>
          <w:color w:val="231F20"/>
          <w:spacing w:val="-17"/>
          <w:w w:val="105"/>
        </w:rPr>
        <w:t> </w:t>
      </w:r>
      <w:r>
        <w:rPr>
          <w:color w:val="231F20"/>
          <w:w w:val="105"/>
        </w:rPr>
        <w:t>Universidad</w:t>
      </w:r>
      <w:r>
        <w:rPr>
          <w:color w:val="231F20"/>
          <w:spacing w:val="-17"/>
          <w:w w:val="105"/>
        </w:rPr>
        <w:t> </w:t>
      </w:r>
      <w:r>
        <w:rPr>
          <w:color w:val="231F20"/>
          <w:w w:val="105"/>
        </w:rPr>
        <w:t>Autónoma</w:t>
      </w:r>
      <w:r>
        <w:rPr>
          <w:color w:val="231F20"/>
          <w:spacing w:val="-17"/>
          <w:w w:val="105"/>
        </w:rPr>
        <w:t> </w:t>
      </w:r>
      <w:r>
        <w:rPr>
          <w:color w:val="231F20"/>
          <w:w w:val="105"/>
        </w:rPr>
        <w:t>del</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México. Instituto</w:t>
      </w:r>
      <w:r>
        <w:rPr>
          <w:color w:val="231F20"/>
          <w:spacing w:val="-9"/>
          <w:w w:val="105"/>
        </w:rPr>
        <w:t> </w:t>
      </w:r>
      <w:r>
        <w:rPr>
          <w:color w:val="231F20"/>
          <w:w w:val="105"/>
        </w:rPr>
        <w:t>Literario</w:t>
      </w:r>
      <w:r>
        <w:rPr>
          <w:color w:val="231F20"/>
          <w:spacing w:val="-9"/>
          <w:w w:val="105"/>
        </w:rPr>
        <w:t> </w:t>
      </w:r>
      <w:r>
        <w:rPr>
          <w:color w:val="231F20"/>
          <w:w w:val="105"/>
        </w:rPr>
        <w:t>#</w:t>
      </w:r>
      <w:r>
        <w:rPr>
          <w:color w:val="231F20"/>
          <w:spacing w:val="-9"/>
          <w:w w:val="105"/>
        </w:rPr>
        <w:t> </w:t>
      </w:r>
      <w:r>
        <w:rPr>
          <w:color w:val="231F20"/>
          <w:spacing w:val="-3"/>
          <w:w w:val="105"/>
        </w:rPr>
        <w:t>100,</w:t>
      </w:r>
      <w:r>
        <w:rPr>
          <w:color w:val="231F20"/>
          <w:spacing w:val="-9"/>
          <w:w w:val="105"/>
        </w:rPr>
        <w:t> </w:t>
      </w:r>
      <w:r>
        <w:rPr>
          <w:color w:val="231F20"/>
          <w:w w:val="105"/>
        </w:rPr>
        <w:t>Col.</w:t>
      </w:r>
      <w:r>
        <w:rPr>
          <w:color w:val="231F20"/>
          <w:spacing w:val="-9"/>
          <w:w w:val="105"/>
        </w:rPr>
        <w:t> </w:t>
      </w:r>
      <w:r>
        <w:rPr>
          <w:color w:val="231F20"/>
          <w:w w:val="105"/>
        </w:rPr>
        <w:t>Centro,</w:t>
      </w:r>
      <w:r>
        <w:rPr>
          <w:color w:val="231F20"/>
          <w:spacing w:val="-9"/>
          <w:w w:val="105"/>
        </w:rPr>
        <w:t> </w:t>
      </w:r>
      <w:r>
        <w:rPr>
          <w:color w:val="231F20"/>
          <w:spacing w:val="-3"/>
          <w:w w:val="105"/>
        </w:rPr>
        <w:t>Toluca,</w:t>
      </w:r>
      <w:r>
        <w:rPr>
          <w:color w:val="231F20"/>
          <w:spacing w:val="-9"/>
          <w:w w:val="105"/>
        </w:rPr>
        <w:t> </w:t>
      </w:r>
      <w:r>
        <w:rPr>
          <w:color w:val="231F20"/>
          <w:w w:val="105"/>
        </w:rPr>
        <w:t>México,</w:t>
      </w:r>
      <w:r>
        <w:rPr>
          <w:color w:val="231F20"/>
          <w:spacing w:val="-9"/>
          <w:w w:val="105"/>
        </w:rPr>
        <w:t> </w:t>
      </w:r>
      <w:r>
        <w:rPr>
          <w:color w:val="231F20"/>
          <w:spacing w:val="-5"/>
          <w:w w:val="105"/>
        </w:rPr>
        <w:t>C.P.</w:t>
      </w:r>
      <w:r>
        <w:rPr>
          <w:color w:val="231F20"/>
          <w:spacing w:val="-9"/>
          <w:w w:val="105"/>
        </w:rPr>
        <w:t> </w:t>
      </w:r>
      <w:r>
        <w:rPr>
          <w:color w:val="231F20"/>
          <w:w w:val="105"/>
        </w:rPr>
        <w:t>50000</w:t>
      </w:r>
    </w:p>
    <w:p>
      <w:pPr>
        <w:pStyle w:val="BodyText"/>
      </w:pPr>
    </w:p>
    <w:p>
      <w:pPr>
        <w:pStyle w:val="BodyText"/>
      </w:pPr>
    </w:p>
    <w:p>
      <w:pPr>
        <w:pStyle w:val="BodyText"/>
      </w:pPr>
    </w:p>
    <w:p>
      <w:pPr>
        <w:pStyle w:val="BodyText"/>
        <w:spacing w:before="3"/>
        <w:rPr>
          <w:sz w:val="11"/>
        </w:rPr>
      </w:pPr>
      <w:r>
        <w:rPr/>
        <w:pict>
          <v:line style="position:absolute;mso-position-horizontal-relative:page;mso-position-vertical-relative:paragraph;z-index:2272;mso-wrap-distance-left:0;mso-wrap-distance-right:0" from="77.692902pt,9.105434pt" to="517.062902pt,9.105434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0"/>
        <w:jc w:val="both"/>
      </w:pPr>
      <w:r>
        <w:rPr>
          <w:color w:val="231F20"/>
        </w:rPr>
        <w:t>Se revisa la contribución de la producción de leche de vaca en pequeña escala a la vida de las familias y las comunidades rurales en el mundo y en México, donde representan al </w:t>
      </w:r>
      <w:r>
        <w:rPr>
          <w:color w:val="231F20"/>
          <w:spacing w:val="-3"/>
        </w:rPr>
        <w:t>79% </w:t>
      </w:r>
      <w:r>
        <w:rPr>
          <w:color w:val="231F20"/>
        </w:rPr>
        <w:t>de las unidades especializadas   de producción de leche y suponen el 37% de la oferta nacional. Los sistemas de producción de leche            en pequeña escala son económicamente viables, pues aportan más de dos veces el salario mínimo local    por día de trabajo familiar, permitiendo a las familias aminorar la pobreza en el caso de las unidades de subsistencia, o superar la pobreza rural. Sin embargo, no existen muchos estudios que evalúen la susten- tabilidad de los sistemas de producción de leche en pequeña escala de manera integral en sus aspectos ambiental, social y económico. Se presentan los resultados preliminares de la evaluación de sistemas de producción de leche en pequeña escala en el noroeste del Estado de México mediante el método IDEA.    Los sistemas de producción de leche en pequeña escala son sustentables, pero su debilidad es la escala económica,</w:t>
      </w:r>
      <w:r>
        <w:rPr>
          <w:color w:val="231F20"/>
          <w:spacing w:val="20"/>
        </w:rPr>
        <w:t> </w:t>
      </w:r>
      <w:r>
        <w:rPr>
          <w:color w:val="231F20"/>
        </w:rPr>
        <w:t>en</w:t>
      </w:r>
      <w:r>
        <w:rPr>
          <w:color w:val="231F20"/>
          <w:spacing w:val="20"/>
        </w:rPr>
        <w:t> </w:t>
      </w:r>
      <w:r>
        <w:rPr>
          <w:color w:val="231F20"/>
        </w:rPr>
        <w:t>gran</w:t>
      </w:r>
      <w:r>
        <w:rPr>
          <w:color w:val="231F20"/>
          <w:spacing w:val="20"/>
        </w:rPr>
        <w:t> </w:t>
      </w:r>
      <w:r>
        <w:rPr>
          <w:color w:val="231F20"/>
        </w:rPr>
        <w:t>medida</w:t>
      </w:r>
      <w:r>
        <w:rPr>
          <w:color w:val="231F20"/>
          <w:spacing w:val="20"/>
        </w:rPr>
        <w:t> </w:t>
      </w:r>
      <w:r>
        <w:rPr>
          <w:color w:val="231F20"/>
        </w:rPr>
        <w:t>por</w:t>
      </w:r>
      <w:r>
        <w:rPr>
          <w:color w:val="231F20"/>
          <w:spacing w:val="20"/>
        </w:rPr>
        <w:t> </w:t>
      </w:r>
      <w:r>
        <w:rPr>
          <w:color w:val="231F20"/>
        </w:rPr>
        <w:t>su</w:t>
      </w:r>
      <w:r>
        <w:rPr>
          <w:color w:val="231F20"/>
          <w:spacing w:val="20"/>
        </w:rPr>
        <w:t> </w:t>
      </w:r>
      <w:r>
        <w:rPr>
          <w:color w:val="231F20"/>
        </w:rPr>
        <w:t>alta</w:t>
      </w:r>
      <w:r>
        <w:rPr>
          <w:color w:val="231F20"/>
          <w:spacing w:val="20"/>
        </w:rPr>
        <w:t> </w:t>
      </w:r>
      <w:r>
        <w:rPr>
          <w:color w:val="231F20"/>
        </w:rPr>
        <w:t>dependencia</w:t>
      </w:r>
      <w:r>
        <w:rPr>
          <w:color w:val="231F20"/>
          <w:spacing w:val="20"/>
        </w:rPr>
        <w:t> </w:t>
      </w:r>
      <w:r>
        <w:rPr>
          <w:color w:val="231F20"/>
        </w:rPr>
        <w:t>de</w:t>
      </w:r>
      <w:r>
        <w:rPr>
          <w:color w:val="231F20"/>
          <w:spacing w:val="20"/>
        </w:rPr>
        <w:t> </w:t>
      </w:r>
      <w:r>
        <w:rPr>
          <w:color w:val="231F20"/>
        </w:rPr>
        <w:t>insumos</w:t>
      </w:r>
      <w:r>
        <w:rPr>
          <w:color w:val="231F20"/>
          <w:spacing w:val="20"/>
        </w:rPr>
        <w:t> </w:t>
      </w:r>
      <w:r>
        <w:rPr>
          <w:color w:val="231F20"/>
        </w:rPr>
        <w:t>externos.</w:t>
      </w:r>
    </w:p>
    <w:p>
      <w:pPr>
        <w:pStyle w:val="BodyText"/>
        <w:spacing w:line="254" w:lineRule="auto" w:before="114"/>
        <w:ind w:left="1553" w:right="1655"/>
      </w:pPr>
      <w:r>
        <w:rPr>
          <w:color w:val="231F20"/>
        </w:rPr>
        <w:t>Palabras clave: Sustentabilidad - Pobreza - Sistemas de producción de leche en pequeña escala - Método IDEA</w:t>
      </w:r>
    </w:p>
    <w:p>
      <w:pPr>
        <w:pStyle w:val="BodyText"/>
        <w:rPr>
          <w:sz w:val="19"/>
        </w:rPr>
      </w:pPr>
      <w:r>
        <w:rPr/>
        <w:pict>
          <v:line style="position:absolute;mso-position-horizontal-relative:page;mso-position-vertical-relative:paragraph;z-index:2296;mso-wrap-distance-left:0;mso-wrap-distance-right:0" from="77.692902pt,13.839834pt" to="517.062902pt,13.839834pt" stroked="true" strokeweight=".5pt" strokecolor="#231f20">
            <w10:wrap type="topAndBottom"/>
          </v:line>
        </w:pict>
      </w:r>
      <w:r>
        <w:rPr/>
        <w:pict>
          <v:group style="position:absolute;margin-left:77.692902pt;margin-top:30.780834pt;width:70.9pt;height:.5pt;mso-position-horizontal-relative:page;mso-position-vertical-relative:paragraph;z-index:2320;mso-wrap-distance-left:0;mso-wrap-distance-right:0" coordorigin="1554,616" coordsize="1418,10">
            <v:line style="position:absolute" from="1589,621" to="2951,621" stroked="true" strokeweight=".5pt" strokecolor="#231f20">
              <v:stroke dashstyle="dash"/>
            </v:line>
            <v:line style="position:absolute" from="1559,621" to="1559,621" stroked="true" strokeweight=".5pt" strokecolor="#231f20"/>
            <v:line style="position:absolute" from="2966,621" to="2966,621" stroked="true" strokeweight=".5pt" strokecolor="#231f20"/>
            <w10:wrap type="topAndBottom"/>
          </v:group>
        </w:pict>
      </w:r>
    </w:p>
    <w:p>
      <w:pPr>
        <w:pStyle w:val="BodyText"/>
        <w:spacing w:before="9"/>
        <w:rPr>
          <w:sz w:val="21"/>
        </w:rPr>
      </w:pPr>
    </w:p>
    <w:p>
      <w:pPr>
        <w:spacing w:before="70"/>
        <w:ind w:left="1553" w:right="2503" w:firstLine="0"/>
        <w:jc w:val="left"/>
        <w:rPr>
          <w:sz w:val="16"/>
        </w:rPr>
      </w:pPr>
      <w:r>
        <w:rPr>
          <w:color w:val="231F20"/>
          <w:sz w:val="16"/>
        </w:rPr>
        <w:t>* Para correspondencia: </w:t>
      </w:r>
      <w:hyperlink r:id="rId75">
        <w:r>
          <w:rPr>
            <w:color w:val="231F20"/>
            <w:sz w:val="16"/>
          </w:rPr>
          <w:t>cmarriagaj@uaemex.mx</w:t>
        </w:r>
      </w:hyperlink>
    </w:p>
    <w:p>
      <w:pPr>
        <w:pStyle w:val="Heading5"/>
        <w:spacing w:before="129"/>
        <w:ind w:right="1556"/>
      </w:pPr>
      <w:r>
        <w:rPr>
          <w:color w:val="231F20"/>
          <w:w w:val="115"/>
        </w:rPr>
        <w:t>57</w:t>
      </w:r>
    </w:p>
    <w:p>
      <w:pPr>
        <w:spacing w:after="0"/>
        <w:sectPr>
          <w:pgSz w:w="11900" w:h="14450"/>
          <w:pgMar w:header="0" w:footer="222" w:top="420" w:bottom="420" w:left="0" w:right="0"/>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spacing w:val="-3"/>
          <w:w w:val="120"/>
          <w:sz w:val="22"/>
        </w:rPr>
        <w:t>58</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6" w:lineRule="auto" w:before="130"/>
        <w:ind w:left="1553"/>
        <w:jc w:val="both"/>
      </w:pPr>
      <w:r>
        <w:rPr>
          <w:color w:val="231F20"/>
        </w:rPr>
        <w:t>El campo mexicano ha venido enfrentando con- diciones difíciles que se han agudizado en las úl- timas dos décadas, de forma que, de los más de   24 millones de personas que constituyen la pobla- ción rural del país, el 86,7% vive en condiciones   de pobreza alimentaria, de capacidades o patrimo- nial. Por ello, como uno de los objetivos estratégi- cos del desarrollo social del país (SEDESOL, 2002)  se estableció elevar el nivel de desarrollo humano  y patrimonial de los mexicanos que viven en zonas rurales y costeras. Ante este problema, desde hace varios años se ha identificado que para mejorar las condiciones de vida de la población rural es ne- cesario dar respuesta a los siguientes imperativos </w:t>
      </w:r>
      <w:r>
        <w:rPr>
          <w:color w:val="231F20"/>
          <w:spacing w:val="-3"/>
        </w:rPr>
        <w:t>(Arriaga-Jordán  </w:t>
      </w:r>
      <w:r>
        <w:rPr>
          <w:i/>
          <w:color w:val="231F20"/>
        </w:rPr>
        <w:t>et  </w:t>
      </w:r>
      <w:r>
        <w:rPr>
          <w:i/>
          <w:color w:val="231F20"/>
          <w:spacing w:val="-3"/>
        </w:rPr>
        <w:t>al</w:t>
      </w:r>
      <w:r>
        <w:rPr>
          <w:color w:val="231F20"/>
          <w:spacing w:val="-3"/>
        </w:rPr>
        <w:t>.,</w:t>
      </w:r>
      <w:r>
        <w:rPr>
          <w:color w:val="231F20"/>
          <w:spacing w:val="-9"/>
        </w:rPr>
        <w:t> </w:t>
      </w:r>
      <w:r>
        <w:rPr>
          <w:color w:val="231F20"/>
          <w:spacing w:val="-4"/>
        </w:rPr>
        <w:t>2000):</w:t>
      </w:r>
    </w:p>
    <w:p>
      <w:pPr>
        <w:pStyle w:val="ListParagraph"/>
        <w:numPr>
          <w:ilvl w:val="1"/>
          <w:numId w:val="7"/>
        </w:numPr>
        <w:tabs>
          <w:tab w:pos="1838" w:val="left" w:leader="none"/>
        </w:tabs>
        <w:spacing w:line="256" w:lineRule="auto" w:before="113" w:after="0"/>
        <w:ind w:left="1837" w:right="0" w:hanging="284"/>
        <w:jc w:val="both"/>
        <w:rPr>
          <w:sz w:val="20"/>
        </w:rPr>
      </w:pPr>
      <w:r>
        <w:rPr>
          <w:color w:val="231F20"/>
          <w:sz w:val="20"/>
        </w:rPr>
        <w:t>Aumentar la producción y la productividad agropecuaria en actividades que representen mejores ingresos para las familias productoras, con el fin de lograr la seguridad alimentaria de las comunidades rurales y contribuir a satisfa- cer las demandas de la población en general, del sector industrial y de los mercados de ex- portación.</w:t>
      </w:r>
    </w:p>
    <w:p>
      <w:pPr>
        <w:pStyle w:val="ListParagraph"/>
        <w:numPr>
          <w:ilvl w:val="1"/>
          <w:numId w:val="7"/>
        </w:numPr>
        <w:tabs>
          <w:tab w:pos="1838" w:val="left" w:leader="none"/>
        </w:tabs>
        <w:spacing w:line="256" w:lineRule="auto" w:before="113" w:after="0"/>
        <w:ind w:left="1837" w:right="0" w:hanging="284"/>
        <w:jc w:val="both"/>
        <w:rPr>
          <w:sz w:val="20"/>
        </w:rPr>
      </w:pPr>
      <w:r>
        <w:rPr>
          <w:color w:val="231F20"/>
          <w:sz w:val="20"/>
        </w:rPr>
        <w:t>Brindar oportunidades de ocupación en las co- munidades rurales en actividades tanto agro- pecuarias como no agropecuarias, de manera que la población rural pueda permanecer  en sus comunidades de origen ante la incapa- cidad de los centros urbanos de satisfacer la demanda de empleo y de servicios</w:t>
      </w:r>
      <w:r>
        <w:rPr>
          <w:color w:val="231F20"/>
          <w:spacing w:val="37"/>
          <w:sz w:val="20"/>
        </w:rPr>
        <w:t> </w:t>
      </w:r>
      <w:r>
        <w:rPr>
          <w:color w:val="231F20"/>
          <w:sz w:val="20"/>
        </w:rPr>
        <w:t>sociales</w:t>
      </w:r>
      <w:r>
        <w:rPr>
          <w:color w:val="231F20"/>
          <w:spacing w:val="21"/>
          <w:sz w:val="20"/>
        </w:rPr>
        <w:t> </w:t>
      </w:r>
      <w:r>
        <w:rPr>
          <w:color w:val="231F20"/>
          <w:sz w:val="20"/>
        </w:rPr>
        <w:t>de</w:t>
      </w:r>
      <w:r>
        <w:rPr>
          <w:color w:val="231F20"/>
          <w:w w:val="103"/>
          <w:sz w:val="20"/>
        </w:rPr>
        <w:t> </w:t>
      </w:r>
      <w:r>
        <w:rPr>
          <w:color w:val="231F20"/>
          <w:sz w:val="20"/>
        </w:rPr>
        <w:t>la población</w:t>
      </w:r>
      <w:r>
        <w:rPr>
          <w:color w:val="231F20"/>
          <w:spacing w:val="18"/>
          <w:sz w:val="20"/>
        </w:rPr>
        <w:t> </w:t>
      </w:r>
      <w:r>
        <w:rPr>
          <w:color w:val="231F20"/>
          <w:sz w:val="20"/>
        </w:rPr>
        <w:t>inmigrante.</w:t>
      </w:r>
    </w:p>
    <w:p>
      <w:pPr>
        <w:pStyle w:val="ListParagraph"/>
        <w:numPr>
          <w:ilvl w:val="1"/>
          <w:numId w:val="7"/>
        </w:numPr>
        <w:tabs>
          <w:tab w:pos="1838" w:val="left" w:leader="none"/>
        </w:tabs>
        <w:spacing w:line="256" w:lineRule="auto" w:before="113" w:after="0"/>
        <w:ind w:left="1837" w:right="0" w:hanging="284"/>
        <w:jc w:val="both"/>
        <w:rPr>
          <w:sz w:val="20"/>
        </w:rPr>
      </w:pPr>
      <w:r>
        <w:rPr>
          <w:color w:val="231F20"/>
          <w:sz w:val="20"/>
        </w:rPr>
        <w:t>Aumentar la sustentabilidad de las actividades agropecuarias. El </w:t>
      </w:r>
      <w:r>
        <w:rPr>
          <w:color w:val="231F20"/>
          <w:spacing w:val="-3"/>
          <w:sz w:val="20"/>
        </w:rPr>
        <w:t>imperativo </w:t>
      </w:r>
      <w:r>
        <w:rPr>
          <w:color w:val="231F20"/>
          <w:sz w:val="20"/>
        </w:rPr>
        <w:t>de </w:t>
      </w:r>
      <w:r>
        <w:rPr>
          <w:color w:val="231F20"/>
          <w:spacing w:val="-3"/>
          <w:sz w:val="20"/>
        </w:rPr>
        <w:t>desarrollar las actividades agropecuarias </w:t>
      </w:r>
      <w:r>
        <w:rPr>
          <w:color w:val="231F20"/>
          <w:sz w:val="20"/>
        </w:rPr>
        <w:t>de </w:t>
      </w:r>
      <w:r>
        <w:rPr>
          <w:color w:val="231F20"/>
          <w:spacing w:val="-3"/>
          <w:sz w:val="20"/>
        </w:rPr>
        <w:t>manera sosteni-  </w:t>
      </w:r>
      <w:r>
        <w:rPr>
          <w:color w:val="231F20"/>
          <w:sz w:val="20"/>
        </w:rPr>
        <w:t>ble se </w:t>
      </w:r>
      <w:r>
        <w:rPr>
          <w:color w:val="231F20"/>
          <w:spacing w:val="-3"/>
          <w:sz w:val="20"/>
        </w:rPr>
        <w:t>concibe </w:t>
      </w:r>
      <w:r>
        <w:rPr>
          <w:color w:val="231F20"/>
          <w:sz w:val="20"/>
        </w:rPr>
        <w:t>no </w:t>
      </w:r>
      <w:r>
        <w:rPr>
          <w:color w:val="231F20"/>
          <w:spacing w:val="-3"/>
          <w:sz w:val="20"/>
        </w:rPr>
        <w:t>sólo </w:t>
      </w:r>
      <w:r>
        <w:rPr>
          <w:color w:val="231F20"/>
          <w:sz w:val="20"/>
        </w:rPr>
        <w:t>en el </w:t>
      </w:r>
      <w:r>
        <w:rPr>
          <w:color w:val="231F20"/>
          <w:spacing w:val="-3"/>
          <w:sz w:val="20"/>
        </w:rPr>
        <w:t>contexto ecológico, sino también </w:t>
      </w:r>
      <w:r>
        <w:rPr>
          <w:color w:val="231F20"/>
          <w:sz w:val="20"/>
        </w:rPr>
        <w:t>en el </w:t>
      </w:r>
      <w:r>
        <w:rPr>
          <w:color w:val="231F20"/>
          <w:spacing w:val="-3"/>
          <w:sz w:val="20"/>
        </w:rPr>
        <w:t>económico </w:t>
      </w:r>
      <w:r>
        <w:rPr>
          <w:color w:val="231F20"/>
          <w:sz w:val="20"/>
        </w:rPr>
        <w:t>y el </w:t>
      </w:r>
      <w:r>
        <w:rPr>
          <w:color w:val="231F20"/>
          <w:spacing w:val="-3"/>
          <w:sz w:val="20"/>
        </w:rPr>
        <w:t>social: ecoló- </w:t>
      </w:r>
      <w:r>
        <w:rPr>
          <w:color w:val="231F20"/>
          <w:sz w:val="20"/>
        </w:rPr>
        <w:t>gico en </w:t>
      </w:r>
      <w:r>
        <w:rPr>
          <w:color w:val="231F20"/>
          <w:spacing w:val="-3"/>
          <w:sz w:val="20"/>
        </w:rPr>
        <w:t>cuanto </w:t>
      </w:r>
      <w:r>
        <w:rPr>
          <w:color w:val="231F20"/>
          <w:sz w:val="20"/>
        </w:rPr>
        <w:t>a </w:t>
      </w:r>
      <w:r>
        <w:rPr>
          <w:color w:val="231F20"/>
          <w:spacing w:val="-3"/>
          <w:sz w:val="20"/>
        </w:rPr>
        <w:t>desarrollar </w:t>
      </w:r>
      <w:r>
        <w:rPr>
          <w:color w:val="231F20"/>
          <w:sz w:val="20"/>
        </w:rPr>
        <w:t>las </w:t>
      </w:r>
      <w:r>
        <w:rPr>
          <w:color w:val="231F20"/>
          <w:spacing w:val="-3"/>
          <w:sz w:val="20"/>
        </w:rPr>
        <w:t>actividades </w:t>
      </w:r>
      <w:r>
        <w:rPr>
          <w:color w:val="231F20"/>
          <w:sz w:val="20"/>
        </w:rPr>
        <w:t>agro- </w:t>
      </w:r>
      <w:r>
        <w:rPr>
          <w:color w:val="231F20"/>
          <w:spacing w:val="-3"/>
          <w:sz w:val="20"/>
        </w:rPr>
        <w:t>pecuarias </w:t>
      </w:r>
      <w:r>
        <w:rPr>
          <w:color w:val="231F20"/>
          <w:sz w:val="20"/>
        </w:rPr>
        <w:t>en </w:t>
      </w:r>
      <w:r>
        <w:rPr>
          <w:color w:val="231F20"/>
          <w:spacing w:val="-3"/>
          <w:sz w:val="20"/>
        </w:rPr>
        <w:t>armonía </w:t>
      </w:r>
      <w:r>
        <w:rPr>
          <w:color w:val="231F20"/>
          <w:sz w:val="20"/>
        </w:rPr>
        <w:t>con un </w:t>
      </w:r>
      <w:r>
        <w:rPr>
          <w:color w:val="231F20"/>
          <w:spacing w:val="-3"/>
          <w:sz w:val="20"/>
        </w:rPr>
        <w:t>medio ambiente </w:t>
      </w:r>
      <w:r>
        <w:rPr>
          <w:color w:val="231F20"/>
          <w:sz w:val="20"/>
        </w:rPr>
        <w:t>frágil, </w:t>
      </w:r>
      <w:r>
        <w:rPr>
          <w:color w:val="231F20"/>
          <w:spacing w:val="-3"/>
          <w:sz w:val="20"/>
        </w:rPr>
        <w:t>procurando acrecentar </w:t>
      </w:r>
      <w:r>
        <w:rPr>
          <w:color w:val="231F20"/>
          <w:sz w:val="20"/>
        </w:rPr>
        <w:t>y </w:t>
      </w:r>
      <w:r>
        <w:rPr>
          <w:color w:val="231F20"/>
          <w:spacing w:val="-3"/>
          <w:sz w:val="20"/>
        </w:rPr>
        <w:t>mejorar </w:t>
      </w:r>
      <w:r>
        <w:rPr>
          <w:color w:val="231F20"/>
          <w:sz w:val="20"/>
        </w:rPr>
        <w:t>la </w:t>
      </w:r>
      <w:r>
        <w:rPr>
          <w:color w:val="231F20"/>
          <w:spacing w:val="-3"/>
          <w:sz w:val="20"/>
        </w:rPr>
        <w:t>base </w:t>
      </w:r>
      <w:r>
        <w:rPr>
          <w:color w:val="231F20"/>
          <w:sz w:val="20"/>
        </w:rPr>
        <w:t>de  los  </w:t>
      </w:r>
      <w:r>
        <w:rPr>
          <w:color w:val="231F20"/>
          <w:spacing w:val="-3"/>
          <w:sz w:val="20"/>
        </w:rPr>
        <w:t>recursos  naturales  </w:t>
      </w:r>
      <w:r>
        <w:rPr>
          <w:color w:val="231F20"/>
          <w:sz w:val="20"/>
        </w:rPr>
        <w:t>y  </w:t>
      </w:r>
      <w:r>
        <w:rPr>
          <w:color w:val="231F20"/>
          <w:spacing w:val="-3"/>
          <w:sz w:val="20"/>
        </w:rPr>
        <w:t>productivos</w:t>
      </w:r>
      <w:r>
        <w:rPr>
          <w:color w:val="231F20"/>
          <w:spacing w:val="12"/>
          <w:sz w:val="20"/>
        </w:rPr>
        <w:t> </w:t>
      </w:r>
      <w:r>
        <w:rPr>
          <w:color w:val="231F20"/>
          <w:spacing w:val="-3"/>
          <w:sz w:val="20"/>
        </w:rPr>
        <w:t>donde</w:t>
      </w:r>
    </w:p>
    <w:p>
      <w:pPr>
        <w:pStyle w:val="BodyText"/>
        <w:spacing w:line="256" w:lineRule="auto" w:before="67"/>
        <w:ind w:left="696" w:right="1551"/>
        <w:jc w:val="both"/>
      </w:pPr>
      <w:r>
        <w:rPr/>
        <w:br w:type="column"/>
      </w:r>
      <w:r>
        <w:rPr>
          <w:color w:val="231F20"/>
        </w:rPr>
        <w:t>se </w:t>
      </w:r>
      <w:r>
        <w:rPr>
          <w:color w:val="231F20"/>
          <w:spacing w:val="-3"/>
        </w:rPr>
        <w:t>sustenta </w:t>
      </w:r>
      <w:r>
        <w:rPr>
          <w:color w:val="231F20"/>
        </w:rPr>
        <w:t>la </w:t>
      </w:r>
      <w:r>
        <w:rPr>
          <w:color w:val="231F20"/>
          <w:spacing w:val="-3"/>
        </w:rPr>
        <w:t>sociedad misma; económico en cuanto </w:t>
      </w:r>
      <w:r>
        <w:rPr>
          <w:color w:val="231F20"/>
        </w:rPr>
        <w:t>a que los </w:t>
      </w:r>
      <w:r>
        <w:rPr>
          <w:color w:val="231F20"/>
          <w:spacing w:val="-3"/>
        </w:rPr>
        <w:t>productores puedan producir para </w:t>
      </w:r>
      <w:r>
        <w:rPr>
          <w:color w:val="231F20"/>
        </w:rPr>
        <w:t>su </w:t>
      </w:r>
      <w:r>
        <w:rPr>
          <w:color w:val="231F20"/>
          <w:spacing w:val="-3"/>
        </w:rPr>
        <w:t>autosuficiencia </w:t>
      </w:r>
      <w:r>
        <w:rPr>
          <w:color w:val="231F20"/>
        </w:rPr>
        <w:t>y </w:t>
      </w:r>
      <w:r>
        <w:rPr>
          <w:color w:val="231F20"/>
          <w:spacing w:val="-3"/>
        </w:rPr>
        <w:t>para generar ingresos,  </w:t>
      </w:r>
      <w:r>
        <w:rPr>
          <w:color w:val="231F20"/>
        </w:rPr>
        <w:t>y </w:t>
      </w:r>
      <w:r>
        <w:rPr>
          <w:color w:val="231F20"/>
          <w:spacing w:val="-3"/>
        </w:rPr>
        <w:t>obtener beneficios para retribuir </w:t>
      </w:r>
      <w:r>
        <w:rPr>
          <w:color w:val="231F20"/>
        </w:rPr>
        <w:t>el </w:t>
      </w:r>
      <w:r>
        <w:rPr>
          <w:color w:val="231F20"/>
          <w:spacing w:val="-3"/>
        </w:rPr>
        <w:t>trabajo  </w:t>
      </w:r>
      <w:r>
        <w:rPr>
          <w:color w:val="231F20"/>
        </w:rPr>
        <w:t>y los </w:t>
      </w:r>
      <w:r>
        <w:rPr>
          <w:color w:val="231F20"/>
          <w:spacing w:val="-3"/>
        </w:rPr>
        <w:t>costos involucrados; </w:t>
      </w:r>
      <w:r>
        <w:rPr>
          <w:color w:val="231F20"/>
        </w:rPr>
        <w:t>y </w:t>
      </w:r>
      <w:r>
        <w:rPr>
          <w:color w:val="231F20"/>
          <w:spacing w:val="-3"/>
        </w:rPr>
        <w:t>social </w:t>
      </w:r>
      <w:r>
        <w:rPr>
          <w:color w:val="231F20"/>
        </w:rPr>
        <w:t>en </w:t>
      </w:r>
      <w:r>
        <w:rPr>
          <w:color w:val="231F20"/>
          <w:spacing w:val="-3"/>
        </w:rPr>
        <w:t>cuanto </w:t>
      </w:r>
      <w:r>
        <w:rPr>
          <w:color w:val="231F20"/>
        </w:rPr>
        <w:t>a sa- </w:t>
      </w:r>
      <w:r>
        <w:rPr>
          <w:color w:val="231F20"/>
          <w:spacing w:val="-3"/>
        </w:rPr>
        <w:t>tisfacer </w:t>
      </w:r>
      <w:r>
        <w:rPr>
          <w:color w:val="231F20"/>
        </w:rPr>
        <w:t>las </w:t>
      </w:r>
      <w:r>
        <w:rPr>
          <w:color w:val="231F20"/>
          <w:spacing w:val="-3"/>
        </w:rPr>
        <w:t>necesidades básicas </w:t>
      </w:r>
      <w:r>
        <w:rPr>
          <w:color w:val="231F20"/>
        </w:rPr>
        <w:t>de la </w:t>
      </w:r>
      <w:r>
        <w:rPr>
          <w:color w:val="231F20"/>
          <w:spacing w:val="-3"/>
        </w:rPr>
        <w:t>comuni- </w:t>
      </w:r>
      <w:r>
        <w:rPr>
          <w:color w:val="231F20"/>
        </w:rPr>
        <w:t>dad y </w:t>
      </w:r>
      <w:r>
        <w:rPr>
          <w:color w:val="231F20"/>
          <w:spacing w:val="-3"/>
        </w:rPr>
        <w:t>contribuir </w:t>
      </w:r>
      <w:r>
        <w:rPr>
          <w:color w:val="231F20"/>
        </w:rPr>
        <w:t>al </w:t>
      </w:r>
      <w:r>
        <w:rPr>
          <w:color w:val="231F20"/>
          <w:spacing w:val="-3"/>
        </w:rPr>
        <w:t>desarrollo </w:t>
      </w:r>
      <w:r>
        <w:rPr>
          <w:color w:val="231F20"/>
        </w:rPr>
        <w:t>de sus </w:t>
      </w:r>
      <w:r>
        <w:rPr>
          <w:color w:val="231F20"/>
          <w:spacing w:val="-3"/>
        </w:rPr>
        <w:t>integrantes </w:t>
      </w:r>
      <w:r>
        <w:rPr>
          <w:color w:val="231F20"/>
        </w:rPr>
        <w:t>en </w:t>
      </w:r>
      <w:r>
        <w:rPr>
          <w:color w:val="231F20"/>
          <w:spacing w:val="-3"/>
        </w:rPr>
        <w:t>igualdad </w:t>
      </w:r>
      <w:r>
        <w:rPr>
          <w:color w:val="231F20"/>
        </w:rPr>
        <w:t>de </w:t>
      </w:r>
      <w:r>
        <w:rPr>
          <w:color w:val="231F20"/>
          <w:spacing w:val="-3"/>
        </w:rPr>
        <w:t>oportunidades (Reijntjes </w:t>
      </w:r>
      <w:r>
        <w:rPr>
          <w:i/>
          <w:color w:val="231F20"/>
        </w:rPr>
        <w:t>et </w:t>
      </w:r>
      <w:r>
        <w:rPr>
          <w:i/>
          <w:color w:val="231F20"/>
          <w:spacing w:val="-3"/>
        </w:rPr>
        <w:t>al</w:t>
      </w:r>
      <w:r>
        <w:rPr>
          <w:color w:val="231F20"/>
          <w:spacing w:val="-3"/>
        </w:rPr>
        <w:t>., </w:t>
      </w:r>
      <w:r>
        <w:rPr>
          <w:color w:val="231F20"/>
          <w:spacing w:val="-5"/>
        </w:rPr>
        <w:t>1992).</w:t>
      </w:r>
    </w:p>
    <w:p>
      <w:pPr>
        <w:pStyle w:val="ListParagraph"/>
        <w:numPr>
          <w:ilvl w:val="0"/>
          <w:numId w:val="8"/>
        </w:numPr>
        <w:tabs>
          <w:tab w:pos="697" w:val="left" w:leader="none"/>
        </w:tabs>
        <w:spacing w:line="256" w:lineRule="auto" w:before="113" w:after="0"/>
        <w:ind w:left="696" w:right="1551" w:hanging="284"/>
        <w:jc w:val="both"/>
        <w:rPr>
          <w:sz w:val="20"/>
        </w:rPr>
      </w:pPr>
      <w:r>
        <w:rPr>
          <w:color w:val="231F20"/>
          <w:sz w:val="20"/>
        </w:rPr>
        <w:t>En general, elevar los niveles de bienestar de  los habitantes rurales para que el medio rural sea una opción de vida digna y  </w:t>
      </w:r>
      <w:r>
        <w:rPr>
          <w:color w:val="231F20"/>
          <w:spacing w:val="21"/>
          <w:sz w:val="20"/>
        </w:rPr>
        <w:t> </w:t>
      </w:r>
      <w:r>
        <w:rPr>
          <w:color w:val="231F20"/>
          <w:sz w:val="20"/>
        </w:rPr>
        <w:t>viable.</w:t>
      </w:r>
    </w:p>
    <w:p>
      <w:pPr>
        <w:pStyle w:val="BodyText"/>
        <w:spacing w:line="256" w:lineRule="auto" w:before="113"/>
        <w:ind w:left="412" w:right="1551"/>
        <w:jc w:val="both"/>
      </w:pPr>
      <w:r>
        <w:rPr>
          <w:color w:val="231F20"/>
        </w:rPr>
        <w:t>La producción de leche en  pequeña  escala  pue- de cumplir con estos imperativos, ya que permi-   te optimizar el uso de los limitados recursos de tierra que caracterizan a las unidades de produc- ción campesinas ante condiciones económicas difíciles, al generar  ingresos  atractivos  además  de proporcionar estabilidad a las familias campe- sinas mediante la venta diaria de leche, que les permite presupuestar sus ingresos y egresos. Así,  la producción de leche en pequeña escala otorga beneficios económicos y seguridad a las familias,    y ayuda a reducir la emigración (Espinoza-Ortega  </w:t>
      </w:r>
      <w:r>
        <w:rPr>
          <w:i/>
          <w:color w:val="231F20"/>
        </w:rPr>
        <w:t>et  al</w:t>
      </w:r>
      <w:r>
        <w:rPr>
          <w:color w:val="231F20"/>
        </w:rPr>
        <w:t>.,</w:t>
      </w:r>
      <w:r>
        <w:rPr>
          <w:color w:val="231F20"/>
          <w:spacing w:val="36"/>
        </w:rPr>
        <w:t> </w:t>
      </w:r>
      <w:r>
        <w:rPr>
          <w:color w:val="231F20"/>
          <w:spacing w:val="-3"/>
        </w:rPr>
        <w:t>2007).</w:t>
      </w:r>
    </w:p>
    <w:p>
      <w:pPr>
        <w:pStyle w:val="BodyText"/>
        <w:spacing w:line="256" w:lineRule="auto" w:before="113"/>
        <w:ind w:left="412" w:right="1551"/>
        <w:jc w:val="both"/>
      </w:pPr>
      <w:r>
        <w:rPr>
          <w:color w:val="231F20"/>
        </w:rPr>
        <w:t>Actualmente se estima que entre el </w:t>
      </w:r>
      <w:r>
        <w:rPr>
          <w:color w:val="231F20"/>
          <w:spacing w:val="-3"/>
        </w:rPr>
        <w:t>12% </w:t>
      </w:r>
      <w:r>
        <w:rPr>
          <w:color w:val="231F20"/>
        </w:rPr>
        <w:t>y el </w:t>
      </w:r>
      <w:r>
        <w:rPr>
          <w:color w:val="231F20"/>
          <w:spacing w:val="-3"/>
        </w:rPr>
        <w:t>14% </w:t>
      </w:r>
      <w:r>
        <w:rPr>
          <w:color w:val="231F20"/>
        </w:rPr>
        <w:t>de la población mundial vive en unidades de pro- ducción de leche, y que entre </w:t>
      </w:r>
      <w:r>
        <w:rPr>
          <w:color w:val="231F20"/>
          <w:spacing w:val="-5"/>
        </w:rPr>
        <w:t>750 </w:t>
      </w:r>
      <w:r>
        <w:rPr>
          <w:color w:val="231F20"/>
        </w:rPr>
        <w:t>y 900 millones de personas en cerca de </w:t>
      </w:r>
      <w:r>
        <w:rPr>
          <w:color w:val="231F20"/>
          <w:spacing w:val="-3"/>
        </w:rPr>
        <w:t>149 </w:t>
      </w:r>
      <w:r>
        <w:rPr>
          <w:color w:val="231F20"/>
        </w:rPr>
        <w:t>millones de fincas mantienen ganado para la producción de  leche, sea para autoconsumo o para </w:t>
      </w:r>
      <w:r>
        <w:rPr>
          <w:color w:val="231F20"/>
          <w:spacing w:val="25"/>
        </w:rPr>
        <w:t> </w:t>
      </w:r>
      <w:r>
        <w:rPr>
          <w:color w:val="231F20"/>
        </w:rPr>
        <w:t>venta.</w:t>
      </w:r>
    </w:p>
    <w:p>
      <w:pPr>
        <w:pStyle w:val="BodyText"/>
        <w:spacing w:line="256" w:lineRule="auto" w:before="113"/>
        <w:ind w:left="412" w:right="1551"/>
        <w:jc w:val="both"/>
      </w:pPr>
      <w:r>
        <w:rPr>
          <w:color w:val="231F20"/>
        </w:rPr>
        <w:t>Los estudios de la Organización de las Naciones Unidas para la Alimentación y la Agricultura (FAO, Food and Agriculture Organization; 2010) indican que la producción de leche no sólo mejora la segu- ridad alimentaria de los hogares productores sino que también permite crear un número importante de oportunidades de ocupación a lo largo de toda la cadena productiva, incluyendo los procesadores en pequeña escala y los intermediarios, por lo que el desarrollo de la producción de leche en    peque-</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4.   Sustentabilidad de la producción de leche en   pequeña</w:t>
      </w:r>
      <w:r>
        <w:rPr>
          <w:color w:val="231F20"/>
          <w:spacing w:val="12"/>
          <w:sz w:val="18"/>
        </w:rPr>
        <w:t> </w:t>
      </w:r>
      <w:r>
        <w:rPr>
          <w:color w:val="231F20"/>
          <w:sz w:val="18"/>
        </w:rPr>
        <w:t>escala...</w:t>
      </w:r>
      <w:r>
        <w:rPr>
          <w:color w:val="231F20"/>
          <w:sz w:val="22"/>
        </w:rPr>
        <w:tab/>
      </w:r>
      <w:r>
        <w:rPr>
          <w:color w:val="231F20"/>
          <w:spacing w:val="-5"/>
          <w:sz w:val="22"/>
        </w:rPr>
        <w:t>59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9" w:lineRule="auto"/>
        <w:ind w:left="1553"/>
        <w:jc w:val="both"/>
      </w:pPr>
      <w:r>
        <w:rPr>
          <w:color w:val="231F20"/>
        </w:rPr>
        <w:t>ña escala puede desempeñar un papel importante como herramienta para reducir la pobreza y gene- rar riqueza en las áreas rurales. Igualmente, tiene  la capacidad de competir, si es capaz de mantener unos bajos costos, con la lechería en gran escala, capital intensiva y de alta tecnología de los países industrializados </w:t>
      </w:r>
      <w:r>
        <w:rPr>
          <w:color w:val="231F20"/>
          <w:spacing w:val="-4"/>
        </w:rPr>
        <w:t>(FAO, 2010). </w:t>
      </w:r>
      <w:r>
        <w:rPr>
          <w:color w:val="231F20"/>
        </w:rPr>
        <w:t>De acuerdo con  la </w:t>
      </w:r>
      <w:r>
        <w:rPr>
          <w:color w:val="231F20"/>
          <w:spacing w:val="-6"/>
        </w:rPr>
        <w:t>FAO </w:t>
      </w:r>
      <w:r>
        <w:rPr>
          <w:color w:val="231F20"/>
          <w:spacing w:val="-4"/>
        </w:rPr>
        <w:t>(2010), </w:t>
      </w:r>
      <w:r>
        <w:rPr>
          <w:color w:val="231F20"/>
        </w:rPr>
        <w:t>el consumo de leche está  creciendo año por año, sobre todo en los países en desarro- llo como consecuencia de los  mayores  ingresos  en su población. Los estudios llevados a cabo por este organismo internacional indican que la mayor parte de los incrementos en la producción futura provendrán de sistemas de producción  de  leche en pequeña escala, que ya tienen una muy amplia participación en la producción mundial de  </w:t>
      </w:r>
      <w:r>
        <w:rPr>
          <w:color w:val="231F20"/>
          <w:spacing w:val="9"/>
        </w:rPr>
        <w:t> </w:t>
      </w:r>
      <w:r>
        <w:rPr>
          <w:color w:val="231F20"/>
        </w:rPr>
        <w:t>leche.</w:t>
      </w:r>
    </w:p>
    <w:p>
      <w:pPr>
        <w:pStyle w:val="BodyText"/>
        <w:spacing w:line="259" w:lineRule="auto" w:before="114"/>
        <w:ind w:left="1553"/>
        <w:jc w:val="both"/>
      </w:pPr>
      <w:r>
        <w:rPr>
          <w:color w:val="231F20"/>
        </w:rPr>
        <w:t>El crecimiento esperado de </w:t>
      </w:r>
      <w:r>
        <w:rPr>
          <w:color w:val="231F20"/>
          <w:spacing w:val="-5"/>
        </w:rPr>
        <w:t>15 </w:t>
      </w:r>
      <w:r>
        <w:rPr>
          <w:color w:val="231F20"/>
        </w:rPr>
        <w:t>millones de tone- ladas al año indica que se generarán cerca de tres millones de empleos directos en todo el mundo,     y que los sistemas de producción de leche en pequeña  escala  contribuirán  a  la  reducción  de  la pobreza, además de mejorar la nutrición de la población rural en los países en desarrollo </w:t>
      </w:r>
      <w:r>
        <w:rPr>
          <w:color w:val="231F20"/>
          <w:spacing w:val="-4"/>
        </w:rPr>
        <w:t>(FAO, 2010).</w:t>
      </w:r>
    </w:p>
    <w:p>
      <w:pPr>
        <w:pStyle w:val="BodyText"/>
        <w:spacing w:line="259" w:lineRule="auto" w:before="114"/>
        <w:ind w:left="1553"/>
        <w:jc w:val="both"/>
      </w:pPr>
      <w:r>
        <w:rPr>
          <w:color w:val="231F20"/>
        </w:rPr>
        <w:t>En México, la producción de leche de vaca se realiza prácticamente en todo el territorio nacio- nal en cerca de </w:t>
      </w:r>
      <w:r>
        <w:rPr>
          <w:color w:val="231F20"/>
          <w:spacing w:val="3"/>
        </w:rPr>
        <w:t>369000 </w:t>
      </w:r>
      <w:r>
        <w:rPr>
          <w:color w:val="231F20"/>
        </w:rPr>
        <w:t>unidades de producción, de las cuales poco más de 154000 se  definen  como unidades  especializadas  y  105430  como  de doble propósito. La producción nacional de le- che en el año </w:t>
      </w:r>
      <w:r>
        <w:rPr>
          <w:color w:val="231F20"/>
          <w:spacing w:val="-6"/>
        </w:rPr>
        <w:t>2011 </w:t>
      </w:r>
      <w:r>
        <w:rPr>
          <w:color w:val="231F20"/>
        </w:rPr>
        <w:t>fue de </w:t>
      </w:r>
      <w:r>
        <w:rPr>
          <w:color w:val="231F20"/>
          <w:spacing w:val="3"/>
        </w:rPr>
        <w:t>10742637 </w:t>
      </w:r>
      <w:r>
        <w:rPr>
          <w:color w:val="231F20"/>
        </w:rPr>
        <w:t>miles  de  litros, ocupando el decimoséptimo lugar de todo el mundo y el segundo de América Latina, después  de Brasil, que ocupa el séptimo lugar mundial, y seguido muy de cerca por Argentina en el lugar </w:t>
      </w:r>
      <w:r>
        <w:rPr>
          <w:color w:val="231F20"/>
          <w:spacing w:val="-5"/>
        </w:rPr>
        <w:t>18 </w:t>
      </w:r>
      <w:r>
        <w:rPr>
          <w:color w:val="231F20"/>
        </w:rPr>
        <w:t>(Lactodata, </w:t>
      </w:r>
      <w:r>
        <w:rPr>
          <w:color w:val="231F20"/>
          <w:spacing w:val="41"/>
        </w:rPr>
        <w:t> </w:t>
      </w:r>
      <w:r>
        <w:rPr>
          <w:color w:val="231F20"/>
          <w:spacing w:val="-4"/>
        </w:rPr>
        <w:t>2012).</w:t>
      </w:r>
    </w:p>
    <w:p>
      <w:pPr>
        <w:pStyle w:val="BodyText"/>
        <w:spacing w:line="259" w:lineRule="auto" w:before="114"/>
        <w:ind w:left="1553"/>
        <w:jc w:val="both"/>
      </w:pPr>
      <w:r>
        <w:rPr>
          <w:color w:val="231F20"/>
        </w:rPr>
        <w:t>Los principales sistemas de producción  de  leche de vaca en México tienen distintas clasificaciones (Ortiz-Salazar </w:t>
      </w:r>
      <w:r>
        <w:rPr>
          <w:i/>
          <w:color w:val="231F20"/>
        </w:rPr>
        <w:t>et al</w:t>
      </w:r>
      <w:r>
        <w:rPr>
          <w:color w:val="231F20"/>
        </w:rPr>
        <w:t>., 2005; García-Muñiz </w:t>
      </w:r>
      <w:r>
        <w:rPr>
          <w:i/>
          <w:color w:val="231F20"/>
        </w:rPr>
        <w:t>et al</w:t>
      </w:r>
      <w:r>
        <w:rPr>
          <w:color w:val="231F20"/>
        </w:rPr>
        <w:t>., 2007). Entre ellos se encuentran los sistemas de doble propósito o de lechería tropical ubicados   en</w:t>
      </w:r>
    </w:p>
    <w:p>
      <w:pPr>
        <w:pStyle w:val="BodyText"/>
        <w:spacing w:before="3"/>
        <w:rPr>
          <w:sz w:val="28"/>
        </w:rPr>
      </w:pPr>
      <w:r>
        <w:rPr/>
        <w:br w:type="column"/>
      </w:r>
      <w:r>
        <w:rPr>
          <w:sz w:val="28"/>
        </w:rPr>
      </w:r>
    </w:p>
    <w:p>
      <w:pPr>
        <w:pStyle w:val="BodyText"/>
        <w:spacing w:line="256" w:lineRule="auto"/>
        <w:ind w:left="412" w:right="1551"/>
        <w:jc w:val="both"/>
      </w:pPr>
      <w:r>
        <w:rPr>
          <w:color w:val="231F20"/>
        </w:rPr>
        <w:t>las tierras bajas (altitudes menores de 1500 m sobre el nivel del mar), desde el sur de Sinaloa hasta la frontera con Guatemala en la vertiente del Pacífico, y desde el sur de Tamaulipas por toda la vertiente del Golfo de México y el Caribe; y los sis- temas especializados, que pueden ser a gran es- cala o escala industrial, localizados principalmente en el centro-norte del país, o de producción fami- liar o en pequeña escala, ubicados en todo el país (Arriaga-Jordán </w:t>
      </w:r>
      <w:r>
        <w:rPr>
          <w:i/>
          <w:color w:val="231F20"/>
        </w:rPr>
        <w:t>et al</w:t>
      </w:r>
      <w:r>
        <w:rPr>
          <w:color w:val="231F20"/>
        </w:rPr>
        <w:t>., 2000) pero sobre todo en el altiplano  (Espinoza-Ortega  </w:t>
      </w:r>
      <w:r>
        <w:rPr>
          <w:i/>
          <w:color w:val="231F20"/>
        </w:rPr>
        <w:t>et  al</w:t>
      </w:r>
      <w:r>
        <w:rPr>
          <w:color w:val="231F20"/>
        </w:rPr>
        <w:t>., 2005).</w:t>
      </w:r>
    </w:p>
    <w:p>
      <w:pPr>
        <w:pStyle w:val="BodyText"/>
      </w:pPr>
    </w:p>
    <w:p>
      <w:pPr>
        <w:pStyle w:val="BodyText"/>
        <w:spacing w:line="256" w:lineRule="auto" w:before="152"/>
        <w:ind w:left="412" w:right="2204"/>
      </w:pPr>
      <w:r>
        <w:rPr>
          <w:color w:val="231F20"/>
          <w:w w:val="110"/>
        </w:rPr>
        <w:t>SISTEMAS DE PRODUCCIÓN DE LECHE EN PEQUEÑA ESCALA</w:t>
      </w:r>
    </w:p>
    <w:p>
      <w:pPr>
        <w:pStyle w:val="BodyText"/>
        <w:spacing w:line="256" w:lineRule="auto" w:before="113"/>
        <w:ind w:left="412" w:right="1551"/>
        <w:jc w:val="both"/>
      </w:pPr>
      <w:r>
        <w:rPr>
          <w:color w:val="231F20"/>
        </w:rPr>
        <w:t>Los sistemas de producción de leche se desarro- llan en condiciones socioeconómicas, agroecoló- gicas y tecnológicas muy heterogéneas, y tienen gran importancia porque contribuyen con un 37%  a la producción total  </w:t>
      </w:r>
      <w:r>
        <w:rPr>
          <w:color w:val="231F20"/>
          <w:spacing w:val="-4"/>
        </w:rPr>
        <w:t>(FAO,  </w:t>
      </w:r>
      <w:r>
        <w:rPr>
          <w:color w:val="231F20"/>
          <w:spacing w:val="-5"/>
        </w:rPr>
        <w:t>2010)  </w:t>
      </w:r>
      <w:r>
        <w:rPr>
          <w:color w:val="231F20"/>
        </w:rPr>
        <w:t>y  poseen  el  24%  de  los  vientres  (INEGI, </w:t>
      </w:r>
      <w:r>
        <w:rPr>
          <w:color w:val="231F20"/>
          <w:spacing w:val="11"/>
        </w:rPr>
        <w:t> </w:t>
      </w:r>
      <w:r>
        <w:rPr>
          <w:color w:val="231F20"/>
          <w:spacing w:val="-3"/>
        </w:rPr>
        <w:t>2007).</w:t>
      </w:r>
    </w:p>
    <w:p>
      <w:pPr>
        <w:pStyle w:val="BodyText"/>
        <w:spacing w:line="256" w:lineRule="auto" w:before="113"/>
        <w:ind w:left="412" w:right="1551"/>
        <w:jc w:val="both"/>
      </w:pPr>
      <w:r>
        <w:rPr>
          <w:color w:val="231F20"/>
        </w:rPr>
        <w:t>Los sistemas de producción de  leche  en  peque- ña escala se caracterizan por contar con pequeñas unidades de producción en  cuanto  a  superficie  de tierra y tamaño de los hatos, y porque la ven-   ta de leche proporciona ingresos fundamentales para la familia, que pueden o no complementarse con ingresos generados por otras actividades den- tro de la unidad de producción o fuera de ésta; utilizan primordialmente fuerza de trabajo familiar y están integrados al mercado como proveedores. La lechería campesina tradicionalmente ha estado ligada a la producción de maíz, pero en la década de 1990, debido a la crisis del grano, la conforma- ción de los ingresos de estos sistemas ha cambia- do hasta el punto de que la producción de leche   se ha convertido en su principal ingreso (Espino- za-Ortega  </w:t>
      </w:r>
      <w:r>
        <w:rPr>
          <w:i/>
          <w:color w:val="231F20"/>
        </w:rPr>
        <w:t>et  al</w:t>
      </w:r>
      <w:r>
        <w:rPr>
          <w:color w:val="231F20"/>
        </w:rPr>
        <w:t>.,</w:t>
      </w:r>
      <w:r>
        <w:rPr>
          <w:color w:val="231F20"/>
          <w:spacing w:val="4"/>
        </w:rPr>
        <w:t> </w:t>
      </w:r>
      <w:r>
        <w:rPr>
          <w:color w:val="231F20"/>
        </w:rPr>
        <w:t>2005).</w:t>
      </w:r>
    </w:p>
    <w:p>
      <w:pPr>
        <w:pStyle w:val="BodyText"/>
        <w:spacing w:line="256" w:lineRule="auto" w:before="113"/>
        <w:ind w:left="412" w:right="1551"/>
        <w:jc w:val="both"/>
      </w:pPr>
      <w:r>
        <w:rPr>
          <w:color w:val="231F20"/>
        </w:rPr>
        <w:t>Los sistemas de producción de leche en pequeña escala, además, constituyen una fuente</w:t>
      </w:r>
      <w:r>
        <w:rPr>
          <w:color w:val="231F20"/>
          <w:spacing w:val="-10"/>
        </w:rPr>
        <w:t> </w:t>
      </w:r>
      <w:r>
        <w:rPr>
          <w:color w:val="231F20"/>
        </w:rPr>
        <w:t>importante de materia prima para la fabricación de lácteos en agroindustrias rurales de pequeña y mediana</w:t>
      </w:r>
      <w:r>
        <w:rPr>
          <w:color w:val="231F20"/>
          <w:spacing w:val="32"/>
        </w:rPr>
        <w:t> </w:t>
      </w:r>
      <w:r>
        <w:rPr>
          <w:color w:val="231F20"/>
        </w:rPr>
        <w:t>esca-</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60</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4" w:lineRule="auto" w:before="67"/>
        <w:ind w:left="1553"/>
        <w:jc w:val="both"/>
      </w:pPr>
      <w:r>
        <w:rPr>
          <w:color w:val="231F20"/>
        </w:rPr>
        <w:t>la. Estos sistemas se basan en la explotación </w:t>
      </w:r>
      <w:r>
        <w:rPr>
          <w:color w:val="231F20"/>
          <w:spacing w:val="-2"/>
        </w:rPr>
        <w:t>del </w:t>
      </w:r>
      <w:r>
        <w:rPr>
          <w:color w:val="231F20"/>
        </w:rPr>
        <w:t>ganado en condiciones de estabulación o semies- tabulación, empleando fuerza de trabajo </w:t>
      </w:r>
      <w:r>
        <w:rPr>
          <w:color w:val="231F20"/>
          <w:spacing w:val="-3"/>
        </w:rPr>
        <w:t>familiar, </w:t>
      </w:r>
      <w:r>
        <w:rPr>
          <w:color w:val="231F20"/>
        </w:rPr>
        <w:t>en instalaciones muy cercanas a la vivienda. Las ra- zas del ganado predominantes son Holstein, Suizo </w:t>
      </w:r>
      <w:r>
        <w:rPr>
          <w:color w:val="231F20"/>
          <w:spacing w:val="-3"/>
        </w:rPr>
        <w:t>Pardo </w:t>
      </w:r>
      <w:r>
        <w:rPr>
          <w:color w:val="231F20"/>
        </w:rPr>
        <w:t>y cruces (Ortiz Salazar </w:t>
      </w:r>
      <w:r>
        <w:rPr>
          <w:i/>
          <w:color w:val="231F20"/>
        </w:rPr>
        <w:t>et al</w:t>
      </w:r>
      <w:r>
        <w:rPr>
          <w:color w:val="231F20"/>
        </w:rPr>
        <w:t>., </w:t>
      </w:r>
      <w:r>
        <w:rPr>
          <w:color w:val="231F20"/>
          <w:spacing w:val="-3"/>
        </w:rPr>
        <w:t>2005). Por </w:t>
      </w:r>
      <w:r>
        <w:rPr>
          <w:color w:val="231F20"/>
        </w:rPr>
        <w:t>lo general la ordeña se realiza a mano, pero en algu- nos casos se hace de manera mecánica, y pocos productores cuentan con instalaciones para</w:t>
      </w:r>
      <w:r>
        <w:rPr>
          <w:color w:val="231F20"/>
          <w:spacing w:val="-33"/>
        </w:rPr>
        <w:t> </w:t>
      </w:r>
      <w:r>
        <w:rPr>
          <w:color w:val="231F20"/>
        </w:rPr>
        <w:t>refrige- ración. La reproducción es por monta natural y en menor grado por inseminación artificial; no </w:t>
      </w:r>
      <w:r>
        <w:rPr>
          <w:color w:val="231F20"/>
          <w:spacing w:val="-2"/>
        </w:rPr>
        <w:t>suelen </w:t>
      </w:r>
      <w:r>
        <w:rPr>
          <w:color w:val="231F20"/>
        </w:rPr>
        <w:t>llevarse</w:t>
      </w:r>
      <w:r>
        <w:rPr>
          <w:color w:val="231F20"/>
          <w:spacing w:val="-25"/>
        </w:rPr>
        <w:t> </w:t>
      </w:r>
      <w:r>
        <w:rPr>
          <w:color w:val="231F20"/>
        </w:rPr>
        <w:t>registros</w:t>
      </w:r>
      <w:r>
        <w:rPr>
          <w:color w:val="231F20"/>
          <w:spacing w:val="-25"/>
        </w:rPr>
        <w:t> </w:t>
      </w:r>
      <w:r>
        <w:rPr>
          <w:color w:val="231F20"/>
        </w:rPr>
        <w:t>productivos</w:t>
      </w:r>
      <w:r>
        <w:rPr>
          <w:color w:val="231F20"/>
          <w:spacing w:val="-25"/>
        </w:rPr>
        <w:t> </w:t>
      </w:r>
      <w:r>
        <w:rPr>
          <w:color w:val="231F20"/>
        </w:rPr>
        <w:t>ni</w:t>
      </w:r>
      <w:r>
        <w:rPr>
          <w:color w:val="231F20"/>
          <w:spacing w:val="-25"/>
        </w:rPr>
        <w:t> </w:t>
      </w:r>
      <w:r>
        <w:rPr>
          <w:color w:val="231F20"/>
        </w:rPr>
        <w:t>reproductivos.</w:t>
      </w:r>
    </w:p>
    <w:p>
      <w:pPr>
        <w:pStyle w:val="BodyText"/>
        <w:spacing w:line="264" w:lineRule="auto" w:before="114"/>
        <w:ind w:left="1553"/>
        <w:jc w:val="both"/>
      </w:pPr>
      <w:r>
        <w:rPr>
          <w:color w:val="231F20"/>
        </w:rPr>
        <w:t>Las unidades de producción de leche en México generan más de 200000 empleos permanentes remunerados, de los cuales se estima que por lo menos un 28% corresponde a sistemas de pro- ducción en pequeña escala (Cesín Vargas y Cer- vantes Escoto, 2009). A este tipo de explotaciones no se les ha dado la importancia que requieren y, por ende, están insuficientemente estudiadas. En- tre sus aportes, además del empleo que generan</w:t>
      </w:r>
      <w:r>
        <w:rPr>
          <w:color w:val="231F20"/>
          <w:w w:val="100"/>
        </w:rPr>
        <w:t> </w:t>
      </w:r>
      <w:r>
        <w:rPr>
          <w:color w:val="231F20"/>
        </w:rPr>
        <w:t>en el medio rural, estas explotaciones proveen de leche  para  la  elaboración  de  derivados artesana-</w:t>
      </w:r>
    </w:p>
    <w:p>
      <w:pPr>
        <w:pStyle w:val="BodyText"/>
        <w:spacing w:line="273" w:lineRule="auto" w:before="67"/>
        <w:ind w:left="412" w:right="1551"/>
        <w:jc w:val="both"/>
      </w:pPr>
      <w:r>
        <w:rPr/>
        <w:br w:type="column"/>
      </w:r>
      <w:r>
        <w:rPr>
          <w:color w:val="231F20"/>
        </w:rPr>
        <w:t>les que forman parte del patrimonio gastronómico del país, además de contribuir a la nutrición de las familias ganaderas y de las poblaciones cercanas (Cesín Vargas y Cervantes Escoto,    2009).</w:t>
      </w:r>
    </w:p>
    <w:p>
      <w:pPr>
        <w:pStyle w:val="BodyText"/>
        <w:spacing w:line="273" w:lineRule="auto" w:before="112"/>
        <w:ind w:left="412" w:right="1551"/>
        <w:jc w:val="both"/>
      </w:pPr>
      <w:r>
        <w:rPr>
          <w:color w:val="231F20"/>
        </w:rPr>
        <w:t>La relevancia de los sistemas de producción de leche en pequeña escala estriba  en  que  el  </w:t>
      </w:r>
      <w:r>
        <w:rPr>
          <w:color w:val="231F20"/>
          <w:spacing w:val="-3"/>
        </w:rPr>
        <w:t>79% </w:t>
      </w:r>
      <w:r>
        <w:rPr>
          <w:color w:val="231F20"/>
        </w:rPr>
        <w:t>de las 154045 unidades de producción de leche registradas en el VIII Censo Agrícola, Pecuario y Fo- restal (INEGI, </w:t>
      </w:r>
      <w:r>
        <w:rPr>
          <w:color w:val="231F20"/>
          <w:spacing w:val="-3"/>
        </w:rPr>
        <w:t>2007) </w:t>
      </w:r>
      <w:r>
        <w:rPr>
          <w:color w:val="231F20"/>
        </w:rPr>
        <w:t>tienen hatos de menos de 30 vacas y suponen el 37% de la producción nacional de leche (IFCN, </w:t>
      </w:r>
      <w:r>
        <w:rPr>
          <w:color w:val="231F20"/>
          <w:spacing w:val="-3"/>
        </w:rPr>
        <w:t>2007). </w:t>
      </w:r>
      <w:r>
        <w:rPr>
          <w:color w:val="231F20"/>
        </w:rPr>
        <w:t>Además, aportan  seguri-  dad alimentaria a las familias productoras </w:t>
      </w:r>
      <w:r>
        <w:rPr>
          <w:color w:val="231F20"/>
          <w:spacing w:val="-4"/>
        </w:rPr>
        <w:t>(FAO, </w:t>
      </w:r>
      <w:r>
        <w:rPr>
          <w:color w:val="231F20"/>
          <w:spacing w:val="-5"/>
        </w:rPr>
        <w:t>2010)   </w:t>
      </w:r>
      <w:r>
        <w:rPr>
          <w:color w:val="231F20"/>
        </w:rPr>
        <w:t>(Cuadro </w:t>
      </w:r>
      <w:r>
        <w:rPr>
          <w:color w:val="231F20"/>
          <w:spacing w:val="43"/>
        </w:rPr>
        <w:t> </w:t>
      </w:r>
      <w:r>
        <w:rPr>
          <w:color w:val="231F20"/>
        </w:rPr>
        <w:t>1).</w:t>
      </w:r>
    </w:p>
    <w:p>
      <w:pPr>
        <w:pStyle w:val="BodyText"/>
        <w:spacing w:line="273" w:lineRule="auto" w:before="112"/>
        <w:ind w:left="412" w:right="1551"/>
        <w:jc w:val="both"/>
      </w:pPr>
      <w:r>
        <w:rPr>
          <w:color w:val="231F20"/>
        </w:rPr>
        <w:t>Los sistemas de producción de leche en pequeña escala están ligados a la producción del maíz (Es- pinoza-Ortega </w:t>
      </w:r>
      <w:r>
        <w:rPr>
          <w:i/>
          <w:color w:val="231F20"/>
        </w:rPr>
        <w:t>et al</w:t>
      </w:r>
      <w:r>
        <w:rPr>
          <w:color w:val="231F20"/>
        </w:rPr>
        <w:t>., 2005). La simbiosis de los sistemas agropecuarios radica en el uso eficiente de los subproductos de la cosecha, de escaso va- lor nutricional, provenientes básicamente del ras- trojo del maíz, y en su posterior transformación en fuentes de proteína de excelente calidad, como la leche y la</w:t>
      </w:r>
      <w:r>
        <w:rPr>
          <w:color w:val="231F20"/>
          <w:spacing w:val="34"/>
        </w:rPr>
        <w:t> </w:t>
      </w:r>
      <w:r>
        <w:rPr>
          <w:color w:val="231F20"/>
        </w:rPr>
        <w:t>carne.</w:t>
      </w:r>
    </w:p>
    <w:p>
      <w:pPr>
        <w:spacing w:after="0" w:line="273" w:lineRule="auto"/>
        <w:jc w:val="both"/>
        <w:sectPr>
          <w:type w:val="continuous"/>
          <w:pgSz w:w="11900" w:h="14450"/>
          <w:pgMar w:top="420" w:bottom="420" w:left="0" w:right="0"/>
          <w:cols w:num="2" w:equalWidth="0">
            <w:col w:w="5722" w:space="40"/>
            <w:col w:w="6138"/>
          </w:cols>
        </w:sectPr>
      </w:pPr>
    </w:p>
    <w:p>
      <w:pPr>
        <w:pStyle w:val="BodyText"/>
        <w:spacing w:before="6"/>
        <w:rPr>
          <w:sz w:val="13"/>
        </w:rPr>
      </w:pPr>
    </w:p>
    <w:p>
      <w:pPr>
        <w:spacing w:before="72"/>
        <w:ind w:left="1553" w:right="2503" w:firstLine="0"/>
        <w:jc w:val="left"/>
        <w:rPr>
          <w:sz w:val="18"/>
        </w:rPr>
      </w:pPr>
      <w:r>
        <w:rPr>
          <w:color w:val="231F20"/>
          <w:sz w:val="18"/>
        </w:rPr>
        <w:t>Cuadro 1.   Estructura de la producción lechera especializada en    México.</w:t>
      </w:r>
    </w:p>
    <w:p>
      <w:pPr>
        <w:pStyle w:val="BodyText"/>
        <w:spacing w:before="7"/>
        <w:rPr>
          <w:sz w:val="12"/>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83"/>
        <w:gridCol w:w="1420"/>
        <w:gridCol w:w="1117"/>
        <w:gridCol w:w="1332"/>
        <w:gridCol w:w="1139"/>
        <w:gridCol w:w="2286"/>
      </w:tblGrid>
      <w:tr>
        <w:trPr>
          <w:trHeight w:val="633" w:hRule="exact"/>
        </w:trPr>
        <w:tc>
          <w:tcPr>
            <w:tcW w:w="1483" w:type="dxa"/>
            <w:vMerge w:val="restart"/>
            <w:tcBorders>
              <w:left w:val="nil"/>
            </w:tcBorders>
          </w:tcPr>
          <w:p>
            <w:pPr>
              <w:pStyle w:val="TableParagraph"/>
              <w:spacing w:before="9"/>
              <w:rPr>
                <w:sz w:val="21"/>
              </w:rPr>
            </w:pPr>
          </w:p>
          <w:p>
            <w:pPr>
              <w:pStyle w:val="TableParagraph"/>
              <w:spacing w:line="295" w:lineRule="auto" w:before="1"/>
              <w:ind w:left="428" w:firstLine="39"/>
              <w:rPr>
                <w:rFonts w:ascii="Cambria"/>
                <w:i/>
                <w:sz w:val="18"/>
              </w:rPr>
            </w:pPr>
            <w:r>
              <w:rPr>
                <w:rFonts w:ascii="Cambria"/>
                <w:i/>
                <w:color w:val="231F20"/>
                <w:sz w:val="18"/>
              </w:rPr>
              <w:t>Estrato </w:t>
            </w:r>
            <w:r>
              <w:rPr>
                <w:rFonts w:ascii="Cambria"/>
                <w:i/>
                <w:color w:val="231F20"/>
                <w:sz w:val="18"/>
              </w:rPr>
              <w:t>vientres</w:t>
            </w:r>
          </w:p>
        </w:tc>
        <w:tc>
          <w:tcPr>
            <w:tcW w:w="2537" w:type="dxa"/>
            <w:gridSpan w:val="2"/>
          </w:tcPr>
          <w:p>
            <w:pPr>
              <w:pStyle w:val="TableParagraph"/>
              <w:spacing w:before="4"/>
              <w:rPr>
                <w:sz w:val="17"/>
              </w:rPr>
            </w:pPr>
          </w:p>
          <w:p>
            <w:pPr>
              <w:pStyle w:val="TableParagraph"/>
              <w:spacing w:before="0"/>
              <w:ind w:left="279"/>
              <w:rPr>
                <w:rFonts w:ascii="Cambria" w:hAnsi="Cambria"/>
                <w:i/>
                <w:sz w:val="18"/>
              </w:rPr>
            </w:pPr>
            <w:r>
              <w:rPr>
                <w:rFonts w:ascii="Cambria" w:hAnsi="Cambria"/>
                <w:i/>
                <w:color w:val="231F20"/>
                <w:w w:val="110"/>
                <w:sz w:val="18"/>
              </w:rPr>
              <w:t>Unidades de producción</w:t>
            </w:r>
          </w:p>
        </w:tc>
        <w:tc>
          <w:tcPr>
            <w:tcW w:w="2471" w:type="dxa"/>
            <w:gridSpan w:val="2"/>
          </w:tcPr>
          <w:p>
            <w:pPr>
              <w:pStyle w:val="TableParagraph"/>
              <w:spacing w:before="4"/>
              <w:rPr>
                <w:sz w:val="17"/>
              </w:rPr>
            </w:pPr>
          </w:p>
          <w:p>
            <w:pPr>
              <w:pStyle w:val="TableParagraph"/>
              <w:spacing w:before="0"/>
              <w:ind w:left="548"/>
              <w:rPr>
                <w:rFonts w:ascii="Cambria"/>
                <w:i/>
                <w:sz w:val="18"/>
              </w:rPr>
            </w:pPr>
            <w:r>
              <w:rPr>
                <w:rFonts w:ascii="Cambria"/>
                <w:i/>
                <w:color w:val="231F20"/>
                <w:w w:val="105"/>
                <w:sz w:val="18"/>
              </w:rPr>
              <w:t>Vientres lecheros</w:t>
            </w:r>
          </w:p>
        </w:tc>
        <w:tc>
          <w:tcPr>
            <w:tcW w:w="2286" w:type="dxa"/>
            <w:vMerge w:val="restart"/>
            <w:tcBorders>
              <w:right w:val="nil"/>
            </w:tcBorders>
          </w:tcPr>
          <w:p>
            <w:pPr>
              <w:pStyle w:val="TableParagraph"/>
              <w:spacing w:line="295" w:lineRule="auto" w:before="79"/>
              <w:ind w:left="317" w:right="320"/>
              <w:jc w:val="center"/>
              <w:rPr>
                <w:rFonts w:ascii="Cambria" w:hAnsi="Cambria"/>
                <w:i/>
                <w:sz w:val="18"/>
              </w:rPr>
            </w:pPr>
            <w:r>
              <w:rPr>
                <w:rFonts w:ascii="Cambria" w:hAnsi="Cambria"/>
                <w:i/>
                <w:color w:val="231F20"/>
                <w:w w:val="105"/>
                <w:sz w:val="18"/>
              </w:rPr>
              <w:t>Aporte a la </w:t>
            </w:r>
            <w:r>
              <w:rPr>
                <w:rFonts w:ascii="Cambria" w:hAnsi="Cambria"/>
                <w:i/>
                <w:color w:val="231F20"/>
                <w:w w:val="105"/>
                <w:sz w:val="18"/>
              </w:rPr>
              <w:t>producción nacional</w:t>
            </w:r>
          </w:p>
          <w:p>
            <w:pPr>
              <w:pStyle w:val="TableParagraph"/>
              <w:spacing w:before="114"/>
              <w:ind w:right="4"/>
              <w:jc w:val="center"/>
              <w:rPr>
                <w:rFonts w:ascii="Cambria"/>
                <w:i/>
                <w:sz w:val="18"/>
              </w:rPr>
            </w:pPr>
            <w:r>
              <w:rPr>
                <w:rFonts w:ascii="Cambria"/>
                <w:i/>
                <w:color w:val="231F20"/>
                <w:w w:val="106"/>
                <w:sz w:val="18"/>
              </w:rPr>
              <w:t>%</w:t>
            </w:r>
          </w:p>
        </w:tc>
      </w:tr>
      <w:tr>
        <w:trPr>
          <w:trHeight w:val="369" w:hRule="exact"/>
        </w:trPr>
        <w:tc>
          <w:tcPr>
            <w:tcW w:w="1483" w:type="dxa"/>
            <w:vMerge/>
            <w:tcBorders>
              <w:left w:val="nil"/>
            </w:tcBorders>
          </w:tcPr>
          <w:p>
            <w:pPr/>
          </w:p>
        </w:tc>
        <w:tc>
          <w:tcPr>
            <w:tcW w:w="1420" w:type="dxa"/>
          </w:tcPr>
          <w:p>
            <w:pPr>
              <w:pStyle w:val="TableParagraph"/>
              <w:spacing w:before="79"/>
              <w:jc w:val="center"/>
              <w:rPr>
                <w:rFonts w:ascii="Cambria"/>
                <w:i/>
                <w:sz w:val="18"/>
              </w:rPr>
            </w:pPr>
            <w:r>
              <w:rPr>
                <w:rFonts w:ascii="Cambria"/>
                <w:i/>
                <w:color w:val="231F20"/>
                <w:w w:val="105"/>
                <w:sz w:val="18"/>
              </w:rPr>
              <w:t>N</w:t>
            </w:r>
          </w:p>
        </w:tc>
        <w:tc>
          <w:tcPr>
            <w:tcW w:w="1117" w:type="dxa"/>
          </w:tcPr>
          <w:p>
            <w:pPr>
              <w:pStyle w:val="TableParagraph"/>
              <w:spacing w:before="79"/>
              <w:jc w:val="center"/>
              <w:rPr>
                <w:rFonts w:ascii="Cambria"/>
                <w:i/>
                <w:sz w:val="18"/>
              </w:rPr>
            </w:pPr>
            <w:r>
              <w:rPr>
                <w:rFonts w:ascii="Cambria"/>
                <w:i/>
                <w:color w:val="231F20"/>
                <w:w w:val="106"/>
                <w:sz w:val="18"/>
              </w:rPr>
              <w:t>%</w:t>
            </w:r>
          </w:p>
        </w:tc>
        <w:tc>
          <w:tcPr>
            <w:tcW w:w="1332" w:type="dxa"/>
          </w:tcPr>
          <w:p>
            <w:pPr>
              <w:pStyle w:val="TableParagraph"/>
              <w:spacing w:before="79"/>
              <w:ind w:left="319"/>
              <w:rPr>
                <w:rFonts w:ascii="Cambria"/>
                <w:i/>
                <w:sz w:val="18"/>
              </w:rPr>
            </w:pPr>
            <w:r>
              <w:rPr>
                <w:rFonts w:ascii="Cambria"/>
                <w:i/>
                <w:color w:val="231F20"/>
                <w:w w:val="110"/>
                <w:sz w:val="18"/>
              </w:rPr>
              <w:t>Cabezas</w:t>
            </w:r>
          </w:p>
        </w:tc>
        <w:tc>
          <w:tcPr>
            <w:tcW w:w="1139" w:type="dxa"/>
          </w:tcPr>
          <w:p>
            <w:pPr>
              <w:pStyle w:val="TableParagraph"/>
              <w:spacing w:before="79"/>
              <w:jc w:val="center"/>
              <w:rPr>
                <w:rFonts w:ascii="Cambria"/>
                <w:i/>
                <w:sz w:val="18"/>
              </w:rPr>
            </w:pPr>
            <w:r>
              <w:rPr>
                <w:rFonts w:ascii="Cambria"/>
                <w:i/>
                <w:color w:val="231F20"/>
                <w:w w:val="106"/>
                <w:sz w:val="18"/>
              </w:rPr>
              <w:t>%</w:t>
            </w:r>
          </w:p>
        </w:tc>
        <w:tc>
          <w:tcPr>
            <w:tcW w:w="2286" w:type="dxa"/>
            <w:vMerge/>
            <w:tcBorders>
              <w:right w:val="nil"/>
            </w:tcBorders>
          </w:tcPr>
          <w:p>
            <w:pPr/>
          </w:p>
        </w:tc>
      </w:tr>
      <w:tr>
        <w:trPr>
          <w:trHeight w:val="354" w:hRule="exact"/>
        </w:trPr>
        <w:tc>
          <w:tcPr>
            <w:tcW w:w="1483" w:type="dxa"/>
            <w:tcBorders>
              <w:left w:val="nil"/>
            </w:tcBorders>
          </w:tcPr>
          <w:p>
            <w:pPr>
              <w:pStyle w:val="TableParagraph"/>
              <w:ind w:left="113"/>
              <w:rPr>
                <w:sz w:val="17"/>
              </w:rPr>
            </w:pPr>
            <w:r>
              <w:rPr>
                <w:color w:val="231F20"/>
                <w:w w:val="110"/>
                <w:sz w:val="17"/>
              </w:rPr>
              <w:t>Hasta 10</w:t>
            </w:r>
          </w:p>
        </w:tc>
        <w:tc>
          <w:tcPr>
            <w:tcW w:w="1420" w:type="dxa"/>
          </w:tcPr>
          <w:p>
            <w:pPr>
              <w:pStyle w:val="TableParagraph"/>
              <w:ind w:right="389"/>
              <w:jc w:val="right"/>
              <w:rPr>
                <w:sz w:val="17"/>
              </w:rPr>
            </w:pPr>
            <w:r>
              <w:rPr>
                <w:color w:val="231F20"/>
                <w:w w:val="115"/>
                <w:sz w:val="17"/>
              </w:rPr>
              <w:t>57 564</w:t>
            </w:r>
          </w:p>
        </w:tc>
        <w:tc>
          <w:tcPr>
            <w:tcW w:w="1117" w:type="dxa"/>
          </w:tcPr>
          <w:p>
            <w:pPr>
              <w:pStyle w:val="TableParagraph"/>
              <w:ind w:right="393"/>
              <w:jc w:val="right"/>
              <w:rPr>
                <w:sz w:val="17"/>
              </w:rPr>
            </w:pPr>
            <w:r>
              <w:rPr>
                <w:color w:val="231F20"/>
                <w:w w:val="110"/>
                <w:sz w:val="17"/>
              </w:rPr>
              <w:t>37,37</w:t>
            </w:r>
          </w:p>
        </w:tc>
        <w:tc>
          <w:tcPr>
            <w:tcW w:w="1332" w:type="dxa"/>
          </w:tcPr>
          <w:p>
            <w:pPr>
              <w:pStyle w:val="TableParagraph"/>
              <w:ind w:right="219"/>
              <w:jc w:val="right"/>
              <w:rPr>
                <w:sz w:val="17"/>
              </w:rPr>
            </w:pPr>
            <w:r>
              <w:rPr>
                <w:color w:val="231F20"/>
                <w:w w:val="115"/>
                <w:sz w:val="17"/>
              </w:rPr>
              <w:t>278684</w:t>
            </w:r>
          </w:p>
        </w:tc>
        <w:tc>
          <w:tcPr>
            <w:tcW w:w="1139" w:type="dxa"/>
          </w:tcPr>
          <w:p>
            <w:pPr>
              <w:pStyle w:val="TableParagraph"/>
              <w:ind w:left="331" w:right="246"/>
              <w:jc w:val="center"/>
              <w:rPr>
                <w:sz w:val="17"/>
              </w:rPr>
            </w:pPr>
            <w:r>
              <w:rPr>
                <w:color w:val="231F20"/>
                <w:w w:val="110"/>
                <w:sz w:val="17"/>
              </w:rPr>
              <w:t>9,40</w:t>
            </w:r>
          </w:p>
        </w:tc>
        <w:tc>
          <w:tcPr>
            <w:tcW w:w="2286" w:type="dxa"/>
            <w:tcBorders>
              <w:right w:val="nil"/>
            </w:tcBorders>
          </w:tcPr>
          <w:p>
            <w:pPr>
              <w:pStyle w:val="TableParagraph"/>
              <w:ind w:left="317" w:right="238"/>
              <w:jc w:val="center"/>
              <w:rPr>
                <w:sz w:val="17"/>
              </w:rPr>
            </w:pPr>
            <w:r>
              <w:rPr>
                <w:color w:val="231F20"/>
                <w:w w:val="110"/>
                <w:sz w:val="17"/>
              </w:rPr>
              <w:t>7,0</w:t>
            </w:r>
          </w:p>
        </w:tc>
      </w:tr>
      <w:tr>
        <w:trPr>
          <w:trHeight w:val="354" w:hRule="exact"/>
        </w:trPr>
        <w:tc>
          <w:tcPr>
            <w:tcW w:w="1483" w:type="dxa"/>
            <w:tcBorders>
              <w:left w:val="nil"/>
            </w:tcBorders>
          </w:tcPr>
          <w:p>
            <w:pPr>
              <w:pStyle w:val="TableParagraph"/>
              <w:ind w:left="113"/>
              <w:rPr>
                <w:sz w:val="17"/>
              </w:rPr>
            </w:pPr>
            <w:r>
              <w:rPr>
                <w:color w:val="231F20"/>
                <w:w w:val="110"/>
                <w:sz w:val="17"/>
              </w:rPr>
              <w:t>11 a 30</w:t>
            </w:r>
          </w:p>
        </w:tc>
        <w:tc>
          <w:tcPr>
            <w:tcW w:w="1420" w:type="dxa"/>
          </w:tcPr>
          <w:p>
            <w:pPr>
              <w:pStyle w:val="TableParagraph"/>
              <w:ind w:right="389"/>
              <w:jc w:val="right"/>
              <w:rPr>
                <w:sz w:val="17"/>
              </w:rPr>
            </w:pPr>
            <w:r>
              <w:rPr>
                <w:color w:val="231F20"/>
                <w:w w:val="115"/>
                <w:sz w:val="17"/>
              </w:rPr>
              <w:t>63547</w:t>
            </w:r>
          </w:p>
        </w:tc>
        <w:tc>
          <w:tcPr>
            <w:tcW w:w="1117" w:type="dxa"/>
          </w:tcPr>
          <w:p>
            <w:pPr>
              <w:pStyle w:val="TableParagraph"/>
              <w:ind w:right="389"/>
              <w:jc w:val="right"/>
              <w:rPr>
                <w:sz w:val="17"/>
              </w:rPr>
            </w:pPr>
            <w:r>
              <w:rPr>
                <w:color w:val="231F20"/>
                <w:w w:val="110"/>
                <w:sz w:val="17"/>
              </w:rPr>
              <w:t>41,25</w:t>
            </w:r>
          </w:p>
        </w:tc>
        <w:tc>
          <w:tcPr>
            <w:tcW w:w="1332" w:type="dxa"/>
          </w:tcPr>
          <w:p>
            <w:pPr>
              <w:pStyle w:val="TableParagraph"/>
              <w:ind w:right="219"/>
              <w:jc w:val="right"/>
              <w:rPr>
                <w:sz w:val="17"/>
              </w:rPr>
            </w:pPr>
            <w:r>
              <w:rPr>
                <w:color w:val="231F20"/>
                <w:w w:val="115"/>
                <w:sz w:val="17"/>
              </w:rPr>
              <w:t>751684</w:t>
            </w:r>
          </w:p>
        </w:tc>
        <w:tc>
          <w:tcPr>
            <w:tcW w:w="1139" w:type="dxa"/>
          </w:tcPr>
          <w:p>
            <w:pPr>
              <w:pStyle w:val="TableParagraph"/>
              <w:ind w:left="330" w:right="331"/>
              <w:jc w:val="center"/>
              <w:rPr>
                <w:sz w:val="17"/>
              </w:rPr>
            </w:pPr>
            <w:r>
              <w:rPr>
                <w:color w:val="231F20"/>
                <w:w w:val="110"/>
                <w:sz w:val="17"/>
              </w:rPr>
              <w:t>25,34</w:t>
            </w:r>
          </w:p>
        </w:tc>
        <w:tc>
          <w:tcPr>
            <w:tcW w:w="2286" w:type="dxa"/>
            <w:tcBorders>
              <w:right w:val="nil"/>
            </w:tcBorders>
          </w:tcPr>
          <w:p>
            <w:pPr>
              <w:pStyle w:val="TableParagraph"/>
              <w:ind w:left="316" w:right="320"/>
              <w:jc w:val="center"/>
              <w:rPr>
                <w:sz w:val="17"/>
              </w:rPr>
            </w:pPr>
            <w:r>
              <w:rPr>
                <w:color w:val="231F20"/>
                <w:w w:val="110"/>
                <w:sz w:val="17"/>
              </w:rPr>
              <w:t>18,5</w:t>
            </w:r>
          </w:p>
        </w:tc>
      </w:tr>
      <w:tr>
        <w:trPr>
          <w:trHeight w:val="354" w:hRule="exact"/>
        </w:trPr>
        <w:tc>
          <w:tcPr>
            <w:tcW w:w="1483" w:type="dxa"/>
            <w:tcBorders>
              <w:left w:val="nil"/>
            </w:tcBorders>
          </w:tcPr>
          <w:p>
            <w:pPr>
              <w:pStyle w:val="TableParagraph"/>
              <w:ind w:left="113"/>
              <w:rPr>
                <w:sz w:val="17"/>
              </w:rPr>
            </w:pPr>
            <w:r>
              <w:rPr>
                <w:color w:val="231F20"/>
                <w:w w:val="110"/>
                <w:sz w:val="17"/>
              </w:rPr>
              <w:t>31 a 60</w:t>
            </w:r>
          </w:p>
        </w:tc>
        <w:tc>
          <w:tcPr>
            <w:tcW w:w="1420" w:type="dxa"/>
          </w:tcPr>
          <w:p>
            <w:pPr>
              <w:pStyle w:val="TableParagraph"/>
              <w:ind w:right="393"/>
              <w:jc w:val="right"/>
              <w:rPr>
                <w:sz w:val="17"/>
              </w:rPr>
            </w:pPr>
            <w:r>
              <w:rPr>
                <w:color w:val="231F20"/>
                <w:w w:val="115"/>
                <w:sz w:val="17"/>
              </w:rPr>
              <w:t>21 056</w:t>
            </w:r>
          </w:p>
        </w:tc>
        <w:tc>
          <w:tcPr>
            <w:tcW w:w="1117" w:type="dxa"/>
          </w:tcPr>
          <w:p>
            <w:pPr>
              <w:pStyle w:val="TableParagraph"/>
              <w:ind w:right="389"/>
              <w:jc w:val="right"/>
              <w:rPr>
                <w:sz w:val="17"/>
              </w:rPr>
            </w:pPr>
            <w:r>
              <w:rPr>
                <w:color w:val="231F20"/>
                <w:w w:val="110"/>
                <w:sz w:val="17"/>
              </w:rPr>
              <w:t>13,67</w:t>
            </w:r>
          </w:p>
        </w:tc>
        <w:tc>
          <w:tcPr>
            <w:tcW w:w="1332" w:type="dxa"/>
          </w:tcPr>
          <w:p>
            <w:pPr>
              <w:pStyle w:val="TableParagraph"/>
              <w:ind w:right="219"/>
              <w:jc w:val="right"/>
              <w:rPr>
                <w:sz w:val="17"/>
              </w:rPr>
            </w:pPr>
            <w:r>
              <w:rPr>
                <w:color w:val="231F20"/>
                <w:w w:val="115"/>
                <w:sz w:val="17"/>
              </w:rPr>
              <w:t>576 748</w:t>
            </w:r>
          </w:p>
        </w:tc>
        <w:tc>
          <w:tcPr>
            <w:tcW w:w="1139" w:type="dxa"/>
          </w:tcPr>
          <w:p>
            <w:pPr>
              <w:pStyle w:val="TableParagraph"/>
              <w:ind w:left="331" w:right="331"/>
              <w:jc w:val="center"/>
              <w:rPr>
                <w:sz w:val="17"/>
              </w:rPr>
            </w:pPr>
            <w:r>
              <w:rPr>
                <w:color w:val="231F20"/>
                <w:w w:val="110"/>
                <w:sz w:val="17"/>
              </w:rPr>
              <w:t>19,44</w:t>
            </w:r>
          </w:p>
        </w:tc>
        <w:tc>
          <w:tcPr>
            <w:tcW w:w="2286" w:type="dxa"/>
            <w:tcBorders>
              <w:right w:val="nil"/>
            </w:tcBorders>
          </w:tcPr>
          <w:p>
            <w:pPr>
              <w:pStyle w:val="TableParagraph"/>
              <w:ind w:left="316" w:right="320"/>
              <w:jc w:val="center"/>
              <w:rPr>
                <w:sz w:val="17"/>
              </w:rPr>
            </w:pPr>
            <w:r>
              <w:rPr>
                <w:color w:val="231F20"/>
                <w:w w:val="110"/>
                <w:sz w:val="17"/>
              </w:rPr>
              <w:t>14,3</w:t>
            </w:r>
          </w:p>
        </w:tc>
      </w:tr>
      <w:tr>
        <w:trPr>
          <w:trHeight w:val="354" w:hRule="exact"/>
        </w:trPr>
        <w:tc>
          <w:tcPr>
            <w:tcW w:w="1483" w:type="dxa"/>
            <w:tcBorders>
              <w:left w:val="nil"/>
            </w:tcBorders>
          </w:tcPr>
          <w:p>
            <w:pPr>
              <w:pStyle w:val="TableParagraph"/>
              <w:ind w:left="113"/>
              <w:rPr>
                <w:sz w:val="17"/>
              </w:rPr>
            </w:pPr>
            <w:r>
              <w:rPr>
                <w:color w:val="231F20"/>
                <w:w w:val="115"/>
                <w:sz w:val="17"/>
              </w:rPr>
              <w:t>61 a 100</w:t>
            </w:r>
          </w:p>
        </w:tc>
        <w:tc>
          <w:tcPr>
            <w:tcW w:w="1420" w:type="dxa"/>
          </w:tcPr>
          <w:p>
            <w:pPr>
              <w:pStyle w:val="TableParagraph"/>
              <w:ind w:right="393"/>
              <w:jc w:val="right"/>
              <w:rPr>
                <w:sz w:val="17"/>
              </w:rPr>
            </w:pPr>
            <w:r>
              <w:rPr>
                <w:color w:val="231F20"/>
                <w:w w:val="115"/>
                <w:sz w:val="17"/>
              </w:rPr>
              <w:t>7267</w:t>
            </w:r>
          </w:p>
        </w:tc>
        <w:tc>
          <w:tcPr>
            <w:tcW w:w="1117" w:type="dxa"/>
          </w:tcPr>
          <w:p>
            <w:pPr>
              <w:pStyle w:val="TableParagraph"/>
              <w:ind w:right="396"/>
              <w:jc w:val="right"/>
              <w:rPr>
                <w:sz w:val="17"/>
              </w:rPr>
            </w:pPr>
            <w:r>
              <w:rPr>
                <w:color w:val="231F20"/>
                <w:w w:val="110"/>
                <w:sz w:val="17"/>
              </w:rPr>
              <w:t>4,72</w:t>
            </w:r>
          </w:p>
        </w:tc>
        <w:tc>
          <w:tcPr>
            <w:tcW w:w="1332" w:type="dxa"/>
          </w:tcPr>
          <w:p>
            <w:pPr>
              <w:pStyle w:val="TableParagraph"/>
              <w:ind w:right="223"/>
              <w:jc w:val="right"/>
              <w:rPr>
                <w:sz w:val="17"/>
              </w:rPr>
            </w:pPr>
            <w:r>
              <w:rPr>
                <w:color w:val="231F20"/>
                <w:w w:val="115"/>
                <w:sz w:val="17"/>
              </w:rPr>
              <w:t>370 330</w:t>
            </w:r>
          </w:p>
        </w:tc>
        <w:tc>
          <w:tcPr>
            <w:tcW w:w="1139" w:type="dxa"/>
          </w:tcPr>
          <w:p>
            <w:pPr>
              <w:pStyle w:val="TableParagraph"/>
              <w:ind w:left="331" w:right="331"/>
              <w:jc w:val="center"/>
              <w:rPr>
                <w:sz w:val="17"/>
              </w:rPr>
            </w:pPr>
            <w:r>
              <w:rPr>
                <w:color w:val="231F20"/>
                <w:w w:val="110"/>
                <w:sz w:val="17"/>
              </w:rPr>
              <w:t>12,49</w:t>
            </w:r>
          </w:p>
        </w:tc>
        <w:tc>
          <w:tcPr>
            <w:tcW w:w="2286" w:type="dxa"/>
            <w:tcBorders>
              <w:right w:val="nil"/>
            </w:tcBorders>
          </w:tcPr>
          <w:p>
            <w:pPr>
              <w:pStyle w:val="TableParagraph"/>
              <w:ind w:left="317" w:right="245"/>
              <w:jc w:val="center"/>
              <w:rPr>
                <w:sz w:val="17"/>
              </w:rPr>
            </w:pPr>
            <w:r>
              <w:rPr>
                <w:color w:val="231F20"/>
                <w:w w:val="110"/>
                <w:sz w:val="17"/>
              </w:rPr>
              <w:t>9,7</w:t>
            </w:r>
          </w:p>
        </w:tc>
      </w:tr>
      <w:tr>
        <w:trPr>
          <w:trHeight w:val="354" w:hRule="exact"/>
        </w:trPr>
        <w:tc>
          <w:tcPr>
            <w:tcW w:w="1483" w:type="dxa"/>
            <w:tcBorders>
              <w:left w:val="nil"/>
            </w:tcBorders>
          </w:tcPr>
          <w:p>
            <w:pPr>
              <w:pStyle w:val="TableParagraph"/>
              <w:ind w:left="113"/>
              <w:rPr>
                <w:sz w:val="17"/>
              </w:rPr>
            </w:pPr>
            <w:r>
              <w:rPr>
                <w:color w:val="231F20"/>
                <w:w w:val="115"/>
                <w:sz w:val="17"/>
              </w:rPr>
              <w:t>101 a 300</w:t>
            </w:r>
          </w:p>
        </w:tc>
        <w:tc>
          <w:tcPr>
            <w:tcW w:w="1420" w:type="dxa"/>
          </w:tcPr>
          <w:p>
            <w:pPr>
              <w:pStyle w:val="TableParagraph"/>
              <w:ind w:right="396"/>
              <w:jc w:val="right"/>
              <w:rPr>
                <w:sz w:val="17"/>
              </w:rPr>
            </w:pPr>
            <w:r>
              <w:rPr>
                <w:color w:val="231F20"/>
                <w:w w:val="115"/>
                <w:sz w:val="17"/>
              </w:rPr>
              <w:t>3787</w:t>
            </w:r>
          </w:p>
        </w:tc>
        <w:tc>
          <w:tcPr>
            <w:tcW w:w="1117" w:type="dxa"/>
          </w:tcPr>
          <w:p>
            <w:pPr>
              <w:pStyle w:val="TableParagraph"/>
              <w:ind w:right="389"/>
              <w:jc w:val="right"/>
              <w:rPr>
                <w:sz w:val="17"/>
              </w:rPr>
            </w:pPr>
            <w:r>
              <w:rPr>
                <w:color w:val="231F20"/>
                <w:w w:val="110"/>
                <w:sz w:val="17"/>
              </w:rPr>
              <w:t>2,46</w:t>
            </w:r>
          </w:p>
        </w:tc>
        <w:tc>
          <w:tcPr>
            <w:tcW w:w="1332" w:type="dxa"/>
          </w:tcPr>
          <w:p>
            <w:pPr>
              <w:pStyle w:val="TableParagraph"/>
              <w:ind w:right="219"/>
              <w:jc w:val="right"/>
              <w:rPr>
                <w:sz w:val="17"/>
              </w:rPr>
            </w:pPr>
            <w:r>
              <w:rPr>
                <w:color w:val="231F20"/>
                <w:w w:val="115"/>
                <w:sz w:val="17"/>
              </w:rPr>
              <w:t>403020</w:t>
            </w:r>
          </w:p>
        </w:tc>
        <w:tc>
          <w:tcPr>
            <w:tcW w:w="1139" w:type="dxa"/>
          </w:tcPr>
          <w:p>
            <w:pPr>
              <w:pStyle w:val="TableParagraph"/>
              <w:ind w:left="331" w:right="331"/>
              <w:jc w:val="center"/>
              <w:rPr>
                <w:sz w:val="17"/>
              </w:rPr>
            </w:pPr>
            <w:r>
              <w:rPr>
                <w:color w:val="231F20"/>
                <w:w w:val="110"/>
                <w:sz w:val="17"/>
              </w:rPr>
              <w:t>13,59</w:t>
            </w:r>
          </w:p>
        </w:tc>
        <w:tc>
          <w:tcPr>
            <w:tcW w:w="2286" w:type="dxa"/>
            <w:tcBorders>
              <w:right w:val="nil"/>
            </w:tcBorders>
          </w:tcPr>
          <w:p>
            <w:pPr>
              <w:pStyle w:val="TableParagraph"/>
              <w:ind w:left="316" w:right="320"/>
              <w:jc w:val="center"/>
              <w:rPr>
                <w:sz w:val="17"/>
              </w:rPr>
            </w:pPr>
            <w:r>
              <w:rPr>
                <w:color w:val="231F20"/>
                <w:w w:val="110"/>
                <w:sz w:val="17"/>
              </w:rPr>
              <w:t>12,6</w:t>
            </w:r>
          </w:p>
        </w:tc>
      </w:tr>
      <w:tr>
        <w:trPr>
          <w:trHeight w:val="354" w:hRule="exact"/>
        </w:trPr>
        <w:tc>
          <w:tcPr>
            <w:tcW w:w="1483" w:type="dxa"/>
            <w:tcBorders>
              <w:left w:val="nil"/>
            </w:tcBorders>
          </w:tcPr>
          <w:p>
            <w:pPr>
              <w:pStyle w:val="TableParagraph"/>
              <w:ind w:left="113"/>
              <w:rPr>
                <w:sz w:val="17"/>
              </w:rPr>
            </w:pPr>
            <w:r>
              <w:rPr>
                <w:color w:val="231F20"/>
                <w:w w:val="115"/>
                <w:sz w:val="17"/>
              </w:rPr>
              <w:t>301 a 600</w:t>
            </w:r>
          </w:p>
        </w:tc>
        <w:tc>
          <w:tcPr>
            <w:tcW w:w="1420" w:type="dxa"/>
          </w:tcPr>
          <w:p>
            <w:pPr>
              <w:pStyle w:val="TableParagraph"/>
              <w:ind w:right="389"/>
              <w:jc w:val="right"/>
              <w:rPr>
                <w:sz w:val="17"/>
              </w:rPr>
            </w:pPr>
            <w:r>
              <w:rPr>
                <w:color w:val="231F20"/>
                <w:w w:val="115"/>
                <w:sz w:val="17"/>
              </w:rPr>
              <w:t>486</w:t>
            </w:r>
          </w:p>
        </w:tc>
        <w:tc>
          <w:tcPr>
            <w:tcW w:w="1117" w:type="dxa"/>
          </w:tcPr>
          <w:p>
            <w:pPr>
              <w:pStyle w:val="TableParagraph"/>
              <w:ind w:right="389"/>
              <w:jc w:val="right"/>
              <w:rPr>
                <w:sz w:val="17"/>
              </w:rPr>
            </w:pPr>
            <w:r>
              <w:rPr>
                <w:color w:val="231F20"/>
                <w:w w:val="110"/>
                <w:sz w:val="17"/>
              </w:rPr>
              <w:t>0,32</w:t>
            </w:r>
          </w:p>
        </w:tc>
        <w:tc>
          <w:tcPr>
            <w:tcW w:w="1332" w:type="dxa"/>
          </w:tcPr>
          <w:p>
            <w:pPr>
              <w:pStyle w:val="TableParagraph"/>
              <w:ind w:right="219"/>
              <w:jc w:val="right"/>
              <w:rPr>
                <w:sz w:val="17"/>
              </w:rPr>
            </w:pPr>
            <w:r>
              <w:rPr>
                <w:color w:val="231F20"/>
                <w:w w:val="115"/>
                <w:sz w:val="17"/>
              </w:rPr>
              <w:t>133 248</w:t>
            </w:r>
          </w:p>
        </w:tc>
        <w:tc>
          <w:tcPr>
            <w:tcW w:w="1139" w:type="dxa"/>
          </w:tcPr>
          <w:p>
            <w:pPr>
              <w:pStyle w:val="TableParagraph"/>
              <w:ind w:left="331" w:right="246"/>
              <w:jc w:val="center"/>
              <w:rPr>
                <w:sz w:val="17"/>
              </w:rPr>
            </w:pPr>
            <w:r>
              <w:rPr>
                <w:color w:val="231F20"/>
                <w:w w:val="110"/>
                <w:sz w:val="17"/>
              </w:rPr>
              <w:t>4,49</w:t>
            </w:r>
          </w:p>
        </w:tc>
        <w:tc>
          <w:tcPr>
            <w:tcW w:w="2286" w:type="dxa"/>
            <w:tcBorders>
              <w:right w:val="nil"/>
            </w:tcBorders>
          </w:tcPr>
          <w:p>
            <w:pPr>
              <w:pStyle w:val="TableParagraph"/>
              <w:ind w:left="317" w:right="237"/>
              <w:jc w:val="center"/>
              <w:rPr>
                <w:sz w:val="17"/>
              </w:rPr>
            </w:pPr>
            <w:r>
              <w:rPr>
                <w:color w:val="231F20"/>
                <w:w w:val="110"/>
                <w:sz w:val="17"/>
              </w:rPr>
              <w:t>5,3</w:t>
            </w:r>
          </w:p>
        </w:tc>
      </w:tr>
      <w:tr>
        <w:trPr>
          <w:trHeight w:val="354" w:hRule="exact"/>
        </w:trPr>
        <w:tc>
          <w:tcPr>
            <w:tcW w:w="1483" w:type="dxa"/>
            <w:tcBorders>
              <w:left w:val="nil"/>
            </w:tcBorders>
          </w:tcPr>
          <w:p>
            <w:pPr>
              <w:pStyle w:val="TableParagraph"/>
              <w:ind w:left="113"/>
              <w:rPr>
                <w:sz w:val="17"/>
              </w:rPr>
            </w:pPr>
            <w:r>
              <w:rPr>
                <w:color w:val="231F20"/>
                <w:w w:val="115"/>
                <w:sz w:val="17"/>
              </w:rPr>
              <w:t>601 a 1000</w:t>
            </w:r>
          </w:p>
        </w:tc>
        <w:tc>
          <w:tcPr>
            <w:tcW w:w="1420" w:type="dxa"/>
          </w:tcPr>
          <w:p>
            <w:pPr>
              <w:pStyle w:val="TableParagraph"/>
              <w:ind w:right="389"/>
              <w:jc w:val="right"/>
              <w:rPr>
                <w:sz w:val="17"/>
              </w:rPr>
            </w:pPr>
            <w:r>
              <w:rPr>
                <w:color w:val="231F20"/>
                <w:w w:val="115"/>
                <w:sz w:val="17"/>
              </w:rPr>
              <w:t>158</w:t>
            </w:r>
          </w:p>
        </w:tc>
        <w:tc>
          <w:tcPr>
            <w:tcW w:w="1117" w:type="dxa"/>
          </w:tcPr>
          <w:p>
            <w:pPr>
              <w:pStyle w:val="TableParagraph"/>
              <w:ind w:right="389"/>
              <w:jc w:val="right"/>
              <w:rPr>
                <w:sz w:val="17"/>
              </w:rPr>
            </w:pPr>
            <w:r>
              <w:rPr>
                <w:color w:val="231F20"/>
                <w:w w:val="110"/>
                <w:sz w:val="17"/>
              </w:rPr>
              <w:t>0,10</w:t>
            </w:r>
          </w:p>
        </w:tc>
        <w:tc>
          <w:tcPr>
            <w:tcW w:w="1332" w:type="dxa"/>
          </w:tcPr>
          <w:p>
            <w:pPr>
              <w:pStyle w:val="TableParagraph"/>
              <w:ind w:right="219"/>
              <w:jc w:val="right"/>
              <w:rPr>
                <w:sz w:val="17"/>
              </w:rPr>
            </w:pPr>
            <w:r>
              <w:rPr>
                <w:color w:val="231F20"/>
                <w:w w:val="115"/>
                <w:sz w:val="17"/>
              </w:rPr>
              <w:t>88200</w:t>
            </w:r>
          </w:p>
        </w:tc>
        <w:tc>
          <w:tcPr>
            <w:tcW w:w="1139" w:type="dxa"/>
          </w:tcPr>
          <w:p>
            <w:pPr>
              <w:pStyle w:val="TableParagraph"/>
              <w:ind w:left="331" w:right="246"/>
              <w:jc w:val="center"/>
              <w:rPr>
                <w:sz w:val="17"/>
              </w:rPr>
            </w:pPr>
            <w:r>
              <w:rPr>
                <w:color w:val="231F20"/>
                <w:w w:val="110"/>
                <w:sz w:val="17"/>
              </w:rPr>
              <w:t>2,97</w:t>
            </w:r>
          </w:p>
        </w:tc>
        <w:tc>
          <w:tcPr>
            <w:tcW w:w="2286" w:type="dxa"/>
            <w:tcBorders>
              <w:right w:val="nil"/>
            </w:tcBorders>
          </w:tcPr>
          <w:p>
            <w:pPr>
              <w:pStyle w:val="TableParagraph"/>
              <w:ind w:left="317" w:right="237"/>
              <w:jc w:val="center"/>
              <w:rPr>
                <w:sz w:val="17"/>
              </w:rPr>
            </w:pPr>
            <w:r>
              <w:rPr>
                <w:color w:val="231F20"/>
                <w:w w:val="110"/>
                <w:sz w:val="17"/>
              </w:rPr>
              <w:t>4,4</w:t>
            </w:r>
          </w:p>
        </w:tc>
      </w:tr>
      <w:tr>
        <w:trPr>
          <w:trHeight w:val="354" w:hRule="exact"/>
        </w:trPr>
        <w:tc>
          <w:tcPr>
            <w:tcW w:w="1483" w:type="dxa"/>
            <w:tcBorders>
              <w:left w:val="nil"/>
            </w:tcBorders>
          </w:tcPr>
          <w:p>
            <w:pPr>
              <w:pStyle w:val="TableParagraph"/>
              <w:ind w:left="113"/>
              <w:rPr>
                <w:sz w:val="17"/>
              </w:rPr>
            </w:pPr>
            <w:r>
              <w:rPr>
                <w:color w:val="231F20"/>
                <w:w w:val="105"/>
                <w:sz w:val="17"/>
              </w:rPr>
              <w:t>Más de 1000</w:t>
            </w:r>
          </w:p>
        </w:tc>
        <w:tc>
          <w:tcPr>
            <w:tcW w:w="1420" w:type="dxa"/>
          </w:tcPr>
          <w:p>
            <w:pPr>
              <w:pStyle w:val="TableParagraph"/>
              <w:ind w:right="389"/>
              <w:jc w:val="right"/>
              <w:rPr>
                <w:sz w:val="17"/>
              </w:rPr>
            </w:pPr>
            <w:r>
              <w:rPr>
                <w:color w:val="231F20"/>
                <w:w w:val="115"/>
                <w:sz w:val="17"/>
              </w:rPr>
              <w:t>180</w:t>
            </w:r>
          </w:p>
        </w:tc>
        <w:tc>
          <w:tcPr>
            <w:tcW w:w="1117" w:type="dxa"/>
          </w:tcPr>
          <w:p>
            <w:pPr>
              <w:pStyle w:val="TableParagraph"/>
              <w:ind w:right="389"/>
              <w:jc w:val="right"/>
              <w:rPr>
                <w:sz w:val="17"/>
              </w:rPr>
            </w:pPr>
            <w:r>
              <w:rPr>
                <w:color w:val="231F20"/>
                <w:w w:val="110"/>
                <w:sz w:val="17"/>
              </w:rPr>
              <w:t>0,12</w:t>
            </w:r>
          </w:p>
        </w:tc>
        <w:tc>
          <w:tcPr>
            <w:tcW w:w="1332" w:type="dxa"/>
          </w:tcPr>
          <w:p>
            <w:pPr>
              <w:pStyle w:val="TableParagraph"/>
              <w:ind w:right="219"/>
              <w:jc w:val="right"/>
              <w:rPr>
                <w:sz w:val="17"/>
              </w:rPr>
            </w:pPr>
            <w:r>
              <w:rPr>
                <w:color w:val="231F20"/>
                <w:w w:val="115"/>
                <w:sz w:val="17"/>
              </w:rPr>
              <w:t>364203</w:t>
            </w:r>
          </w:p>
        </w:tc>
        <w:tc>
          <w:tcPr>
            <w:tcW w:w="1139" w:type="dxa"/>
          </w:tcPr>
          <w:p>
            <w:pPr>
              <w:pStyle w:val="TableParagraph"/>
              <w:ind w:left="331" w:right="331"/>
              <w:jc w:val="center"/>
              <w:rPr>
                <w:sz w:val="17"/>
              </w:rPr>
            </w:pPr>
            <w:r>
              <w:rPr>
                <w:color w:val="231F20"/>
                <w:w w:val="110"/>
                <w:sz w:val="17"/>
              </w:rPr>
              <w:t>12,28</w:t>
            </w:r>
          </w:p>
        </w:tc>
        <w:tc>
          <w:tcPr>
            <w:tcW w:w="2286" w:type="dxa"/>
            <w:tcBorders>
              <w:right w:val="nil"/>
            </w:tcBorders>
          </w:tcPr>
          <w:p>
            <w:pPr>
              <w:pStyle w:val="TableParagraph"/>
              <w:ind w:left="316" w:right="320"/>
              <w:jc w:val="center"/>
              <w:rPr>
                <w:sz w:val="17"/>
              </w:rPr>
            </w:pPr>
            <w:r>
              <w:rPr>
                <w:color w:val="231F20"/>
                <w:w w:val="110"/>
                <w:sz w:val="17"/>
              </w:rPr>
              <w:t>20,2</w:t>
            </w:r>
          </w:p>
        </w:tc>
      </w:tr>
      <w:tr>
        <w:trPr>
          <w:trHeight w:val="354" w:hRule="exact"/>
        </w:trPr>
        <w:tc>
          <w:tcPr>
            <w:tcW w:w="1483" w:type="dxa"/>
            <w:tcBorders>
              <w:left w:val="nil"/>
            </w:tcBorders>
          </w:tcPr>
          <w:p>
            <w:pPr>
              <w:pStyle w:val="TableParagraph"/>
              <w:ind w:left="113"/>
              <w:rPr>
                <w:sz w:val="17"/>
              </w:rPr>
            </w:pPr>
            <w:r>
              <w:rPr>
                <w:color w:val="231F20"/>
                <w:sz w:val="17"/>
              </w:rPr>
              <w:t>Total</w:t>
            </w:r>
          </w:p>
        </w:tc>
        <w:tc>
          <w:tcPr>
            <w:tcW w:w="1420" w:type="dxa"/>
          </w:tcPr>
          <w:p>
            <w:pPr>
              <w:pStyle w:val="TableParagraph"/>
              <w:ind w:right="389"/>
              <w:jc w:val="right"/>
              <w:rPr>
                <w:sz w:val="17"/>
              </w:rPr>
            </w:pPr>
            <w:r>
              <w:rPr>
                <w:color w:val="231F20"/>
                <w:w w:val="115"/>
                <w:sz w:val="17"/>
              </w:rPr>
              <w:t>154045</w:t>
            </w:r>
          </w:p>
        </w:tc>
        <w:tc>
          <w:tcPr>
            <w:tcW w:w="1117" w:type="dxa"/>
          </w:tcPr>
          <w:p>
            <w:pPr>
              <w:pStyle w:val="TableParagraph"/>
              <w:ind w:right="389"/>
              <w:jc w:val="right"/>
              <w:rPr>
                <w:sz w:val="17"/>
              </w:rPr>
            </w:pPr>
            <w:r>
              <w:rPr>
                <w:color w:val="231F20"/>
                <w:w w:val="110"/>
                <w:sz w:val="17"/>
              </w:rPr>
              <w:t>100,00</w:t>
            </w:r>
          </w:p>
        </w:tc>
        <w:tc>
          <w:tcPr>
            <w:tcW w:w="1332" w:type="dxa"/>
          </w:tcPr>
          <w:p>
            <w:pPr>
              <w:pStyle w:val="TableParagraph"/>
              <w:ind w:right="219"/>
              <w:jc w:val="right"/>
              <w:rPr>
                <w:sz w:val="17"/>
              </w:rPr>
            </w:pPr>
            <w:r>
              <w:rPr>
                <w:color w:val="231F20"/>
                <w:w w:val="115"/>
                <w:sz w:val="17"/>
              </w:rPr>
              <w:t>2966117</w:t>
            </w:r>
          </w:p>
        </w:tc>
        <w:tc>
          <w:tcPr>
            <w:tcW w:w="1139" w:type="dxa"/>
          </w:tcPr>
          <w:p>
            <w:pPr>
              <w:pStyle w:val="TableParagraph"/>
              <w:ind w:left="331" w:right="331"/>
              <w:jc w:val="center"/>
              <w:rPr>
                <w:sz w:val="17"/>
              </w:rPr>
            </w:pPr>
            <w:r>
              <w:rPr>
                <w:color w:val="231F20"/>
                <w:w w:val="110"/>
                <w:sz w:val="17"/>
              </w:rPr>
              <w:t>100,0</w:t>
            </w:r>
          </w:p>
        </w:tc>
        <w:tc>
          <w:tcPr>
            <w:tcW w:w="2286" w:type="dxa"/>
            <w:tcBorders>
              <w:right w:val="nil"/>
            </w:tcBorders>
          </w:tcPr>
          <w:p>
            <w:pPr>
              <w:pStyle w:val="TableParagraph"/>
              <w:ind w:left="316" w:right="320"/>
              <w:jc w:val="center"/>
              <w:rPr>
                <w:sz w:val="17"/>
              </w:rPr>
            </w:pPr>
            <w:r>
              <w:rPr>
                <w:color w:val="231F20"/>
                <w:w w:val="110"/>
                <w:sz w:val="17"/>
              </w:rPr>
              <w:t>92,0</w:t>
            </w:r>
          </w:p>
        </w:tc>
      </w:tr>
    </w:tbl>
    <w:p>
      <w:pPr>
        <w:spacing w:before="77"/>
        <w:ind w:left="1667" w:right="2503" w:firstLine="0"/>
        <w:jc w:val="left"/>
        <w:rPr>
          <w:sz w:val="15"/>
        </w:rPr>
      </w:pPr>
      <w:r>
        <w:rPr>
          <w:color w:val="231F20"/>
          <w:sz w:val="15"/>
        </w:rPr>
        <w:t>Fuente:  INEGI, 2007.</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4.   Sustentabilidad de la producción de leche en   pequeña</w:t>
      </w:r>
      <w:r>
        <w:rPr>
          <w:color w:val="231F20"/>
          <w:spacing w:val="12"/>
          <w:sz w:val="18"/>
        </w:rPr>
        <w:t> </w:t>
      </w:r>
      <w:r>
        <w:rPr>
          <w:color w:val="231F20"/>
          <w:sz w:val="18"/>
        </w:rPr>
        <w:t>escala...</w:t>
      </w:r>
      <w:r>
        <w:rPr>
          <w:color w:val="231F20"/>
          <w:sz w:val="22"/>
        </w:rPr>
        <w:tab/>
      </w:r>
      <w:r>
        <w:rPr>
          <w:color w:val="231F20"/>
          <w:spacing w:val="-9"/>
          <w:sz w:val="22"/>
        </w:rPr>
        <w:t>61</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Los sistemas de producción de leche en pequeña escala se definen como unidades  especializadas  en la producción de leche con hatos de 3 a 35 va- cas más sus reemplazos. </w:t>
      </w:r>
      <w:r>
        <w:rPr>
          <w:color w:val="231F20"/>
          <w:spacing w:val="-3"/>
        </w:rPr>
        <w:t>También </w:t>
      </w:r>
      <w:r>
        <w:rPr>
          <w:color w:val="231F20"/>
        </w:rPr>
        <w:t>se denominan “lechería familiar” en el Programa de Producción Pecuaria Sustentable y Ordenamiento Ganadero y Apícola (Nuevo PROGAN) del Programa de Uso Sustentable de Recursos Naturales para la Produc- ción  Primaria  de  SAGARPA</w:t>
      </w:r>
      <w:r>
        <w:rPr>
          <w:color w:val="231F20"/>
          <w:spacing w:val="19"/>
        </w:rPr>
        <w:t> </w:t>
      </w:r>
      <w:r>
        <w:rPr>
          <w:color w:val="231F20"/>
          <w:spacing w:val="-4"/>
        </w:rPr>
        <w:t>(2010).</w:t>
      </w:r>
    </w:p>
    <w:p>
      <w:pPr>
        <w:pStyle w:val="BodyText"/>
        <w:spacing w:line="256" w:lineRule="auto" w:before="112"/>
        <w:ind w:left="1553"/>
        <w:jc w:val="both"/>
      </w:pPr>
      <w:r>
        <w:rPr>
          <w:color w:val="231F20"/>
        </w:rPr>
        <w:t>En México, el análisis económico de la producción de leche en pequeña escala en varias zonas del Altiplano Central indicó que en los retornos al uso agropecuario de la tierra, al uso de  capital  y  al uso de la fuerza de trabajo familiar, la producción de leche en pequeña escala genera  resultados  muy superiores a los de la producción de maíz y otros cereales, con la bondad adicional de poder ser integrada a las características de los sistemas de producción en pequeña escala, y dentro de la capacidad de manejo de estos productores. Por tanto, la producción de leche en pequeña escala   es una opción viable por lo menos para un sector de los campesinos del Altiplano Central de México para el desarrollo de las familias rurales y de sus comunidades (Wiggins </w:t>
      </w:r>
      <w:r>
        <w:rPr>
          <w:i/>
          <w:color w:val="231F20"/>
        </w:rPr>
        <w:t>et al</w:t>
      </w:r>
      <w:r>
        <w:rPr>
          <w:color w:val="231F20"/>
        </w:rPr>
        <w:t>., </w:t>
      </w:r>
      <w:r>
        <w:rPr>
          <w:color w:val="231F20"/>
          <w:spacing w:val="-3"/>
        </w:rPr>
        <w:t>2001). </w:t>
      </w:r>
      <w:r>
        <w:rPr>
          <w:color w:val="231F20"/>
        </w:rPr>
        <w:t>De manera si- milar, la lechería en pequeña escala fue promovida en el norte de Europa precisamente por sus bene- ficios en términos de generación de empleo, con- servación del ambiente y del paisaje, producción de alimentos y seguridad alimentaria, así  como  por la preservación de una importante herencia cultural rural (Espinoza-Ortega </w:t>
      </w:r>
      <w:r>
        <w:rPr>
          <w:i/>
          <w:color w:val="231F20"/>
        </w:rPr>
        <w:t>et al</w:t>
      </w:r>
      <w:r>
        <w:rPr>
          <w:color w:val="231F20"/>
        </w:rPr>
        <w:t>., </w:t>
      </w:r>
      <w:r>
        <w:rPr>
          <w:color w:val="231F20"/>
          <w:spacing w:val="-3"/>
        </w:rPr>
        <w:t>2007). </w:t>
      </w:r>
      <w:r>
        <w:rPr>
          <w:color w:val="231F20"/>
        </w:rPr>
        <w:t>Otra conclusión es la necesidad de mantener bajos los costos de producción por litro de leche,</w:t>
      </w:r>
      <w:r>
        <w:rPr>
          <w:color w:val="231F20"/>
          <w:spacing w:val="9"/>
        </w:rPr>
        <w:t> </w:t>
      </w:r>
      <w:r>
        <w:rPr>
          <w:color w:val="231F20"/>
        </w:rPr>
        <w:t>para</w:t>
      </w:r>
      <w:r>
        <w:rPr>
          <w:color w:val="231F20"/>
          <w:spacing w:val="1"/>
        </w:rPr>
        <w:t> </w:t>
      </w:r>
      <w:r>
        <w:rPr>
          <w:color w:val="231F20"/>
        </w:rPr>
        <w:t>poder</w:t>
      </w:r>
      <w:r>
        <w:rPr>
          <w:color w:val="231F20"/>
          <w:w w:val="100"/>
        </w:rPr>
        <w:t> </w:t>
      </w:r>
      <w:r>
        <w:rPr>
          <w:color w:val="231F20"/>
        </w:rPr>
        <w:t>enfrentar los escenarios de </w:t>
      </w:r>
      <w:r>
        <w:rPr>
          <w:color w:val="231F20"/>
          <w:spacing w:val="15"/>
        </w:rPr>
        <w:t> </w:t>
      </w:r>
      <w:r>
        <w:rPr>
          <w:color w:val="231F20"/>
        </w:rPr>
        <w:t>competencia.</w:t>
      </w:r>
    </w:p>
    <w:p>
      <w:pPr>
        <w:pStyle w:val="BodyText"/>
        <w:spacing w:line="256" w:lineRule="auto" w:before="112"/>
        <w:ind w:left="1553"/>
        <w:jc w:val="both"/>
      </w:pPr>
      <w:r>
        <w:rPr>
          <w:color w:val="231F20"/>
        </w:rPr>
        <w:t>Una investigación (Espinosa García </w:t>
      </w:r>
      <w:r>
        <w:rPr>
          <w:i/>
          <w:color w:val="231F20"/>
        </w:rPr>
        <w:t>et al</w:t>
      </w:r>
      <w:r>
        <w:rPr>
          <w:color w:val="231F20"/>
        </w:rPr>
        <w:t>., 2004) evaluó la sustentabilidad económica de las unida- des familiares de producción de leche en México con dos niveles tecnológicos, tradicional y mejora- do, en sistemas de traspatio o pastoreo en clima templado, o ejidal y privado en sistemas de doble propósito, utilizando el método de  sustentabilidad</w:t>
      </w:r>
    </w:p>
    <w:p>
      <w:pPr>
        <w:pStyle w:val="BodyText"/>
        <w:spacing w:before="3"/>
        <w:rPr>
          <w:sz w:val="28"/>
        </w:rPr>
      </w:pPr>
      <w:r>
        <w:rPr/>
        <w:br w:type="column"/>
      </w:r>
      <w:r>
        <w:rPr>
          <w:sz w:val="28"/>
        </w:rPr>
      </w:r>
    </w:p>
    <w:p>
      <w:pPr>
        <w:pStyle w:val="BodyText"/>
        <w:spacing w:line="259" w:lineRule="auto"/>
        <w:ind w:left="413" w:right="1551"/>
        <w:jc w:val="both"/>
      </w:pPr>
      <w:r>
        <w:rPr>
          <w:color w:val="231F20"/>
        </w:rPr>
        <w:t>débil que ajusta el valor agregado neto descontan- do los costos ambientales. Sus resultados indican valores positivos de valor agregado neto por vaca ajustado ambientalmente para los sistemas de pastoreo y traspatio en manejo tradicional, positi- vo pero sustancialmente menor para los sistemas de doble propósito en sistema ejidal, y negativos para el sistema de doble propósito en pequeña propiedad. El valor agregado neto ajustado am- bientalmente aumenta de manera sustancial con   la tecnología mejorada en </w:t>
      </w:r>
      <w:r>
        <w:rPr>
          <w:color w:val="231F20"/>
          <w:spacing w:val="-3"/>
        </w:rPr>
        <w:t>1,7 </w:t>
      </w:r>
      <w:r>
        <w:rPr>
          <w:color w:val="231F20"/>
        </w:rPr>
        <w:t>veces para el siste- ma de lechería familiar en pastoreo, en 4,0 veces para el sistema de lechería familiar en traspatio y más de 8 veces para los sistemas de doble propó- sito; el incremento es particularmente importan-  te en el sistema de doble propósito de pequeña propiedad, al pasar de valores negativos a valores positivos (Espinosa García, 2004). Esto indica la sustentabilidad económica de dichos sistemas, so- bre todo cuando se mejora la </w:t>
      </w:r>
      <w:r>
        <w:rPr>
          <w:color w:val="231F20"/>
          <w:spacing w:val="36"/>
        </w:rPr>
        <w:t> </w:t>
      </w:r>
      <w:r>
        <w:rPr>
          <w:color w:val="231F20"/>
        </w:rPr>
        <w:t>tecnología.</w:t>
      </w:r>
    </w:p>
    <w:p>
      <w:pPr>
        <w:pStyle w:val="BodyText"/>
        <w:spacing w:line="259" w:lineRule="auto" w:before="113"/>
        <w:ind w:left="413" w:right="1551"/>
        <w:jc w:val="both"/>
      </w:pPr>
      <w:r>
        <w:rPr>
          <w:color w:val="231F20"/>
        </w:rPr>
        <w:t>En otro estudio llevado a cabo en los valles altos del noroeste del Estado de México, en el centro </w:t>
      </w:r>
      <w:r>
        <w:rPr>
          <w:color w:val="231F20"/>
          <w:spacing w:val="-2"/>
        </w:rPr>
        <w:t>del </w:t>
      </w:r>
      <w:r>
        <w:rPr>
          <w:color w:val="231F20"/>
        </w:rPr>
        <w:t>país, se encontró que los retornos por día de traba- jo familiar en los sistemas de producción de leche en pequeña escala variaron entre US$4,60 para </w:t>
      </w:r>
      <w:r>
        <w:rPr>
          <w:color w:val="231F20"/>
          <w:spacing w:val="-2"/>
        </w:rPr>
        <w:t>los </w:t>
      </w:r>
      <w:r>
        <w:rPr>
          <w:color w:val="231F20"/>
        </w:rPr>
        <w:t>productores más pequeños, denominados de sub- sistencia, y US$9,40 para los productores denomi- nados tecnificados (Espinoza-Ortega </w:t>
      </w:r>
      <w:r>
        <w:rPr>
          <w:i/>
          <w:color w:val="231F20"/>
        </w:rPr>
        <w:t>et al</w:t>
      </w:r>
      <w:r>
        <w:rPr>
          <w:color w:val="231F20"/>
        </w:rPr>
        <w:t>., </w:t>
      </w:r>
      <w:r>
        <w:rPr>
          <w:color w:val="231F20"/>
          <w:spacing w:val="-3"/>
        </w:rPr>
        <w:t>2007),  </w:t>
      </w:r>
      <w:r>
        <w:rPr>
          <w:color w:val="231F20"/>
        </w:rPr>
        <w:t>lo que representó entre </w:t>
      </w:r>
      <w:r>
        <w:rPr>
          <w:color w:val="231F20"/>
          <w:spacing w:val="-5"/>
        </w:rPr>
        <w:t>0,77  </w:t>
      </w:r>
      <w:r>
        <w:rPr>
          <w:color w:val="231F20"/>
        </w:rPr>
        <w:t>y 1,34 veces el cos-  to de oportunidad de la fuerza de trabajo familiar asignado por los propios productores, de modo  que en dos de los grupos identificados fue supe- rior a las expectativas de los propios productores, aunque un 23% menor de lo esperado por los productores de subsistencia del primer grupo iden- tificado en ese estudio. No obstante, los ingresos obtenidos fueron mayores que los salarios míni- mos establecidos oficialmente para la región, en- tre </w:t>
      </w:r>
      <w:r>
        <w:rPr>
          <w:color w:val="231F20"/>
          <w:spacing w:val="-3"/>
        </w:rPr>
        <w:t>1,12 </w:t>
      </w:r>
      <w:r>
        <w:rPr>
          <w:color w:val="231F20"/>
        </w:rPr>
        <w:t>y 2,30 veces más. Un punto relevante es que este ingreso se obtiene los 365 días del año, brindando estabilidad y seguridad a la familia pro- ductora  (Espinoza-Ortega  </w:t>
      </w:r>
      <w:r>
        <w:rPr>
          <w:i/>
          <w:color w:val="231F20"/>
        </w:rPr>
        <w:t>et  al</w:t>
      </w:r>
      <w:r>
        <w:rPr>
          <w:color w:val="231F20"/>
        </w:rPr>
        <w:t>.,  </w:t>
      </w:r>
      <w:r>
        <w:rPr>
          <w:color w:val="231F20"/>
          <w:spacing w:val="-3"/>
        </w:rPr>
        <w:t>2007).  </w:t>
      </w:r>
      <w:r>
        <w:rPr>
          <w:color w:val="231F20"/>
        </w:rPr>
        <w:t>El</w:t>
      </w:r>
      <w:r>
        <w:rPr>
          <w:color w:val="231F20"/>
          <w:spacing w:val="-7"/>
        </w:rPr>
        <w:t> </w:t>
      </w:r>
      <w:r>
        <w:rPr>
          <w:color w:val="231F20"/>
        </w:rPr>
        <w:t>ingreso</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62</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rPr>
        <w:t>diario es atractivo en comparación con los ingresos que podrían obtener los productores como fuerza de trabajo no calificada en actividades no agrope- cuarias en las ciudades, y es superior al ingreso diario obtenido por productores en sus sistemas tradicionales (Arriaga-Jordán </w:t>
      </w:r>
      <w:r>
        <w:rPr>
          <w:i/>
          <w:color w:val="231F20"/>
        </w:rPr>
        <w:t>et al</w:t>
      </w:r>
      <w:r>
        <w:rPr>
          <w:color w:val="231F20"/>
        </w:rPr>
        <w:t>.,  2002).</w:t>
      </w:r>
    </w:p>
    <w:p>
      <w:pPr>
        <w:pStyle w:val="BodyText"/>
        <w:spacing w:line="259" w:lineRule="auto" w:before="114"/>
        <w:ind w:left="1553"/>
        <w:jc w:val="both"/>
      </w:pPr>
      <w:r>
        <w:rPr>
          <w:color w:val="231F20"/>
        </w:rPr>
        <w:t>Estos resultados muestran que la producción de leche en pequeña escala en  el  centro  de  Méxi- co genera ingresos confiables, de forma que los productores reciben retornos significativos que permiten a los productores tecnificados  superar los índices de pobreza establecidos en México, lo cual indica un camino a seguir en la intensificación de este tipo de sistemas (Espinoza-Ortega </w:t>
      </w:r>
      <w:r>
        <w:rPr>
          <w:i/>
          <w:color w:val="231F20"/>
        </w:rPr>
        <w:t>et al</w:t>
      </w:r>
      <w:r>
        <w:rPr>
          <w:color w:val="231F20"/>
        </w:rPr>
        <w:t>., </w:t>
      </w:r>
      <w:r>
        <w:rPr>
          <w:color w:val="231F20"/>
          <w:spacing w:val="-3"/>
        </w:rPr>
        <w:t>2007).</w:t>
      </w:r>
    </w:p>
    <w:p>
      <w:pPr>
        <w:pStyle w:val="BodyText"/>
        <w:spacing w:line="259" w:lineRule="auto" w:before="114"/>
        <w:ind w:left="1553" w:right="1"/>
        <w:jc w:val="both"/>
      </w:pPr>
      <w:r>
        <w:rPr>
          <w:color w:val="231F20"/>
        </w:rPr>
        <w:t>Si bien estudios como los referidos apuntan a una generación de ingresos y de ocupación que permi- te a las familias productoras enfrentar las condicio- nes de pobreza del medio rural, son muy escasos los trabajos que abordan el estudio integral de la sustentabilidad de los sistemas lecheros en Méxi- co y América Latina.</w:t>
      </w:r>
    </w:p>
    <w:p>
      <w:pPr>
        <w:pStyle w:val="BodyText"/>
        <w:spacing w:line="259" w:lineRule="auto" w:before="114"/>
        <w:ind w:left="1553" w:right="1"/>
        <w:jc w:val="both"/>
      </w:pPr>
      <w:r>
        <w:rPr>
          <w:color w:val="231F20"/>
        </w:rPr>
        <w:t>Los sistemas de producción de  leche  en  peque- ña escala, a largo plazo, deberán ser  sustenta-  bles desde  un  punto  de  vista  económico,  social y ambiental, debido a que los recursos con que trabajan (el suelo y el agua) se están agotando; además, los insumos que utilizan, los abonos y los alimentos comerciales, siguen subiendo de precio, mientras que el de la leche, su principal producto para la venta, se mantiene</w:t>
      </w:r>
      <w:r>
        <w:rPr>
          <w:color w:val="231F20"/>
          <w:spacing w:val="33"/>
        </w:rPr>
        <w:t> </w:t>
      </w:r>
      <w:r>
        <w:rPr>
          <w:color w:val="231F20"/>
        </w:rPr>
        <w:t>estático.</w:t>
      </w:r>
    </w:p>
    <w:p>
      <w:pPr>
        <w:pStyle w:val="BodyText"/>
        <w:spacing w:line="259" w:lineRule="auto" w:before="114"/>
        <w:ind w:left="1553"/>
        <w:jc w:val="both"/>
      </w:pPr>
      <w:r>
        <w:rPr>
          <w:color w:val="231F20"/>
        </w:rPr>
        <w:t>La mayoría de las investigaciones sobre sustenta- bilidad se centran en sistemas </w:t>
      </w:r>
      <w:r>
        <w:rPr>
          <w:color w:val="231F20"/>
          <w:spacing w:val="2"/>
        </w:rPr>
        <w:t>agrícolas. </w:t>
      </w:r>
      <w:r>
        <w:rPr>
          <w:color w:val="231F20"/>
        </w:rPr>
        <w:t>Si bien existen investigaciones relevantes en aspectos específicos de la sustentabilidad ambiental, eco- nómica y social de la producción lechera, </w:t>
      </w:r>
      <w:r>
        <w:rPr>
          <w:color w:val="231F20"/>
          <w:spacing w:val="2"/>
        </w:rPr>
        <w:t>hay </w:t>
      </w:r>
      <w:r>
        <w:rPr>
          <w:color w:val="231F20"/>
        </w:rPr>
        <w:t>pocos estudios que comparen los diferentes aspectos de la sustentabilidad (ambiental, socio- económica) en sistemas lecheros contrastantes (convencionales,  orgánicos,  mixtos)  y  en</w:t>
      </w:r>
      <w:r>
        <w:rPr>
          <w:color w:val="231F20"/>
          <w:spacing w:val="-7"/>
        </w:rPr>
        <w:t> </w:t>
      </w:r>
      <w:r>
        <w:rPr>
          <w:color w:val="231F20"/>
        </w:rPr>
        <w:t>diversos</w:t>
      </w:r>
    </w:p>
    <w:p>
      <w:pPr>
        <w:pStyle w:val="BodyText"/>
        <w:spacing w:line="254" w:lineRule="auto" w:before="67"/>
        <w:ind w:left="411" w:right="1549"/>
        <w:jc w:val="both"/>
      </w:pPr>
      <w:r>
        <w:rPr/>
        <w:br w:type="column"/>
      </w:r>
      <w:r>
        <w:rPr>
          <w:color w:val="231F20"/>
        </w:rPr>
        <w:t>ámbitos </w:t>
      </w:r>
      <w:r>
        <w:rPr>
          <w:color w:val="231F20"/>
          <w:spacing w:val="2"/>
        </w:rPr>
        <w:t>agroecológicos </w:t>
      </w:r>
      <w:r>
        <w:rPr>
          <w:color w:val="231F20"/>
        </w:rPr>
        <w:t>(finca, comunidad, re- </w:t>
      </w:r>
      <w:r>
        <w:rPr>
          <w:color w:val="231F20"/>
          <w:spacing w:val="2"/>
        </w:rPr>
        <w:t>gión). </w:t>
      </w:r>
      <w:r>
        <w:rPr>
          <w:color w:val="231F20"/>
        </w:rPr>
        <w:t>Por tanto, se requieren marcos y métodos de evaluación de la sustentabilidad que  </w:t>
      </w:r>
      <w:r>
        <w:rPr>
          <w:color w:val="231F20"/>
          <w:spacing w:val="2"/>
        </w:rPr>
        <w:t>puedan </w:t>
      </w:r>
      <w:r>
        <w:rPr>
          <w:color w:val="231F20"/>
        </w:rPr>
        <w:t>ser entendidos y utilizados por productores, ex- tensionistas y otros agentes sociales </w:t>
      </w:r>
      <w:r>
        <w:rPr>
          <w:color w:val="231F20"/>
          <w:spacing w:val="2"/>
        </w:rPr>
        <w:t>involucrados </w:t>
      </w:r>
      <w:r>
        <w:rPr>
          <w:color w:val="231F20"/>
        </w:rPr>
        <w:t>en la producción lechera. Aunque esto no nece- sariamente impacta en el desarrollo de políticas, puede promover el uso, por </w:t>
      </w:r>
      <w:r>
        <w:rPr>
          <w:color w:val="231F20"/>
          <w:spacing w:val="2"/>
        </w:rPr>
        <w:t>parte </w:t>
      </w:r>
      <w:r>
        <w:rPr>
          <w:color w:val="231F20"/>
        </w:rPr>
        <w:t>de los pro- ductores, de prácticas que incrementen la sus- tentabilidad de los sistemas (González Esquivel y Brunett  Pérez, </w:t>
      </w:r>
      <w:r>
        <w:rPr>
          <w:color w:val="231F20"/>
          <w:spacing w:val="21"/>
        </w:rPr>
        <w:t> </w:t>
      </w:r>
      <w:r>
        <w:rPr>
          <w:color w:val="231F20"/>
        </w:rPr>
        <w:t>2009).</w:t>
      </w:r>
    </w:p>
    <w:p>
      <w:pPr>
        <w:pStyle w:val="BodyText"/>
        <w:spacing w:line="254" w:lineRule="auto" w:before="114"/>
        <w:ind w:left="411" w:right="1551"/>
        <w:jc w:val="both"/>
      </w:pPr>
      <w:r>
        <w:rPr>
          <w:color w:val="231F20"/>
        </w:rPr>
        <w:t>Una de las prioridades en todo el mundo desde hace algunos años es la producción agropecuaria social, ambiental y económicamente sustentable, por lo que en muchos países existen leyes en tor- no a ella, y México no es la excepción, pues se establece en la Ley Nacional de Desarrollo Rural Sustentable  desde  el  año 2001.</w:t>
      </w:r>
    </w:p>
    <w:p>
      <w:pPr>
        <w:pStyle w:val="BodyText"/>
      </w:pPr>
    </w:p>
    <w:p>
      <w:pPr>
        <w:pStyle w:val="BodyText"/>
        <w:spacing w:before="154"/>
        <w:ind w:left="411"/>
        <w:jc w:val="both"/>
      </w:pPr>
      <w:r>
        <w:rPr>
          <w:color w:val="231F20"/>
          <w:w w:val="110"/>
        </w:rPr>
        <w:t>EVALUACIÓN DE LA SUSTENTABILIDAD</w:t>
      </w:r>
    </w:p>
    <w:p>
      <w:pPr>
        <w:pStyle w:val="BodyText"/>
        <w:spacing w:line="254" w:lineRule="auto" w:before="129"/>
        <w:ind w:left="411" w:right="1549"/>
        <w:jc w:val="both"/>
      </w:pPr>
      <w:r>
        <w:rPr>
          <w:color w:val="231F20"/>
        </w:rPr>
        <w:t>El concepto de “desarrollo sustentable” se for- malizó en </w:t>
      </w:r>
      <w:r>
        <w:rPr>
          <w:color w:val="231F20"/>
          <w:spacing w:val="-3"/>
        </w:rPr>
        <w:t>1987 </w:t>
      </w:r>
      <w:r>
        <w:rPr>
          <w:color w:val="231F20"/>
        </w:rPr>
        <w:t>en el informe de Brundtland, producto de los trabajos de la Comisión Mundial del Medio Ambiente y Desarrollo de  las  Nacio-  nes Unidas en 1983. Se definió la sustentabilidad como “satisfacer las necesidades de las genera- ciones presentes sin comprometer las posibilida- des de las del futuro para atender sus propias necesidades”.  Mann  y  Gazzarin  (2004)  definen  el desarrollo sustentable desde una perspectiva empresarial, tomando la finca como una empre-  sa: </w:t>
      </w:r>
      <w:r>
        <w:rPr>
          <w:color w:val="231F20"/>
          <w:spacing w:val="2"/>
        </w:rPr>
        <w:t>“Dirigir </w:t>
      </w:r>
      <w:r>
        <w:rPr>
          <w:color w:val="231F20"/>
        </w:rPr>
        <w:t>una empresa de tal manera que </w:t>
      </w:r>
      <w:r>
        <w:rPr>
          <w:color w:val="231F20"/>
          <w:spacing w:val="2"/>
        </w:rPr>
        <w:t>sea </w:t>
      </w:r>
      <w:r>
        <w:rPr>
          <w:color w:val="231F20"/>
        </w:rPr>
        <w:t>rentable para la generación actual y para las próxi- mas treinta generaciones”; no es necesario </w:t>
      </w:r>
      <w:r>
        <w:rPr>
          <w:color w:val="231F20"/>
          <w:spacing w:val="2"/>
        </w:rPr>
        <w:t>que </w:t>
      </w:r>
      <w:r>
        <w:rPr>
          <w:color w:val="231F20"/>
        </w:rPr>
        <w:t>exista una continuidad familiar,  sino  que  la  fin-  ca esté en las condiciones óptimas para que un sucesor continúe. A </w:t>
      </w:r>
      <w:r>
        <w:rPr>
          <w:color w:val="231F20"/>
          <w:spacing w:val="2"/>
        </w:rPr>
        <w:t>partir </w:t>
      </w:r>
      <w:r>
        <w:rPr>
          <w:color w:val="231F20"/>
        </w:rPr>
        <w:t>de esta visión se con- </w:t>
      </w:r>
      <w:r>
        <w:rPr>
          <w:color w:val="231F20"/>
          <w:spacing w:val="2"/>
        </w:rPr>
        <w:t>vierte </w:t>
      </w:r>
      <w:r>
        <w:rPr>
          <w:color w:val="231F20"/>
        </w:rPr>
        <w:t>en un constante reto el diseñar un nuevo modelo de desarrollo con un concepto diferente  de crecimiento económico que no supere la ca- pacidad  de  restauración  de  los  recursos </w:t>
      </w:r>
      <w:r>
        <w:rPr>
          <w:color w:val="231F20"/>
          <w:spacing w:val="29"/>
        </w:rPr>
        <w:t> </w:t>
      </w:r>
      <w:r>
        <w:rPr>
          <w:color w:val="231F20"/>
        </w:rPr>
        <w:t>natura-</w:t>
      </w:r>
    </w:p>
    <w:p>
      <w:pPr>
        <w:spacing w:after="0" w:line="254"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4.   Sustentabilidad de la producción de leche en   pequeña</w:t>
      </w:r>
      <w:r>
        <w:rPr>
          <w:color w:val="231F20"/>
          <w:spacing w:val="12"/>
          <w:sz w:val="18"/>
        </w:rPr>
        <w:t> </w:t>
      </w:r>
      <w:r>
        <w:rPr>
          <w:color w:val="231F20"/>
          <w:sz w:val="18"/>
        </w:rPr>
        <w:t>escala...</w:t>
      </w:r>
      <w:r>
        <w:rPr>
          <w:color w:val="231F20"/>
          <w:sz w:val="22"/>
        </w:rPr>
        <w:tab/>
        <w:t>63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6" w:lineRule="auto"/>
        <w:ind w:left="1553"/>
        <w:jc w:val="both"/>
      </w:pPr>
      <w:r>
        <w:rPr>
          <w:color w:val="231F20"/>
        </w:rPr>
        <w:t>les, mediante una racionalidad económica que haga posible que los hábitos de consumo y los patrones de producción sean compatibles con la naturaleza  (Brunett  Pérez  </w:t>
      </w:r>
      <w:r>
        <w:rPr>
          <w:i/>
          <w:color w:val="231F20"/>
        </w:rPr>
        <w:t>et  al</w:t>
      </w:r>
      <w:r>
        <w:rPr>
          <w:color w:val="231F20"/>
        </w:rPr>
        <w:t>., 2005).</w:t>
      </w:r>
    </w:p>
    <w:p>
      <w:pPr>
        <w:pStyle w:val="BodyText"/>
        <w:spacing w:line="266" w:lineRule="auto" w:before="112"/>
        <w:ind w:left="1553"/>
        <w:jc w:val="both"/>
      </w:pPr>
      <w:r>
        <w:rPr>
          <w:color w:val="231F20"/>
        </w:rPr>
        <w:t>La sustentabilidad es un concepto intangible y va- riable, por los que  los  métodos  existentes  para  su evaluación, en los sistemas de producción de leche, son escasos y están sujetos a cambios y ajustes por la variabilidad de  los  sistemas  y  de  las zonas donde ha sido evaluada. Evaluar la sus- tentabilidad en los sistemas de producción de leche en pequeña escala es importante, ya que estos sistemas aportan el 37% del total  de  la  leche producida en México, teniendo en cuenta que es un país deficitario en su producción (Cesín Vargas y Cervantes Escoto, 2009; </w:t>
      </w:r>
      <w:r>
        <w:rPr>
          <w:color w:val="231F20"/>
          <w:spacing w:val="-4"/>
        </w:rPr>
        <w:t>FAO, </w:t>
      </w:r>
      <w:r>
        <w:rPr>
          <w:color w:val="231F20"/>
          <w:spacing w:val="-3"/>
        </w:rPr>
        <w:t>2010). </w:t>
      </w:r>
      <w:r>
        <w:rPr>
          <w:color w:val="231F20"/>
        </w:rPr>
        <w:t>Además, varios estudios mencionan a los siste- mas de producción de leche en pequeña escala como medios importantes para aumentar la pro- ducción nacional de leche, y al mismo tiempo ser competitivos con los estándares internacionales (Val-Arreola </w:t>
      </w:r>
      <w:r>
        <w:rPr>
          <w:i/>
          <w:color w:val="231F20"/>
        </w:rPr>
        <w:t>et al</w:t>
      </w:r>
      <w:r>
        <w:rPr>
          <w:color w:val="231F20"/>
        </w:rPr>
        <w:t>., 2006; Espinoza-Ortega </w:t>
      </w:r>
      <w:r>
        <w:rPr>
          <w:i/>
          <w:color w:val="231F20"/>
        </w:rPr>
        <w:t>et al</w:t>
      </w:r>
      <w:r>
        <w:rPr>
          <w:color w:val="231F20"/>
        </w:rPr>
        <w:t>., 2007). Por otro lado, la sustentabilidad comienza    a cobrar importancia nacional cuando existe una Ley de Desarrollo Rural Sustentable, que entró en vigor el 8 de diciembre de  </w:t>
      </w:r>
      <w:r>
        <w:rPr>
          <w:color w:val="231F20"/>
          <w:spacing w:val="-3"/>
        </w:rPr>
        <w:t>2001  </w:t>
      </w:r>
      <w:r>
        <w:rPr>
          <w:color w:val="231F20"/>
        </w:rPr>
        <w:t>y  forma  parte  del Plan Nacional de Desarrollo 2009-2012. Así pues, evaluar la sustentabilidad en estos sistemas es una herramienta importante para generar in- formación para la toma de decisiones de futuro   en estos sistemas, identificando sus fortalezas y debilidades.</w:t>
      </w:r>
    </w:p>
    <w:p>
      <w:pPr>
        <w:pStyle w:val="BodyText"/>
        <w:spacing w:line="266" w:lineRule="auto" w:before="112"/>
        <w:ind w:left="1553"/>
        <w:jc w:val="both"/>
      </w:pPr>
      <w:r>
        <w:rPr>
          <w:color w:val="231F20"/>
        </w:rPr>
        <w:t>Los sistemas agropecuarios sustentables deben tener la capacidad de responder y captar las opor- tunidades impuestas por los cambios en el merca- do, las tecnologías y las condiciones ambientales globales, y los fundamentos de la flexibilidad y la resiliencia deben basarse en mantener los recur- sos naturales y la calidad del entorno ambiental (Dumanski  </w:t>
      </w:r>
      <w:r>
        <w:rPr>
          <w:i/>
          <w:color w:val="231F20"/>
        </w:rPr>
        <w:t>et  al</w:t>
      </w:r>
      <w:r>
        <w:rPr>
          <w:color w:val="231F20"/>
        </w:rPr>
        <w:t>., 1998).</w:t>
      </w:r>
    </w:p>
    <w:p>
      <w:pPr>
        <w:pStyle w:val="BodyText"/>
        <w:spacing w:before="3"/>
        <w:rPr>
          <w:sz w:val="28"/>
        </w:rPr>
      </w:pPr>
      <w:r>
        <w:rPr/>
        <w:br w:type="column"/>
      </w:r>
      <w:r>
        <w:rPr>
          <w:sz w:val="28"/>
        </w:rPr>
      </w:r>
    </w:p>
    <w:p>
      <w:pPr>
        <w:pStyle w:val="BodyText"/>
        <w:spacing w:line="268" w:lineRule="auto"/>
        <w:ind w:left="411" w:right="1551"/>
        <w:jc w:val="both"/>
      </w:pPr>
      <w:r>
        <w:rPr>
          <w:color w:val="231F20"/>
        </w:rPr>
        <w:t>La sustentabilidad de los sistemas lecheros se de- termina utilizando varios aspectos (económico, ambiental y social), y por cada uno de ellos se selecciona un número medible de atributos. La dificultad para determinar la sustentabilidad en es- tos sistemas radica en la combinación de los difer- entes atributos de medida dentro de una función de sustentabilidad, la cual mide la sustentabilidad general </w:t>
      </w:r>
      <w:r>
        <w:rPr>
          <w:color w:val="231F20"/>
          <w:spacing w:val="-3"/>
        </w:rPr>
        <w:t>(Van </w:t>
      </w:r>
      <w:r>
        <w:rPr>
          <w:color w:val="231F20"/>
        </w:rPr>
        <w:t>Calker </w:t>
      </w:r>
      <w:r>
        <w:rPr>
          <w:i/>
          <w:color w:val="231F20"/>
        </w:rPr>
        <w:t>et al</w:t>
      </w:r>
      <w:r>
        <w:rPr>
          <w:color w:val="231F20"/>
        </w:rPr>
        <w:t>., 2003). Cuando se habla de evaluar la sustentabilidad se mencionan tres pilares, el ambiental, el económico  y  el  social,  que muchas veces se han evaluado de manera independiente, aunque para hablar realmente de sustentabilidad hay que integrarlos de manera holística </w:t>
      </w:r>
      <w:r>
        <w:rPr>
          <w:color w:val="231F20"/>
          <w:spacing w:val="-3"/>
        </w:rPr>
        <w:t>(Van </w:t>
      </w:r>
      <w:r>
        <w:rPr>
          <w:color w:val="231F20"/>
        </w:rPr>
        <w:t>Passel </w:t>
      </w:r>
      <w:r>
        <w:rPr>
          <w:i/>
          <w:color w:val="231F20"/>
        </w:rPr>
        <w:t>et al</w:t>
      </w:r>
      <w:r>
        <w:rPr>
          <w:color w:val="231F20"/>
        </w:rPr>
        <w:t>., </w:t>
      </w:r>
      <w:r>
        <w:rPr>
          <w:color w:val="231F20"/>
          <w:spacing w:val="-3"/>
        </w:rPr>
        <w:t>2007).  </w:t>
      </w:r>
      <w:r>
        <w:rPr>
          <w:color w:val="231F20"/>
        </w:rPr>
        <w:t>Por tal motivo,  es importante contar con una definición de trabajo que abarque estos tres pilares y que esté enfocada al desarrollo agropecuario sustentable: “Para que toda actividad económica sea sustentable, deberá ser económicamente viable, ecológicamente sana  y socialmente equitativa” (Vilain, </w:t>
      </w:r>
      <w:r>
        <w:rPr>
          <w:color w:val="231F20"/>
          <w:spacing w:val="37"/>
        </w:rPr>
        <w:t> </w:t>
      </w:r>
      <w:r>
        <w:rPr>
          <w:color w:val="231F20"/>
        </w:rPr>
        <w:t>2008).</w:t>
      </w:r>
    </w:p>
    <w:p>
      <w:pPr>
        <w:pStyle w:val="BodyText"/>
        <w:spacing w:line="268" w:lineRule="auto" w:before="114"/>
        <w:ind w:left="411" w:right="1551"/>
        <w:jc w:val="both"/>
      </w:pPr>
      <w:r>
        <w:rPr>
          <w:color w:val="231F20"/>
        </w:rPr>
        <w:t>En un futuro, la producción de cualquier índole va  a ser intervenida por políticas ambientales, con lo que se exigirá que sea productiva pero que al mis- mo tiempo vaya acorde con el entorno ambiental. Así mismo, llegará un momento en que los recur- sos naturales comiencen a escasear y los produc- tores tendrán que ir modificando sus producciones para reducir el uso de recursos no  </w:t>
      </w:r>
      <w:r>
        <w:rPr>
          <w:color w:val="231F20"/>
          <w:spacing w:val="4"/>
        </w:rPr>
        <w:t> </w:t>
      </w:r>
      <w:r>
        <w:rPr>
          <w:color w:val="231F20"/>
        </w:rPr>
        <w:t>renovables.</w:t>
      </w:r>
    </w:p>
    <w:p>
      <w:pPr>
        <w:pStyle w:val="BodyText"/>
        <w:spacing w:line="268" w:lineRule="auto" w:before="114"/>
        <w:ind w:left="411" w:right="1551"/>
        <w:jc w:val="both"/>
      </w:pPr>
      <w:r>
        <w:rPr>
          <w:color w:val="231F20"/>
        </w:rPr>
        <w:t>Existe una gran cantidad de métodos para evaluar la sustentabilidad en diferentes sistemas. Hay al- gunos más específicos que otros, algunos que sólo abarcan uno de los tres componentes (ambiental, económico o social), y otros que son diseñados para tipos específicos de  sistemas.</w:t>
      </w:r>
    </w:p>
    <w:p>
      <w:pPr>
        <w:spacing w:line="268" w:lineRule="auto" w:before="114"/>
        <w:ind w:left="411" w:right="1551" w:firstLine="0"/>
        <w:jc w:val="both"/>
        <w:rPr>
          <w:sz w:val="20"/>
        </w:rPr>
      </w:pPr>
      <w:r>
        <w:rPr>
          <w:color w:val="231F20"/>
          <w:sz w:val="20"/>
        </w:rPr>
        <w:t>A continuación se describe el método IDEA (</w:t>
      </w:r>
      <w:r>
        <w:rPr>
          <w:i/>
          <w:color w:val="231F20"/>
          <w:sz w:val="20"/>
        </w:rPr>
        <w:t>Indi- </w:t>
      </w:r>
      <w:r>
        <w:rPr>
          <w:i/>
          <w:color w:val="231F20"/>
          <w:sz w:val="20"/>
        </w:rPr>
        <w:t>cateurs de Durabilité des Exploitations Agricoles </w:t>
      </w:r>
      <w:r>
        <w:rPr>
          <w:color w:val="231F20"/>
          <w:sz w:val="20"/>
        </w:rPr>
        <w:t>[Indicadores de Sustentabilidad en Fincas]), que  fue utilizado para el presente</w:t>
      </w:r>
      <w:r>
        <w:rPr>
          <w:color w:val="231F20"/>
          <w:spacing w:val="42"/>
          <w:sz w:val="20"/>
        </w:rPr>
        <w:t> </w:t>
      </w:r>
      <w:r>
        <w:rPr>
          <w:color w:val="231F20"/>
          <w:sz w:val="20"/>
        </w:rPr>
        <w:t>estudio.</w:t>
      </w:r>
    </w:p>
    <w:p>
      <w:pPr>
        <w:spacing w:after="0" w:line="268" w:lineRule="auto"/>
        <w:jc w:val="both"/>
        <w:rPr>
          <w:sz w:val="20"/>
        </w:rPr>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64</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6" w:lineRule="auto" w:before="76"/>
        <w:ind w:left="1553" w:right="528"/>
        <w:jc w:val="both"/>
      </w:pPr>
      <w:r>
        <w:rPr>
          <w:color w:val="231F20"/>
          <w:w w:val="110"/>
        </w:rPr>
        <w:t>MÉTODO IDEA PARA LA EVALUACIÓN DE LA SUSTENTABILIDAD DE LAS UNIDADES DE PRODUCCIÓN AGROPECUARIA</w:t>
      </w:r>
    </w:p>
    <w:p>
      <w:pPr>
        <w:pStyle w:val="BodyText"/>
        <w:spacing w:line="266" w:lineRule="auto" w:before="113"/>
        <w:ind w:left="1553" w:right="1"/>
        <w:jc w:val="both"/>
      </w:pPr>
      <w:r>
        <w:rPr>
          <w:color w:val="231F20"/>
        </w:rPr>
        <w:t>El método IDEA fue desarrollado en Francia en </w:t>
      </w:r>
      <w:r>
        <w:rPr>
          <w:color w:val="231F20"/>
          <w:spacing w:val="-3"/>
        </w:rPr>
        <w:t>1998 </w:t>
      </w:r>
      <w:r>
        <w:rPr>
          <w:color w:val="231F20"/>
        </w:rPr>
        <w:t>y ha sido probado  en  más  de  </w:t>
      </w:r>
      <w:r>
        <w:rPr>
          <w:color w:val="231F20"/>
          <w:spacing w:val="-4"/>
        </w:rPr>
        <w:t>1500  </w:t>
      </w:r>
      <w:r>
        <w:rPr>
          <w:color w:val="231F20"/>
        </w:rPr>
        <w:t>fincas en ese país  entre  los  años  2000  y  </w:t>
      </w:r>
      <w:r>
        <w:rPr>
          <w:color w:val="231F20"/>
          <w:spacing w:val="-4"/>
        </w:rPr>
        <w:t>2007  </w:t>
      </w:r>
      <w:r>
        <w:rPr>
          <w:color w:val="231F20"/>
        </w:rPr>
        <w:t>(Zahm  </w:t>
      </w:r>
      <w:r>
        <w:rPr>
          <w:i/>
          <w:color w:val="231F20"/>
        </w:rPr>
        <w:t>et al</w:t>
      </w:r>
      <w:r>
        <w:rPr>
          <w:color w:val="231F20"/>
        </w:rPr>
        <w:t>., 2008). </w:t>
      </w:r>
      <w:r>
        <w:rPr>
          <w:color w:val="231F20"/>
          <w:spacing w:val="-3"/>
        </w:rPr>
        <w:t>También </w:t>
      </w:r>
      <w:r>
        <w:rPr>
          <w:color w:val="231F20"/>
        </w:rPr>
        <w:t>ha sido utilizado Uruguay, Brasil, Argelia, Líbano y Túnez. Este método utiliza la ponderación de los indicadores para facilitar su interpretación final (Zahm </w:t>
      </w:r>
      <w:r>
        <w:rPr>
          <w:i/>
          <w:color w:val="231F20"/>
        </w:rPr>
        <w:t>et al</w:t>
      </w:r>
      <w:r>
        <w:rPr>
          <w:color w:val="231F20"/>
        </w:rPr>
        <w:t>., 2008), y existen varios estudios realizados con él en sistemas pe- cuarios (Ghozlane </w:t>
      </w:r>
      <w:r>
        <w:rPr>
          <w:i/>
          <w:color w:val="231F20"/>
        </w:rPr>
        <w:t>et al</w:t>
      </w:r>
      <w:r>
        <w:rPr>
          <w:color w:val="231F20"/>
        </w:rPr>
        <w:t>., 2008; M’Hamdi </w:t>
      </w:r>
      <w:r>
        <w:rPr>
          <w:i/>
          <w:color w:val="231F20"/>
        </w:rPr>
        <w:t>et al</w:t>
      </w:r>
      <w:r>
        <w:rPr>
          <w:color w:val="231F20"/>
        </w:rPr>
        <w:t>., 2009).</w:t>
      </w:r>
    </w:p>
    <w:p>
      <w:pPr>
        <w:pStyle w:val="BodyText"/>
        <w:spacing w:before="113"/>
        <w:ind w:left="1553"/>
        <w:jc w:val="both"/>
      </w:pPr>
      <w:r>
        <w:rPr>
          <w:color w:val="231F20"/>
          <w:w w:val="105"/>
        </w:rPr>
        <w:t>El método IDEA se basa en 16 objetivos  (Cuadro</w:t>
      </w:r>
    </w:p>
    <w:p>
      <w:pPr>
        <w:pStyle w:val="BodyText"/>
        <w:spacing w:line="266" w:lineRule="auto" w:before="26"/>
        <w:ind w:left="1553" w:right="1"/>
        <w:jc w:val="both"/>
      </w:pPr>
      <w:r>
        <w:rPr>
          <w:color w:val="231F20"/>
        </w:rPr>
        <w:t>2) agrupados en tres escalas (agroecológica, socio- territorial y económica). Cada escala se subdivide en tres o cuatro componentes, que se convierten en 42 indicadores (Vilain, 2008). Las tres escalas tienen el mismo valor (0-100 puntos), cada com- ponente tiene un valor máximo de 33 puntos y cada indicador tiene un puntaje. Este método de cálculo permite a la finca tener una gran cantidad de posibles combinaciones para obtener como re- sultado el mismo grado de sustentabilidad (Zahm </w:t>
      </w:r>
      <w:r>
        <w:rPr>
          <w:i/>
          <w:color w:val="231F20"/>
        </w:rPr>
        <w:t>et  al</w:t>
      </w:r>
      <w:r>
        <w:rPr>
          <w:color w:val="231F20"/>
        </w:rPr>
        <w:t>.,</w:t>
      </w:r>
      <w:r>
        <w:rPr>
          <w:color w:val="231F20"/>
          <w:spacing w:val="27"/>
        </w:rPr>
        <w:t> </w:t>
      </w:r>
      <w:r>
        <w:rPr>
          <w:color w:val="231F20"/>
        </w:rPr>
        <w:t>2008).</w:t>
      </w:r>
    </w:p>
    <w:p>
      <w:pPr>
        <w:pStyle w:val="BodyText"/>
        <w:spacing w:line="266" w:lineRule="auto" w:before="113"/>
        <w:ind w:left="1553"/>
        <w:jc w:val="both"/>
      </w:pPr>
      <w:r>
        <w:rPr>
          <w:color w:val="231F20"/>
        </w:rPr>
        <w:t>El valor de la sustentabilidad de una unidad de producción de leche </w:t>
      </w:r>
      <w:r>
        <w:rPr>
          <w:color w:val="231F20"/>
          <w:spacing w:val="3"/>
        </w:rPr>
        <w:t>(UPL) </w:t>
      </w:r>
      <w:r>
        <w:rPr>
          <w:color w:val="231F20"/>
        </w:rPr>
        <w:t>se obtiene del menor puntaje de las tres  escalas  como  puntaje  final.  Se aplica la ley del mínimo o la ley de Liebig, en cuanto a que “el crecimiento no  es  controlado  por la cantidad de recursos disponibles sino </w:t>
      </w:r>
      <w:r>
        <w:rPr>
          <w:color w:val="231F20"/>
          <w:spacing w:val="2"/>
        </w:rPr>
        <w:t>por    </w:t>
      </w:r>
      <w:r>
        <w:rPr>
          <w:color w:val="231F20"/>
        </w:rPr>
        <w:t>el más escaso” (factor limitante). Los puntajes máximos de los indicadores no tienen como fin establecer valores óptimos absolutos; lo que se busca son </w:t>
      </w:r>
      <w:r>
        <w:rPr>
          <w:color w:val="231F20"/>
          <w:spacing w:val="2"/>
        </w:rPr>
        <w:t>comportamientos, </w:t>
      </w:r>
      <w:r>
        <w:rPr>
          <w:color w:val="231F20"/>
        </w:rPr>
        <w:t>prácticas o resulta- dos que contribuyan a  la  sustentabilidad  (Zahm  </w:t>
      </w:r>
      <w:r>
        <w:rPr>
          <w:i/>
          <w:color w:val="231F20"/>
        </w:rPr>
        <w:t>et  al</w:t>
      </w:r>
      <w:r>
        <w:rPr>
          <w:color w:val="231F20"/>
        </w:rPr>
        <w:t>., </w:t>
      </w:r>
      <w:r>
        <w:rPr>
          <w:color w:val="231F20"/>
          <w:spacing w:val="10"/>
        </w:rPr>
        <w:t> </w:t>
      </w:r>
      <w:r>
        <w:rPr>
          <w:color w:val="231F20"/>
        </w:rPr>
        <w:t>2008).</w:t>
      </w:r>
    </w:p>
    <w:p>
      <w:pPr>
        <w:spacing w:before="71"/>
        <w:ind w:left="411" w:right="1906" w:firstLine="0"/>
        <w:jc w:val="left"/>
        <w:rPr>
          <w:sz w:val="18"/>
        </w:rPr>
      </w:pPr>
      <w:r>
        <w:rPr/>
        <w:br w:type="column"/>
      </w:r>
      <w:r>
        <w:rPr>
          <w:color w:val="231F20"/>
          <w:w w:val="105"/>
          <w:sz w:val="18"/>
        </w:rPr>
        <w:t>Cuadro 2.  Los 16 objetivos del método  IDEA.</w:t>
      </w:r>
    </w:p>
    <w:p>
      <w:pPr>
        <w:pStyle w:val="BodyText"/>
        <w:spacing w:before="11"/>
        <w:rPr>
          <w:sz w:val="11"/>
        </w:rPr>
      </w:pPr>
    </w:p>
    <w:tbl>
      <w:tblPr>
        <w:tblW w:w="0" w:type="auto"/>
        <w:jc w:val="left"/>
        <w:tblInd w:w="4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57"/>
      </w:tblGrid>
      <w:tr>
        <w:trPr>
          <w:trHeight w:val="5150" w:hRule="exact"/>
        </w:trPr>
        <w:tc>
          <w:tcPr>
            <w:tcW w:w="4157" w:type="dxa"/>
            <w:tcBorders>
              <w:top w:val="single" w:sz="4" w:space="0" w:color="231F20"/>
              <w:bottom w:val="single" w:sz="4" w:space="0" w:color="231F20"/>
            </w:tcBorders>
          </w:tcPr>
          <w:p>
            <w:pPr>
              <w:pStyle w:val="TableParagraph"/>
              <w:numPr>
                <w:ilvl w:val="0"/>
                <w:numId w:val="9"/>
              </w:numPr>
              <w:tabs>
                <w:tab w:pos="341" w:val="left" w:leader="none"/>
              </w:tabs>
              <w:spacing w:line="240" w:lineRule="auto" w:before="73" w:after="0"/>
              <w:ind w:left="340" w:right="0" w:hanging="227"/>
              <w:jc w:val="left"/>
              <w:rPr>
                <w:sz w:val="17"/>
              </w:rPr>
            </w:pPr>
            <w:r>
              <w:rPr>
                <w:color w:val="231F20"/>
                <w:sz w:val="17"/>
              </w:rPr>
              <w:t>Coherencia</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Conservación y manejo de la  </w:t>
            </w:r>
            <w:r>
              <w:rPr>
                <w:color w:val="231F20"/>
                <w:spacing w:val="9"/>
                <w:sz w:val="17"/>
              </w:rPr>
              <w:t> </w:t>
            </w:r>
            <w:r>
              <w:rPr>
                <w:color w:val="231F20"/>
                <w:sz w:val="17"/>
              </w:rPr>
              <w:t>biodiversidad</w:t>
            </w:r>
          </w:p>
          <w:p>
            <w:pPr>
              <w:pStyle w:val="TableParagraph"/>
              <w:numPr>
                <w:ilvl w:val="0"/>
                <w:numId w:val="9"/>
              </w:numPr>
              <w:tabs>
                <w:tab w:pos="341" w:val="left" w:leader="none"/>
              </w:tabs>
              <w:spacing w:line="240" w:lineRule="auto" w:before="97" w:after="0"/>
              <w:ind w:left="340" w:right="0" w:hanging="227"/>
              <w:jc w:val="left"/>
              <w:rPr>
                <w:sz w:val="17"/>
              </w:rPr>
            </w:pPr>
            <w:r>
              <w:rPr>
                <w:color w:val="231F20"/>
                <w:w w:val="105"/>
                <w:sz w:val="17"/>
              </w:rPr>
              <w:t>Conservación de los</w:t>
            </w:r>
            <w:r>
              <w:rPr>
                <w:color w:val="231F20"/>
                <w:spacing w:val="-17"/>
                <w:w w:val="105"/>
                <w:sz w:val="17"/>
              </w:rPr>
              <w:t> </w:t>
            </w:r>
            <w:r>
              <w:rPr>
                <w:color w:val="231F20"/>
                <w:w w:val="105"/>
                <w:sz w:val="17"/>
              </w:rPr>
              <w:t>suelos</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Conservación y manejo del  </w:t>
            </w:r>
            <w:r>
              <w:rPr>
                <w:color w:val="231F20"/>
                <w:spacing w:val="3"/>
                <w:sz w:val="17"/>
              </w:rPr>
              <w:t> </w:t>
            </w:r>
            <w:r>
              <w:rPr>
                <w:color w:val="231F20"/>
                <w:sz w:val="17"/>
              </w:rPr>
              <w:t>agua</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Conservación de la </w:t>
            </w:r>
            <w:r>
              <w:rPr>
                <w:color w:val="231F20"/>
                <w:spacing w:val="9"/>
                <w:sz w:val="17"/>
              </w:rPr>
              <w:t> </w:t>
            </w:r>
            <w:r>
              <w:rPr>
                <w:color w:val="231F20"/>
                <w:sz w:val="17"/>
              </w:rPr>
              <w:t>atmósfera</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Calidad del</w:t>
            </w:r>
            <w:r>
              <w:rPr>
                <w:color w:val="231F20"/>
                <w:spacing w:val="31"/>
                <w:sz w:val="17"/>
              </w:rPr>
              <w:t> </w:t>
            </w:r>
            <w:r>
              <w:rPr>
                <w:color w:val="231F20"/>
                <w:sz w:val="17"/>
              </w:rPr>
              <w:t>producto</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Ética</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Conservación  del</w:t>
            </w:r>
            <w:r>
              <w:rPr>
                <w:color w:val="231F20"/>
                <w:spacing w:val="6"/>
                <w:sz w:val="17"/>
              </w:rPr>
              <w:t> </w:t>
            </w:r>
            <w:r>
              <w:rPr>
                <w:color w:val="231F20"/>
                <w:sz w:val="17"/>
              </w:rPr>
              <w:t>paisaje</w:t>
            </w:r>
          </w:p>
          <w:p>
            <w:pPr>
              <w:pStyle w:val="TableParagraph"/>
              <w:numPr>
                <w:ilvl w:val="0"/>
                <w:numId w:val="9"/>
              </w:numPr>
              <w:tabs>
                <w:tab w:pos="341" w:val="left" w:leader="none"/>
              </w:tabs>
              <w:spacing w:line="254" w:lineRule="auto" w:before="97" w:after="0"/>
              <w:ind w:left="340" w:right="689" w:hanging="227"/>
              <w:jc w:val="left"/>
              <w:rPr>
                <w:sz w:val="17"/>
              </w:rPr>
            </w:pPr>
            <w:r>
              <w:rPr>
                <w:color w:val="231F20"/>
                <w:sz w:val="17"/>
              </w:rPr>
              <w:t>Manejo adecuado de los recursos na turales no</w:t>
            </w:r>
            <w:r>
              <w:rPr>
                <w:color w:val="231F20"/>
                <w:spacing w:val="21"/>
                <w:sz w:val="17"/>
              </w:rPr>
              <w:t> </w:t>
            </w:r>
            <w:r>
              <w:rPr>
                <w:color w:val="231F20"/>
                <w:sz w:val="17"/>
              </w:rPr>
              <w:t>renovables</w:t>
            </w:r>
          </w:p>
          <w:p>
            <w:pPr>
              <w:pStyle w:val="TableParagraph"/>
              <w:numPr>
                <w:ilvl w:val="0"/>
                <w:numId w:val="9"/>
              </w:numPr>
              <w:tabs>
                <w:tab w:pos="341" w:val="left" w:leader="none"/>
              </w:tabs>
              <w:spacing w:line="240" w:lineRule="auto" w:before="85" w:after="0"/>
              <w:ind w:left="340" w:right="0" w:hanging="227"/>
              <w:jc w:val="left"/>
              <w:rPr>
                <w:sz w:val="17"/>
              </w:rPr>
            </w:pPr>
            <w:r>
              <w:rPr>
                <w:color w:val="231F20"/>
                <w:sz w:val="17"/>
              </w:rPr>
              <w:t>Desarrollo</w:t>
            </w:r>
            <w:r>
              <w:rPr>
                <w:color w:val="231F20"/>
                <w:spacing w:val="7"/>
                <w:sz w:val="17"/>
              </w:rPr>
              <w:t> </w:t>
            </w:r>
            <w:r>
              <w:rPr>
                <w:color w:val="231F20"/>
                <w:sz w:val="17"/>
              </w:rPr>
              <w:t>local</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Prácticas de manejo de relaciones  </w:t>
            </w:r>
            <w:r>
              <w:rPr>
                <w:color w:val="231F20"/>
                <w:spacing w:val="8"/>
                <w:sz w:val="17"/>
              </w:rPr>
              <w:t> </w:t>
            </w:r>
            <w:r>
              <w:rPr>
                <w:color w:val="231F20"/>
                <w:sz w:val="17"/>
              </w:rPr>
              <w:t>sociales</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Desarrollo</w:t>
            </w:r>
            <w:r>
              <w:rPr>
                <w:color w:val="231F20"/>
                <w:spacing w:val="30"/>
                <w:sz w:val="17"/>
              </w:rPr>
              <w:t> </w:t>
            </w:r>
            <w:r>
              <w:rPr>
                <w:color w:val="231F20"/>
                <w:sz w:val="17"/>
              </w:rPr>
              <w:t>humano</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Calidad de</w:t>
            </w:r>
            <w:r>
              <w:rPr>
                <w:color w:val="231F20"/>
                <w:spacing w:val="36"/>
                <w:sz w:val="17"/>
              </w:rPr>
              <w:t> </w:t>
            </w:r>
            <w:r>
              <w:rPr>
                <w:color w:val="231F20"/>
                <w:sz w:val="17"/>
              </w:rPr>
              <w:t>vida</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Adaptabilidad</w:t>
            </w:r>
          </w:p>
          <w:p>
            <w:pPr>
              <w:pStyle w:val="TableParagraph"/>
              <w:numPr>
                <w:ilvl w:val="0"/>
                <w:numId w:val="9"/>
              </w:numPr>
              <w:tabs>
                <w:tab w:pos="341" w:val="left" w:leader="none"/>
              </w:tabs>
              <w:spacing w:line="240" w:lineRule="auto" w:before="97" w:after="0"/>
              <w:ind w:left="340" w:right="0" w:hanging="227"/>
              <w:jc w:val="left"/>
              <w:rPr>
                <w:sz w:val="17"/>
              </w:rPr>
            </w:pPr>
            <w:r>
              <w:rPr>
                <w:color w:val="231F20"/>
                <w:w w:val="105"/>
                <w:sz w:val="17"/>
              </w:rPr>
              <w:t>Empleo</w:t>
            </w:r>
          </w:p>
          <w:p>
            <w:pPr>
              <w:pStyle w:val="TableParagraph"/>
              <w:numPr>
                <w:ilvl w:val="0"/>
                <w:numId w:val="9"/>
              </w:numPr>
              <w:tabs>
                <w:tab w:pos="341" w:val="left" w:leader="none"/>
              </w:tabs>
              <w:spacing w:line="240" w:lineRule="auto" w:before="97" w:after="0"/>
              <w:ind w:left="340" w:right="0" w:hanging="227"/>
              <w:jc w:val="left"/>
              <w:rPr>
                <w:sz w:val="17"/>
              </w:rPr>
            </w:pPr>
            <w:r>
              <w:rPr>
                <w:color w:val="231F20"/>
                <w:sz w:val="17"/>
              </w:rPr>
              <w:t>Bienestar</w:t>
            </w:r>
            <w:r>
              <w:rPr>
                <w:color w:val="231F20"/>
                <w:spacing w:val="13"/>
                <w:sz w:val="17"/>
              </w:rPr>
              <w:t> </w:t>
            </w:r>
            <w:r>
              <w:rPr>
                <w:color w:val="231F20"/>
                <w:sz w:val="17"/>
              </w:rPr>
              <w:t>animal</w:t>
            </w:r>
          </w:p>
        </w:tc>
      </w:tr>
      <w:tr>
        <w:trPr>
          <w:trHeight w:val="257" w:hRule="exact"/>
        </w:trPr>
        <w:tc>
          <w:tcPr>
            <w:tcW w:w="4157" w:type="dxa"/>
            <w:tcBorders>
              <w:top w:val="single" w:sz="4" w:space="0" w:color="231F20"/>
            </w:tcBorders>
          </w:tcPr>
          <w:p>
            <w:pPr>
              <w:pStyle w:val="TableParagraph"/>
              <w:spacing w:before="77"/>
              <w:ind w:left="113"/>
              <w:rPr>
                <w:sz w:val="15"/>
              </w:rPr>
            </w:pPr>
            <w:r>
              <w:rPr>
                <w:color w:val="231F20"/>
                <w:sz w:val="15"/>
              </w:rPr>
              <w:t>Fuente: Zahm et al.,  2008.</w:t>
            </w:r>
          </w:p>
        </w:tc>
      </w:tr>
    </w:tbl>
    <w:p>
      <w:pPr>
        <w:pStyle w:val="BodyText"/>
        <w:rPr>
          <w:sz w:val="18"/>
        </w:rPr>
      </w:pPr>
    </w:p>
    <w:p>
      <w:pPr>
        <w:pStyle w:val="BodyText"/>
        <w:rPr>
          <w:sz w:val="18"/>
        </w:rPr>
      </w:pPr>
    </w:p>
    <w:p>
      <w:pPr>
        <w:pStyle w:val="BodyText"/>
        <w:spacing w:line="256" w:lineRule="auto" w:before="143"/>
        <w:ind w:left="411" w:right="1906"/>
      </w:pPr>
      <w:r>
        <w:rPr>
          <w:color w:val="231F20"/>
          <w:w w:val="110"/>
        </w:rPr>
        <w:t>EVALUACIÓN DE LA SUSTENTABILIDAD DE </w:t>
      </w:r>
      <w:r>
        <w:rPr>
          <w:color w:val="231F20"/>
          <w:spacing w:val="-3"/>
          <w:w w:val="110"/>
        </w:rPr>
        <w:t>LOS </w:t>
      </w:r>
      <w:r>
        <w:rPr>
          <w:color w:val="231F20"/>
          <w:w w:val="110"/>
        </w:rPr>
        <w:t>SISTEMAS DE PRODUCCIÓN DE LECHE EN PEQUEÑA ESCALA EN EL NOROESTE  DEL </w:t>
      </w:r>
      <w:r>
        <w:rPr>
          <w:color w:val="231F20"/>
          <w:spacing w:val="-4"/>
          <w:w w:val="110"/>
        </w:rPr>
        <w:t>ESTADO </w:t>
      </w:r>
      <w:r>
        <w:rPr>
          <w:color w:val="231F20"/>
          <w:w w:val="110"/>
        </w:rPr>
        <w:t>DE</w:t>
      </w:r>
      <w:r>
        <w:rPr>
          <w:color w:val="231F20"/>
          <w:spacing w:val="40"/>
          <w:w w:val="110"/>
        </w:rPr>
        <w:t> </w:t>
      </w:r>
      <w:r>
        <w:rPr>
          <w:color w:val="231F20"/>
          <w:w w:val="110"/>
        </w:rPr>
        <w:t>MÉXICO</w:t>
      </w:r>
    </w:p>
    <w:p>
      <w:pPr>
        <w:spacing w:before="113"/>
        <w:ind w:left="411" w:right="1906" w:firstLine="0"/>
        <w:jc w:val="left"/>
        <w:rPr>
          <w:rFonts w:ascii="Cambria"/>
          <w:i/>
          <w:sz w:val="20"/>
        </w:rPr>
      </w:pPr>
      <w:r>
        <w:rPr>
          <w:rFonts w:ascii="Cambria"/>
          <w:i/>
          <w:color w:val="231F20"/>
          <w:w w:val="110"/>
          <w:sz w:val="20"/>
        </w:rPr>
        <w:t>Zona de estudio</w:t>
      </w:r>
    </w:p>
    <w:p>
      <w:pPr>
        <w:pStyle w:val="BodyText"/>
        <w:spacing w:line="256" w:lineRule="auto" w:before="139"/>
        <w:ind w:left="411" w:right="1551"/>
        <w:jc w:val="both"/>
      </w:pPr>
      <w:r>
        <w:rPr>
          <w:color w:val="231F20"/>
        </w:rPr>
        <w:t>Se llevó a cabo un proyecto de investigación cuyo objetivo fue evaluar  la  sustentabilidad  median-  te indicadores, para poder conocer las fortalezas    y las debilidades de los  sistemas  de  producción de leche en pequeña escala.  Aquí  se  presentan  los resultados preliminares de la evaluación en la época de</w:t>
      </w:r>
      <w:r>
        <w:rPr>
          <w:color w:val="231F20"/>
          <w:spacing w:val="31"/>
        </w:rPr>
        <w:t> </w:t>
      </w:r>
      <w:r>
        <w:rPr>
          <w:color w:val="231F20"/>
        </w:rPr>
        <w:t>lluvias.</w:t>
      </w:r>
    </w:p>
    <w:p>
      <w:pPr>
        <w:pStyle w:val="BodyText"/>
        <w:spacing w:line="256" w:lineRule="auto" w:before="113"/>
        <w:ind w:left="411" w:right="1501"/>
      </w:pPr>
      <w:r>
        <w:rPr>
          <w:color w:val="231F20"/>
        </w:rPr>
        <w:t>El trabajo se llevó a cabo en el municipio de Acul- co, que pertenece a la región de Jilotepec,  ubicada</w:t>
      </w:r>
    </w:p>
    <w:p>
      <w:pPr>
        <w:spacing w:after="0" w:line="256" w:lineRule="auto"/>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4.   Sustentabilidad de la producción de leche en   pequeña</w:t>
      </w:r>
      <w:r>
        <w:rPr>
          <w:color w:val="231F20"/>
          <w:spacing w:val="12"/>
          <w:sz w:val="18"/>
        </w:rPr>
        <w:t> </w:t>
      </w:r>
      <w:r>
        <w:rPr>
          <w:color w:val="231F20"/>
          <w:sz w:val="18"/>
        </w:rPr>
        <w:t>escala...</w:t>
      </w:r>
      <w:r>
        <w:rPr>
          <w:color w:val="231F20"/>
          <w:sz w:val="22"/>
        </w:rPr>
        <w:tab/>
        <w:t>65</w:t>
      </w:r>
    </w:p>
    <w:p>
      <w:pPr>
        <w:spacing w:after="0"/>
        <w:jc w:val="left"/>
        <w:rPr>
          <w:sz w:val="22"/>
        </w:rPr>
        <w:sectPr>
          <w:pgSz w:w="11900" w:h="14450"/>
          <w:pgMar w:header="0" w:footer="222" w:top="420" w:bottom="420" w:left="0" w:right="0"/>
        </w:sectPr>
      </w:pPr>
    </w:p>
    <w:p>
      <w:pPr>
        <w:pStyle w:val="BodyText"/>
        <w:spacing w:line="264" w:lineRule="auto" w:before="345"/>
        <w:ind w:left="1553"/>
        <w:jc w:val="both"/>
      </w:pPr>
      <w:r>
        <w:rPr>
          <w:color w:val="231F20"/>
        </w:rPr>
        <w:t>en la parte noroccidental del Estado de México en los límites con el Estado de Querétaro. La cabece- ra municipal se encuentra geográficamente entre los paralelos 20° 06’ de latitud norte y 99° 50’ de longitud oeste. La altitud de la cabecera del muni- cipio alcanza los 2440 m sobre el nivel del </w:t>
      </w:r>
      <w:r>
        <w:rPr>
          <w:color w:val="231F20"/>
          <w:spacing w:val="-3"/>
        </w:rPr>
        <w:t>mar. </w:t>
      </w:r>
      <w:r>
        <w:rPr>
          <w:color w:val="231F20"/>
        </w:rPr>
        <w:t>Colinda al norte con el Estado de Querétaro y el municipio de Polotitlán, al sur con los municipios de Acambay y Timilpan, al este con el municipio   de Jilotepec y al oeste con el Estado de Queré-  taro. Tiene una superficie de 465,7 km</w:t>
      </w:r>
      <w:r>
        <w:rPr>
          <w:color w:val="231F20"/>
          <w:position w:val="7"/>
          <w:sz w:val="11"/>
        </w:rPr>
        <w:t>2</w:t>
      </w:r>
      <w:r>
        <w:rPr>
          <w:color w:val="231F20"/>
        </w:rPr>
        <w:t>, lo que representa el 2,18% del total estatal. Su clima es semifrío, subhúmedo, con lluvias en verano, sin estación invernal bien definida. La temperatura media anual es de </w:t>
      </w:r>
      <w:r>
        <w:rPr>
          <w:color w:val="231F20"/>
          <w:spacing w:val="-3"/>
        </w:rPr>
        <w:t>13,2 </w:t>
      </w:r>
      <w:r>
        <w:rPr>
          <w:color w:val="231F20"/>
        </w:rPr>
        <w:t>ºC, con los valores más bajos durante los meses de noviembre a febrero, que llegan a ser negativos y ocasionan heladas. La temporada de lluvias se inicia a finales de marzo o principios de abril, y dura hasta octubre o </w:t>
      </w:r>
      <w:r>
        <w:rPr>
          <w:color w:val="231F20"/>
          <w:spacing w:val="30"/>
        </w:rPr>
        <w:t> </w:t>
      </w:r>
      <w:r>
        <w:rPr>
          <w:color w:val="231F20"/>
        </w:rPr>
        <w:t>noviem-</w:t>
      </w:r>
    </w:p>
    <w:p>
      <w:pPr>
        <w:pStyle w:val="BodyText"/>
        <w:spacing w:before="3"/>
        <w:rPr>
          <w:sz w:val="28"/>
        </w:rPr>
      </w:pPr>
      <w:r>
        <w:rPr/>
        <w:br w:type="column"/>
      </w:r>
      <w:r>
        <w:rPr>
          <w:sz w:val="28"/>
        </w:rPr>
      </w:r>
    </w:p>
    <w:p>
      <w:pPr>
        <w:pStyle w:val="BodyText"/>
        <w:spacing w:line="259" w:lineRule="auto"/>
        <w:ind w:left="412" w:right="1551"/>
        <w:jc w:val="both"/>
      </w:pPr>
      <w:r>
        <w:rPr>
          <w:color w:val="231F20"/>
          <w:w w:val="105"/>
        </w:rPr>
        <w:t>bre.</w:t>
      </w:r>
      <w:r>
        <w:rPr>
          <w:color w:val="231F20"/>
          <w:spacing w:val="-14"/>
          <w:w w:val="105"/>
        </w:rPr>
        <w:t> </w:t>
      </w:r>
      <w:r>
        <w:rPr>
          <w:color w:val="231F20"/>
          <w:w w:val="105"/>
        </w:rPr>
        <w:t>Su</w:t>
      </w:r>
      <w:r>
        <w:rPr>
          <w:color w:val="231F20"/>
          <w:spacing w:val="-14"/>
          <w:w w:val="105"/>
        </w:rPr>
        <w:t> </w:t>
      </w:r>
      <w:r>
        <w:rPr>
          <w:color w:val="231F20"/>
          <w:w w:val="105"/>
        </w:rPr>
        <w:t>precipitación</w:t>
      </w:r>
      <w:r>
        <w:rPr>
          <w:color w:val="231F20"/>
          <w:spacing w:val="-14"/>
          <w:w w:val="105"/>
        </w:rPr>
        <w:t> </w:t>
      </w:r>
      <w:r>
        <w:rPr>
          <w:color w:val="231F20"/>
          <w:w w:val="105"/>
        </w:rPr>
        <w:t>pluvial</w:t>
      </w:r>
      <w:r>
        <w:rPr>
          <w:color w:val="231F20"/>
          <w:spacing w:val="-14"/>
          <w:w w:val="105"/>
        </w:rPr>
        <w:t> </w:t>
      </w:r>
      <w:r>
        <w:rPr>
          <w:color w:val="231F20"/>
          <w:w w:val="105"/>
        </w:rPr>
        <w:t>promedio</w:t>
      </w:r>
      <w:r>
        <w:rPr>
          <w:color w:val="231F20"/>
          <w:spacing w:val="-14"/>
          <w:w w:val="105"/>
        </w:rPr>
        <w:t> </w:t>
      </w:r>
      <w:r>
        <w:rPr>
          <w:color w:val="231F20"/>
          <w:w w:val="105"/>
        </w:rPr>
        <w:t>anual</w:t>
      </w:r>
      <w:r>
        <w:rPr>
          <w:color w:val="231F20"/>
          <w:spacing w:val="-14"/>
          <w:w w:val="105"/>
        </w:rPr>
        <w:t> </w:t>
      </w:r>
      <w:r>
        <w:rPr>
          <w:color w:val="231F20"/>
          <w:w w:val="105"/>
        </w:rPr>
        <w:t>es</w:t>
      </w:r>
      <w:r>
        <w:rPr>
          <w:color w:val="231F20"/>
          <w:spacing w:val="-14"/>
          <w:w w:val="105"/>
        </w:rPr>
        <w:t> </w:t>
      </w:r>
      <w:r>
        <w:rPr>
          <w:color w:val="231F20"/>
          <w:w w:val="105"/>
        </w:rPr>
        <w:t>de 699,6</w:t>
      </w:r>
      <w:r>
        <w:rPr>
          <w:color w:val="231F20"/>
          <w:spacing w:val="-13"/>
          <w:w w:val="105"/>
        </w:rPr>
        <w:t> </w:t>
      </w:r>
      <w:r>
        <w:rPr>
          <w:color w:val="231F20"/>
          <w:w w:val="105"/>
        </w:rPr>
        <w:t>ml</w:t>
      </w:r>
      <w:r>
        <w:rPr>
          <w:color w:val="231F20"/>
          <w:spacing w:val="-13"/>
          <w:w w:val="105"/>
        </w:rPr>
        <w:t> </w:t>
      </w:r>
      <w:r>
        <w:rPr>
          <w:color w:val="231F20"/>
          <w:w w:val="105"/>
        </w:rPr>
        <w:t>(Enciclopedia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Municipios</w:t>
      </w:r>
      <w:r>
        <w:rPr>
          <w:color w:val="231F20"/>
          <w:spacing w:val="-13"/>
          <w:w w:val="105"/>
        </w:rPr>
        <w:t> </w:t>
      </w:r>
      <w:r>
        <w:rPr>
          <w:color w:val="231F20"/>
          <w:w w:val="105"/>
        </w:rPr>
        <w:t>de</w:t>
      </w:r>
      <w:r>
        <w:rPr>
          <w:color w:val="231F20"/>
          <w:spacing w:val="-13"/>
          <w:w w:val="105"/>
        </w:rPr>
        <w:t> </w:t>
      </w:r>
      <w:r>
        <w:rPr>
          <w:color w:val="231F20"/>
          <w:w w:val="105"/>
        </w:rPr>
        <w:t>Méxi- co,</w:t>
      </w:r>
      <w:r>
        <w:rPr>
          <w:color w:val="231F20"/>
          <w:spacing w:val="-24"/>
          <w:w w:val="105"/>
        </w:rPr>
        <w:t> </w:t>
      </w:r>
      <w:r>
        <w:rPr>
          <w:color w:val="231F20"/>
          <w:w w:val="105"/>
        </w:rPr>
        <w:t>Estado</w:t>
      </w:r>
      <w:r>
        <w:rPr>
          <w:color w:val="231F20"/>
          <w:spacing w:val="-24"/>
          <w:w w:val="105"/>
        </w:rPr>
        <w:t> </w:t>
      </w:r>
      <w:r>
        <w:rPr>
          <w:color w:val="231F20"/>
          <w:w w:val="105"/>
        </w:rPr>
        <w:t>de</w:t>
      </w:r>
      <w:r>
        <w:rPr>
          <w:color w:val="231F20"/>
          <w:spacing w:val="-24"/>
          <w:w w:val="105"/>
        </w:rPr>
        <w:t> </w:t>
      </w:r>
      <w:r>
        <w:rPr>
          <w:color w:val="231F20"/>
          <w:w w:val="105"/>
        </w:rPr>
        <w:t>México,</w:t>
      </w:r>
      <w:r>
        <w:rPr>
          <w:color w:val="231F20"/>
          <w:spacing w:val="-24"/>
          <w:w w:val="105"/>
        </w:rPr>
        <w:t> </w:t>
      </w:r>
      <w:r>
        <w:rPr>
          <w:color w:val="231F20"/>
          <w:w w:val="105"/>
        </w:rPr>
        <w:t>Instituto</w:t>
      </w:r>
      <w:r>
        <w:rPr>
          <w:color w:val="231F20"/>
          <w:spacing w:val="-24"/>
          <w:w w:val="105"/>
        </w:rPr>
        <w:t> </w:t>
      </w:r>
      <w:r>
        <w:rPr>
          <w:color w:val="231F20"/>
          <w:w w:val="105"/>
        </w:rPr>
        <w:t>Nacional</w:t>
      </w:r>
      <w:r>
        <w:rPr>
          <w:color w:val="231F20"/>
          <w:spacing w:val="-24"/>
          <w:w w:val="105"/>
        </w:rPr>
        <w:t> </w:t>
      </w:r>
      <w:r>
        <w:rPr>
          <w:color w:val="231F20"/>
          <w:w w:val="105"/>
        </w:rPr>
        <w:t>para</w:t>
      </w:r>
      <w:r>
        <w:rPr>
          <w:color w:val="231F20"/>
          <w:spacing w:val="-24"/>
          <w:w w:val="105"/>
        </w:rPr>
        <w:t> </w:t>
      </w:r>
      <w:r>
        <w:rPr>
          <w:color w:val="231F20"/>
          <w:w w:val="105"/>
        </w:rPr>
        <w:t>el</w:t>
      </w:r>
      <w:r>
        <w:rPr>
          <w:color w:val="231F20"/>
          <w:spacing w:val="-24"/>
          <w:w w:val="105"/>
        </w:rPr>
        <w:t> </w:t>
      </w:r>
      <w:r>
        <w:rPr>
          <w:color w:val="231F20"/>
          <w:spacing w:val="-3"/>
          <w:w w:val="105"/>
        </w:rPr>
        <w:t>Fe- </w:t>
      </w:r>
      <w:r>
        <w:rPr>
          <w:color w:val="231F20"/>
          <w:w w:val="105"/>
        </w:rPr>
        <w:t>deralismo</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Desarrollo</w:t>
      </w:r>
      <w:r>
        <w:rPr>
          <w:color w:val="231F20"/>
          <w:spacing w:val="-15"/>
          <w:w w:val="105"/>
        </w:rPr>
        <w:t> </w:t>
      </w:r>
      <w:r>
        <w:rPr>
          <w:color w:val="231F20"/>
          <w:w w:val="105"/>
        </w:rPr>
        <w:t>Municipal,</w:t>
      </w:r>
      <w:r>
        <w:rPr>
          <w:color w:val="231F20"/>
          <w:spacing w:val="-15"/>
          <w:w w:val="105"/>
        </w:rPr>
        <w:t> </w:t>
      </w:r>
      <w:r>
        <w:rPr>
          <w:color w:val="231F20"/>
          <w:spacing w:val="-3"/>
          <w:w w:val="105"/>
        </w:rPr>
        <w:t>2005)</w:t>
      </w:r>
      <w:r>
        <w:rPr>
          <w:color w:val="231F20"/>
          <w:spacing w:val="-15"/>
          <w:w w:val="105"/>
        </w:rPr>
        <w:t> </w:t>
      </w:r>
      <w:r>
        <w:rPr>
          <w:color w:val="231F20"/>
          <w:w w:val="105"/>
        </w:rPr>
        <w:t>(Fig.</w:t>
      </w:r>
      <w:r>
        <w:rPr>
          <w:color w:val="231F20"/>
          <w:spacing w:val="-15"/>
          <w:w w:val="105"/>
        </w:rPr>
        <w:t> </w:t>
      </w:r>
      <w:r>
        <w:rPr>
          <w:color w:val="231F20"/>
          <w:spacing w:val="-2"/>
          <w:w w:val="105"/>
        </w:rPr>
        <w:t>1).</w:t>
      </w:r>
    </w:p>
    <w:p>
      <w:pPr>
        <w:pStyle w:val="BodyText"/>
        <w:spacing w:before="7"/>
        <w:rPr>
          <w:sz w:val="18"/>
        </w:rPr>
      </w:pPr>
    </w:p>
    <w:p>
      <w:pPr>
        <w:spacing w:line="271" w:lineRule="auto" w:before="0"/>
        <w:ind w:left="412" w:right="1967" w:firstLine="0"/>
        <w:jc w:val="left"/>
        <w:rPr>
          <w:rFonts w:ascii="Cambria" w:hAnsi="Cambria"/>
          <w:i/>
          <w:sz w:val="20"/>
        </w:rPr>
      </w:pPr>
      <w:r>
        <w:rPr>
          <w:rFonts w:ascii="Cambria" w:hAnsi="Cambria"/>
          <w:i/>
          <w:color w:val="231F20"/>
          <w:w w:val="110"/>
          <w:sz w:val="20"/>
        </w:rPr>
        <w:t>Selección de las unidades de producción </w:t>
      </w:r>
      <w:r>
        <w:rPr>
          <w:rFonts w:ascii="Cambria" w:hAnsi="Cambria"/>
          <w:i/>
          <w:color w:val="231F20"/>
          <w:w w:val="110"/>
          <w:sz w:val="20"/>
        </w:rPr>
        <w:t>de leche</w:t>
      </w:r>
    </w:p>
    <w:p>
      <w:pPr>
        <w:pStyle w:val="BodyText"/>
        <w:spacing w:line="259" w:lineRule="auto" w:before="112"/>
        <w:ind w:left="412" w:right="1551"/>
        <w:jc w:val="both"/>
      </w:pPr>
      <w:r>
        <w:rPr>
          <w:color w:val="231F20"/>
        </w:rPr>
        <w:t>La selección de las </w:t>
      </w:r>
      <w:r>
        <w:rPr>
          <w:color w:val="231F20"/>
          <w:spacing w:val="2"/>
        </w:rPr>
        <w:t>UPL </w:t>
      </w:r>
      <w:r>
        <w:rPr>
          <w:color w:val="231F20"/>
        </w:rPr>
        <w:t>se hizo mediante un mues- treo “de bola de </w:t>
      </w:r>
      <w:r>
        <w:rPr>
          <w:color w:val="231F20"/>
          <w:spacing w:val="-3"/>
        </w:rPr>
        <w:t>nieve”, </w:t>
      </w:r>
      <w:r>
        <w:rPr>
          <w:color w:val="231F20"/>
        </w:rPr>
        <w:t>que consiste en que los productores que aceptan participar recomiendan otros productores con los que se podría trabajar (Joseph-Castillo, 2009). Se evaluaron 22 UPL, rea- lizando visitas mensuales a cada una durante un periodo de 6 meses  (mayo  a  octubre  de  </w:t>
      </w:r>
      <w:r>
        <w:rPr>
          <w:color w:val="231F20"/>
          <w:spacing w:val="-4"/>
        </w:rPr>
        <w:t>2010). </w:t>
      </w:r>
      <w:r>
        <w:rPr>
          <w:color w:val="231F20"/>
        </w:rPr>
        <w:t>Se administraron cuestionarios a cada uno de los productores, se recolectó información productiva   y económica, y se tomaron muestras de leche y suelos. El Cuadro 3 presenta  los  valores  medios de  las  </w:t>
      </w:r>
      <w:r>
        <w:rPr>
          <w:color w:val="231F20"/>
          <w:spacing w:val="2"/>
        </w:rPr>
        <w:t>UPL</w:t>
      </w:r>
      <w:r>
        <w:rPr>
          <w:color w:val="231F20"/>
          <w:spacing w:val="-23"/>
        </w:rPr>
        <w:t> </w:t>
      </w:r>
      <w:r>
        <w:rPr>
          <w:color w:val="231F20"/>
        </w:rPr>
        <w:t>evaluadas.</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5"/>
        <w:rPr>
          <w:sz w:val="28"/>
        </w:rPr>
      </w:pPr>
    </w:p>
    <w:p>
      <w:pPr>
        <w:pStyle w:val="BodyText"/>
        <w:ind w:left="2543"/>
      </w:pPr>
      <w:r>
        <w:rPr/>
        <w:drawing>
          <wp:inline distT="0" distB="0" distL="0" distR="0">
            <wp:extent cx="4328159" cy="2694432"/>
            <wp:effectExtent l="0" t="0" r="0" b="0"/>
            <wp:docPr id="63" name="image48.png" descr=""/>
            <wp:cNvGraphicFramePr>
              <a:graphicFrameLocks noChangeAspect="1"/>
            </wp:cNvGraphicFramePr>
            <a:graphic>
              <a:graphicData uri="http://schemas.openxmlformats.org/drawingml/2006/picture">
                <pic:pic>
                  <pic:nvPicPr>
                    <pic:cNvPr id="64" name="image48.png"/>
                    <pic:cNvPicPr/>
                  </pic:nvPicPr>
                  <pic:blipFill>
                    <a:blip r:embed="rId76" cstate="print"/>
                    <a:stretch>
                      <a:fillRect/>
                    </a:stretch>
                  </pic:blipFill>
                  <pic:spPr>
                    <a:xfrm>
                      <a:off x="0" y="0"/>
                      <a:ext cx="4328159" cy="2694432"/>
                    </a:xfrm>
                    <a:prstGeom prst="rect">
                      <a:avLst/>
                    </a:prstGeom>
                  </pic:spPr>
                </pic:pic>
              </a:graphicData>
            </a:graphic>
          </wp:inline>
        </w:drawing>
      </w:r>
      <w:r>
        <w:rPr/>
      </w:r>
    </w:p>
    <w:p>
      <w:pPr>
        <w:spacing w:before="131"/>
        <w:ind w:left="3130" w:right="2503" w:firstLine="0"/>
        <w:jc w:val="left"/>
        <w:rPr>
          <w:sz w:val="18"/>
        </w:rPr>
      </w:pPr>
      <w:r>
        <w:rPr>
          <w:color w:val="231F20"/>
          <w:sz w:val="18"/>
        </w:rPr>
        <w:t>Figura 1.   Ubicación geográfica del municipio de Aculco, Estado de    México.</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66</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7"/>
        <w:rPr>
          <w:sz w:val="28"/>
        </w:rPr>
      </w:pPr>
    </w:p>
    <w:p>
      <w:pPr>
        <w:spacing w:before="0"/>
        <w:ind w:left="1553" w:right="2503" w:firstLine="0"/>
        <w:jc w:val="left"/>
        <w:rPr>
          <w:sz w:val="18"/>
        </w:rPr>
      </w:pPr>
      <w:r>
        <w:rPr>
          <w:color w:val="231F20"/>
          <w:sz w:val="18"/>
        </w:rPr>
        <w:t>Cuadro 3.   Características medias de las UPL    evaluadas.</w:t>
      </w:r>
    </w:p>
    <w:p>
      <w:pPr>
        <w:pStyle w:val="BodyText"/>
        <w:spacing w:before="11"/>
        <w:rPr>
          <w:sz w:val="12"/>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006"/>
        <w:gridCol w:w="865"/>
        <w:gridCol w:w="978"/>
        <w:gridCol w:w="1494"/>
        <w:gridCol w:w="717"/>
        <w:gridCol w:w="948"/>
        <w:gridCol w:w="765"/>
        <w:gridCol w:w="1121"/>
        <w:gridCol w:w="850"/>
      </w:tblGrid>
      <w:tr>
        <w:trPr>
          <w:trHeight w:val="889" w:hRule="exact"/>
        </w:trPr>
        <w:tc>
          <w:tcPr>
            <w:tcW w:w="1006" w:type="dxa"/>
            <w:tcBorders>
              <w:left w:val="nil"/>
            </w:tcBorders>
          </w:tcPr>
          <w:p>
            <w:pPr>
              <w:pStyle w:val="TableParagraph"/>
              <w:spacing w:before="2"/>
              <w:rPr>
                <w:sz w:val="17"/>
              </w:rPr>
            </w:pPr>
          </w:p>
          <w:p>
            <w:pPr>
              <w:pStyle w:val="TableParagraph"/>
              <w:spacing w:line="295" w:lineRule="auto" w:before="0"/>
              <w:ind w:left="126" w:firstLine="189"/>
              <w:rPr>
                <w:rFonts w:ascii="Cambria" w:hAnsi="Cambria"/>
                <w:i/>
                <w:sz w:val="18"/>
              </w:rPr>
            </w:pPr>
            <w:r>
              <w:rPr>
                <w:rFonts w:ascii="Cambria" w:hAnsi="Cambria"/>
                <w:i/>
                <w:color w:val="231F20"/>
                <w:w w:val="105"/>
                <w:sz w:val="18"/>
              </w:rPr>
              <w:t>Área </w:t>
            </w:r>
            <w:r>
              <w:rPr>
                <w:rFonts w:ascii="Cambria" w:hAnsi="Cambria"/>
                <w:i/>
                <w:color w:val="231F20"/>
                <w:w w:val="105"/>
                <w:sz w:val="18"/>
              </w:rPr>
              <w:t>total (ha)</w:t>
            </w:r>
          </w:p>
        </w:tc>
        <w:tc>
          <w:tcPr>
            <w:tcW w:w="865" w:type="dxa"/>
          </w:tcPr>
          <w:p>
            <w:pPr>
              <w:pStyle w:val="TableParagraph"/>
              <w:spacing w:before="2"/>
              <w:rPr>
                <w:sz w:val="17"/>
              </w:rPr>
            </w:pPr>
          </w:p>
          <w:p>
            <w:pPr>
              <w:pStyle w:val="TableParagraph"/>
              <w:spacing w:line="295" w:lineRule="auto" w:before="0"/>
              <w:ind w:left="221" w:hanging="109"/>
              <w:rPr>
                <w:rFonts w:ascii="Cambria" w:hAnsi="Cambria"/>
                <w:i/>
                <w:sz w:val="18"/>
              </w:rPr>
            </w:pPr>
            <w:r>
              <w:rPr>
                <w:rFonts w:ascii="Cambria" w:hAnsi="Cambria"/>
                <w:i/>
                <w:color w:val="231F20"/>
                <w:w w:val="105"/>
                <w:sz w:val="18"/>
              </w:rPr>
              <w:t>Área en </w:t>
            </w:r>
            <w:r>
              <w:rPr>
                <w:rFonts w:ascii="Cambria" w:hAnsi="Cambria"/>
                <w:i/>
                <w:color w:val="231F20"/>
                <w:w w:val="105"/>
                <w:sz w:val="18"/>
              </w:rPr>
              <w:t>riego</w:t>
            </w:r>
          </w:p>
        </w:tc>
        <w:tc>
          <w:tcPr>
            <w:tcW w:w="978" w:type="dxa"/>
          </w:tcPr>
          <w:p>
            <w:pPr>
              <w:pStyle w:val="TableParagraph"/>
              <w:spacing w:before="2"/>
              <w:rPr>
                <w:sz w:val="17"/>
              </w:rPr>
            </w:pPr>
          </w:p>
          <w:p>
            <w:pPr>
              <w:pStyle w:val="TableParagraph"/>
              <w:spacing w:line="295" w:lineRule="auto" w:before="0"/>
              <w:ind w:left="120" w:right="103" w:firstLine="176"/>
              <w:rPr>
                <w:rFonts w:ascii="Cambria" w:hAnsi="Cambria"/>
                <w:i/>
                <w:sz w:val="18"/>
              </w:rPr>
            </w:pPr>
            <w:r>
              <w:rPr>
                <w:rFonts w:ascii="Cambria" w:hAnsi="Cambria"/>
                <w:i/>
                <w:color w:val="231F20"/>
                <w:w w:val="105"/>
                <w:sz w:val="18"/>
              </w:rPr>
              <w:t>Área </w:t>
            </w:r>
            <w:r>
              <w:rPr>
                <w:rFonts w:ascii="Cambria" w:hAnsi="Cambria"/>
                <w:i/>
                <w:color w:val="231F20"/>
                <w:w w:val="105"/>
                <w:sz w:val="18"/>
              </w:rPr>
              <w:t>temporal</w:t>
            </w:r>
          </w:p>
        </w:tc>
        <w:tc>
          <w:tcPr>
            <w:tcW w:w="1494" w:type="dxa"/>
          </w:tcPr>
          <w:p>
            <w:pPr>
              <w:pStyle w:val="TableParagraph"/>
              <w:spacing w:line="295" w:lineRule="auto" w:before="79"/>
              <w:ind w:left="134" w:right="87" w:firstLine="97"/>
              <w:rPr>
                <w:rFonts w:ascii="Cambria" w:hAnsi="Cambria"/>
                <w:i/>
                <w:sz w:val="18"/>
              </w:rPr>
            </w:pPr>
            <w:r>
              <w:rPr>
                <w:rFonts w:ascii="Cambria" w:hAnsi="Cambria"/>
                <w:i/>
                <w:color w:val="231F20"/>
                <w:w w:val="105"/>
                <w:sz w:val="18"/>
              </w:rPr>
              <w:t>Rendimiento </w:t>
            </w:r>
            <w:r>
              <w:rPr>
                <w:rFonts w:ascii="Cambria" w:hAnsi="Cambria"/>
                <w:i/>
                <w:color w:val="231F20"/>
                <w:w w:val="105"/>
                <w:sz w:val="18"/>
              </w:rPr>
              <w:t>de leche (litros por vaca y día)</w:t>
            </w:r>
          </w:p>
        </w:tc>
        <w:tc>
          <w:tcPr>
            <w:tcW w:w="717" w:type="dxa"/>
          </w:tcPr>
          <w:p>
            <w:pPr>
              <w:pStyle w:val="TableParagraph"/>
              <w:spacing w:before="2"/>
              <w:rPr>
                <w:sz w:val="17"/>
              </w:rPr>
            </w:pPr>
          </w:p>
          <w:p>
            <w:pPr>
              <w:pStyle w:val="TableParagraph"/>
              <w:spacing w:line="295" w:lineRule="auto" w:before="0"/>
              <w:ind w:left="124" w:right="106" w:firstLine="37"/>
              <w:rPr>
                <w:rFonts w:ascii="Cambria"/>
                <w:i/>
                <w:sz w:val="18"/>
              </w:rPr>
            </w:pPr>
            <w:r>
              <w:rPr>
                <w:rFonts w:ascii="Cambria"/>
                <w:i/>
                <w:color w:val="231F20"/>
                <w:w w:val="105"/>
                <w:sz w:val="18"/>
              </w:rPr>
              <w:t>Total </w:t>
            </w:r>
            <w:r>
              <w:rPr>
                <w:rFonts w:ascii="Cambria"/>
                <w:i/>
                <w:color w:val="231F20"/>
                <w:w w:val="105"/>
                <w:sz w:val="18"/>
              </w:rPr>
              <w:t>vacas</w:t>
            </w:r>
          </w:p>
        </w:tc>
        <w:tc>
          <w:tcPr>
            <w:tcW w:w="948" w:type="dxa"/>
          </w:tcPr>
          <w:p>
            <w:pPr>
              <w:pStyle w:val="TableParagraph"/>
              <w:spacing w:before="0"/>
              <w:rPr>
                <w:sz w:val="18"/>
              </w:rPr>
            </w:pPr>
          </w:p>
          <w:p>
            <w:pPr>
              <w:pStyle w:val="TableParagraph"/>
              <w:spacing w:before="120"/>
              <w:ind w:left="83" w:right="83"/>
              <w:jc w:val="center"/>
              <w:rPr>
                <w:rFonts w:ascii="Cambria"/>
                <w:i/>
                <w:sz w:val="18"/>
              </w:rPr>
            </w:pPr>
            <w:r>
              <w:rPr>
                <w:rFonts w:ascii="Cambria"/>
                <w:i/>
                <w:color w:val="231F20"/>
                <w:w w:val="105"/>
                <w:sz w:val="18"/>
              </w:rPr>
              <w:t>Vaquillas</w:t>
            </w:r>
          </w:p>
        </w:tc>
        <w:tc>
          <w:tcPr>
            <w:tcW w:w="765" w:type="dxa"/>
          </w:tcPr>
          <w:p>
            <w:pPr>
              <w:pStyle w:val="TableParagraph"/>
              <w:spacing w:before="2"/>
              <w:rPr>
                <w:sz w:val="17"/>
              </w:rPr>
            </w:pPr>
          </w:p>
          <w:p>
            <w:pPr>
              <w:pStyle w:val="TableParagraph"/>
              <w:spacing w:line="295" w:lineRule="auto" w:before="0"/>
              <w:ind w:left="156" w:right="129" w:hanging="12"/>
              <w:rPr>
                <w:rFonts w:ascii="Cambria"/>
                <w:i/>
                <w:sz w:val="18"/>
              </w:rPr>
            </w:pPr>
            <w:r>
              <w:rPr>
                <w:rFonts w:ascii="Cambria"/>
                <w:i/>
                <w:color w:val="231F20"/>
                <w:w w:val="105"/>
                <w:sz w:val="18"/>
              </w:rPr>
              <w:t>Vacas </w:t>
            </w:r>
            <w:r>
              <w:rPr>
                <w:rFonts w:ascii="Cambria"/>
                <w:i/>
                <w:color w:val="231F20"/>
                <w:w w:val="110"/>
                <w:sz w:val="18"/>
              </w:rPr>
              <w:t>secas</w:t>
            </w:r>
          </w:p>
        </w:tc>
        <w:tc>
          <w:tcPr>
            <w:tcW w:w="1121" w:type="dxa"/>
          </w:tcPr>
          <w:p>
            <w:pPr>
              <w:pStyle w:val="TableParagraph"/>
              <w:spacing w:before="2"/>
              <w:rPr>
                <w:sz w:val="17"/>
              </w:rPr>
            </w:pPr>
          </w:p>
          <w:p>
            <w:pPr>
              <w:pStyle w:val="TableParagraph"/>
              <w:spacing w:line="295" w:lineRule="auto" w:before="0"/>
              <w:ind w:left="108" w:right="98" w:firstLine="87"/>
              <w:rPr>
                <w:rFonts w:ascii="Cambria" w:hAnsi="Cambria"/>
                <w:i/>
                <w:sz w:val="18"/>
              </w:rPr>
            </w:pPr>
            <w:r>
              <w:rPr>
                <w:rFonts w:ascii="Cambria" w:hAnsi="Cambria"/>
                <w:i/>
                <w:color w:val="231F20"/>
                <w:w w:val="110"/>
                <w:sz w:val="18"/>
              </w:rPr>
              <w:t>Vacas en </w:t>
            </w:r>
            <w:r>
              <w:rPr>
                <w:rFonts w:ascii="Cambria" w:hAnsi="Cambria"/>
                <w:i/>
                <w:color w:val="231F20"/>
                <w:w w:val="105"/>
                <w:sz w:val="18"/>
              </w:rPr>
              <w:t>producción</w:t>
            </w:r>
          </w:p>
        </w:tc>
        <w:tc>
          <w:tcPr>
            <w:tcW w:w="850" w:type="dxa"/>
            <w:tcBorders>
              <w:right w:val="nil"/>
            </w:tcBorders>
          </w:tcPr>
          <w:p>
            <w:pPr>
              <w:pStyle w:val="TableParagraph"/>
              <w:spacing w:line="295" w:lineRule="auto" w:before="79"/>
              <w:ind w:left="266" w:right="16" w:hanging="92"/>
              <w:rPr>
                <w:rFonts w:ascii="Cambria"/>
                <w:i/>
                <w:sz w:val="18"/>
              </w:rPr>
            </w:pPr>
            <w:r>
              <w:rPr>
                <w:rFonts w:ascii="Cambria"/>
                <w:i/>
                <w:color w:val="231F20"/>
                <w:sz w:val="18"/>
              </w:rPr>
              <w:t>Precio </w:t>
            </w:r>
            <w:r>
              <w:rPr>
                <w:rFonts w:ascii="Cambria"/>
                <w:i/>
                <w:color w:val="231F20"/>
                <w:sz w:val="18"/>
              </w:rPr>
              <w:t>por litro</w:t>
            </w:r>
          </w:p>
        </w:tc>
      </w:tr>
      <w:tr>
        <w:trPr>
          <w:trHeight w:val="354" w:hRule="exact"/>
        </w:trPr>
        <w:tc>
          <w:tcPr>
            <w:tcW w:w="1006" w:type="dxa"/>
            <w:tcBorders>
              <w:left w:val="nil"/>
            </w:tcBorders>
          </w:tcPr>
          <w:p>
            <w:pPr>
              <w:pStyle w:val="TableParagraph"/>
              <w:ind w:left="228" w:right="223"/>
              <w:jc w:val="center"/>
              <w:rPr>
                <w:sz w:val="17"/>
              </w:rPr>
            </w:pPr>
            <w:r>
              <w:rPr>
                <w:color w:val="231F20"/>
                <w:w w:val="110"/>
                <w:sz w:val="17"/>
              </w:rPr>
              <w:t>4,25</w:t>
            </w:r>
          </w:p>
        </w:tc>
        <w:tc>
          <w:tcPr>
            <w:tcW w:w="865" w:type="dxa"/>
          </w:tcPr>
          <w:p>
            <w:pPr>
              <w:pStyle w:val="TableParagraph"/>
              <w:ind w:left="260"/>
              <w:rPr>
                <w:sz w:val="17"/>
              </w:rPr>
            </w:pPr>
            <w:r>
              <w:rPr>
                <w:color w:val="231F20"/>
                <w:w w:val="110"/>
                <w:sz w:val="17"/>
              </w:rPr>
              <w:t>2,00</w:t>
            </w:r>
          </w:p>
        </w:tc>
        <w:tc>
          <w:tcPr>
            <w:tcW w:w="978" w:type="dxa"/>
          </w:tcPr>
          <w:p>
            <w:pPr>
              <w:pStyle w:val="TableParagraph"/>
              <w:ind w:left="319" w:right="103"/>
              <w:rPr>
                <w:sz w:val="17"/>
              </w:rPr>
            </w:pPr>
            <w:r>
              <w:rPr>
                <w:color w:val="231F20"/>
                <w:w w:val="110"/>
                <w:sz w:val="17"/>
              </w:rPr>
              <w:t>1,50</w:t>
            </w:r>
          </w:p>
        </w:tc>
        <w:tc>
          <w:tcPr>
            <w:tcW w:w="1494" w:type="dxa"/>
          </w:tcPr>
          <w:p>
            <w:pPr>
              <w:pStyle w:val="TableParagraph"/>
              <w:ind w:left="579" w:right="87"/>
              <w:rPr>
                <w:sz w:val="17"/>
              </w:rPr>
            </w:pPr>
            <w:r>
              <w:rPr>
                <w:color w:val="231F20"/>
                <w:w w:val="110"/>
                <w:sz w:val="17"/>
              </w:rPr>
              <w:t>13,9</w:t>
            </w:r>
          </w:p>
        </w:tc>
        <w:tc>
          <w:tcPr>
            <w:tcW w:w="717" w:type="dxa"/>
          </w:tcPr>
          <w:p>
            <w:pPr>
              <w:pStyle w:val="TableParagraph"/>
              <w:ind w:left="125" w:right="130"/>
              <w:jc w:val="center"/>
              <w:rPr>
                <w:sz w:val="17"/>
              </w:rPr>
            </w:pPr>
            <w:r>
              <w:rPr>
                <w:color w:val="231F20"/>
                <w:w w:val="115"/>
                <w:sz w:val="17"/>
              </w:rPr>
              <w:t>11</w:t>
            </w:r>
          </w:p>
        </w:tc>
        <w:tc>
          <w:tcPr>
            <w:tcW w:w="948" w:type="dxa"/>
          </w:tcPr>
          <w:p>
            <w:pPr>
              <w:pStyle w:val="TableParagraph"/>
              <w:jc w:val="center"/>
              <w:rPr>
                <w:sz w:val="17"/>
              </w:rPr>
            </w:pPr>
            <w:r>
              <w:rPr>
                <w:color w:val="231F20"/>
                <w:w w:val="115"/>
                <w:sz w:val="17"/>
              </w:rPr>
              <w:t>1</w:t>
            </w:r>
          </w:p>
        </w:tc>
        <w:tc>
          <w:tcPr>
            <w:tcW w:w="765" w:type="dxa"/>
          </w:tcPr>
          <w:p>
            <w:pPr>
              <w:pStyle w:val="TableParagraph"/>
              <w:jc w:val="center"/>
              <w:rPr>
                <w:sz w:val="17"/>
              </w:rPr>
            </w:pPr>
            <w:r>
              <w:rPr>
                <w:color w:val="231F20"/>
                <w:w w:val="115"/>
                <w:sz w:val="17"/>
              </w:rPr>
              <w:t>2</w:t>
            </w:r>
          </w:p>
        </w:tc>
        <w:tc>
          <w:tcPr>
            <w:tcW w:w="1121" w:type="dxa"/>
          </w:tcPr>
          <w:p>
            <w:pPr>
              <w:pStyle w:val="TableParagraph"/>
              <w:jc w:val="center"/>
              <w:rPr>
                <w:sz w:val="17"/>
              </w:rPr>
            </w:pPr>
            <w:r>
              <w:rPr>
                <w:color w:val="231F20"/>
                <w:w w:val="115"/>
                <w:sz w:val="17"/>
              </w:rPr>
              <w:t>8</w:t>
            </w:r>
          </w:p>
        </w:tc>
        <w:tc>
          <w:tcPr>
            <w:tcW w:w="850" w:type="dxa"/>
            <w:tcBorders>
              <w:right w:val="nil"/>
            </w:tcBorders>
          </w:tcPr>
          <w:p>
            <w:pPr>
              <w:pStyle w:val="TableParagraph"/>
              <w:ind w:left="216" w:right="16"/>
              <w:rPr>
                <w:sz w:val="17"/>
              </w:rPr>
            </w:pPr>
            <w:r>
              <w:rPr>
                <w:color w:val="231F20"/>
                <w:w w:val="105"/>
                <w:sz w:val="17"/>
              </w:rPr>
              <w:t>$4,41</w:t>
            </w:r>
          </w:p>
        </w:tc>
      </w:tr>
      <w:tr>
        <w:trPr>
          <w:trHeight w:val="354" w:hRule="exact"/>
        </w:trPr>
        <w:tc>
          <w:tcPr>
            <w:tcW w:w="1006" w:type="dxa"/>
            <w:tcBorders>
              <w:left w:val="nil"/>
            </w:tcBorders>
          </w:tcPr>
          <w:p>
            <w:pPr>
              <w:pStyle w:val="TableParagraph"/>
              <w:ind w:left="228" w:right="223"/>
              <w:jc w:val="center"/>
              <w:rPr>
                <w:sz w:val="17"/>
              </w:rPr>
            </w:pPr>
            <w:r>
              <w:rPr>
                <w:color w:val="231F20"/>
                <w:w w:val="120"/>
                <w:sz w:val="17"/>
              </w:rPr>
              <w:t>± 15,4</w:t>
            </w:r>
          </w:p>
        </w:tc>
        <w:tc>
          <w:tcPr>
            <w:tcW w:w="865" w:type="dxa"/>
          </w:tcPr>
          <w:p>
            <w:pPr>
              <w:pStyle w:val="TableParagraph"/>
              <w:ind w:left="228"/>
              <w:rPr>
                <w:sz w:val="17"/>
              </w:rPr>
            </w:pPr>
            <w:r>
              <w:rPr>
                <w:color w:val="231F20"/>
                <w:w w:val="120"/>
                <w:sz w:val="17"/>
              </w:rPr>
              <w:t>± 0,6</w:t>
            </w:r>
          </w:p>
        </w:tc>
        <w:tc>
          <w:tcPr>
            <w:tcW w:w="978" w:type="dxa"/>
          </w:tcPr>
          <w:p>
            <w:pPr>
              <w:pStyle w:val="TableParagraph"/>
              <w:ind w:left="285" w:right="103"/>
              <w:rPr>
                <w:sz w:val="17"/>
              </w:rPr>
            </w:pPr>
            <w:r>
              <w:rPr>
                <w:color w:val="231F20"/>
                <w:w w:val="120"/>
                <w:sz w:val="17"/>
              </w:rPr>
              <w:t>± 2,8</w:t>
            </w:r>
          </w:p>
        </w:tc>
        <w:tc>
          <w:tcPr>
            <w:tcW w:w="1494" w:type="dxa"/>
          </w:tcPr>
          <w:p>
            <w:pPr>
              <w:pStyle w:val="TableParagraph"/>
              <w:ind w:left="543" w:right="87"/>
              <w:rPr>
                <w:sz w:val="17"/>
              </w:rPr>
            </w:pPr>
            <w:r>
              <w:rPr>
                <w:color w:val="231F20"/>
                <w:w w:val="120"/>
                <w:sz w:val="17"/>
              </w:rPr>
              <w:t>± 3,2</w:t>
            </w:r>
          </w:p>
        </w:tc>
        <w:tc>
          <w:tcPr>
            <w:tcW w:w="717" w:type="dxa"/>
          </w:tcPr>
          <w:p>
            <w:pPr>
              <w:pStyle w:val="TableParagraph"/>
              <w:ind w:left="130" w:right="130"/>
              <w:jc w:val="center"/>
              <w:rPr>
                <w:sz w:val="17"/>
              </w:rPr>
            </w:pPr>
            <w:r>
              <w:rPr>
                <w:color w:val="231F20"/>
                <w:w w:val="120"/>
                <w:sz w:val="17"/>
              </w:rPr>
              <w:t>± 5,8</w:t>
            </w:r>
          </w:p>
        </w:tc>
        <w:tc>
          <w:tcPr>
            <w:tcW w:w="948" w:type="dxa"/>
          </w:tcPr>
          <w:p>
            <w:pPr>
              <w:pStyle w:val="TableParagraph"/>
              <w:ind w:left="83" w:right="83"/>
              <w:jc w:val="center"/>
              <w:rPr>
                <w:sz w:val="17"/>
              </w:rPr>
            </w:pPr>
            <w:r>
              <w:rPr>
                <w:color w:val="231F20"/>
                <w:w w:val="120"/>
                <w:sz w:val="17"/>
              </w:rPr>
              <w:t>± 1,8</w:t>
            </w:r>
          </w:p>
        </w:tc>
        <w:tc>
          <w:tcPr>
            <w:tcW w:w="765" w:type="dxa"/>
          </w:tcPr>
          <w:p>
            <w:pPr>
              <w:pStyle w:val="TableParagraph"/>
              <w:ind w:left="154" w:right="154"/>
              <w:jc w:val="center"/>
              <w:rPr>
                <w:sz w:val="17"/>
              </w:rPr>
            </w:pPr>
            <w:r>
              <w:rPr>
                <w:color w:val="231F20"/>
                <w:w w:val="120"/>
                <w:sz w:val="17"/>
              </w:rPr>
              <w:t>± 2,5</w:t>
            </w:r>
          </w:p>
        </w:tc>
        <w:tc>
          <w:tcPr>
            <w:tcW w:w="1121" w:type="dxa"/>
          </w:tcPr>
          <w:p>
            <w:pPr>
              <w:pStyle w:val="TableParagraph"/>
              <w:ind w:left="332" w:right="332"/>
              <w:jc w:val="center"/>
              <w:rPr>
                <w:sz w:val="17"/>
              </w:rPr>
            </w:pPr>
            <w:r>
              <w:rPr>
                <w:color w:val="231F20"/>
                <w:w w:val="120"/>
                <w:sz w:val="17"/>
              </w:rPr>
              <w:t>± 5,5</w:t>
            </w:r>
          </w:p>
        </w:tc>
        <w:tc>
          <w:tcPr>
            <w:tcW w:w="850" w:type="dxa"/>
            <w:tcBorders>
              <w:right w:val="nil"/>
            </w:tcBorders>
          </w:tcPr>
          <w:p>
            <w:pPr>
              <w:pStyle w:val="TableParagraph"/>
              <w:ind w:left="175" w:right="16"/>
              <w:rPr>
                <w:sz w:val="17"/>
              </w:rPr>
            </w:pPr>
            <w:r>
              <w:rPr>
                <w:color w:val="231F20"/>
                <w:w w:val="120"/>
                <w:sz w:val="17"/>
              </w:rPr>
              <w:t>± 0,14</w:t>
            </w:r>
          </w:p>
        </w:tc>
      </w:tr>
    </w:tbl>
    <w:p>
      <w:pPr>
        <w:pStyle w:val="BodyText"/>
      </w:pPr>
    </w:p>
    <w:p>
      <w:pPr>
        <w:pStyle w:val="BodyText"/>
        <w:spacing w:before="8"/>
        <w:rPr>
          <w:sz w:val="25"/>
        </w:rPr>
      </w:pPr>
    </w:p>
    <w:p>
      <w:pPr>
        <w:spacing w:after="0"/>
        <w:rPr>
          <w:sz w:val="25"/>
        </w:rPr>
        <w:sectPr>
          <w:pgSz w:w="11900" w:h="14450"/>
          <w:pgMar w:header="0" w:footer="222" w:top="420" w:bottom="420" w:left="0" w:right="0"/>
        </w:sectPr>
      </w:pPr>
    </w:p>
    <w:p>
      <w:pPr>
        <w:spacing w:before="68"/>
        <w:ind w:left="1553" w:right="0" w:firstLine="0"/>
        <w:jc w:val="both"/>
        <w:rPr>
          <w:rFonts w:ascii="Cambria" w:hAnsi="Cambria"/>
          <w:i/>
          <w:sz w:val="20"/>
        </w:rPr>
      </w:pPr>
      <w:r>
        <w:rPr>
          <w:rFonts w:ascii="Cambria" w:hAnsi="Cambria"/>
          <w:i/>
          <w:color w:val="231F20"/>
          <w:w w:val="105"/>
          <w:sz w:val="20"/>
        </w:rPr>
        <w:t>Método IDEA</w:t>
      </w:r>
    </w:p>
    <w:p>
      <w:pPr>
        <w:pStyle w:val="BodyText"/>
        <w:spacing w:line="276" w:lineRule="auto" w:before="160"/>
        <w:ind w:left="1553"/>
        <w:jc w:val="both"/>
      </w:pPr>
      <w:r>
        <w:rPr>
          <w:color w:val="231F20"/>
        </w:rPr>
        <w:t>Se trabajó con el método IDEA versión 3 (Zahm     </w:t>
      </w:r>
      <w:r>
        <w:rPr>
          <w:i/>
          <w:color w:val="231F20"/>
        </w:rPr>
        <w:t>et al</w:t>
      </w:r>
      <w:r>
        <w:rPr>
          <w:color w:val="231F20"/>
        </w:rPr>
        <w:t>., 2008), que está estructurado de  acuerdo con </w:t>
      </w:r>
      <w:r>
        <w:rPr>
          <w:color w:val="231F20"/>
          <w:spacing w:val="-5"/>
        </w:rPr>
        <w:t>16 </w:t>
      </w:r>
      <w:r>
        <w:rPr>
          <w:color w:val="231F20"/>
        </w:rPr>
        <w:t>objetivos agrupados para formar las tres escalas de la sustentabilidad: escala agroecológi- ca, escala socioterritorial y escala económica. Cada una de las escalas está dividida en tres o cuatro componentes, para un total de </w:t>
      </w:r>
      <w:r>
        <w:rPr>
          <w:color w:val="231F20"/>
          <w:spacing w:val="-5"/>
        </w:rPr>
        <w:t>10  </w:t>
      </w:r>
      <w:r>
        <w:rPr>
          <w:color w:val="231F20"/>
        </w:rPr>
        <w:t>componentes,  a su vez formados por 42 indicadores. El método utiliza la ponderación de los indicadores, al igual que otros métodos utilizados por </w:t>
      </w:r>
      <w:r>
        <w:rPr>
          <w:color w:val="231F20"/>
          <w:spacing w:val="-3"/>
        </w:rPr>
        <w:t>Van </w:t>
      </w:r>
      <w:r>
        <w:rPr>
          <w:color w:val="231F20"/>
        </w:rPr>
        <w:t>Passel </w:t>
      </w:r>
      <w:r>
        <w:rPr>
          <w:i/>
          <w:color w:val="231F20"/>
        </w:rPr>
        <w:t>et al</w:t>
      </w:r>
      <w:r>
        <w:rPr>
          <w:color w:val="231F20"/>
        </w:rPr>
        <w:t>. </w:t>
      </w:r>
      <w:r>
        <w:rPr>
          <w:color w:val="231F20"/>
          <w:spacing w:val="-3"/>
        </w:rPr>
        <w:t>(2007) </w:t>
      </w:r>
      <w:r>
        <w:rPr>
          <w:color w:val="231F20"/>
        </w:rPr>
        <w:t>y Marijk Meul </w:t>
      </w:r>
      <w:r>
        <w:rPr>
          <w:i/>
          <w:color w:val="231F20"/>
        </w:rPr>
        <w:t>et al</w:t>
      </w:r>
      <w:r>
        <w:rPr>
          <w:color w:val="231F20"/>
        </w:rPr>
        <w:t>.  (2009).  Cada  indica- dor tiene un puntaje máximo y cada escala tiene el mismo valor, que va de 0 a </w:t>
      </w:r>
      <w:r>
        <w:rPr>
          <w:color w:val="231F20"/>
          <w:spacing w:val="-3"/>
        </w:rPr>
        <w:t>100 </w:t>
      </w:r>
      <w:r>
        <w:rPr>
          <w:color w:val="231F20"/>
        </w:rPr>
        <w:t>puntos. El valor de la sustentabilidad de una explotación agropecuaria viene dado por el puntaje mínimo (factor limitan- te) de las tres escalas (Vilain,   </w:t>
      </w:r>
      <w:r>
        <w:rPr>
          <w:color w:val="231F20"/>
          <w:spacing w:val="19"/>
        </w:rPr>
        <w:t> </w:t>
      </w:r>
      <w:r>
        <w:rPr>
          <w:color w:val="231F20"/>
        </w:rPr>
        <w:t>2008).</w:t>
      </w:r>
    </w:p>
    <w:p>
      <w:pPr>
        <w:pStyle w:val="BodyText"/>
        <w:spacing w:line="276" w:lineRule="auto" w:before="114"/>
        <w:ind w:left="1553"/>
        <w:jc w:val="both"/>
      </w:pPr>
      <w:r>
        <w:rPr>
          <w:color w:val="231F20"/>
        </w:rPr>
        <w:t>Los puntajes máximos de los indicadores no tienen como fin establecer valores óptimos absolutos;    lo</w:t>
      </w:r>
    </w:p>
    <w:p>
      <w:pPr>
        <w:pStyle w:val="BodyText"/>
        <w:spacing w:line="268" w:lineRule="auto" w:before="68"/>
        <w:ind w:left="413" w:right="1551"/>
        <w:jc w:val="both"/>
      </w:pPr>
      <w:r>
        <w:rPr/>
        <w:br w:type="column"/>
      </w:r>
      <w:r>
        <w:rPr>
          <w:color w:val="231F20"/>
        </w:rPr>
        <w:t>que se busca son comportamientos, prácticas o resultados que contribuyan a la sustentabilidad (Zahm  </w:t>
      </w:r>
      <w:r>
        <w:rPr>
          <w:i/>
          <w:color w:val="231F20"/>
        </w:rPr>
        <w:t>et  al</w:t>
      </w:r>
      <w:r>
        <w:rPr>
          <w:color w:val="231F20"/>
        </w:rPr>
        <w:t>., 2008).</w:t>
      </w:r>
    </w:p>
    <w:p>
      <w:pPr>
        <w:pStyle w:val="BodyText"/>
        <w:spacing w:line="268" w:lineRule="auto" w:before="112"/>
        <w:ind w:left="413" w:right="1551"/>
        <w:jc w:val="both"/>
      </w:pPr>
      <w:r>
        <w:rPr>
          <w:color w:val="231F20"/>
        </w:rPr>
        <w:t>Para utilizar el método IDEA en el entorno mexi- cano, en la zona de estudio fue necesario realizar algunas modificaciones y adaptaciones. El método IDEA consta de 42 indicadores, de los cuales se evaluaron 36 debido a que en algunos casos no había información disponible para poder evaluar los indicadores, o no podían ser evaluados, como es el caso del indicador de la valorización de la ca- dena de suministro, ya que ninguna de las 22 </w:t>
      </w:r>
      <w:r>
        <w:rPr>
          <w:color w:val="231F20"/>
          <w:spacing w:val="2"/>
        </w:rPr>
        <w:t>UPL </w:t>
      </w:r>
      <w:r>
        <w:rPr>
          <w:color w:val="231F20"/>
        </w:rPr>
        <w:t>vende directamente al productor y tampoco trans- forman la materia prima. Los indicadores que no  se tuvieron en cuenta para esta evaluación fueron la valorización y la conservación del patrimonio ge- nético, la zona de regulación ecológica, la contribu- ción a la planificación ambiental, la valorización del paisaje, la valorización de la cadena de suministros y servicios, y la pluriactividad (Cuadro </w:t>
      </w:r>
      <w:r>
        <w:rPr>
          <w:color w:val="231F20"/>
          <w:spacing w:val="40"/>
        </w:rPr>
        <w:t> </w:t>
      </w:r>
      <w:r>
        <w:rPr>
          <w:color w:val="231F20"/>
        </w:rPr>
        <w:t>4).</w:t>
      </w:r>
    </w:p>
    <w:p>
      <w:pPr>
        <w:spacing w:after="0" w:line="268"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10"/>
        <w:rPr>
          <w:sz w:val="16"/>
        </w:rPr>
      </w:pPr>
    </w:p>
    <w:p>
      <w:pPr>
        <w:spacing w:before="71"/>
        <w:ind w:left="1553" w:right="2503" w:firstLine="0"/>
        <w:jc w:val="left"/>
        <w:rPr>
          <w:sz w:val="18"/>
        </w:rPr>
      </w:pPr>
      <w:r>
        <w:rPr>
          <w:color w:val="231F20"/>
          <w:sz w:val="18"/>
        </w:rPr>
        <w:t>Cuadro 4.   Indicadores utilizados para evaluar la  sustentabilidad.</w:t>
      </w:r>
    </w:p>
    <w:p>
      <w:pPr>
        <w:pStyle w:val="BodyText"/>
        <w:spacing w:before="8"/>
        <w:rPr>
          <w:sz w:val="9"/>
        </w:rPr>
      </w:pPr>
      <w:r>
        <w:rPr/>
        <w:pict>
          <v:group style="position:absolute;margin-left:77.442902pt;margin-top:7.87761pt;width:439.4pt;height:.5pt;mso-position-horizontal-relative:page;mso-position-vertical-relative:paragraph;z-index:2344;mso-wrap-distance-left:0;mso-wrap-distance-right:0" coordorigin="1549,158" coordsize="8788,10">
            <v:line style="position:absolute" from="1554,163" to="4327,163" stroked="true" strokeweight=".5pt" strokecolor="#231f20"/>
            <v:line style="position:absolute" from="4327,163" to="7984,163" stroked="true" strokeweight=".5pt" strokecolor="#231f20"/>
            <v:line style="position:absolute" from="7984,163" to="8550,163" stroked="true" strokeweight=".5pt" strokecolor="#231f20"/>
            <v:line style="position:absolute" from="8550,163" to="10331,163" stroked="true" strokeweight=".5pt" strokecolor="#231f20"/>
            <w10:wrap type="topAndBottom"/>
          </v:group>
        </w:pict>
      </w:r>
    </w:p>
    <w:p>
      <w:pPr>
        <w:spacing w:before="36" w:after="54"/>
        <w:ind w:left="3939" w:right="3946" w:firstLine="0"/>
        <w:jc w:val="center"/>
        <w:rPr>
          <w:rFonts w:ascii="Cambria" w:hAnsi="Cambria"/>
          <w:i/>
          <w:sz w:val="18"/>
        </w:rPr>
      </w:pPr>
      <w:r>
        <w:rPr>
          <w:rFonts w:ascii="Cambria" w:hAnsi="Cambria"/>
          <w:i/>
          <w:color w:val="231F20"/>
          <w:w w:val="105"/>
          <w:sz w:val="18"/>
        </w:rPr>
        <w:t>Escala  agroecológica  (15 indicadores)</w:t>
      </w: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73"/>
        <w:gridCol w:w="3657"/>
        <w:gridCol w:w="567"/>
        <w:gridCol w:w="1781"/>
      </w:tblGrid>
      <w:tr>
        <w:trPr>
          <w:trHeight w:val="340" w:hRule="exact"/>
        </w:trPr>
        <w:tc>
          <w:tcPr>
            <w:tcW w:w="2773" w:type="dxa"/>
            <w:tcBorders>
              <w:left w:val="nil"/>
            </w:tcBorders>
          </w:tcPr>
          <w:p>
            <w:pPr>
              <w:pStyle w:val="TableParagraph"/>
              <w:spacing w:before="65"/>
              <w:ind w:left="869"/>
              <w:rPr>
                <w:rFonts w:ascii="Cambria"/>
                <w:i/>
                <w:sz w:val="18"/>
              </w:rPr>
            </w:pPr>
            <w:r>
              <w:rPr>
                <w:rFonts w:ascii="Cambria"/>
                <w:i/>
                <w:color w:val="231F20"/>
                <w:w w:val="110"/>
                <w:sz w:val="18"/>
              </w:rPr>
              <w:t>Componente</w:t>
            </w:r>
          </w:p>
        </w:tc>
        <w:tc>
          <w:tcPr>
            <w:tcW w:w="3657" w:type="dxa"/>
          </w:tcPr>
          <w:p>
            <w:pPr>
              <w:pStyle w:val="TableParagraph"/>
              <w:spacing w:before="65"/>
              <w:ind w:left="1420" w:right="1420"/>
              <w:jc w:val="center"/>
              <w:rPr>
                <w:rFonts w:ascii="Cambria"/>
                <w:i/>
                <w:sz w:val="18"/>
              </w:rPr>
            </w:pPr>
            <w:r>
              <w:rPr>
                <w:rFonts w:ascii="Cambria"/>
                <w:i/>
                <w:color w:val="231F20"/>
                <w:w w:val="105"/>
                <w:sz w:val="18"/>
              </w:rPr>
              <w:t>Indicador</w:t>
            </w:r>
          </w:p>
        </w:tc>
        <w:tc>
          <w:tcPr>
            <w:tcW w:w="2348" w:type="dxa"/>
            <w:gridSpan w:val="2"/>
            <w:tcBorders>
              <w:right w:val="nil"/>
            </w:tcBorders>
          </w:tcPr>
          <w:p>
            <w:pPr>
              <w:pStyle w:val="TableParagraph"/>
              <w:spacing w:before="65"/>
              <w:ind w:left="486"/>
              <w:rPr>
                <w:rFonts w:ascii="Cambria" w:hAnsi="Cambria"/>
                <w:i/>
                <w:sz w:val="18"/>
              </w:rPr>
            </w:pPr>
            <w:r>
              <w:rPr>
                <w:rFonts w:ascii="Cambria" w:hAnsi="Cambria"/>
                <w:i/>
                <w:color w:val="231F20"/>
                <w:w w:val="105"/>
                <w:sz w:val="18"/>
              </w:rPr>
              <w:t>Valores máximos</w:t>
            </w:r>
          </w:p>
        </w:tc>
      </w:tr>
      <w:tr>
        <w:trPr>
          <w:trHeight w:val="297" w:hRule="exact"/>
        </w:trPr>
        <w:tc>
          <w:tcPr>
            <w:tcW w:w="2773" w:type="dxa"/>
            <w:vMerge w:val="restart"/>
            <w:tcBorders>
              <w:left w:val="nil"/>
            </w:tcBorders>
          </w:tcPr>
          <w:p>
            <w:pPr>
              <w:pStyle w:val="TableParagraph"/>
              <w:spacing w:before="0"/>
              <w:rPr>
                <w:rFonts w:ascii="Cambria"/>
                <w:i/>
                <w:sz w:val="16"/>
              </w:rPr>
            </w:pPr>
          </w:p>
          <w:p>
            <w:pPr>
              <w:pStyle w:val="TableParagraph"/>
              <w:spacing w:before="2"/>
              <w:rPr>
                <w:rFonts w:ascii="Cambria"/>
                <w:i/>
                <w:sz w:val="13"/>
              </w:rPr>
            </w:pPr>
          </w:p>
          <w:p>
            <w:pPr>
              <w:pStyle w:val="TableParagraph"/>
              <w:spacing w:before="0"/>
              <w:ind w:left="113"/>
              <w:rPr>
                <w:sz w:val="17"/>
              </w:rPr>
            </w:pPr>
            <w:r>
              <w:rPr>
                <w:color w:val="231F20"/>
                <w:sz w:val="17"/>
              </w:rPr>
              <w:t>Diversidad local</w:t>
            </w:r>
          </w:p>
        </w:tc>
        <w:tc>
          <w:tcPr>
            <w:tcW w:w="3657" w:type="dxa"/>
          </w:tcPr>
          <w:p>
            <w:pPr>
              <w:pStyle w:val="TableParagraph"/>
              <w:spacing w:before="45"/>
              <w:ind w:left="108"/>
              <w:rPr>
                <w:sz w:val="17"/>
              </w:rPr>
            </w:pPr>
            <w:r>
              <w:rPr>
                <w:color w:val="231F20"/>
                <w:sz w:val="17"/>
              </w:rPr>
              <w:t>Diversidad de los cultivos anuales o   temporales</w:t>
            </w:r>
          </w:p>
        </w:tc>
        <w:tc>
          <w:tcPr>
            <w:tcW w:w="567" w:type="dxa"/>
          </w:tcPr>
          <w:p>
            <w:pPr>
              <w:pStyle w:val="TableParagraph"/>
              <w:spacing w:before="45"/>
              <w:ind w:left="108"/>
              <w:rPr>
                <w:sz w:val="17"/>
              </w:rPr>
            </w:pPr>
            <w:r>
              <w:rPr>
                <w:color w:val="231F20"/>
                <w:w w:val="115"/>
                <w:sz w:val="17"/>
              </w:rPr>
              <w:t>14</w:t>
            </w:r>
          </w:p>
        </w:tc>
        <w:tc>
          <w:tcPr>
            <w:tcW w:w="1781" w:type="dxa"/>
            <w:vMerge w:val="restart"/>
            <w:tcBorders>
              <w:right w:val="nil"/>
            </w:tcBorders>
          </w:tcPr>
          <w:p>
            <w:pPr>
              <w:pStyle w:val="TableParagraph"/>
              <w:spacing w:before="0"/>
              <w:rPr>
                <w:rFonts w:ascii="Cambria"/>
                <w:i/>
                <w:sz w:val="16"/>
              </w:rPr>
            </w:pPr>
          </w:p>
          <w:p>
            <w:pPr>
              <w:pStyle w:val="TableParagraph"/>
              <w:spacing w:before="2"/>
              <w:rPr>
                <w:rFonts w:ascii="Cambria"/>
                <w:i/>
                <w:sz w:val="13"/>
              </w:rPr>
            </w:pPr>
          </w:p>
          <w:p>
            <w:pPr>
              <w:pStyle w:val="TableParagraph"/>
              <w:spacing w:before="0"/>
              <w:ind w:left="108"/>
              <w:rPr>
                <w:sz w:val="17"/>
              </w:rPr>
            </w:pPr>
            <w:r>
              <w:rPr>
                <w:color w:val="231F20"/>
                <w:sz w:val="17"/>
              </w:rPr>
              <w:t>Puntaje  máximo 33</w:t>
            </w: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Diversidad de cultivos  perennes</w:t>
            </w:r>
          </w:p>
        </w:tc>
        <w:tc>
          <w:tcPr>
            <w:tcW w:w="567" w:type="dxa"/>
          </w:tcPr>
          <w:p>
            <w:pPr>
              <w:pStyle w:val="TableParagraph"/>
              <w:spacing w:before="45"/>
              <w:ind w:left="108"/>
              <w:rPr>
                <w:sz w:val="17"/>
              </w:rPr>
            </w:pPr>
            <w:r>
              <w:rPr>
                <w:color w:val="231F20"/>
                <w:w w:val="115"/>
                <w:sz w:val="17"/>
              </w:rPr>
              <w:t>14</w:t>
            </w:r>
          </w:p>
        </w:tc>
        <w:tc>
          <w:tcPr>
            <w:tcW w:w="1781" w:type="dxa"/>
            <w:vMerge/>
            <w:tcBorders>
              <w:right w:val="nil"/>
            </w:tcBorders>
          </w:tcPr>
          <w:p>
            <w:pP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Diversidad animal</w:t>
            </w:r>
          </w:p>
        </w:tc>
        <w:tc>
          <w:tcPr>
            <w:tcW w:w="567" w:type="dxa"/>
          </w:tcPr>
          <w:p>
            <w:pPr>
              <w:pStyle w:val="TableParagraph"/>
              <w:spacing w:before="45"/>
              <w:ind w:left="108"/>
              <w:rPr>
                <w:sz w:val="17"/>
              </w:rPr>
            </w:pPr>
            <w:r>
              <w:rPr>
                <w:color w:val="231F20"/>
                <w:w w:val="115"/>
                <w:sz w:val="17"/>
              </w:rPr>
              <w:t>14</w:t>
            </w:r>
          </w:p>
        </w:tc>
        <w:tc>
          <w:tcPr>
            <w:tcW w:w="1781" w:type="dxa"/>
            <w:vMerge/>
            <w:tcBorders>
              <w:right w:val="nil"/>
            </w:tcBorders>
          </w:tcPr>
          <w:p>
            <w:pPr/>
          </w:p>
        </w:tc>
      </w:tr>
    </w:tbl>
    <w:p>
      <w:pPr>
        <w:spacing w:before="85"/>
        <w:ind w:left="0" w:right="1551" w:firstLine="0"/>
        <w:jc w:val="right"/>
        <w:rPr>
          <w:i/>
          <w:sz w:val="16"/>
        </w:rPr>
      </w:pPr>
      <w:r>
        <w:rPr>
          <w:i/>
          <w:color w:val="231F20"/>
          <w:w w:val="105"/>
          <w:sz w:val="16"/>
        </w:rPr>
        <w:t>(Continúa)</w:t>
      </w:r>
    </w:p>
    <w:p>
      <w:pPr>
        <w:spacing w:after="0"/>
        <w:jc w:val="right"/>
        <w:rPr>
          <w:sz w:val="16"/>
        </w:rPr>
        <w:sectPr>
          <w:type w:val="continuous"/>
          <w:pgSz w:w="11900" w:h="14450"/>
          <w:pgMar w:top="420" w:bottom="420" w:left="0" w:right="0"/>
        </w:sectPr>
      </w:pPr>
    </w:p>
    <w:p>
      <w:pPr>
        <w:pStyle w:val="BodyText"/>
        <w:rPr>
          <w:i/>
        </w:rPr>
      </w:pPr>
    </w:p>
    <w:p>
      <w:pPr>
        <w:pStyle w:val="BodyText"/>
        <w:rPr>
          <w:i/>
        </w:rPr>
      </w:pPr>
    </w:p>
    <w:p>
      <w:pPr>
        <w:pStyle w:val="BodyText"/>
        <w:rPr>
          <w:i/>
          <w:sz w:val="17"/>
        </w:rPr>
      </w:pPr>
    </w:p>
    <w:p>
      <w:pPr>
        <w:tabs>
          <w:tab w:pos="10336" w:val="right" w:leader="none"/>
        </w:tabs>
        <w:spacing w:before="64"/>
        <w:ind w:left="1553" w:right="0" w:firstLine="0"/>
        <w:jc w:val="left"/>
        <w:rPr>
          <w:sz w:val="22"/>
        </w:rPr>
      </w:pPr>
      <w:r>
        <w:rPr>
          <w:color w:val="231F20"/>
          <w:sz w:val="18"/>
        </w:rPr>
        <w:t>Capítulo 4.   Sustentabilidad de la producción de leche en   pequeña</w:t>
      </w:r>
      <w:r>
        <w:rPr>
          <w:color w:val="231F20"/>
          <w:spacing w:val="12"/>
          <w:sz w:val="18"/>
        </w:rPr>
        <w:t> </w:t>
      </w:r>
      <w:r>
        <w:rPr>
          <w:color w:val="231F20"/>
          <w:sz w:val="18"/>
        </w:rPr>
        <w:t>escala...</w:t>
      </w:r>
      <w:r>
        <w:rPr>
          <w:color w:val="231F20"/>
          <w:sz w:val="22"/>
        </w:rPr>
        <w:tab/>
      </w:r>
      <w:r>
        <w:rPr>
          <w:color w:val="231F20"/>
          <w:spacing w:val="-5"/>
          <w:sz w:val="22"/>
        </w:rPr>
        <w:t>67</w:t>
      </w:r>
    </w:p>
    <w:p>
      <w:pPr>
        <w:spacing w:before="374"/>
        <w:ind w:left="1553" w:right="2503" w:firstLine="0"/>
        <w:jc w:val="left"/>
        <w:rPr>
          <w:i/>
          <w:sz w:val="16"/>
        </w:rPr>
      </w:pPr>
      <w:r>
        <w:rPr>
          <w:color w:val="231F20"/>
          <w:w w:val="110"/>
          <w:sz w:val="16"/>
        </w:rPr>
        <w:t>Cuadro 4. </w:t>
      </w:r>
      <w:r>
        <w:rPr>
          <w:i/>
          <w:color w:val="231F20"/>
          <w:w w:val="110"/>
          <w:sz w:val="16"/>
        </w:rPr>
        <w:t>(Continuación)</w:t>
      </w:r>
    </w:p>
    <w:p>
      <w:pPr>
        <w:pStyle w:val="BodyText"/>
        <w:spacing w:before="1"/>
        <w:rPr>
          <w:i/>
          <w:sz w:val="5"/>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73"/>
        <w:gridCol w:w="3657"/>
        <w:gridCol w:w="567"/>
        <w:gridCol w:w="1781"/>
      </w:tblGrid>
      <w:tr>
        <w:trPr>
          <w:trHeight w:val="297" w:hRule="exact"/>
        </w:trPr>
        <w:tc>
          <w:tcPr>
            <w:tcW w:w="2773" w:type="dxa"/>
            <w:vMerge w:val="restart"/>
            <w:tcBorders>
              <w:left w:val="nil"/>
            </w:tcBorders>
          </w:tcPr>
          <w:p>
            <w:pPr>
              <w:pStyle w:val="TableParagraph"/>
              <w:spacing w:before="640"/>
              <w:ind w:left="113"/>
              <w:rPr>
                <w:sz w:val="17"/>
              </w:rPr>
            </w:pPr>
            <w:r>
              <w:rPr>
                <w:color w:val="231F20"/>
                <w:sz w:val="17"/>
              </w:rPr>
              <w:t>Manejo de nutrientes y del  espacio</w:t>
            </w:r>
          </w:p>
        </w:tc>
        <w:tc>
          <w:tcPr>
            <w:tcW w:w="3657" w:type="dxa"/>
          </w:tcPr>
          <w:p>
            <w:pPr>
              <w:pStyle w:val="TableParagraph"/>
              <w:spacing w:before="45"/>
              <w:ind w:left="108"/>
              <w:rPr>
                <w:sz w:val="17"/>
              </w:rPr>
            </w:pPr>
            <w:r>
              <w:rPr>
                <w:color w:val="231F20"/>
                <w:sz w:val="17"/>
              </w:rPr>
              <w:t>Rotación de cultivos</w:t>
            </w:r>
          </w:p>
        </w:tc>
        <w:tc>
          <w:tcPr>
            <w:tcW w:w="567" w:type="dxa"/>
          </w:tcPr>
          <w:p>
            <w:pPr>
              <w:pStyle w:val="TableParagraph"/>
              <w:spacing w:before="45"/>
              <w:ind w:left="108"/>
              <w:rPr>
                <w:sz w:val="17"/>
              </w:rPr>
            </w:pPr>
            <w:r>
              <w:rPr>
                <w:color w:val="231F20"/>
                <w:w w:val="115"/>
                <w:sz w:val="17"/>
              </w:rPr>
              <w:t>8</w:t>
            </w:r>
          </w:p>
        </w:tc>
        <w:tc>
          <w:tcPr>
            <w:tcW w:w="1781" w:type="dxa"/>
            <w:vMerge w:val="restart"/>
            <w:tcBorders>
              <w:right w:val="nil"/>
            </w:tcBorders>
          </w:tcPr>
          <w:p>
            <w:pPr>
              <w:pStyle w:val="TableParagraph"/>
              <w:spacing w:before="0"/>
              <w:rPr>
                <w:i/>
                <w:sz w:val="16"/>
              </w:rPr>
            </w:pPr>
          </w:p>
          <w:p>
            <w:pPr>
              <w:pStyle w:val="TableParagraph"/>
              <w:spacing w:before="0"/>
              <w:rPr>
                <w:i/>
                <w:sz w:val="16"/>
              </w:rPr>
            </w:pPr>
          </w:p>
          <w:p>
            <w:pPr>
              <w:pStyle w:val="TableParagraph"/>
              <w:spacing w:before="5"/>
              <w:rPr>
                <w:i/>
                <w:sz w:val="20"/>
              </w:rPr>
            </w:pPr>
          </w:p>
          <w:p>
            <w:pPr>
              <w:pStyle w:val="TableParagraph"/>
              <w:spacing w:before="0"/>
              <w:ind w:left="108"/>
              <w:rPr>
                <w:sz w:val="17"/>
              </w:rPr>
            </w:pPr>
            <w:r>
              <w:rPr>
                <w:color w:val="231F20"/>
                <w:sz w:val="17"/>
              </w:rPr>
              <w:t>Puntaje  máximo 33</w:t>
            </w: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Área de praderas</w:t>
            </w:r>
          </w:p>
        </w:tc>
        <w:tc>
          <w:tcPr>
            <w:tcW w:w="567" w:type="dxa"/>
          </w:tcPr>
          <w:p>
            <w:pPr>
              <w:pStyle w:val="TableParagraph"/>
              <w:spacing w:before="45"/>
              <w:ind w:left="108"/>
              <w:rPr>
                <w:sz w:val="17"/>
              </w:rPr>
            </w:pPr>
            <w:r>
              <w:rPr>
                <w:color w:val="231F20"/>
                <w:w w:val="115"/>
                <w:sz w:val="17"/>
              </w:rPr>
              <w:t>6</w:t>
            </w:r>
          </w:p>
        </w:tc>
        <w:tc>
          <w:tcPr>
            <w:tcW w:w="1781" w:type="dxa"/>
            <w:vMerge/>
            <w:tcBorders>
              <w:right w:val="nil"/>
            </w:tcBorders>
          </w:tcPr>
          <w:p>
            <w:pP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Manejo de residuos  orgánicos</w:t>
            </w:r>
          </w:p>
        </w:tc>
        <w:tc>
          <w:tcPr>
            <w:tcW w:w="567" w:type="dxa"/>
          </w:tcPr>
          <w:p>
            <w:pPr>
              <w:pStyle w:val="TableParagraph"/>
              <w:spacing w:before="45"/>
              <w:ind w:left="108"/>
              <w:rPr>
                <w:sz w:val="17"/>
              </w:rPr>
            </w:pPr>
            <w:r>
              <w:rPr>
                <w:color w:val="231F20"/>
                <w:w w:val="115"/>
                <w:sz w:val="17"/>
              </w:rPr>
              <w:t>5</w:t>
            </w:r>
          </w:p>
        </w:tc>
        <w:tc>
          <w:tcPr>
            <w:tcW w:w="1781" w:type="dxa"/>
            <w:vMerge/>
            <w:tcBorders>
              <w:right w:val="nil"/>
            </w:tcBorders>
          </w:tcPr>
          <w:p>
            <w:pP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Valorización del espacio</w:t>
            </w:r>
          </w:p>
        </w:tc>
        <w:tc>
          <w:tcPr>
            <w:tcW w:w="567" w:type="dxa"/>
          </w:tcPr>
          <w:p>
            <w:pPr>
              <w:pStyle w:val="TableParagraph"/>
              <w:spacing w:before="45"/>
              <w:ind w:left="108"/>
              <w:rPr>
                <w:sz w:val="17"/>
              </w:rPr>
            </w:pPr>
            <w:r>
              <w:rPr>
                <w:color w:val="231F20"/>
                <w:w w:val="115"/>
                <w:sz w:val="17"/>
              </w:rPr>
              <w:t>5</w:t>
            </w:r>
          </w:p>
        </w:tc>
        <w:tc>
          <w:tcPr>
            <w:tcW w:w="1781" w:type="dxa"/>
            <w:vMerge/>
            <w:tcBorders>
              <w:right w:val="nil"/>
            </w:tcBorders>
          </w:tcPr>
          <w:p>
            <w:pP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Uso de superficies forrajeras</w:t>
            </w:r>
          </w:p>
        </w:tc>
        <w:tc>
          <w:tcPr>
            <w:tcW w:w="567" w:type="dxa"/>
          </w:tcPr>
          <w:p>
            <w:pPr>
              <w:pStyle w:val="TableParagraph"/>
              <w:spacing w:before="45"/>
              <w:ind w:left="108"/>
              <w:rPr>
                <w:sz w:val="17"/>
              </w:rPr>
            </w:pPr>
            <w:r>
              <w:rPr>
                <w:color w:val="231F20"/>
                <w:w w:val="115"/>
                <w:sz w:val="17"/>
              </w:rPr>
              <w:t>3</w:t>
            </w:r>
          </w:p>
        </w:tc>
        <w:tc>
          <w:tcPr>
            <w:tcW w:w="1781" w:type="dxa"/>
            <w:vMerge/>
            <w:tcBorders>
              <w:right w:val="nil"/>
            </w:tcBorders>
          </w:tcPr>
          <w:p>
            <w:pPr/>
          </w:p>
        </w:tc>
      </w:tr>
      <w:tr>
        <w:trPr>
          <w:trHeight w:val="297" w:hRule="exact"/>
        </w:trPr>
        <w:tc>
          <w:tcPr>
            <w:tcW w:w="2773" w:type="dxa"/>
            <w:vMerge w:val="restart"/>
            <w:tcBorders>
              <w:left w:val="nil"/>
            </w:tcBorders>
          </w:tcPr>
          <w:p>
            <w:pPr>
              <w:pStyle w:val="TableParagraph"/>
              <w:spacing w:before="0"/>
              <w:rPr>
                <w:i/>
                <w:sz w:val="16"/>
              </w:rPr>
            </w:pPr>
          </w:p>
          <w:p>
            <w:pPr>
              <w:pStyle w:val="TableParagraph"/>
              <w:spacing w:before="0"/>
              <w:rPr>
                <w:i/>
                <w:sz w:val="16"/>
              </w:rPr>
            </w:pPr>
          </w:p>
          <w:p>
            <w:pPr>
              <w:pStyle w:val="TableParagraph"/>
              <w:spacing w:before="0"/>
              <w:rPr>
                <w:i/>
                <w:sz w:val="16"/>
              </w:rPr>
            </w:pPr>
          </w:p>
          <w:p>
            <w:pPr>
              <w:pStyle w:val="TableParagraph"/>
              <w:spacing w:before="0"/>
              <w:rPr>
                <w:i/>
                <w:sz w:val="16"/>
              </w:rPr>
            </w:pPr>
          </w:p>
          <w:p>
            <w:pPr>
              <w:pStyle w:val="TableParagraph"/>
              <w:spacing w:before="9"/>
              <w:rPr>
                <w:i/>
                <w:sz w:val="12"/>
              </w:rPr>
            </w:pPr>
          </w:p>
          <w:p>
            <w:pPr>
              <w:pStyle w:val="TableParagraph"/>
              <w:spacing w:before="0"/>
              <w:ind w:left="113"/>
              <w:rPr>
                <w:sz w:val="17"/>
              </w:rPr>
            </w:pPr>
            <w:r>
              <w:rPr>
                <w:color w:val="231F20"/>
                <w:sz w:val="17"/>
              </w:rPr>
              <w:t>Prácticas de manejo</w:t>
            </w:r>
          </w:p>
        </w:tc>
        <w:tc>
          <w:tcPr>
            <w:tcW w:w="3657" w:type="dxa"/>
          </w:tcPr>
          <w:p>
            <w:pPr>
              <w:pStyle w:val="TableParagraph"/>
              <w:spacing w:before="45"/>
              <w:ind w:left="108"/>
              <w:rPr>
                <w:sz w:val="17"/>
              </w:rPr>
            </w:pPr>
            <w:r>
              <w:rPr>
                <w:color w:val="231F20"/>
                <w:sz w:val="17"/>
              </w:rPr>
              <w:t>Fertilización</w:t>
            </w:r>
          </w:p>
        </w:tc>
        <w:tc>
          <w:tcPr>
            <w:tcW w:w="567" w:type="dxa"/>
          </w:tcPr>
          <w:p>
            <w:pPr>
              <w:pStyle w:val="TableParagraph"/>
              <w:spacing w:before="45"/>
              <w:ind w:left="108"/>
              <w:rPr>
                <w:sz w:val="17"/>
              </w:rPr>
            </w:pPr>
            <w:r>
              <w:rPr>
                <w:color w:val="231F20"/>
                <w:w w:val="115"/>
                <w:sz w:val="17"/>
              </w:rPr>
              <w:t>8</w:t>
            </w:r>
          </w:p>
        </w:tc>
        <w:tc>
          <w:tcPr>
            <w:tcW w:w="1781" w:type="dxa"/>
            <w:vMerge w:val="restart"/>
            <w:tcBorders>
              <w:right w:val="nil"/>
            </w:tcBorders>
          </w:tcPr>
          <w:p>
            <w:pPr>
              <w:pStyle w:val="TableParagraph"/>
              <w:spacing w:before="0"/>
              <w:rPr>
                <w:i/>
                <w:sz w:val="16"/>
              </w:rPr>
            </w:pPr>
          </w:p>
          <w:p>
            <w:pPr>
              <w:pStyle w:val="TableParagraph"/>
              <w:spacing w:before="0"/>
              <w:rPr>
                <w:i/>
                <w:sz w:val="16"/>
              </w:rPr>
            </w:pPr>
          </w:p>
          <w:p>
            <w:pPr>
              <w:pStyle w:val="TableParagraph"/>
              <w:spacing w:before="0"/>
              <w:rPr>
                <w:i/>
                <w:sz w:val="16"/>
              </w:rPr>
            </w:pPr>
          </w:p>
          <w:p>
            <w:pPr>
              <w:pStyle w:val="TableParagraph"/>
              <w:spacing w:before="0"/>
              <w:rPr>
                <w:i/>
                <w:sz w:val="16"/>
              </w:rPr>
            </w:pPr>
          </w:p>
          <w:p>
            <w:pPr>
              <w:pStyle w:val="TableParagraph"/>
              <w:spacing w:before="9"/>
              <w:rPr>
                <w:i/>
                <w:sz w:val="12"/>
              </w:rPr>
            </w:pPr>
          </w:p>
          <w:p>
            <w:pPr>
              <w:pStyle w:val="TableParagraph"/>
              <w:spacing w:before="0"/>
              <w:ind w:left="108"/>
              <w:rPr>
                <w:sz w:val="17"/>
              </w:rPr>
            </w:pPr>
            <w:r>
              <w:rPr>
                <w:color w:val="231F20"/>
                <w:sz w:val="17"/>
              </w:rPr>
              <w:t>Puntaje  máximo 34</w:t>
            </w: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Manejo de estiércol</w:t>
            </w:r>
          </w:p>
        </w:tc>
        <w:tc>
          <w:tcPr>
            <w:tcW w:w="567" w:type="dxa"/>
          </w:tcPr>
          <w:p>
            <w:pPr>
              <w:pStyle w:val="TableParagraph"/>
              <w:spacing w:before="45"/>
              <w:ind w:left="108"/>
              <w:rPr>
                <w:sz w:val="17"/>
              </w:rPr>
            </w:pPr>
            <w:r>
              <w:rPr>
                <w:color w:val="231F20"/>
                <w:w w:val="115"/>
                <w:sz w:val="17"/>
              </w:rPr>
              <w:t>3</w:t>
            </w:r>
          </w:p>
        </w:tc>
        <w:tc>
          <w:tcPr>
            <w:tcW w:w="1781" w:type="dxa"/>
            <w:vMerge/>
            <w:tcBorders>
              <w:right w:val="nil"/>
            </w:tcBorders>
          </w:tcPr>
          <w:p>
            <w:pP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Pesticidas</w:t>
            </w:r>
          </w:p>
        </w:tc>
        <w:tc>
          <w:tcPr>
            <w:tcW w:w="567" w:type="dxa"/>
          </w:tcPr>
          <w:p>
            <w:pPr>
              <w:pStyle w:val="TableParagraph"/>
              <w:spacing w:before="45"/>
              <w:ind w:left="108"/>
              <w:rPr>
                <w:sz w:val="17"/>
              </w:rPr>
            </w:pPr>
            <w:r>
              <w:rPr>
                <w:color w:val="231F20"/>
                <w:w w:val="115"/>
                <w:sz w:val="17"/>
              </w:rPr>
              <w:t>13</w:t>
            </w:r>
          </w:p>
        </w:tc>
        <w:tc>
          <w:tcPr>
            <w:tcW w:w="1781" w:type="dxa"/>
            <w:vMerge/>
            <w:tcBorders>
              <w:right w:val="nil"/>
            </w:tcBorders>
          </w:tcPr>
          <w:p>
            <w:pP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Productos veterinarios</w:t>
            </w:r>
          </w:p>
        </w:tc>
        <w:tc>
          <w:tcPr>
            <w:tcW w:w="567" w:type="dxa"/>
          </w:tcPr>
          <w:p>
            <w:pPr>
              <w:pStyle w:val="TableParagraph"/>
              <w:spacing w:before="45"/>
              <w:ind w:left="108"/>
              <w:rPr>
                <w:sz w:val="17"/>
              </w:rPr>
            </w:pPr>
            <w:r>
              <w:rPr>
                <w:color w:val="231F20"/>
                <w:w w:val="115"/>
                <w:sz w:val="17"/>
              </w:rPr>
              <w:t>3</w:t>
            </w:r>
          </w:p>
        </w:tc>
        <w:tc>
          <w:tcPr>
            <w:tcW w:w="1781" w:type="dxa"/>
            <w:vMerge/>
            <w:tcBorders>
              <w:right w:val="nil"/>
            </w:tcBorders>
          </w:tcPr>
          <w:p>
            <w:pP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Protección del recurso  suelo</w:t>
            </w:r>
          </w:p>
        </w:tc>
        <w:tc>
          <w:tcPr>
            <w:tcW w:w="567" w:type="dxa"/>
          </w:tcPr>
          <w:p>
            <w:pPr>
              <w:pStyle w:val="TableParagraph"/>
              <w:spacing w:before="45"/>
              <w:ind w:left="108"/>
              <w:rPr>
                <w:sz w:val="17"/>
              </w:rPr>
            </w:pPr>
            <w:r>
              <w:rPr>
                <w:color w:val="231F20"/>
                <w:w w:val="115"/>
                <w:sz w:val="17"/>
              </w:rPr>
              <w:t>5</w:t>
            </w:r>
          </w:p>
        </w:tc>
        <w:tc>
          <w:tcPr>
            <w:tcW w:w="1781" w:type="dxa"/>
            <w:vMerge/>
            <w:tcBorders>
              <w:right w:val="nil"/>
            </w:tcBorders>
          </w:tcPr>
          <w:p>
            <w:pP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sz w:val="17"/>
              </w:rPr>
              <w:t>Manejo del recurso hídrico</w:t>
            </w:r>
          </w:p>
        </w:tc>
        <w:tc>
          <w:tcPr>
            <w:tcW w:w="567" w:type="dxa"/>
          </w:tcPr>
          <w:p>
            <w:pPr>
              <w:pStyle w:val="TableParagraph"/>
              <w:spacing w:before="45"/>
              <w:ind w:left="108"/>
              <w:rPr>
                <w:sz w:val="17"/>
              </w:rPr>
            </w:pPr>
            <w:r>
              <w:rPr>
                <w:color w:val="231F20"/>
                <w:w w:val="115"/>
                <w:sz w:val="17"/>
              </w:rPr>
              <w:t>4</w:t>
            </w:r>
          </w:p>
        </w:tc>
        <w:tc>
          <w:tcPr>
            <w:tcW w:w="1781" w:type="dxa"/>
            <w:vMerge/>
            <w:tcBorders>
              <w:right w:val="nil"/>
            </w:tcBorders>
          </w:tcPr>
          <w:p>
            <w:pPr/>
          </w:p>
        </w:tc>
      </w:tr>
      <w:tr>
        <w:trPr>
          <w:trHeight w:val="297" w:hRule="exact"/>
        </w:trPr>
        <w:tc>
          <w:tcPr>
            <w:tcW w:w="2773" w:type="dxa"/>
            <w:vMerge/>
            <w:tcBorders>
              <w:left w:val="nil"/>
            </w:tcBorders>
          </w:tcPr>
          <w:p>
            <w:pPr/>
          </w:p>
        </w:tc>
        <w:tc>
          <w:tcPr>
            <w:tcW w:w="3657" w:type="dxa"/>
          </w:tcPr>
          <w:p>
            <w:pPr>
              <w:pStyle w:val="TableParagraph"/>
              <w:spacing w:before="45"/>
              <w:ind w:left="108"/>
              <w:rPr>
                <w:sz w:val="17"/>
              </w:rPr>
            </w:pPr>
            <w:r>
              <w:rPr>
                <w:color w:val="231F20"/>
                <w:w w:val="105"/>
                <w:sz w:val="17"/>
              </w:rPr>
              <w:t>Dependencia de energía</w:t>
            </w:r>
          </w:p>
        </w:tc>
        <w:tc>
          <w:tcPr>
            <w:tcW w:w="567" w:type="dxa"/>
          </w:tcPr>
          <w:p>
            <w:pPr>
              <w:pStyle w:val="TableParagraph"/>
              <w:spacing w:before="45"/>
              <w:ind w:left="108"/>
              <w:rPr>
                <w:sz w:val="17"/>
              </w:rPr>
            </w:pPr>
            <w:r>
              <w:rPr>
                <w:color w:val="231F20"/>
                <w:w w:val="115"/>
                <w:sz w:val="17"/>
              </w:rPr>
              <w:t>10</w:t>
            </w:r>
          </w:p>
        </w:tc>
        <w:tc>
          <w:tcPr>
            <w:tcW w:w="1781" w:type="dxa"/>
            <w:vMerge/>
            <w:tcBorders>
              <w:right w:val="nil"/>
            </w:tcBorders>
          </w:tcPr>
          <w:p>
            <w:pPr/>
          </w:p>
        </w:tc>
      </w:tr>
    </w:tbl>
    <w:p>
      <w:pPr>
        <w:pStyle w:val="BodyText"/>
        <w:spacing w:before="7" w:after="1"/>
        <w:rPr>
          <w:i/>
          <w:sz w:val="18"/>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87"/>
        <w:gridCol w:w="3657"/>
        <w:gridCol w:w="595"/>
        <w:gridCol w:w="1738"/>
      </w:tblGrid>
      <w:tr>
        <w:trPr>
          <w:trHeight w:val="275" w:hRule="exact"/>
        </w:trPr>
        <w:tc>
          <w:tcPr>
            <w:tcW w:w="8777" w:type="dxa"/>
            <w:gridSpan w:val="4"/>
            <w:tcBorders>
              <w:top w:val="nil"/>
              <w:left w:val="nil"/>
              <w:right w:val="nil"/>
            </w:tcBorders>
          </w:tcPr>
          <w:p>
            <w:pPr>
              <w:pStyle w:val="TableParagraph"/>
              <w:spacing w:line="182" w:lineRule="exact" w:before="0"/>
              <w:ind w:left="2844"/>
              <w:rPr>
                <w:rFonts w:ascii="Cambria"/>
                <w:i/>
                <w:sz w:val="18"/>
              </w:rPr>
            </w:pPr>
            <w:r>
              <w:rPr>
                <w:rFonts w:ascii="Cambria"/>
                <w:i/>
                <w:color w:val="231F20"/>
                <w:w w:val="105"/>
                <w:sz w:val="18"/>
              </w:rPr>
              <w:t>Escala socioterritorial (15 indicadores)</w:t>
            </w:r>
          </w:p>
        </w:tc>
      </w:tr>
      <w:tr>
        <w:trPr>
          <w:trHeight w:val="297" w:hRule="exact"/>
        </w:trPr>
        <w:tc>
          <w:tcPr>
            <w:tcW w:w="2787" w:type="dxa"/>
            <w:vMerge w:val="restart"/>
            <w:tcBorders>
              <w:left w:val="nil"/>
            </w:tcBorders>
          </w:tcPr>
          <w:p>
            <w:pPr>
              <w:pStyle w:val="TableParagraph"/>
              <w:spacing w:before="0"/>
              <w:rPr>
                <w:i/>
                <w:sz w:val="16"/>
              </w:rPr>
            </w:pPr>
          </w:p>
          <w:p>
            <w:pPr>
              <w:pStyle w:val="TableParagraph"/>
              <w:spacing w:before="0"/>
              <w:rPr>
                <w:i/>
                <w:sz w:val="16"/>
              </w:rPr>
            </w:pPr>
          </w:p>
          <w:p>
            <w:pPr>
              <w:pStyle w:val="TableParagraph"/>
              <w:spacing w:before="100"/>
              <w:ind w:left="113"/>
              <w:rPr>
                <w:sz w:val="17"/>
              </w:rPr>
            </w:pPr>
            <w:r>
              <w:rPr>
                <w:color w:val="231F20"/>
                <w:sz w:val="17"/>
              </w:rPr>
              <w:t>Calidad y producto de la tierra</w:t>
            </w:r>
          </w:p>
        </w:tc>
        <w:tc>
          <w:tcPr>
            <w:tcW w:w="3657" w:type="dxa"/>
          </w:tcPr>
          <w:p>
            <w:pPr>
              <w:pStyle w:val="TableParagraph"/>
              <w:spacing w:before="45"/>
              <w:ind w:left="108"/>
              <w:rPr>
                <w:sz w:val="17"/>
              </w:rPr>
            </w:pPr>
            <w:r>
              <w:rPr>
                <w:color w:val="231F20"/>
                <w:sz w:val="17"/>
              </w:rPr>
              <w:t>Calidad de la leche  producida</w:t>
            </w:r>
          </w:p>
        </w:tc>
        <w:tc>
          <w:tcPr>
            <w:tcW w:w="595" w:type="dxa"/>
          </w:tcPr>
          <w:p>
            <w:pPr>
              <w:pStyle w:val="TableParagraph"/>
              <w:spacing w:before="45"/>
              <w:ind w:left="108"/>
              <w:rPr>
                <w:sz w:val="17"/>
              </w:rPr>
            </w:pPr>
            <w:r>
              <w:rPr>
                <w:color w:val="231F20"/>
                <w:w w:val="115"/>
                <w:sz w:val="17"/>
              </w:rPr>
              <w:t>10</w:t>
            </w:r>
          </w:p>
        </w:tc>
        <w:tc>
          <w:tcPr>
            <w:tcW w:w="1738" w:type="dxa"/>
            <w:vMerge w:val="restart"/>
            <w:tcBorders>
              <w:right w:val="nil"/>
            </w:tcBorders>
          </w:tcPr>
          <w:p>
            <w:pPr>
              <w:pStyle w:val="TableParagraph"/>
              <w:spacing w:before="0"/>
              <w:rPr>
                <w:i/>
                <w:sz w:val="16"/>
              </w:rPr>
            </w:pPr>
          </w:p>
          <w:p>
            <w:pPr>
              <w:pStyle w:val="TableParagraph"/>
              <w:spacing w:before="0"/>
              <w:rPr>
                <w:i/>
                <w:sz w:val="16"/>
              </w:rPr>
            </w:pPr>
          </w:p>
          <w:p>
            <w:pPr>
              <w:pStyle w:val="TableParagraph"/>
              <w:spacing w:before="100"/>
              <w:ind w:left="108"/>
              <w:rPr>
                <w:sz w:val="17"/>
              </w:rPr>
            </w:pPr>
            <w:r>
              <w:rPr>
                <w:color w:val="231F20"/>
                <w:sz w:val="17"/>
              </w:rPr>
              <w:t>Puntaje  máximo 33</w:t>
            </w: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Manejo de residuos no  orgánicos</w:t>
            </w:r>
          </w:p>
        </w:tc>
        <w:tc>
          <w:tcPr>
            <w:tcW w:w="595" w:type="dxa"/>
          </w:tcPr>
          <w:p>
            <w:pPr>
              <w:pStyle w:val="TableParagraph"/>
              <w:spacing w:before="45"/>
              <w:ind w:left="108"/>
              <w:rPr>
                <w:sz w:val="17"/>
              </w:rPr>
            </w:pPr>
            <w:r>
              <w:rPr>
                <w:color w:val="231F20"/>
                <w:w w:val="115"/>
                <w:sz w:val="17"/>
              </w:rPr>
              <w:t>5</w:t>
            </w:r>
          </w:p>
        </w:tc>
        <w:tc>
          <w:tcPr>
            <w:tcW w:w="1738" w:type="dxa"/>
            <w:vMerge/>
            <w:tcBorders>
              <w:right w:val="nil"/>
            </w:tcBorders>
          </w:tcPr>
          <w:p>
            <w:pP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Acceso al predio</w:t>
            </w:r>
          </w:p>
        </w:tc>
        <w:tc>
          <w:tcPr>
            <w:tcW w:w="595" w:type="dxa"/>
          </w:tcPr>
          <w:p>
            <w:pPr>
              <w:pStyle w:val="TableParagraph"/>
              <w:spacing w:before="45"/>
              <w:ind w:left="108"/>
              <w:rPr>
                <w:sz w:val="17"/>
              </w:rPr>
            </w:pPr>
            <w:r>
              <w:rPr>
                <w:color w:val="231F20"/>
                <w:w w:val="115"/>
                <w:sz w:val="17"/>
              </w:rPr>
              <w:t>5</w:t>
            </w:r>
          </w:p>
        </w:tc>
        <w:tc>
          <w:tcPr>
            <w:tcW w:w="1738" w:type="dxa"/>
            <w:vMerge/>
            <w:tcBorders>
              <w:right w:val="nil"/>
            </w:tcBorders>
          </w:tcPr>
          <w:p>
            <w:pP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Vinculación comunitaria</w:t>
            </w:r>
          </w:p>
        </w:tc>
        <w:tc>
          <w:tcPr>
            <w:tcW w:w="595" w:type="dxa"/>
          </w:tcPr>
          <w:p>
            <w:pPr>
              <w:pStyle w:val="TableParagraph"/>
              <w:spacing w:before="45"/>
              <w:ind w:left="108"/>
              <w:rPr>
                <w:sz w:val="17"/>
              </w:rPr>
            </w:pPr>
            <w:r>
              <w:rPr>
                <w:color w:val="231F20"/>
                <w:w w:val="115"/>
                <w:sz w:val="17"/>
              </w:rPr>
              <w:t>6</w:t>
            </w:r>
          </w:p>
        </w:tc>
        <w:tc>
          <w:tcPr>
            <w:tcW w:w="1738" w:type="dxa"/>
            <w:vMerge/>
            <w:tcBorders>
              <w:right w:val="nil"/>
            </w:tcBorders>
          </w:tcPr>
          <w:p>
            <w:pPr/>
          </w:p>
        </w:tc>
      </w:tr>
      <w:tr>
        <w:trPr>
          <w:trHeight w:val="297" w:hRule="exact"/>
        </w:trPr>
        <w:tc>
          <w:tcPr>
            <w:tcW w:w="2787" w:type="dxa"/>
            <w:vMerge w:val="restart"/>
            <w:tcBorders>
              <w:left w:val="nil"/>
            </w:tcBorders>
          </w:tcPr>
          <w:p>
            <w:pPr>
              <w:pStyle w:val="TableParagraph"/>
              <w:spacing w:before="0"/>
              <w:rPr>
                <w:i/>
                <w:sz w:val="16"/>
              </w:rPr>
            </w:pPr>
          </w:p>
          <w:p>
            <w:pPr>
              <w:pStyle w:val="TableParagraph"/>
              <w:spacing w:before="0"/>
              <w:rPr>
                <w:i/>
                <w:sz w:val="16"/>
              </w:rPr>
            </w:pPr>
          </w:p>
          <w:p>
            <w:pPr>
              <w:pStyle w:val="TableParagraph"/>
              <w:spacing w:before="100"/>
              <w:ind w:left="113"/>
              <w:rPr>
                <w:sz w:val="17"/>
              </w:rPr>
            </w:pPr>
            <w:r>
              <w:rPr>
                <w:color w:val="231F20"/>
                <w:sz w:val="17"/>
              </w:rPr>
              <w:t>Empleo  y servicios</w:t>
            </w:r>
          </w:p>
        </w:tc>
        <w:tc>
          <w:tcPr>
            <w:tcW w:w="3657" w:type="dxa"/>
          </w:tcPr>
          <w:p>
            <w:pPr>
              <w:pStyle w:val="TableParagraph"/>
              <w:spacing w:before="45"/>
              <w:ind w:left="108"/>
              <w:rPr>
                <w:sz w:val="17"/>
              </w:rPr>
            </w:pPr>
            <w:r>
              <w:rPr>
                <w:color w:val="231F20"/>
                <w:sz w:val="17"/>
              </w:rPr>
              <w:t>Autonomía y valorización de los recursos  locales</w:t>
            </w:r>
          </w:p>
        </w:tc>
        <w:tc>
          <w:tcPr>
            <w:tcW w:w="595" w:type="dxa"/>
          </w:tcPr>
          <w:p>
            <w:pPr>
              <w:pStyle w:val="TableParagraph"/>
              <w:spacing w:before="45"/>
              <w:ind w:left="108"/>
              <w:rPr>
                <w:sz w:val="17"/>
              </w:rPr>
            </w:pPr>
            <w:r>
              <w:rPr>
                <w:color w:val="231F20"/>
                <w:w w:val="115"/>
                <w:sz w:val="17"/>
              </w:rPr>
              <w:t>10</w:t>
            </w:r>
          </w:p>
        </w:tc>
        <w:tc>
          <w:tcPr>
            <w:tcW w:w="1738" w:type="dxa"/>
            <w:vMerge w:val="restart"/>
            <w:tcBorders>
              <w:right w:val="nil"/>
            </w:tcBorders>
          </w:tcPr>
          <w:p>
            <w:pPr>
              <w:pStyle w:val="TableParagraph"/>
              <w:spacing w:before="0"/>
              <w:rPr>
                <w:i/>
                <w:sz w:val="16"/>
              </w:rPr>
            </w:pPr>
          </w:p>
          <w:p>
            <w:pPr>
              <w:pStyle w:val="TableParagraph"/>
              <w:spacing w:before="0"/>
              <w:rPr>
                <w:i/>
                <w:sz w:val="16"/>
              </w:rPr>
            </w:pPr>
          </w:p>
          <w:p>
            <w:pPr>
              <w:pStyle w:val="TableParagraph"/>
              <w:spacing w:before="100"/>
              <w:ind w:left="108"/>
              <w:rPr>
                <w:sz w:val="17"/>
              </w:rPr>
            </w:pPr>
            <w:r>
              <w:rPr>
                <w:color w:val="231F20"/>
                <w:sz w:val="17"/>
              </w:rPr>
              <w:t>Puntaje  máximo 33</w:t>
            </w: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w w:val="105"/>
                <w:sz w:val="17"/>
              </w:rPr>
              <w:t>Generación de empleo</w:t>
            </w:r>
          </w:p>
        </w:tc>
        <w:tc>
          <w:tcPr>
            <w:tcW w:w="595" w:type="dxa"/>
          </w:tcPr>
          <w:p>
            <w:pPr>
              <w:pStyle w:val="TableParagraph"/>
              <w:spacing w:before="45"/>
              <w:ind w:left="108"/>
              <w:rPr>
                <w:sz w:val="17"/>
              </w:rPr>
            </w:pPr>
            <w:r>
              <w:rPr>
                <w:color w:val="231F20"/>
                <w:w w:val="115"/>
                <w:sz w:val="17"/>
              </w:rPr>
              <w:t>6</w:t>
            </w:r>
          </w:p>
        </w:tc>
        <w:tc>
          <w:tcPr>
            <w:tcW w:w="1738" w:type="dxa"/>
            <w:vMerge/>
            <w:tcBorders>
              <w:right w:val="nil"/>
            </w:tcBorders>
          </w:tcPr>
          <w:p>
            <w:pP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Trabajo colectivo</w:t>
            </w:r>
          </w:p>
        </w:tc>
        <w:tc>
          <w:tcPr>
            <w:tcW w:w="595" w:type="dxa"/>
          </w:tcPr>
          <w:p>
            <w:pPr>
              <w:pStyle w:val="TableParagraph"/>
              <w:spacing w:before="45"/>
              <w:ind w:left="108"/>
              <w:rPr>
                <w:sz w:val="17"/>
              </w:rPr>
            </w:pPr>
            <w:r>
              <w:rPr>
                <w:color w:val="231F20"/>
                <w:w w:val="115"/>
                <w:sz w:val="17"/>
              </w:rPr>
              <w:t>6</w:t>
            </w:r>
          </w:p>
        </w:tc>
        <w:tc>
          <w:tcPr>
            <w:tcW w:w="1738" w:type="dxa"/>
            <w:vMerge/>
            <w:tcBorders>
              <w:right w:val="nil"/>
            </w:tcBorders>
          </w:tcPr>
          <w:p>
            <w:pP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Sustentabilidad probable de la  finca</w:t>
            </w:r>
          </w:p>
        </w:tc>
        <w:tc>
          <w:tcPr>
            <w:tcW w:w="595" w:type="dxa"/>
          </w:tcPr>
          <w:p>
            <w:pPr>
              <w:pStyle w:val="TableParagraph"/>
              <w:spacing w:before="45"/>
              <w:ind w:left="108"/>
              <w:rPr>
                <w:sz w:val="17"/>
              </w:rPr>
            </w:pPr>
            <w:r>
              <w:rPr>
                <w:color w:val="231F20"/>
                <w:w w:val="115"/>
                <w:sz w:val="17"/>
              </w:rPr>
              <w:t>3</w:t>
            </w:r>
          </w:p>
        </w:tc>
        <w:tc>
          <w:tcPr>
            <w:tcW w:w="1738" w:type="dxa"/>
            <w:vMerge/>
            <w:tcBorders>
              <w:right w:val="nil"/>
            </w:tcBorders>
          </w:tcPr>
          <w:p>
            <w:pPr/>
          </w:p>
        </w:tc>
      </w:tr>
      <w:tr>
        <w:trPr>
          <w:trHeight w:val="297" w:hRule="exact"/>
        </w:trPr>
        <w:tc>
          <w:tcPr>
            <w:tcW w:w="2787" w:type="dxa"/>
            <w:vMerge w:val="restart"/>
            <w:tcBorders>
              <w:left w:val="nil"/>
            </w:tcBorders>
          </w:tcPr>
          <w:p>
            <w:pPr>
              <w:pStyle w:val="TableParagraph"/>
              <w:spacing w:before="0"/>
              <w:rPr>
                <w:i/>
                <w:sz w:val="16"/>
              </w:rPr>
            </w:pPr>
          </w:p>
          <w:p>
            <w:pPr>
              <w:pStyle w:val="TableParagraph"/>
              <w:spacing w:before="0"/>
              <w:rPr>
                <w:i/>
                <w:sz w:val="16"/>
              </w:rPr>
            </w:pPr>
          </w:p>
          <w:p>
            <w:pPr>
              <w:pStyle w:val="TableParagraph"/>
              <w:spacing w:before="0"/>
              <w:rPr>
                <w:i/>
                <w:sz w:val="16"/>
              </w:rPr>
            </w:pPr>
          </w:p>
          <w:p>
            <w:pPr>
              <w:pStyle w:val="TableParagraph"/>
              <w:spacing w:before="0"/>
              <w:rPr>
                <w:i/>
                <w:sz w:val="16"/>
              </w:rPr>
            </w:pPr>
          </w:p>
          <w:p>
            <w:pPr>
              <w:pStyle w:val="TableParagraph"/>
              <w:spacing w:before="9"/>
              <w:rPr>
                <w:i/>
                <w:sz w:val="12"/>
              </w:rPr>
            </w:pPr>
          </w:p>
          <w:p>
            <w:pPr>
              <w:pStyle w:val="TableParagraph"/>
              <w:spacing w:before="0"/>
              <w:ind w:left="113"/>
              <w:rPr>
                <w:sz w:val="17"/>
              </w:rPr>
            </w:pPr>
            <w:r>
              <w:rPr>
                <w:color w:val="231F20"/>
                <w:sz w:val="17"/>
              </w:rPr>
              <w:t>Ética y desarrollo humano</w:t>
            </w:r>
          </w:p>
        </w:tc>
        <w:tc>
          <w:tcPr>
            <w:tcW w:w="3657" w:type="dxa"/>
          </w:tcPr>
          <w:p>
            <w:pPr>
              <w:pStyle w:val="TableParagraph"/>
              <w:spacing w:before="45"/>
              <w:ind w:left="108"/>
              <w:rPr>
                <w:sz w:val="17"/>
              </w:rPr>
            </w:pPr>
            <w:r>
              <w:rPr>
                <w:color w:val="231F20"/>
                <w:sz w:val="17"/>
              </w:rPr>
              <w:t>Dependencia  de  alimentos comerciales</w:t>
            </w:r>
          </w:p>
        </w:tc>
        <w:tc>
          <w:tcPr>
            <w:tcW w:w="595" w:type="dxa"/>
          </w:tcPr>
          <w:p>
            <w:pPr>
              <w:pStyle w:val="TableParagraph"/>
              <w:spacing w:before="45"/>
              <w:ind w:left="108"/>
              <w:rPr>
                <w:sz w:val="17"/>
              </w:rPr>
            </w:pPr>
            <w:r>
              <w:rPr>
                <w:color w:val="231F20"/>
                <w:w w:val="115"/>
                <w:sz w:val="17"/>
              </w:rPr>
              <w:t>10</w:t>
            </w:r>
          </w:p>
        </w:tc>
        <w:tc>
          <w:tcPr>
            <w:tcW w:w="1738" w:type="dxa"/>
            <w:vMerge w:val="restart"/>
            <w:tcBorders>
              <w:right w:val="nil"/>
            </w:tcBorders>
          </w:tcPr>
          <w:p>
            <w:pPr>
              <w:pStyle w:val="TableParagraph"/>
              <w:spacing w:before="0"/>
              <w:rPr>
                <w:i/>
                <w:sz w:val="16"/>
              </w:rPr>
            </w:pPr>
          </w:p>
          <w:p>
            <w:pPr>
              <w:pStyle w:val="TableParagraph"/>
              <w:spacing w:before="0"/>
              <w:rPr>
                <w:i/>
                <w:sz w:val="16"/>
              </w:rPr>
            </w:pPr>
          </w:p>
          <w:p>
            <w:pPr>
              <w:pStyle w:val="TableParagraph"/>
              <w:spacing w:before="0"/>
              <w:rPr>
                <w:i/>
                <w:sz w:val="16"/>
              </w:rPr>
            </w:pPr>
          </w:p>
          <w:p>
            <w:pPr>
              <w:pStyle w:val="TableParagraph"/>
              <w:spacing w:before="0"/>
              <w:rPr>
                <w:i/>
                <w:sz w:val="16"/>
              </w:rPr>
            </w:pPr>
          </w:p>
          <w:p>
            <w:pPr>
              <w:pStyle w:val="TableParagraph"/>
              <w:spacing w:before="9"/>
              <w:rPr>
                <w:i/>
                <w:sz w:val="12"/>
              </w:rPr>
            </w:pPr>
          </w:p>
          <w:p>
            <w:pPr>
              <w:pStyle w:val="TableParagraph"/>
              <w:spacing w:before="0"/>
              <w:ind w:left="108"/>
              <w:rPr>
                <w:sz w:val="17"/>
              </w:rPr>
            </w:pPr>
            <w:r>
              <w:rPr>
                <w:color w:val="231F20"/>
                <w:sz w:val="17"/>
              </w:rPr>
              <w:t>Puntaje  máximo 34</w:t>
            </w: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Bienestar animal</w:t>
            </w:r>
          </w:p>
        </w:tc>
        <w:tc>
          <w:tcPr>
            <w:tcW w:w="595" w:type="dxa"/>
          </w:tcPr>
          <w:p>
            <w:pPr>
              <w:pStyle w:val="TableParagraph"/>
              <w:spacing w:before="45"/>
              <w:ind w:left="108"/>
              <w:rPr>
                <w:sz w:val="17"/>
              </w:rPr>
            </w:pPr>
            <w:r>
              <w:rPr>
                <w:color w:val="231F20"/>
                <w:w w:val="115"/>
                <w:sz w:val="17"/>
              </w:rPr>
              <w:t>3</w:t>
            </w:r>
          </w:p>
        </w:tc>
        <w:tc>
          <w:tcPr>
            <w:tcW w:w="1738" w:type="dxa"/>
            <w:vMerge/>
            <w:tcBorders>
              <w:right w:val="nil"/>
            </w:tcBorders>
          </w:tcPr>
          <w:p>
            <w:pP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Formación-grado de escolaridad</w:t>
            </w:r>
          </w:p>
        </w:tc>
        <w:tc>
          <w:tcPr>
            <w:tcW w:w="595" w:type="dxa"/>
          </w:tcPr>
          <w:p>
            <w:pPr>
              <w:pStyle w:val="TableParagraph"/>
              <w:spacing w:before="45"/>
              <w:ind w:left="108"/>
              <w:rPr>
                <w:sz w:val="17"/>
              </w:rPr>
            </w:pPr>
            <w:r>
              <w:rPr>
                <w:color w:val="231F20"/>
                <w:w w:val="115"/>
                <w:sz w:val="17"/>
              </w:rPr>
              <w:t>6</w:t>
            </w:r>
          </w:p>
        </w:tc>
        <w:tc>
          <w:tcPr>
            <w:tcW w:w="1738" w:type="dxa"/>
            <w:vMerge/>
            <w:tcBorders>
              <w:right w:val="nil"/>
            </w:tcBorders>
          </w:tcPr>
          <w:p>
            <w:pP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Intensidad de trabajo</w:t>
            </w:r>
          </w:p>
        </w:tc>
        <w:tc>
          <w:tcPr>
            <w:tcW w:w="595" w:type="dxa"/>
          </w:tcPr>
          <w:p>
            <w:pPr>
              <w:pStyle w:val="TableParagraph"/>
              <w:spacing w:before="45"/>
              <w:ind w:left="108"/>
              <w:rPr>
                <w:sz w:val="17"/>
              </w:rPr>
            </w:pPr>
            <w:r>
              <w:rPr>
                <w:color w:val="231F20"/>
                <w:w w:val="115"/>
                <w:sz w:val="17"/>
              </w:rPr>
              <w:t>7</w:t>
            </w:r>
          </w:p>
        </w:tc>
        <w:tc>
          <w:tcPr>
            <w:tcW w:w="1738" w:type="dxa"/>
            <w:vMerge/>
            <w:tcBorders>
              <w:right w:val="nil"/>
            </w:tcBorders>
          </w:tcPr>
          <w:p>
            <w:pP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Calidad de vida</w:t>
            </w:r>
          </w:p>
        </w:tc>
        <w:tc>
          <w:tcPr>
            <w:tcW w:w="595" w:type="dxa"/>
          </w:tcPr>
          <w:p>
            <w:pPr>
              <w:pStyle w:val="TableParagraph"/>
              <w:spacing w:before="45"/>
              <w:ind w:left="108"/>
              <w:rPr>
                <w:sz w:val="17"/>
              </w:rPr>
            </w:pPr>
            <w:r>
              <w:rPr>
                <w:color w:val="231F20"/>
                <w:w w:val="115"/>
                <w:sz w:val="17"/>
              </w:rPr>
              <w:t>6</w:t>
            </w:r>
          </w:p>
        </w:tc>
        <w:tc>
          <w:tcPr>
            <w:tcW w:w="1738" w:type="dxa"/>
            <w:vMerge/>
            <w:tcBorders>
              <w:right w:val="nil"/>
            </w:tcBorders>
          </w:tcPr>
          <w:p>
            <w:pP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Aislamiento</w:t>
            </w:r>
          </w:p>
        </w:tc>
        <w:tc>
          <w:tcPr>
            <w:tcW w:w="595" w:type="dxa"/>
          </w:tcPr>
          <w:p>
            <w:pPr>
              <w:pStyle w:val="TableParagraph"/>
              <w:spacing w:before="45"/>
              <w:ind w:left="108"/>
              <w:rPr>
                <w:sz w:val="17"/>
              </w:rPr>
            </w:pPr>
            <w:r>
              <w:rPr>
                <w:color w:val="231F20"/>
                <w:w w:val="115"/>
                <w:sz w:val="17"/>
              </w:rPr>
              <w:t>3</w:t>
            </w:r>
          </w:p>
        </w:tc>
        <w:tc>
          <w:tcPr>
            <w:tcW w:w="1738" w:type="dxa"/>
            <w:vMerge/>
            <w:tcBorders>
              <w:right w:val="nil"/>
            </w:tcBorders>
          </w:tcPr>
          <w:p>
            <w:pP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Calidad  de instalaciones</w:t>
            </w:r>
          </w:p>
        </w:tc>
        <w:tc>
          <w:tcPr>
            <w:tcW w:w="595" w:type="dxa"/>
          </w:tcPr>
          <w:p>
            <w:pPr>
              <w:pStyle w:val="TableParagraph"/>
              <w:spacing w:before="45"/>
              <w:ind w:left="108"/>
              <w:rPr>
                <w:sz w:val="17"/>
              </w:rPr>
            </w:pPr>
            <w:r>
              <w:rPr>
                <w:color w:val="231F20"/>
                <w:w w:val="115"/>
                <w:sz w:val="17"/>
              </w:rPr>
              <w:t>4</w:t>
            </w:r>
          </w:p>
        </w:tc>
        <w:tc>
          <w:tcPr>
            <w:tcW w:w="1738" w:type="dxa"/>
            <w:vMerge/>
            <w:tcBorders>
              <w:right w:val="nil"/>
            </w:tcBorders>
          </w:tcPr>
          <w:p>
            <w:pPr/>
          </w:p>
        </w:tc>
      </w:tr>
      <w:tr>
        <w:trPr>
          <w:trHeight w:val="369" w:hRule="exact"/>
        </w:trPr>
        <w:tc>
          <w:tcPr>
            <w:tcW w:w="8777" w:type="dxa"/>
            <w:gridSpan w:val="4"/>
            <w:tcBorders>
              <w:left w:val="nil"/>
              <w:right w:val="nil"/>
            </w:tcBorders>
          </w:tcPr>
          <w:p>
            <w:pPr>
              <w:pStyle w:val="TableParagraph"/>
              <w:spacing w:before="79"/>
              <w:ind w:left="3009" w:right="3009"/>
              <w:jc w:val="center"/>
              <w:rPr>
                <w:rFonts w:ascii="Cambria" w:hAnsi="Cambria"/>
                <w:i/>
                <w:sz w:val="18"/>
              </w:rPr>
            </w:pPr>
            <w:r>
              <w:rPr>
                <w:rFonts w:ascii="Cambria" w:hAnsi="Cambria"/>
                <w:i/>
                <w:color w:val="231F20"/>
                <w:w w:val="105"/>
                <w:sz w:val="18"/>
              </w:rPr>
              <w:t>Escala  económica  (6 indicadores)</w:t>
            </w:r>
          </w:p>
        </w:tc>
      </w:tr>
      <w:tr>
        <w:trPr>
          <w:trHeight w:val="297" w:hRule="exact"/>
        </w:trPr>
        <w:tc>
          <w:tcPr>
            <w:tcW w:w="2787" w:type="dxa"/>
            <w:vMerge w:val="restart"/>
            <w:tcBorders>
              <w:left w:val="nil"/>
            </w:tcBorders>
          </w:tcPr>
          <w:p>
            <w:pPr>
              <w:pStyle w:val="TableParagraph"/>
              <w:spacing w:before="10"/>
              <w:rPr>
                <w:i/>
                <w:sz w:val="15"/>
              </w:rPr>
            </w:pPr>
          </w:p>
          <w:p>
            <w:pPr>
              <w:pStyle w:val="TableParagraph"/>
              <w:spacing w:before="1"/>
              <w:ind w:left="113"/>
              <w:rPr>
                <w:sz w:val="17"/>
              </w:rPr>
            </w:pPr>
            <w:r>
              <w:rPr>
                <w:color w:val="231F20"/>
                <w:sz w:val="17"/>
              </w:rPr>
              <w:t>Viabilidad</w:t>
            </w:r>
          </w:p>
        </w:tc>
        <w:tc>
          <w:tcPr>
            <w:tcW w:w="3657" w:type="dxa"/>
          </w:tcPr>
          <w:p>
            <w:pPr>
              <w:pStyle w:val="TableParagraph"/>
              <w:spacing w:before="45"/>
              <w:ind w:left="108"/>
              <w:rPr>
                <w:sz w:val="17"/>
              </w:rPr>
            </w:pPr>
            <w:r>
              <w:rPr>
                <w:color w:val="231F20"/>
                <w:sz w:val="17"/>
              </w:rPr>
              <w:t>Viabilidad económica</w:t>
            </w:r>
          </w:p>
        </w:tc>
        <w:tc>
          <w:tcPr>
            <w:tcW w:w="595" w:type="dxa"/>
          </w:tcPr>
          <w:p>
            <w:pPr>
              <w:pStyle w:val="TableParagraph"/>
              <w:spacing w:before="45"/>
              <w:ind w:left="108"/>
              <w:rPr>
                <w:sz w:val="17"/>
              </w:rPr>
            </w:pPr>
            <w:r>
              <w:rPr>
                <w:color w:val="231F20"/>
                <w:w w:val="115"/>
                <w:sz w:val="17"/>
              </w:rPr>
              <w:t>20</w:t>
            </w:r>
          </w:p>
        </w:tc>
        <w:tc>
          <w:tcPr>
            <w:tcW w:w="1738" w:type="dxa"/>
            <w:vMerge w:val="restart"/>
            <w:tcBorders>
              <w:right w:val="nil"/>
            </w:tcBorders>
          </w:tcPr>
          <w:p>
            <w:pPr>
              <w:pStyle w:val="TableParagraph"/>
              <w:spacing w:before="10"/>
              <w:rPr>
                <w:i/>
                <w:sz w:val="15"/>
              </w:rPr>
            </w:pPr>
          </w:p>
          <w:p>
            <w:pPr>
              <w:pStyle w:val="TableParagraph"/>
              <w:spacing w:before="1"/>
              <w:ind w:left="108"/>
              <w:rPr>
                <w:sz w:val="17"/>
              </w:rPr>
            </w:pPr>
            <w:r>
              <w:rPr>
                <w:color w:val="231F20"/>
                <w:sz w:val="17"/>
              </w:rPr>
              <w:t>Puntaje  máximo 30</w:t>
            </w: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w w:val="105"/>
                <w:sz w:val="17"/>
              </w:rPr>
              <w:t>Tasa de especialización económica</w:t>
            </w:r>
          </w:p>
        </w:tc>
        <w:tc>
          <w:tcPr>
            <w:tcW w:w="595" w:type="dxa"/>
          </w:tcPr>
          <w:p>
            <w:pPr>
              <w:pStyle w:val="TableParagraph"/>
              <w:spacing w:before="45"/>
              <w:ind w:left="108"/>
              <w:rPr>
                <w:sz w:val="17"/>
              </w:rPr>
            </w:pPr>
            <w:r>
              <w:rPr>
                <w:color w:val="231F20"/>
                <w:w w:val="115"/>
                <w:sz w:val="17"/>
              </w:rPr>
              <w:t>10</w:t>
            </w:r>
          </w:p>
        </w:tc>
        <w:tc>
          <w:tcPr>
            <w:tcW w:w="1738" w:type="dxa"/>
            <w:vMerge/>
            <w:tcBorders>
              <w:right w:val="nil"/>
            </w:tcBorders>
          </w:tcPr>
          <w:p>
            <w:pPr/>
          </w:p>
        </w:tc>
      </w:tr>
      <w:tr>
        <w:trPr>
          <w:trHeight w:val="297" w:hRule="exact"/>
        </w:trPr>
        <w:tc>
          <w:tcPr>
            <w:tcW w:w="2787" w:type="dxa"/>
            <w:vMerge w:val="restart"/>
            <w:tcBorders>
              <w:left w:val="nil"/>
            </w:tcBorders>
          </w:tcPr>
          <w:p>
            <w:pPr>
              <w:pStyle w:val="TableParagraph"/>
              <w:spacing w:before="10"/>
              <w:rPr>
                <w:i/>
                <w:sz w:val="15"/>
              </w:rPr>
            </w:pPr>
          </w:p>
          <w:p>
            <w:pPr>
              <w:pStyle w:val="TableParagraph"/>
              <w:spacing w:before="1"/>
              <w:ind w:left="113"/>
              <w:rPr>
                <w:sz w:val="17"/>
              </w:rPr>
            </w:pPr>
            <w:r>
              <w:rPr>
                <w:color w:val="231F20"/>
                <w:sz w:val="17"/>
              </w:rPr>
              <w:t>Independencia</w:t>
            </w:r>
          </w:p>
        </w:tc>
        <w:tc>
          <w:tcPr>
            <w:tcW w:w="3657" w:type="dxa"/>
          </w:tcPr>
          <w:p>
            <w:pPr>
              <w:pStyle w:val="TableParagraph"/>
              <w:spacing w:before="45"/>
              <w:ind w:left="108"/>
              <w:rPr>
                <w:sz w:val="17"/>
              </w:rPr>
            </w:pPr>
            <w:r>
              <w:rPr>
                <w:color w:val="231F20"/>
                <w:sz w:val="17"/>
              </w:rPr>
              <w:t>Autonomía financiera</w:t>
            </w:r>
          </w:p>
        </w:tc>
        <w:tc>
          <w:tcPr>
            <w:tcW w:w="595" w:type="dxa"/>
          </w:tcPr>
          <w:p>
            <w:pPr>
              <w:pStyle w:val="TableParagraph"/>
              <w:spacing w:before="45"/>
              <w:ind w:left="108"/>
              <w:rPr>
                <w:sz w:val="17"/>
              </w:rPr>
            </w:pPr>
            <w:r>
              <w:rPr>
                <w:color w:val="231F20"/>
                <w:w w:val="115"/>
                <w:sz w:val="17"/>
              </w:rPr>
              <w:t>15</w:t>
            </w:r>
          </w:p>
        </w:tc>
        <w:tc>
          <w:tcPr>
            <w:tcW w:w="1738" w:type="dxa"/>
            <w:vMerge w:val="restart"/>
            <w:tcBorders>
              <w:right w:val="nil"/>
            </w:tcBorders>
          </w:tcPr>
          <w:p>
            <w:pPr>
              <w:pStyle w:val="TableParagraph"/>
              <w:spacing w:before="10"/>
              <w:rPr>
                <w:i/>
                <w:sz w:val="15"/>
              </w:rPr>
            </w:pPr>
          </w:p>
          <w:p>
            <w:pPr>
              <w:pStyle w:val="TableParagraph"/>
              <w:spacing w:before="1"/>
              <w:ind w:left="108"/>
              <w:rPr>
                <w:sz w:val="17"/>
              </w:rPr>
            </w:pPr>
            <w:r>
              <w:rPr>
                <w:color w:val="231F20"/>
                <w:sz w:val="17"/>
              </w:rPr>
              <w:t>Puntaje  máximo 25</w:t>
            </w:r>
          </w:p>
        </w:tc>
      </w:tr>
      <w:tr>
        <w:trPr>
          <w:trHeight w:val="297" w:hRule="exact"/>
        </w:trPr>
        <w:tc>
          <w:tcPr>
            <w:tcW w:w="2787" w:type="dxa"/>
            <w:vMerge/>
            <w:tcBorders>
              <w:left w:val="nil"/>
            </w:tcBorders>
          </w:tcPr>
          <w:p>
            <w:pPr/>
          </w:p>
        </w:tc>
        <w:tc>
          <w:tcPr>
            <w:tcW w:w="3657" w:type="dxa"/>
          </w:tcPr>
          <w:p>
            <w:pPr>
              <w:pStyle w:val="TableParagraph"/>
              <w:spacing w:before="45"/>
              <w:ind w:left="108"/>
              <w:rPr>
                <w:sz w:val="17"/>
              </w:rPr>
            </w:pPr>
            <w:r>
              <w:rPr>
                <w:color w:val="231F20"/>
                <w:sz w:val="17"/>
              </w:rPr>
              <w:t>Sensibilidad a los auxilios del  gobierno</w:t>
            </w:r>
          </w:p>
        </w:tc>
        <w:tc>
          <w:tcPr>
            <w:tcW w:w="595" w:type="dxa"/>
          </w:tcPr>
          <w:p>
            <w:pPr>
              <w:pStyle w:val="TableParagraph"/>
              <w:spacing w:before="45"/>
              <w:ind w:left="108"/>
              <w:rPr>
                <w:sz w:val="17"/>
              </w:rPr>
            </w:pPr>
            <w:r>
              <w:rPr>
                <w:color w:val="231F20"/>
                <w:w w:val="115"/>
                <w:sz w:val="17"/>
              </w:rPr>
              <w:t>10</w:t>
            </w:r>
          </w:p>
        </w:tc>
        <w:tc>
          <w:tcPr>
            <w:tcW w:w="1738" w:type="dxa"/>
            <w:vMerge/>
            <w:tcBorders>
              <w:right w:val="nil"/>
            </w:tcBorders>
          </w:tcPr>
          <w:p>
            <w:pPr/>
          </w:p>
        </w:tc>
      </w:tr>
      <w:tr>
        <w:trPr>
          <w:trHeight w:val="297" w:hRule="exact"/>
        </w:trPr>
        <w:tc>
          <w:tcPr>
            <w:tcW w:w="2787" w:type="dxa"/>
            <w:tcBorders>
              <w:left w:val="nil"/>
            </w:tcBorders>
          </w:tcPr>
          <w:p>
            <w:pPr>
              <w:pStyle w:val="TableParagraph"/>
              <w:spacing w:before="45"/>
              <w:ind w:left="113"/>
              <w:rPr>
                <w:sz w:val="17"/>
              </w:rPr>
            </w:pPr>
            <w:r>
              <w:rPr>
                <w:color w:val="231F20"/>
                <w:sz w:val="17"/>
              </w:rPr>
              <w:t>Transmisibilidad</w:t>
            </w:r>
          </w:p>
        </w:tc>
        <w:tc>
          <w:tcPr>
            <w:tcW w:w="3657" w:type="dxa"/>
          </w:tcPr>
          <w:p>
            <w:pPr>
              <w:pStyle w:val="TableParagraph"/>
              <w:spacing w:before="45"/>
              <w:ind w:left="108"/>
              <w:rPr>
                <w:sz w:val="17"/>
              </w:rPr>
            </w:pPr>
            <w:r>
              <w:rPr>
                <w:color w:val="231F20"/>
                <w:sz w:val="17"/>
              </w:rPr>
              <w:t>Transmisibilidad</w:t>
            </w:r>
          </w:p>
        </w:tc>
        <w:tc>
          <w:tcPr>
            <w:tcW w:w="595" w:type="dxa"/>
          </w:tcPr>
          <w:p>
            <w:pPr>
              <w:pStyle w:val="TableParagraph"/>
              <w:spacing w:before="45"/>
              <w:ind w:left="108"/>
              <w:rPr>
                <w:sz w:val="17"/>
              </w:rPr>
            </w:pPr>
            <w:r>
              <w:rPr>
                <w:color w:val="231F20"/>
                <w:w w:val="115"/>
                <w:sz w:val="17"/>
              </w:rPr>
              <w:t>20</w:t>
            </w:r>
          </w:p>
        </w:tc>
        <w:tc>
          <w:tcPr>
            <w:tcW w:w="1738" w:type="dxa"/>
            <w:tcBorders>
              <w:right w:val="nil"/>
            </w:tcBorders>
          </w:tcPr>
          <w:p>
            <w:pPr>
              <w:pStyle w:val="TableParagraph"/>
              <w:spacing w:before="45"/>
              <w:ind w:left="108"/>
              <w:rPr>
                <w:sz w:val="17"/>
              </w:rPr>
            </w:pPr>
            <w:r>
              <w:rPr>
                <w:color w:val="231F20"/>
                <w:sz w:val="17"/>
              </w:rPr>
              <w:t>Puntaje  máximo 20</w:t>
            </w:r>
          </w:p>
        </w:tc>
      </w:tr>
      <w:tr>
        <w:trPr>
          <w:trHeight w:val="300" w:hRule="exact"/>
        </w:trPr>
        <w:tc>
          <w:tcPr>
            <w:tcW w:w="2787" w:type="dxa"/>
            <w:tcBorders>
              <w:left w:val="nil"/>
            </w:tcBorders>
          </w:tcPr>
          <w:p>
            <w:pPr>
              <w:pStyle w:val="TableParagraph"/>
              <w:spacing w:before="45"/>
              <w:ind w:left="113"/>
              <w:rPr>
                <w:sz w:val="17"/>
              </w:rPr>
            </w:pPr>
            <w:r>
              <w:rPr>
                <w:color w:val="231F20"/>
                <w:sz w:val="17"/>
              </w:rPr>
              <w:t>Eficiencia</w:t>
            </w:r>
          </w:p>
        </w:tc>
        <w:tc>
          <w:tcPr>
            <w:tcW w:w="3657" w:type="dxa"/>
          </w:tcPr>
          <w:p>
            <w:pPr>
              <w:pStyle w:val="TableParagraph"/>
              <w:spacing w:before="45"/>
              <w:ind w:left="108"/>
              <w:rPr>
                <w:sz w:val="17"/>
              </w:rPr>
            </w:pPr>
            <w:r>
              <w:rPr>
                <w:color w:val="231F20"/>
                <w:sz w:val="17"/>
              </w:rPr>
              <w:t>Eficiencia de los procesos  productivos</w:t>
            </w:r>
          </w:p>
        </w:tc>
        <w:tc>
          <w:tcPr>
            <w:tcW w:w="595" w:type="dxa"/>
          </w:tcPr>
          <w:p>
            <w:pPr>
              <w:pStyle w:val="TableParagraph"/>
              <w:spacing w:before="45"/>
              <w:ind w:left="108"/>
              <w:rPr>
                <w:sz w:val="17"/>
              </w:rPr>
            </w:pPr>
            <w:r>
              <w:rPr>
                <w:color w:val="231F20"/>
                <w:w w:val="115"/>
                <w:sz w:val="17"/>
              </w:rPr>
              <w:t>25</w:t>
            </w:r>
          </w:p>
        </w:tc>
        <w:tc>
          <w:tcPr>
            <w:tcW w:w="1738" w:type="dxa"/>
            <w:tcBorders>
              <w:right w:val="nil"/>
            </w:tcBorders>
          </w:tcPr>
          <w:p>
            <w:pPr>
              <w:pStyle w:val="TableParagraph"/>
              <w:spacing w:before="45"/>
              <w:ind w:left="108"/>
              <w:rPr>
                <w:sz w:val="17"/>
              </w:rPr>
            </w:pPr>
            <w:r>
              <w:rPr>
                <w:color w:val="231F20"/>
                <w:sz w:val="17"/>
              </w:rPr>
              <w:t>Puntaje  máximo 25</w:t>
            </w:r>
          </w:p>
        </w:tc>
      </w:tr>
    </w:tbl>
    <w:p>
      <w:pPr>
        <w:spacing w:after="0"/>
        <w:rPr>
          <w:sz w:val="17"/>
        </w:rPr>
        <w:sectPr>
          <w:pgSz w:w="11900" w:h="14450"/>
          <w:pgMar w:header="0" w:footer="222" w:top="420" w:bottom="420" w:left="0" w:right="0"/>
        </w:sectPr>
      </w:pPr>
    </w:p>
    <w:p>
      <w:pPr>
        <w:pStyle w:val="BodyText"/>
        <w:rPr>
          <w:i/>
        </w:rPr>
      </w:pPr>
    </w:p>
    <w:p>
      <w:pPr>
        <w:pStyle w:val="BodyText"/>
        <w:rPr>
          <w:i/>
        </w:rPr>
      </w:pPr>
    </w:p>
    <w:p>
      <w:pPr>
        <w:pStyle w:val="BodyText"/>
        <w:rPr>
          <w:i/>
          <w:sz w:val="17"/>
        </w:rPr>
      </w:pPr>
    </w:p>
    <w:p>
      <w:pPr>
        <w:tabs>
          <w:tab w:pos="6984" w:val="left" w:leader="none"/>
        </w:tabs>
        <w:spacing w:before="64"/>
        <w:ind w:left="1551" w:right="0" w:firstLine="0"/>
        <w:jc w:val="left"/>
        <w:rPr>
          <w:sz w:val="12"/>
        </w:rPr>
      </w:pPr>
      <w:r>
        <w:rPr>
          <w:color w:val="231F20"/>
          <w:w w:val="120"/>
          <w:sz w:val="22"/>
        </w:rPr>
        <w:t>68</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Además, algunos otros indicadores fueron adapta- </w:t>
      </w:r>
      <w:r>
        <w:rPr>
          <w:color w:val="231F20"/>
          <w:w w:val="105"/>
        </w:rPr>
        <w:t>dos</w:t>
      </w:r>
      <w:r>
        <w:rPr>
          <w:color w:val="231F20"/>
          <w:spacing w:val="-27"/>
          <w:w w:val="105"/>
        </w:rPr>
        <w:t> </w:t>
      </w:r>
      <w:r>
        <w:rPr>
          <w:color w:val="231F20"/>
          <w:w w:val="105"/>
        </w:rPr>
        <w:t>al</w:t>
      </w:r>
      <w:r>
        <w:rPr>
          <w:color w:val="231F20"/>
          <w:spacing w:val="-27"/>
          <w:w w:val="105"/>
        </w:rPr>
        <w:t> </w:t>
      </w:r>
      <w:r>
        <w:rPr>
          <w:color w:val="231F20"/>
          <w:w w:val="105"/>
        </w:rPr>
        <w:t>contexto</w:t>
      </w:r>
      <w:r>
        <w:rPr>
          <w:color w:val="231F20"/>
          <w:spacing w:val="-27"/>
          <w:w w:val="105"/>
        </w:rPr>
        <w:t> </w:t>
      </w:r>
      <w:r>
        <w:rPr>
          <w:color w:val="231F20"/>
          <w:w w:val="105"/>
        </w:rPr>
        <w:t>donde</w:t>
      </w:r>
      <w:r>
        <w:rPr>
          <w:color w:val="231F20"/>
          <w:spacing w:val="-27"/>
          <w:w w:val="105"/>
        </w:rPr>
        <w:t> </w:t>
      </w:r>
      <w:r>
        <w:rPr>
          <w:color w:val="231F20"/>
          <w:w w:val="105"/>
        </w:rPr>
        <w:t>se</w:t>
      </w:r>
      <w:r>
        <w:rPr>
          <w:color w:val="231F20"/>
          <w:spacing w:val="-27"/>
          <w:w w:val="105"/>
        </w:rPr>
        <w:t> </w:t>
      </w:r>
      <w:r>
        <w:rPr>
          <w:color w:val="231F20"/>
          <w:w w:val="105"/>
        </w:rPr>
        <w:t>llevó</w:t>
      </w:r>
      <w:r>
        <w:rPr>
          <w:color w:val="231F20"/>
          <w:spacing w:val="-27"/>
          <w:w w:val="105"/>
        </w:rPr>
        <w:t> </w:t>
      </w:r>
      <w:r>
        <w:rPr>
          <w:color w:val="231F20"/>
          <w:w w:val="105"/>
        </w:rPr>
        <w:t>a</w:t>
      </w:r>
      <w:r>
        <w:rPr>
          <w:color w:val="231F20"/>
          <w:spacing w:val="-27"/>
          <w:w w:val="105"/>
        </w:rPr>
        <w:t> </w:t>
      </w:r>
      <w:r>
        <w:rPr>
          <w:color w:val="231F20"/>
          <w:w w:val="105"/>
        </w:rPr>
        <w:t>cabo</w:t>
      </w:r>
      <w:r>
        <w:rPr>
          <w:color w:val="231F20"/>
          <w:spacing w:val="-27"/>
          <w:w w:val="105"/>
        </w:rPr>
        <w:t> </w:t>
      </w:r>
      <w:r>
        <w:rPr>
          <w:color w:val="231F20"/>
          <w:w w:val="105"/>
        </w:rPr>
        <w:t>la</w:t>
      </w:r>
      <w:r>
        <w:rPr>
          <w:color w:val="231F20"/>
          <w:spacing w:val="-27"/>
          <w:w w:val="105"/>
        </w:rPr>
        <w:t> </w:t>
      </w:r>
      <w:r>
        <w:rPr>
          <w:color w:val="231F20"/>
          <w:w w:val="105"/>
        </w:rPr>
        <w:t>evaluación: para el indicador </w:t>
      </w:r>
      <w:r>
        <w:rPr>
          <w:color w:val="231F20"/>
          <w:spacing w:val="-3"/>
          <w:w w:val="105"/>
        </w:rPr>
        <w:t>“Pesticidas” </w:t>
      </w:r>
      <w:r>
        <w:rPr>
          <w:color w:val="231F20"/>
          <w:w w:val="105"/>
        </w:rPr>
        <w:t>se hizo de acuerdo con el Instituto Nacional de Ecología (INE), y</w:t>
      </w:r>
      <w:r>
        <w:rPr>
          <w:color w:val="231F20"/>
          <w:spacing w:val="-24"/>
          <w:w w:val="105"/>
        </w:rPr>
        <w:t> </w:t>
      </w:r>
      <w:r>
        <w:rPr>
          <w:color w:val="231F20"/>
          <w:w w:val="105"/>
        </w:rPr>
        <w:t>para el</w:t>
      </w:r>
      <w:r>
        <w:rPr>
          <w:color w:val="231F20"/>
          <w:spacing w:val="-19"/>
          <w:w w:val="105"/>
        </w:rPr>
        <w:t> </w:t>
      </w:r>
      <w:r>
        <w:rPr>
          <w:color w:val="231F20"/>
          <w:w w:val="105"/>
        </w:rPr>
        <w:t>indicador</w:t>
      </w:r>
      <w:r>
        <w:rPr>
          <w:color w:val="231F20"/>
          <w:spacing w:val="-19"/>
          <w:w w:val="105"/>
        </w:rPr>
        <w:t> </w:t>
      </w:r>
      <w:r>
        <w:rPr>
          <w:color w:val="231F20"/>
          <w:w w:val="105"/>
        </w:rPr>
        <w:t>“Calidad</w:t>
      </w:r>
      <w:r>
        <w:rPr>
          <w:color w:val="231F20"/>
          <w:spacing w:val="-19"/>
          <w:w w:val="105"/>
        </w:rPr>
        <w:t> </w:t>
      </w:r>
      <w:r>
        <w:rPr>
          <w:color w:val="231F20"/>
          <w:w w:val="105"/>
        </w:rPr>
        <w:t>de</w:t>
      </w:r>
      <w:r>
        <w:rPr>
          <w:color w:val="231F20"/>
          <w:spacing w:val="-19"/>
          <w:w w:val="105"/>
        </w:rPr>
        <w:t> </w:t>
      </w:r>
      <w:r>
        <w:rPr>
          <w:color w:val="231F20"/>
          <w:w w:val="105"/>
        </w:rPr>
        <w:t>leche</w:t>
      </w:r>
      <w:r>
        <w:rPr>
          <w:color w:val="231F20"/>
          <w:spacing w:val="-19"/>
          <w:w w:val="105"/>
        </w:rPr>
        <w:t> </w:t>
      </w:r>
      <w:r>
        <w:rPr>
          <w:color w:val="231F20"/>
          <w:w w:val="105"/>
        </w:rPr>
        <w:t>producida”</w:t>
      </w:r>
      <w:r>
        <w:rPr>
          <w:color w:val="231F20"/>
          <w:spacing w:val="-19"/>
          <w:w w:val="105"/>
        </w:rPr>
        <w:t> </w:t>
      </w:r>
      <w:r>
        <w:rPr>
          <w:color w:val="231F20"/>
          <w:w w:val="105"/>
        </w:rPr>
        <w:t>se</w:t>
      </w:r>
      <w:r>
        <w:rPr>
          <w:color w:val="231F20"/>
          <w:spacing w:val="-19"/>
          <w:w w:val="105"/>
        </w:rPr>
        <w:t> </w:t>
      </w:r>
      <w:r>
        <w:rPr>
          <w:color w:val="231F20"/>
          <w:spacing w:val="-2"/>
          <w:w w:val="105"/>
        </w:rPr>
        <w:t>siguió </w:t>
      </w:r>
      <w:r>
        <w:rPr>
          <w:color w:val="231F20"/>
          <w:w w:val="105"/>
        </w:rPr>
        <w:t>la</w:t>
      </w:r>
      <w:r>
        <w:rPr>
          <w:color w:val="231F20"/>
          <w:spacing w:val="-12"/>
          <w:w w:val="105"/>
        </w:rPr>
        <w:t> </w:t>
      </w:r>
      <w:r>
        <w:rPr>
          <w:color w:val="231F20"/>
          <w:w w:val="105"/>
        </w:rPr>
        <w:t>norma</w:t>
      </w:r>
      <w:r>
        <w:rPr>
          <w:color w:val="231F20"/>
          <w:spacing w:val="-12"/>
          <w:w w:val="105"/>
        </w:rPr>
        <w:t> </w:t>
      </w:r>
      <w:r>
        <w:rPr>
          <w:color w:val="231F20"/>
          <w:w w:val="105"/>
        </w:rPr>
        <w:t>Mexicana</w:t>
      </w:r>
      <w:r>
        <w:rPr>
          <w:color w:val="231F20"/>
          <w:spacing w:val="-12"/>
          <w:w w:val="105"/>
        </w:rPr>
        <w:t> </w:t>
      </w:r>
      <w:r>
        <w:rPr>
          <w:color w:val="231F20"/>
          <w:spacing w:val="-3"/>
          <w:w w:val="105"/>
        </w:rPr>
        <w:t>NMX-F-700-COFOCALEC-2004. </w:t>
      </w:r>
      <w:r>
        <w:rPr>
          <w:color w:val="231F20"/>
        </w:rPr>
        <w:t>Finalmente, para la escala económica fue</w:t>
      </w:r>
      <w:r>
        <w:rPr>
          <w:color w:val="231F20"/>
          <w:spacing w:val="-16"/>
        </w:rPr>
        <w:t> </w:t>
      </w:r>
      <w:r>
        <w:rPr>
          <w:color w:val="231F20"/>
        </w:rPr>
        <w:t>necesario </w:t>
      </w:r>
      <w:r>
        <w:rPr>
          <w:color w:val="231F20"/>
          <w:w w:val="105"/>
        </w:rPr>
        <w:t>hacer</w:t>
      </w:r>
      <w:r>
        <w:rPr>
          <w:color w:val="231F20"/>
          <w:spacing w:val="-21"/>
          <w:w w:val="105"/>
        </w:rPr>
        <w:t> </w:t>
      </w:r>
      <w:r>
        <w:rPr>
          <w:color w:val="231F20"/>
          <w:w w:val="105"/>
        </w:rPr>
        <w:t>algunas</w:t>
      </w:r>
      <w:r>
        <w:rPr>
          <w:color w:val="231F20"/>
          <w:spacing w:val="-21"/>
          <w:w w:val="105"/>
        </w:rPr>
        <w:t> </w:t>
      </w:r>
      <w:r>
        <w:rPr>
          <w:color w:val="231F20"/>
          <w:w w:val="105"/>
        </w:rPr>
        <w:t>modificaciones</w:t>
      </w:r>
      <w:r>
        <w:rPr>
          <w:color w:val="231F20"/>
          <w:spacing w:val="-21"/>
          <w:w w:val="105"/>
        </w:rPr>
        <w:t> </w:t>
      </w:r>
      <w:r>
        <w:rPr>
          <w:color w:val="231F20"/>
          <w:w w:val="105"/>
        </w:rPr>
        <w:t>y</w:t>
      </w:r>
      <w:r>
        <w:rPr>
          <w:color w:val="231F20"/>
          <w:spacing w:val="-21"/>
          <w:w w:val="105"/>
        </w:rPr>
        <w:t> </w:t>
      </w:r>
      <w:r>
        <w:rPr>
          <w:color w:val="231F20"/>
          <w:w w:val="105"/>
        </w:rPr>
        <w:t>ajustes</w:t>
      </w:r>
      <w:r>
        <w:rPr>
          <w:color w:val="231F20"/>
          <w:spacing w:val="-21"/>
          <w:w w:val="105"/>
        </w:rPr>
        <w:t> </w:t>
      </w:r>
      <w:r>
        <w:rPr>
          <w:color w:val="231F20"/>
          <w:w w:val="105"/>
        </w:rPr>
        <w:t>en</w:t>
      </w:r>
      <w:r>
        <w:rPr>
          <w:color w:val="231F20"/>
          <w:spacing w:val="-21"/>
          <w:w w:val="105"/>
        </w:rPr>
        <w:t> </w:t>
      </w:r>
      <w:r>
        <w:rPr>
          <w:color w:val="231F20"/>
          <w:w w:val="105"/>
        </w:rPr>
        <w:t>relación </w:t>
      </w:r>
      <w:r>
        <w:rPr>
          <w:color w:val="231F20"/>
        </w:rPr>
        <w:t>al indicador </w:t>
      </w:r>
      <w:r>
        <w:rPr>
          <w:color w:val="231F20"/>
          <w:spacing w:val="-3"/>
        </w:rPr>
        <w:t>“Viabilidad </w:t>
      </w:r>
      <w:r>
        <w:rPr>
          <w:color w:val="231F20"/>
          <w:spacing w:val="-4"/>
        </w:rPr>
        <w:t>económica”, </w:t>
      </w:r>
      <w:r>
        <w:rPr>
          <w:color w:val="231F20"/>
        </w:rPr>
        <w:t>tomando como </w:t>
      </w:r>
      <w:r>
        <w:rPr>
          <w:color w:val="231F20"/>
          <w:w w:val="105"/>
        </w:rPr>
        <w:t>base</w:t>
      </w:r>
      <w:r>
        <w:rPr>
          <w:color w:val="231F20"/>
          <w:spacing w:val="-15"/>
          <w:w w:val="105"/>
        </w:rPr>
        <w:t> </w:t>
      </w:r>
      <w:r>
        <w:rPr>
          <w:color w:val="231F20"/>
          <w:w w:val="105"/>
        </w:rPr>
        <w:t>la</w:t>
      </w:r>
      <w:r>
        <w:rPr>
          <w:color w:val="231F20"/>
          <w:spacing w:val="-15"/>
          <w:w w:val="105"/>
        </w:rPr>
        <w:t> </w:t>
      </w:r>
      <w:r>
        <w:rPr>
          <w:color w:val="231F20"/>
          <w:w w:val="105"/>
        </w:rPr>
        <w:t>metodología</w:t>
      </w:r>
      <w:r>
        <w:rPr>
          <w:color w:val="231F20"/>
          <w:spacing w:val="-15"/>
          <w:w w:val="105"/>
        </w:rPr>
        <w:t> </w:t>
      </w:r>
      <w:r>
        <w:rPr>
          <w:color w:val="231F20"/>
          <w:w w:val="105"/>
        </w:rPr>
        <w:t>de</w:t>
      </w:r>
      <w:r>
        <w:rPr>
          <w:color w:val="231F20"/>
          <w:spacing w:val="-15"/>
          <w:w w:val="105"/>
        </w:rPr>
        <w:t> </w:t>
      </w:r>
      <w:r>
        <w:rPr>
          <w:color w:val="231F20"/>
          <w:w w:val="105"/>
        </w:rPr>
        <w:t>presupuestos</w:t>
      </w:r>
      <w:r>
        <w:rPr>
          <w:color w:val="231F20"/>
          <w:spacing w:val="-15"/>
          <w:w w:val="105"/>
        </w:rPr>
        <w:t> </w:t>
      </w:r>
      <w:r>
        <w:rPr>
          <w:color w:val="231F20"/>
          <w:w w:val="105"/>
        </w:rPr>
        <w:t>parciales</w:t>
      </w:r>
      <w:r>
        <w:rPr>
          <w:color w:val="231F20"/>
          <w:spacing w:val="-15"/>
          <w:w w:val="105"/>
        </w:rPr>
        <w:t> </w:t>
      </w:r>
      <w:r>
        <w:rPr>
          <w:color w:val="231F20"/>
          <w:w w:val="105"/>
        </w:rPr>
        <w:t>de Wiggins </w:t>
      </w:r>
      <w:r>
        <w:rPr>
          <w:i/>
          <w:color w:val="231F20"/>
          <w:w w:val="105"/>
        </w:rPr>
        <w:t>et al. </w:t>
      </w:r>
      <w:r>
        <w:rPr>
          <w:color w:val="231F20"/>
          <w:spacing w:val="-4"/>
          <w:w w:val="105"/>
        </w:rPr>
        <w:t>(2001); </w:t>
      </w:r>
      <w:r>
        <w:rPr>
          <w:color w:val="231F20"/>
          <w:w w:val="105"/>
        </w:rPr>
        <w:t>además, se trabajó con el salario</w:t>
      </w:r>
      <w:r>
        <w:rPr>
          <w:color w:val="231F20"/>
          <w:spacing w:val="-17"/>
          <w:w w:val="105"/>
        </w:rPr>
        <w:t> </w:t>
      </w:r>
      <w:r>
        <w:rPr>
          <w:color w:val="231F20"/>
          <w:w w:val="105"/>
        </w:rPr>
        <w:t>mínimo</w:t>
      </w:r>
      <w:r>
        <w:rPr>
          <w:color w:val="231F20"/>
          <w:spacing w:val="-17"/>
          <w:w w:val="105"/>
        </w:rPr>
        <w:t> </w:t>
      </w:r>
      <w:r>
        <w:rPr>
          <w:color w:val="231F20"/>
          <w:w w:val="105"/>
        </w:rPr>
        <w:t>establecido</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zona</w:t>
      </w:r>
      <w:r>
        <w:rPr>
          <w:color w:val="231F20"/>
          <w:spacing w:val="-17"/>
          <w:w w:val="105"/>
        </w:rPr>
        <w:t> </w:t>
      </w:r>
      <w:r>
        <w:rPr>
          <w:color w:val="231F20"/>
          <w:w w:val="105"/>
        </w:rPr>
        <w:t>(Aculco</w:t>
      </w:r>
      <w:r>
        <w:rPr>
          <w:color w:val="231F20"/>
          <w:spacing w:val="-17"/>
          <w:w w:val="105"/>
        </w:rPr>
        <w:t> </w:t>
      </w:r>
      <w:r>
        <w:rPr>
          <w:color w:val="231F20"/>
          <w:w w:val="105"/>
        </w:rPr>
        <w:t>per- tenece a la zona C), de acuerdo con la Comisión Nacional</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Salarios</w:t>
      </w:r>
      <w:r>
        <w:rPr>
          <w:color w:val="231F20"/>
          <w:spacing w:val="-26"/>
          <w:w w:val="105"/>
        </w:rPr>
        <w:t> </w:t>
      </w:r>
      <w:r>
        <w:rPr>
          <w:color w:val="231F20"/>
          <w:w w:val="105"/>
        </w:rPr>
        <w:t>Mínimos</w:t>
      </w:r>
      <w:r>
        <w:rPr>
          <w:color w:val="231F20"/>
          <w:spacing w:val="-26"/>
          <w:w w:val="105"/>
        </w:rPr>
        <w:t> </w:t>
      </w:r>
      <w:r>
        <w:rPr>
          <w:color w:val="231F20"/>
          <w:w w:val="105"/>
        </w:rPr>
        <w:t>(CONASAMI).</w:t>
      </w:r>
    </w:p>
    <w:p>
      <w:pPr>
        <w:pStyle w:val="BodyText"/>
        <w:spacing w:line="256" w:lineRule="auto" w:before="114"/>
        <w:ind w:left="1553"/>
        <w:jc w:val="both"/>
      </w:pPr>
      <w:r>
        <w:rPr>
          <w:color w:val="231F20"/>
          <w:w w:val="105"/>
        </w:rPr>
        <w:t>Las muestras de leche se tomaron una </w:t>
      </w:r>
      <w:r>
        <w:rPr>
          <w:color w:val="231F20"/>
          <w:spacing w:val="-3"/>
          <w:w w:val="105"/>
        </w:rPr>
        <w:t>vez </w:t>
      </w:r>
      <w:r>
        <w:rPr>
          <w:color w:val="231F20"/>
          <w:w w:val="105"/>
        </w:rPr>
        <w:t>al</w:t>
      </w:r>
      <w:r>
        <w:rPr>
          <w:color w:val="231F20"/>
          <w:spacing w:val="-16"/>
          <w:w w:val="105"/>
        </w:rPr>
        <w:t> </w:t>
      </w:r>
      <w:r>
        <w:rPr>
          <w:color w:val="231F20"/>
          <w:spacing w:val="-2"/>
          <w:w w:val="105"/>
        </w:rPr>
        <w:t>mes </w:t>
      </w:r>
      <w:r>
        <w:rPr>
          <w:color w:val="231F20"/>
          <w:w w:val="105"/>
        </w:rPr>
        <w:t>en cada una de las UPL, durante los ordeños de la mañana y la tarde, y se analizaron en el labo- ratorio del Instituto de Ciencias Agropecuarias y Rurales (ICAR) de la Universidad Autónoma </w:t>
      </w:r>
      <w:r>
        <w:rPr>
          <w:color w:val="231F20"/>
          <w:spacing w:val="-2"/>
          <w:w w:val="105"/>
        </w:rPr>
        <w:t>del </w:t>
      </w:r>
      <w:r>
        <w:rPr>
          <w:color w:val="231F20"/>
          <w:w w:val="105"/>
        </w:rPr>
        <w:t>Estado</w:t>
      </w:r>
      <w:r>
        <w:rPr>
          <w:color w:val="231F20"/>
          <w:spacing w:val="-7"/>
          <w:w w:val="105"/>
        </w:rPr>
        <w:t> </w:t>
      </w:r>
      <w:r>
        <w:rPr>
          <w:color w:val="231F20"/>
          <w:w w:val="105"/>
        </w:rPr>
        <w:t>de</w:t>
      </w:r>
      <w:r>
        <w:rPr>
          <w:color w:val="231F20"/>
          <w:spacing w:val="-7"/>
          <w:w w:val="105"/>
        </w:rPr>
        <w:t> </w:t>
      </w:r>
      <w:r>
        <w:rPr>
          <w:color w:val="231F20"/>
          <w:w w:val="105"/>
        </w:rPr>
        <w:t>México,</w:t>
      </w:r>
      <w:r>
        <w:rPr>
          <w:color w:val="231F20"/>
          <w:spacing w:val="-7"/>
          <w:w w:val="105"/>
        </w:rPr>
        <w:t> </w:t>
      </w:r>
      <w:r>
        <w:rPr>
          <w:color w:val="231F20"/>
          <w:w w:val="105"/>
        </w:rPr>
        <w:t>por</w:t>
      </w:r>
      <w:r>
        <w:rPr>
          <w:color w:val="231F20"/>
          <w:spacing w:val="-7"/>
          <w:w w:val="105"/>
        </w:rPr>
        <w:t> </w:t>
      </w:r>
      <w:r>
        <w:rPr>
          <w:color w:val="231F20"/>
          <w:w w:val="105"/>
        </w:rPr>
        <w:t>medio</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analizador</w:t>
      </w:r>
      <w:r>
        <w:rPr>
          <w:color w:val="231F20"/>
          <w:spacing w:val="-7"/>
          <w:w w:val="105"/>
        </w:rPr>
        <w:t> </w:t>
      </w:r>
      <w:r>
        <w:rPr>
          <w:color w:val="231F20"/>
          <w:w w:val="105"/>
        </w:rPr>
        <w:t>de </w:t>
      </w:r>
      <w:r>
        <w:rPr>
          <w:color w:val="231F20"/>
        </w:rPr>
        <w:t>ultrasonidos automático </w:t>
      </w:r>
      <w:r>
        <w:rPr>
          <w:i/>
          <w:color w:val="231F20"/>
        </w:rPr>
        <w:t>(Ecomilk-M). </w:t>
      </w:r>
      <w:r>
        <w:rPr>
          <w:color w:val="231F20"/>
        </w:rPr>
        <w:t>Las muestras </w:t>
      </w:r>
      <w:r>
        <w:rPr>
          <w:color w:val="231F20"/>
          <w:w w:val="105"/>
        </w:rPr>
        <w:t>de suelo se tomaron de acuerdo con la Norma </w:t>
      </w:r>
      <w:r>
        <w:rPr>
          <w:color w:val="231F20"/>
          <w:spacing w:val="-5"/>
          <w:w w:val="105"/>
        </w:rPr>
        <w:t>NOM-021-RECNAT-2000; </w:t>
      </w:r>
      <w:r>
        <w:rPr>
          <w:color w:val="231F20"/>
          <w:w w:val="105"/>
        </w:rPr>
        <w:t>se tomó una muestra de suelo</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milpas</w:t>
      </w:r>
      <w:r>
        <w:rPr>
          <w:color w:val="231F20"/>
          <w:spacing w:val="-12"/>
          <w:w w:val="105"/>
        </w:rPr>
        <w:t> </w:t>
      </w:r>
      <w:r>
        <w:rPr>
          <w:color w:val="231F20"/>
          <w:w w:val="105"/>
        </w:rPr>
        <w:t>y</w:t>
      </w:r>
      <w:r>
        <w:rPr>
          <w:color w:val="231F20"/>
          <w:spacing w:val="-12"/>
          <w:w w:val="105"/>
        </w:rPr>
        <w:t> </w:t>
      </w:r>
      <w:r>
        <w:rPr>
          <w:color w:val="231F20"/>
          <w:w w:val="105"/>
        </w:rPr>
        <w:t>otra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praderas</w:t>
      </w:r>
      <w:r>
        <w:rPr>
          <w:color w:val="231F20"/>
          <w:spacing w:val="-12"/>
          <w:w w:val="105"/>
        </w:rPr>
        <w:t> </w:t>
      </w:r>
      <w:r>
        <w:rPr>
          <w:color w:val="231F20"/>
          <w:w w:val="105"/>
        </w:rPr>
        <w:t>por</w:t>
      </w:r>
      <w:r>
        <w:rPr>
          <w:color w:val="231F20"/>
          <w:spacing w:val="-12"/>
          <w:w w:val="105"/>
        </w:rPr>
        <w:t> </w:t>
      </w:r>
      <w:r>
        <w:rPr>
          <w:color w:val="231F20"/>
          <w:w w:val="105"/>
        </w:rPr>
        <w:t>cada una</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UPL</w:t>
      </w:r>
      <w:r>
        <w:rPr>
          <w:color w:val="231F20"/>
          <w:spacing w:val="-18"/>
          <w:w w:val="105"/>
        </w:rPr>
        <w:t> </w:t>
      </w:r>
      <w:r>
        <w:rPr>
          <w:color w:val="231F20"/>
          <w:w w:val="105"/>
        </w:rPr>
        <w:t>durante</w:t>
      </w:r>
      <w:r>
        <w:rPr>
          <w:color w:val="231F20"/>
          <w:spacing w:val="-18"/>
          <w:w w:val="105"/>
        </w:rPr>
        <w:t> </w:t>
      </w:r>
      <w:r>
        <w:rPr>
          <w:color w:val="231F20"/>
          <w:w w:val="105"/>
        </w:rPr>
        <w:t>el</w:t>
      </w:r>
      <w:r>
        <w:rPr>
          <w:color w:val="231F20"/>
          <w:spacing w:val="-18"/>
          <w:w w:val="105"/>
        </w:rPr>
        <w:t> </w:t>
      </w:r>
      <w:r>
        <w:rPr>
          <w:color w:val="231F20"/>
          <w:w w:val="105"/>
        </w:rPr>
        <w:t>periodo</w:t>
      </w:r>
      <w:r>
        <w:rPr>
          <w:color w:val="231F20"/>
          <w:spacing w:val="-18"/>
          <w:w w:val="105"/>
        </w:rPr>
        <w:t> </w:t>
      </w:r>
      <w:r>
        <w:rPr>
          <w:color w:val="231F20"/>
          <w:w w:val="105"/>
        </w:rPr>
        <w:t>de</w:t>
      </w:r>
      <w:r>
        <w:rPr>
          <w:color w:val="231F20"/>
          <w:spacing w:val="-18"/>
          <w:w w:val="105"/>
        </w:rPr>
        <w:t> </w:t>
      </w:r>
      <w:r>
        <w:rPr>
          <w:color w:val="231F20"/>
          <w:w w:val="105"/>
        </w:rPr>
        <w:t>muestreo.</w:t>
      </w:r>
    </w:p>
    <w:p>
      <w:pPr>
        <w:pStyle w:val="BodyText"/>
        <w:spacing w:line="256" w:lineRule="auto" w:before="114"/>
        <w:ind w:left="1553"/>
        <w:jc w:val="both"/>
      </w:pPr>
      <w:r>
        <w:rPr>
          <w:color w:val="231F20"/>
        </w:rPr>
        <w:t>Los resultados de las encuestas fueron captura- dos y analizados mediante una base de datos en </w:t>
      </w:r>
      <w:r>
        <w:rPr>
          <w:color w:val="231F20"/>
          <w:w w:val="100"/>
        </w:rPr>
        <w:t>Excel</w:t>
      </w:r>
      <w:r>
        <w:rPr>
          <w:color w:val="231F20"/>
          <w:w w:val="174"/>
          <w:position w:val="7"/>
          <w:sz w:val="11"/>
        </w:rPr>
        <w:t>®</w:t>
      </w:r>
      <w:r>
        <w:rPr>
          <w:color w:val="231F20"/>
          <w:w w:val="83"/>
        </w:rPr>
        <w:t>,</w:t>
      </w:r>
      <w:r>
        <w:rPr>
          <w:color w:val="231F20"/>
        </w:rPr>
        <w:t>  </w:t>
      </w:r>
      <w:r>
        <w:rPr>
          <w:color w:val="231F20"/>
          <w:w w:val="103"/>
        </w:rPr>
        <w:t>de</w:t>
      </w:r>
      <w:r>
        <w:rPr>
          <w:color w:val="231F20"/>
        </w:rPr>
        <w:t>  </w:t>
      </w:r>
      <w:r>
        <w:rPr>
          <w:color w:val="231F20"/>
          <w:w w:val="103"/>
        </w:rPr>
        <w:t>donde</w:t>
      </w:r>
      <w:r>
        <w:rPr>
          <w:color w:val="231F20"/>
        </w:rPr>
        <w:t>  </w:t>
      </w:r>
      <w:r>
        <w:rPr>
          <w:color w:val="231F20"/>
          <w:w w:val="105"/>
        </w:rPr>
        <w:t>se</w:t>
      </w:r>
      <w:r>
        <w:rPr>
          <w:color w:val="231F20"/>
        </w:rPr>
        <w:t>  </w:t>
      </w:r>
      <w:r>
        <w:rPr>
          <w:color w:val="231F20"/>
          <w:w w:val="98"/>
        </w:rPr>
        <w:t>obtuvieron</w:t>
      </w:r>
      <w:r>
        <w:rPr>
          <w:color w:val="231F20"/>
        </w:rPr>
        <w:t>  </w:t>
      </w:r>
      <w:r>
        <w:rPr>
          <w:color w:val="231F20"/>
          <w:w w:val="101"/>
        </w:rPr>
        <w:t>los</w:t>
      </w:r>
      <w:r>
        <w:rPr>
          <w:color w:val="231F20"/>
        </w:rPr>
        <w:t>  </w:t>
      </w:r>
      <w:r>
        <w:rPr>
          <w:color w:val="231F20"/>
          <w:w w:val="100"/>
        </w:rPr>
        <w:t>puntajes</w:t>
      </w:r>
      <w:r>
        <w:rPr>
          <w:color w:val="231F20"/>
        </w:rPr>
        <w:t>  </w:t>
      </w:r>
      <w:r>
        <w:rPr>
          <w:color w:val="231F20"/>
          <w:w w:val="103"/>
        </w:rPr>
        <w:t>de</w:t>
      </w:r>
    </w:p>
    <w:p>
      <w:pPr>
        <w:pStyle w:val="BodyText"/>
        <w:spacing w:line="256" w:lineRule="auto" w:before="67"/>
        <w:ind w:left="413" w:right="1551"/>
        <w:jc w:val="both"/>
      </w:pPr>
      <w:r>
        <w:rPr/>
        <w:br w:type="column"/>
      </w:r>
      <w:r>
        <w:rPr>
          <w:color w:val="231F20"/>
        </w:rPr>
        <w:t>acuerdo con la guía de utilización del método IDEA (Vilain, 2008) para cada uno de los indicadores, componentes  y  escalas  (Cuadro 4).</w:t>
      </w:r>
    </w:p>
    <w:p>
      <w:pPr>
        <w:pStyle w:val="BodyText"/>
      </w:pPr>
    </w:p>
    <w:p>
      <w:pPr>
        <w:pStyle w:val="BodyText"/>
        <w:spacing w:before="152"/>
        <w:ind w:left="413"/>
        <w:jc w:val="both"/>
      </w:pPr>
      <w:r>
        <w:rPr>
          <w:color w:val="231F20"/>
          <w:w w:val="110"/>
        </w:rPr>
        <w:t>RESULTADOS  Y DISCUSIÓN</w:t>
      </w:r>
    </w:p>
    <w:p>
      <w:pPr>
        <w:pStyle w:val="BodyText"/>
        <w:spacing w:line="256" w:lineRule="auto" w:before="130"/>
        <w:ind w:left="413" w:right="1551"/>
        <w:jc w:val="both"/>
      </w:pPr>
      <w:r>
        <w:rPr>
          <w:color w:val="231F20"/>
        </w:rPr>
        <w:t>Se presentan los resultados preliminares de la evaluación de la sustentabilidad de seis </w:t>
      </w:r>
      <w:r>
        <w:rPr>
          <w:color w:val="231F20"/>
          <w:spacing w:val="2"/>
        </w:rPr>
        <w:t>UPL </w:t>
      </w:r>
      <w:r>
        <w:rPr>
          <w:color w:val="231F20"/>
        </w:rPr>
        <w:t>en pequeña escala (Cuadro 5) de acuerdo con los componentes de cada una de las escalas del mé- todo IDEA. Se encontró que en el componente de diversidad en las </w:t>
      </w:r>
      <w:r>
        <w:rPr>
          <w:color w:val="231F20"/>
          <w:spacing w:val="2"/>
        </w:rPr>
        <w:t>UPL </w:t>
      </w:r>
      <w:r>
        <w:rPr>
          <w:color w:val="231F20"/>
        </w:rPr>
        <w:t>hubo un puntaje alto de for- ma generalizada, una característica que hace que los sistemas de pequeños productores sean sus- tentables de acuerdo con Parsons  </w:t>
      </w:r>
      <w:r>
        <w:rPr>
          <w:i/>
          <w:color w:val="231F20"/>
        </w:rPr>
        <w:t>et  al</w:t>
      </w:r>
      <w:r>
        <w:rPr>
          <w:color w:val="231F20"/>
        </w:rPr>
        <w:t>.  </w:t>
      </w:r>
      <w:r>
        <w:rPr>
          <w:color w:val="231F20"/>
          <w:spacing w:val="-4"/>
        </w:rPr>
        <w:t>(2011).  </w:t>
      </w:r>
      <w:r>
        <w:rPr>
          <w:color w:val="231F20"/>
        </w:rPr>
        <w:t>Así mismo, la integración entre los cultivos y el ganado mejora la equidad (uno de los criterios de  la sustentabilidad), y es otro elemento de susten- tabilidad (Schiere </w:t>
      </w:r>
      <w:r>
        <w:rPr>
          <w:i/>
          <w:color w:val="231F20"/>
        </w:rPr>
        <w:t>et al</w:t>
      </w:r>
      <w:r>
        <w:rPr>
          <w:color w:val="231F20"/>
        </w:rPr>
        <w:t>., 2002). En el manejo de nutrientes y del espacio, la UPL-2 tiene el mayor puntaje (45%) debido a que posee más terreno y por lo tanto la carga por animal (UA/ha de terreno utilizable) es adecuada, mientras que las otras </w:t>
      </w:r>
      <w:r>
        <w:rPr>
          <w:color w:val="231F20"/>
          <w:spacing w:val="2"/>
        </w:rPr>
        <w:t>UPL </w:t>
      </w:r>
      <w:r>
        <w:rPr>
          <w:color w:val="231F20"/>
        </w:rPr>
        <w:t>tienen un gran número de animales en menos te- rreno, como es el caso de la UPL-6. En prácticas   de manejo, la UPL-2 vuelve a tener el mayor pun- taje debido a la mayor extensión de terreno y el bajo uso de productos veterinarios, mientras que los productores 1, 4 y 6 utilizan una gran </w:t>
      </w:r>
      <w:r>
        <w:rPr>
          <w:color w:val="231F20"/>
          <w:spacing w:val="25"/>
        </w:rPr>
        <w:t> </w:t>
      </w:r>
      <w:r>
        <w:rPr>
          <w:color w:val="231F20"/>
        </w:rPr>
        <w:t>cantidad.</w:t>
      </w:r>
    </w:p>
    <w:p>
      <w:pPr>
        <w:spacing w:after="0" w:line="256" w:lineRule="auto"/>
        <w:jc w:val="both"/>
        <w:sectPr>
          <w:type w:val="continuous"/>
          <w:pgSz w:w="11900" w:h="14450"/>
          <w:pgMar w:top="420" w:bottom="420" w:left="0" w:right="0"/>
          <w:cols w:num="2" w:equalWidth="0">
            <w:col w:w="5722" w:space="40"/>
            <w:col w:w="6138"/>
          </w:cols>
        </w:sectPr>
      </w:pPr>
    </w:p>
    <w:p>
      <w:pPr>
        <w:pStyle w:val="BodyText"/>
        <w:spacing w:before="3"/>
        <w:rPr>
          <w:sz w:val="14"/>
        </w:rPr>
      </w:pPr>
    </w:p>
    <w:p>
      <w:pPr>
        <w:spacing w:before="71"/>
        <w:ind w:left="1553" w:right="2503" w:firstLine="0"/>
        <w:jc w:val="left"/>
        <w:rPr>
          <w:sz w:val="18"/>
        </w:rPr>
      </w:pPr>
      <w:r>
        <w:rPr>
          <w:color w:val="231F20"/>
          <w:sz w:val="18"/>
        </w:rPr>
        <w:t>Cuadro 5.   Características de las seis UPL    evaluadas.</w:t>
      </w:r>
    </w:p>
    <w:p>
      <w:pPr>
        <w:pStyle w:val="BodyText"/>
        <w:spacing w:before="11"/>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811"/>
        <w:gridCol w:w="590"/>
        <w:gridCol w:w="1145"/>
        <w:gridCol w:w="844"/>
        <w:gridCol w:w="1033"/>
        <w:gridCol w:w="1967"/>
        <w:gridCol w:w="2387"/>
      </w:tblGrid>
      <w:tr>
        <w:trPr>
          <w:trHeight w:val="369" w:hRule="exact"/>
        </w:trPr>
        <w:tc>
          <w:tcPr>
            <w:tcW w:w="811" w:type="dxa"/>
            <w:vMerge w:val="restart"/>
            <w:tcBorders>
              <w:left w:val="nil"/>
            </w:tcBorders>
          </w:tcPr>
          <w:p>
            <w:pPr>
              <w:pStyle w:val="TableParagraph"/>
              <w:spacing w:before="7"/>
              <w:rPr>
                <w:sz w:val="21"/>
              </w:rPr>
            </w:pPr>
          </w:p>
          <w:p>
            <w:pPr>
              <w:pStyle w:val="TableParagraph"/>
              <w:spacing w:before="0"/>
              <w:ind w:left="246"/>
              <w:rPr>
                <w:rFonts w:ascii="Cambria"/>
                <w:i/>
                <w:sz w:val="18"/>
              </w:rPr>
            </w:pPr>
            <w:r>
              <w:rPr>
                <w:rFonts w:ascii="Cambria"/>
                <w:i/>
                <w:color w:val="231F20"/>
                <w:sz w:val="18"/>
              </w:rPr>
              <w:t>UPL</w:t>
            </w:r>
          </w:p>
        </w:tc>
        <w:tc>
          <w:tcPr>
            <w:tcW w:w="590" w:type="dxa"/>
            <w:vMerge w:val="restart"/>
          </w:tcPr>
          <w:p>
            <w:pPr>
              <w:pStyle w:val="TableParagraph"/>
              <w:spacing w:before="7"/>
              <w:rPr>
                <w:sz w:val="21"/>
              </w:rPr>
            </w:pPr>
          </w:p>
          <w:p>
            <w:pPr>
              <w:pStyle w:val="TableParagraph"/>
              <w:spacing w:before="0"/>
              <w:ind w:left="173"/>
              <w:rPr>
                <w:rFonts w:ascii="Cambria"/>
                <w:i/>
                <w:sz w:val="18"/>
              </w:rPr>
            </w:pPr>
            <w:r>
              <w:rPr>
                <w:rFonts w:ascii="Cambria"/>
                <w:i/>
                <w:color w:val="231F20"/>
                <w:w w:val="110"/>
                <w:sz w:val="18"/>
              </w:rPr>
              <w:t>Ha</w:t>
            </w:r>
          </w:p>
        </w:tc>
        <w:tc>
          <w:tcPr>
            <w:tcW w:w="3022" w:type="dxa"/>
            <w:gridSpan w:val="3"/>
          </w:tcPr>
          <w:p>
            <w:pPr>
              <w:pStyle w:val="TableParagraph"/>
              <w:spacing w:before="79"/>
              <w:ind w:left="1244" w:right="1244"/>
              <w:jc w:val="center"/>
              <w:rPr>
                <w:rFonts w:ascii="Cambria"/>
                <w:i/>
                <w:sz w:val="18"/>
              </w:rPr>
            </w:pPr>
            <w:r>
              <w:rPr>
                <w:rFonts w:ascii="Cambria"/>
                <w:i/>
                <w:color w:val="231F20"/>
                <w:w w:val="110"/>
                <w:sz w:val="18"/>
              </w:rPr>
              <w:t>Vacas</w:t>
            </w:r>
          </w:p>
        </w:tc>
        <w:tc>
          <w:tcPr>
            <w:tcW w:w="1967" w:type="dxa"/>
            <w:vMerge w:val="restart"/>
          </w:tcPr>
          <w:p>
            <w:pPr>
              <w:pStyle w:val="TableParagraph"/>
              <w:spacing w:line="295" w:lineRule="auto" w:before="134"/>
              <w:ind w:left="131" w:firstLine="20"/>
              <w:rPr>
                <w:rFonts w:ascii="Cambria" w:hAnsi="Cambria"/>
                <w:i/>
                <w:sz w:val="18"/>
              </w:rPr>
            </w:pPr>
            <w:r>
              <w:rPr>
                <w:rFonts w:ascii="Cambria" w:hAnsi="Cambria"/>
                <w:i/>
                <w:color w:val="231F20"/>
                <w:w w:val="105"/>
                <w:sz w:val="18"/>
              </w:rPr>
              <w:t>Producción (litros de </w:t>
            </w:r>
            <w:r>
              <w:rPr>
                <w:rFonts w:ascii="Cambria" w:hAnsi="Cambria"/>
                <w:i/>
                <w:color w:val="231F20"/>
                <w:w w:val="105"/>
                <w:sz w:val="18"/>
              </w:rPr>
              <w:t>leche por vaca y  día)</w:t>
            </w:r>
          </w:p>
        </w:tc>
        <w:tc>
          <w:tcPr>
            <w:tcW w:w="2387" w:type="dxa"/>
            <w:vMerge w:val="restart"/>
            <w:tcBorders>
              <w:right w:val="nil"/>
            </w:tcBorders>
          </w:tcPr>
          <w:p>
            <w:pPr>
              <w:pStyle w:val="TableParagraph"/>
              <w:spacing w:before="7"/>
              <w:rPr>
                <w:sz w:val="21"/>
              </w:rPr>
            </w:pPr>
          </w:p>
          <w:p>
            <w:pPr>
              <w:pStyle w:val="TableParagraph"/>
              <w:spacing w:before="0"/>
              <w:ind w:left="603"/>
              <w:rPr>
                <w:rFonts w:ascii="Cambria" w:hAnsi="Cambria"/>
                <w:i/>
                <w:sz w:val="18"/>
              </w:rPr>
            </w:pPr>
            <w:r>
              <w:rPr>
                <w:rFonts w:ascii="Cambria" w:hAnsi="Cambria"/>
                <w:i/>
                <w:color w:val="231F20"/>
                <w:w w:val="105"/>
                <w:sz w:val="18"/>
              </w:rPr>
              <w:t>Características</w:t>
            </w:r>
          </w:p>
        </w:tc>
      </w:tr>
      <w:tr>
        <w:trPr>
          <w:trHeight w:val="369" w:hRule="exact"/>
        </w:trPr>
        <w:tc>
          <w:tcPr>
            <w:tcW w:w="811" w:type="dxa"/>
            <w:vMerge/>
            <w:tcBorders>
              <w:left w:val="nil"/>
            </w:tcBorders>
          </w:tcPr>
          <w:p>
            <w:pPr/>
          </w:p>
        </w:tc>
        <w:tc>
          <w:tcPr>
            <w:tcW w:w="590" w:type="dxa"/>
            <w:vMerge/>
          </w:tcPr>
          <w:p>
            <w:pPr/>
          </w:p>
        </w:tc>
        <w:tc>
          <w:tcPr>
            <w:tcW w:w="1145" w:type="dxa"/>
          </w:tcPr>
          <w:p>
            <w:pPr>
              <w:pStyle w:val="TableParagraph"/>
              <w:spacing w:before="79"/>
              <w:ind w:left="102" w:right="102"/>
              <w:jc w:val="center"/>
              <w:rPr>
                <w:rFonts w:ascii="Cambria" w:hAnsi="Cambria"/>
                <w:i/>
                <w:sz w:val="18"/>
              </w:rPr>
            </w:pPr>
            <w:r>
              <w:rPr>
                <w:rFonts w:ascii="Cambria" w:hAnsi="Cambria"/>
                <w:i/>
                <w:color w:val="231F20"/>
                <w:w w:val="105"/>
                <w:sz w:val="18"/>
              </w:rPr>
              <w:t>Producción</w:t>
            </w:r>
          </w:p>
        </w:tc>
        <w:tc>
          <w:tcPr>
            <w:tcW w:w="844" w:type="dxa"/>
          </w:tcPr>
          <w:p>
            <w:pPr>
              <w:pStyle w:val="TableParagraph"/>
              <w:spacing w:before="79"/>
              <w:ind w:left="184"/>
              <w:rPr>
                <w:rFonts w:ascii="Cambria"/>
                <w:i/>
                <w:sz w:val="18"/>
              </w:rPr>
            </w:pPr>
            <w:r>
              <w:rPr>
                <w:rFonts w:ascii="Cambria"/>
                <w:i/>
                <w:color w:val="231F20"/>
                <w:w w:val="115"/>
                <w:sz w:val="18"/>
              </w:rPr>
              <w:t>Secas</w:t>
            </w:r>
          </w:p>
        </w:tc>
        <w:tc>
          <w:tcPr>
            <w:tcW w:w="1033" w:type="dxa"/>
          </w:tcPr>
          <w:p>
            <w:pPr>
              <w:pStyle w:val="TableParagraph"/>
              <w:spacing w:before="79"/>
              <w:ind w:left="125" w:right="125"/>
              <w:jc w:val="center"/>
              <w:rPr>
                <w:rFonts w:ascii="Cambria"/>
                <w:i/>
                <w:sz w:val="18"/>
              </w:rPr>
            </w:pPr>
            <w:r>
              <w:rPr>
                <w:rFonts w:ascii="Cambria"/>
                <w:i/>
                <w:color w:val="231F20"/>
                <w:w w:val="105"/>
                <w:sz w:val="18"/>
              </w:rPr>
              <w:t>Vaquillas</w:t>
            </w:r>
          </w:p>
        </w:tc>
        <w:tc>
          <w:tcPr>
            <w:tcW w:w="1967" w:type="dxa"/>
            <w:vMerge/>
          </w:tcPr>
          <w:p>
            <w:pPr/>
          </w:p>
        </w:tc>
        <w:tc>
          <w:tcPr>
            <w:tcW w:w="2387" w:type="dxa"/>
            <w:vMerge/>
            <w:tcBorders>
              <w:right w:val="nil"/>
            </w:tcBorders>
          </w:tcPr>
          <w:p>
            <w:pPr/>
          </w:p>
        </w:tc>
      </w:tr>
      <w:tr>
        <w:trPr>
          <w:trHeight w:val="354" w:hRule="exact"/>
        </w:trPr>
        <w:tc>
          <w:tcPr>
            <w:tcW w:w="811" w:type="dxa"/>
            <w:tcBorders>
              <w:left w:val="nil"/>
            </w:tcBorders>
          </w:tcPr>
          <w:p>
            <w:pPr>
              <w:pStyle w:val="TableParagraph"/>
              <w:ind w:left="113"/>
              <w:rPr>
                <w:sz w:val="17"/>
              </w:rPr>
            </w:pPr>
            <w:r>
              <w:rPr>
                <w:color w:val="231F20"/>
                <w:w w:val="115"/>
                <w:sz w:val="17"/>
              </w:rPr>
              <w:t>1 (AC)</w:t>
            </w:r>
          </w:p>
        </w:tc>
        <w:tc>
          <w:tcPr>
            <w:tcW w:w="590" w:type="dxa"/>
          </w:tcPr>
          <w:p>
            <w:pPr>
              <w:pStyle w:val="TableParagraph"/>
              <w:ind w:left="193"/>
              <w:rPr>
                <w:sz w:val="17"/>
              </w:rPr>
            </w:pPr>
            <w:r>
              <w:rPr>
                <w:color w:val="231F20"/>
                <w:w w:val="110"/>
                <w:sz w:val="17"/>
              </w:rPr>
              <w:t>4,5</w:t>
            </w:r>
          </w:p>
        </w:tc>
        <w:tc>
          <w:tcPr>
            <w:tcW w:w="1145" w:type="dxa"/>
          </w:tcPr>
          <w:p>
            <w:pPr>
              <w:pStyle w:val="TableParagraph"/>
              <w:ind w:left="97" w:right="102"/>
              <w:jc w:val="center"/>
              <w:rPr>
                <w:sz w:val="17"/>
              </w:rPr>
            </w:pPr>
            <w:r>
              <w:rPr>
                <w:color w:val="231F20"/>
                <w:w w:val="115"/>
                <w:sz w:val="17"/>
              </w:rPr>
              <w:t>14</w:t>
            </w:r>
          </w:p>
        </w:tc>
        <w:tc>
          <w:tcPr>
            <w:tcW w:w="844" w:type="dxa"/>
          </w:tcPr>
          <w:p>
            <w:pPr>
              <w:pStyle w:val="TableParagraph"/>
              <w:ind w:left="84"/>
              <w:jc w:val="center"/>
              <w:rPr>
                <w:sz w:val="17"/>
              </w:rPr>
            </w:pPr>
            <w:r>
              <w:rPr>
                <w:color w:val="231F20"/>
                <w:w w:val="115"/>
                <w:sz w:val="17"/>
              </w:rPr>
              <w:t>3</w:t>
            </w:r>
          </w:p>
        </w:tc>
        <w:tc>
          <w:tcPr>
            <w:tcW w:w="1033" w:type="dxa"/>
          </w:tcPr>
          <w:p>
            <w:pPr>
              <w:pStyle w:val="TableParagraph"/>
              <w:jc w:val="center"/>
              <w:rPr>
                <w:sz w:val="17"/>
              </w:rPr>
            </w:pPr>
            <w:r>
              <w:rPr>
                <w:color w:val="231F20"/>
                <w:w w:val="115"/>
                <w:sz w:val="17"/>
              </w:rPr>
              <w:t>1</w:t>
            </w:r>
          </w:p>
        </w:tc>
        <w:tc>
          <w:tcPr>
            <w:tcW w:w="1967" w:type="dxa"/>
          </w:tcPr>
          <w:p>
            <w:pPr>
              <w:pStyle w:val="TableParagraph"/>
              <w:ind w:left="743" w:right="743"/>
              <w:jc w:val="center"/>
              <w:rPr>
                <w:sz w:val="17"/>
              </w:rPr>
            </w:pPr>
            <w:r>
              <w:rPr>
                <w:color w:val="231F20"/>
                <w:w w:val="110"/>
                <w:sz w:val="17"/>
              </w:rPr>
              <w:t>14,40</w:t>
            </w:r>
          </w:p>
        </w:tc>
        <w:tc>
          <w:tcPr>
            <w:tcW w:w="2387" w:type="dxa"/>
            <w:tcBorders>
              <w:right w:val="nil"/>
            </w:tcBorders>
          </w:tcPr>
          <w:p>
            <w:pPr>
              <w:pStyle w:val="TableParagraph"/>
              <w:ind w:left="108"/>
              <w:rPr>
                <w:sz w:val="17"/>
              </w:rPr>
            </w:pPr>
            <w:r>
              <w:rPr>
                <w:color w:val="231F20"/>
                <w:w w:val="105"/>
                <w:sz w:val="17"/>
              </w:rPr>
              <w:t>UPL promedio</w:t>
            </w:r>
          </w:p>
        </w:tc>
      </w:tr>
      <w:tr>
        <w:trPr>
          <w:trHeight w:val="358" w:hRule="exact"/>
        </w:trPr>
        <w:tc>
          <w:tcPr>
            <w:tcW w:w="811" w:type="dxa"/>
            <w:tcBorders>
              <w:left w:val="nil"/>
            </w:tcBorders>
          </w:tcPr>
          <w:p>
            <w:pPr>
              <w:pStyle w:val="TableParagraph"/>
              <w:ind w:left="113"/>
              <w:rPr>
                <w:sz w:val="17"/>
              </w:rPr>
            </w:pPr>
            <w:r>
              <w:rPr>
                <w:color w:val="231F20"/>
                <w:w w:val="115"/>
                <w:sz w:val="17"/>
              </w:rPr>
              <w:t>2 (AG)</w:t>
            </w:r>
          </w:p>
        </w:tc>
        <w:tc>
          <w:tcPr>
            <w:tcW w:w="590" w:type="dxa"/>
          </w:tcPr>
          <w:p>
            <w:pPr>
              <w:pStyle w:val="TableParagraph"/>
              <w:ind w:left="108"/>
              <w:rPr>
                <w:sz w:val="17"/>
              </w:rPr>
            </w:pPr>
            <w:r>
              <w:rPr>
                <w:color w:val="231F20"/>
                <w:w w:val="115"/>
                <w:sz w:val="17"/>
              </w:rPr>
              <w:t>76</w:t>
            </w:r>
          </w:p>
        </w:tc>
        <w:tc>
          <w:tcPr>
            <w:tcW w:w="1145" w:type="dxa"/>
          </w:tcPr>
          <w:p>
            <w:pPr>
              <w:pStyle w:val="TableParagraph"/>
              <w:ind w:left="97" w:right="102"/>
              <w:jc w:val="center"/>
              <w:rPr>
                <w:sz w:val="17"/>
              </w:rPr>
            </w:pPr>
            <w:r>
              <w:rPr>
                <w:color w:val="231F20"/>
                <w:w w:val="115"/>
                <w:sz w:val="17"/>
              </w:rPr>
              <w:t>17</w:t>
            </w:r>
          </w:p>
        </w:tc>
        <w:tc>
          <w:tcPr>
            <w:tcW w:w="844" w:type="dxa"/>
          </w:tcPr>
          <w:p>
            <w:pPr>
              <w:pStyle w:val="TableParagraph"/>
              <w:ind w:left="84"/>
              <w:jc w:val="center"/>
              <w:rPr>
                <w:sz w:val="17"/>
              </w:rPr>
            </w:pPr>
            <w:r>
              <w:rPr>
                <w:color w:val="231F20"/>
                <w:w w:val="115"/>
                <w:sz w:val="17"/>
              </w:rPr>
              <w:t>1</w:t>
            </w:r>
          </w:p>
        </w:tc>
        <w:tc>
          <w:tcPr>
            <w:tcW w:w="1033" w:type="dxa"/>
          </w:tcPr>
          <w:p>
            <w:pPr>
              <w:pStyle w:val="TableParagraph"/>
              <w:jc w:val="center"/>
              <w:rPr>
                <w:sz w:val="17"/>
              </w:rPr>
            </w:pPr>
            <w:r>
              <w:rPr>
                <w:color w:val="231F20"/>
                <w:w w:val="115"/>
                <w:sz w:val="17"/>
              </w:rPr>
              <w:t>4</w:t>
            </w:r>
          </w:p>
        </w:tc>
        <w:tc>
          <w:tcPr>
            <w:tcW w:w="1967" w:type="dxa"/>
          </w:tcPr>
          <w:p>
            <w:pPr>
              <w:pStyle w:val="TableParagraph"/>
              <w:ind w:left="743" w:right="743"/>
              <w:jc w:val="center"/>
              <w:rPr>
                <w:sz w:val="17"/>
              </w:rPr>
            </w:pPr>
            <w:r>
              <w:rPr>
                <w:color w:val="231F20"/>
                <w:w w:val="110"/>
                <w:sz w:val="17"/>
              </w:rPr>
              <w:t>16,34</w:t>
            </w:r>
          </w:p>
        </w:tc>
        <w:tc>
          <w:tcPr>
            <w:tcW w:w="2387" w:type="dxa"/>
            <w:tcBorders>
              <w:right w:val="nil"/>
            </w:tcBorders>
          </w:tcPr>
          <w:p>
            <w:pPr>
              <w:pStyle w:val="TableParagraph"/>
              <w:ind w:left="108"/>
              <w:rPr>
                <w:sz w:val="17"/>
              </w:rPr>
            </w:pPr>
            <w:r>
              <w:rPr>
                <w:color w:val="231F20"/>
                <w:sz w:val="17"/>
              </w:rPr>
              <w:t>Pastoreo todo el año</w:t>
            </w:r>
          </w:p>
        </w:tc>
      </w:tr>
      <w:tr>
        <w:trPr>
          <w:trHeight w:val="354" w:hRule="exact"/>
        </w:trPr>
        <w:tc>
          <w:tcPr>
            <w:tcW w:w="811" w:type="dxa"/>
            <w:tcBorders>
              <w:left w:val="nil"/>
            </w:tcBorders>
          </w:tcPr>
          <w:p>
            <w:pPr>
              <w:pStyle w:val="TableParagraph"/>
              <w:ind w:left="113"/>
              <w:rPr>
                <w:sz w:val="17"/>
              </w:rPr>
            </w:pPr>
            <w:r>
              <w:rPr>
                <w:color w:val="231F20"/>
                <w:w w:val="115"/>
                <w:sz w:val="17"/>
              </w:rPr>
              <w:t>3 (HG)</w:t>
            </w:r>
          </w:p>
        </w:tc>
        <w:tc>
          <w:tcPr>
            <w:tcW w:w="590" w:type="dxa"/>
          </w:tcPr>
          <w:p>
            <w:pPr>
              <w:pStyle w:val="TableParagraph"/>
              <w:ind w:right="91"/>
              <w:jc w:val="center"/>
              <w:rPr>
                <w:sz w:val="17"/>
              </w:rPr>
            </w:pPr>
            <w:r>
              <w:rPr>
                <w:color w:val="231F20"/>
                <w:w w:val="115"/>
                <w:sz w:val="17"/>
              </w:rPr>
              <w:t>8</w:t>
            </w:r>
          </w:p>
        </w:tc>
        <w:tc>
          <w:tcPr>
            <w:tcW w:w="1145" w:type="dxa"/>
          </w:tcPr>
          <w:p>
            <w:pPr>
              <w:pStyle w:val="TableParagraph"/>
              <w:ind w:left="85"/>
              <w:jc w:val="center"/>
              <w:rPr>
                <w:sz w:val="17"/>
              </w:rPr>
            </w:pPr>
            <w:r>
              <w:rPr>
                <w:color w:val="231F20"/>
                <w:w w:val="115"/>
                <w:sz w:val="17"/>
              </w:rPr>
              <w:t>8</w:t>
            </w:r>
          </w:p>
        </w:tc>
        <w:tc>
          <w:tcPr>
            <w:tcW w:w="844" w:type="dxa"/>
          </w:tcPr>
          <w:p>
            <w:pPr>
              <w:pStyle w:val="TableParagraph"/>
              <w:ind w:left="84"/>
              <w:jc w:val="center"/>
              <w:rPr>
                <w:sz w:val="17"/>
              </w:rPr>
            </w:pPr>
            <w:r>
              <w:rPr>
                <w:color w:val="231F20"/>
                <w:w w:val="115"/>
                <w:sz w:val="17"/>
              </w:rPr>
              <w:t>4</w:t>
            </w:r>
          </w:p>
        </w:tc>
        <w:tc>
          <w:tcPr>
            <w:tcW w:w="1033" w:type="dxa"/>
          </w:tcPr>
          <w:p>
            <w:pPr>
              <w:pStyle w:val="TableParagraph"/>
              <w:jc w:val="center"/>
              <w:rPr>
                <w:sz w:val="17"/>
              </w:rPr>
            </w:pPr>
            <w:r>
              <w:rPr>
                <w:color w:val="231F20"/>
                <w:w w:val="115"/>
                <w:sz w:val="17"/>
              </w:rPr>
              <w:t>1</w:t>
            </w:r>
          </w:p>
        </w:tc>
        <w:tc>
          <w:tcPr>
            <w:tcW w:w="1967" w:type="dxa"/>
          </w:tcPr>
          <w:p>
            <w:pPr>
              <w:pStyle w:val="TableParagraph"/>
              <w:ind w:left="743" w:right="743"/>
              <w:jc w:val="center"/>
              <w:rPr>
                <w:sz w:val="17"/>
              </w:rPr>
            </w:pPr>
            <w:r>
              <w:rPr>
                <w:color w:val="231F20"/>
                <w:w w:val="110"/>
                <w:sz w:val="17"/>
              </w:rPr>
              <w:t>17,02</w:t>
            </w:r>
          </w:p>
        </w:tc>
        <w:tc>
          <w:tcPr>
            <w:tcW w:w="2387" w:type="dxa"/>
            <w:tcBorders>
              <w:right w:val="nil"/>
            </w:tcBorders>
          </w:tcPr>
          <w:p>
            <w:pPr>
              <w:pStyle w:val="TableParagraph"/>
              <w:ind w:left="108"/>
              <w:rPr>
                <w:sz w:val="17"/>
              </w:rPr>
            </w:pPr>
            <w:r>
              <w:rPr>
                <w:color w:val="231F20"/>
                <w:w w:val="105"/>
                <w:sz w:val="17"/>
              </w:rPr>
              <w:t>Pastoreo 6 meses/año</w:t>
            </w:r>
          </w:p>
        </w:tc>
      </w:tr>
      <w:tr>
        <w:trPr>
          <w:trHeight w:val="354" w:hRule="exact"/>
        </w:trPr>
        <w:tc>
          <w:tcPr>
            <w:tcW w:w="811" w:type="dxa"/>
            <w:tcBorders>
              <w:left w:val="nil"/>
            </w:tcBorders>
          </w:tcPr>
          <w:p>
            <w:pPr>
              <w:pStyle w:val="TableParagraph"/>
              <w:ind w:left="113"/>
              <w:rPr>
                <w:sz w:val="17"/>
              </w:rPr>
            </w:pPr>
            <w:r>
              <w:rPr>
                <w:color w:val="231F20"/>
                <w:w w:val="115"/>
                <w:sz w:val="17"/>
              </w:rPr>
              <w:t>4 (EP)</w:t>
            </w:r>
          </w:p>
        </w:tc>
        <w:tc>
          <w:tcPr>
            <w:tcW w:w="590" w:type="dxa"/>
          </w:tcPr>
          <w:p>
            <w:pPr>
              <w:pStyle w:val="TableParagraph"/>
              <w:ind w:right="91"/>
              <w:jc w:val="center"/>
              <w:rPr>
                <w:sz w:val="17"/>
              </w:rPr>
            </w:pPr>
            <w:r>
              <w:rPr>
                <w:color w:val="231F20"/>
                <w:w w:val="115"/>
                <w:sz w:val="17"/>
              </w:rPr>
              <w:t>4</w:t>
            </w:r>
          </w:p>
        </w:tc>
        <w:tc>
          <w:tcPr>
            <w:tcW w:w="1145" w:type="dxa"/>
          </w:tcPr>
          <w:p>
            <w:pPr>
              <w:pStyle w:val="TableParagraph"/>
              <w:ind w:left="97" w:right="102"/>
              <w:jc w:val="center"/>
              <w:rPr>
                <w:sz w:val="17"/>
              </w:rPr>
            </w:pPr>
            <w:r>
              <w:rPr>
                <w:color w:val="231F20"/>
                <w:w w:val="115"/>
                <w:sz w:val="17"/>
              </w:rPr>
              <w:t>11</w:t>
            </w:r>
          </w:p>
        </w:tc>
        <w:tc>
          <w:tcPr>
            <w:tcW w:w="844" w:type="dxa"/>
          </w:tcPr>
          <w:p>
            <w:pPr>
              <w:pStyle w:val="TableParagraph"/>
              <w:ind w:left="84"/>
              <w:jc w:val="center"/>
              <w:rPr>
                <w:sz w:val="17"/>
              </w:rPr>
            </w:pPr>
            <w:r>
              <w:rPr>
                <w:color w:val="231F20"/>
                <w:w w:val="115"/>
                <w:sz w:val="17"/>
              </w:rPr>
              <w:t>1</w:t>
            </w:r>
          </w:p>
        </w:tc>
        <w:tc>
          <w:tcPr>
            <w:tcW w:w="1033" w:type="dxa"/>
          </w:tcPr>
          <w:p>
            <w:pPr>
              <w:pStyle w:val="TableParagraph"/>
              <w:jc w:val="center"/>
              <w:rPr>
                <w:sz w:val="17"/>
              </w:rPr>
            </w:pPr>
            <w:r>
              <w:rPr>
                <w:color w:val="231F20"/>
                <w:w w:val="115"/>
                <w:sz w:val="17"/>
              </w:rPr>
              <w:t>1</w:t>
            </w:r>
          </w:p>
        </w:tc>
        <w:tc>
          <w:tcPr>
            <w:tcW w:w="1967" w:type="dxa"/>
          </w:tcPr>
          <w:p>
            <w:pPr>
              <w:pStyle w:val="TableParagraph"/>
              <w:ind w:left="740" w:right="745"/>
              <w:jc w:val="center"/>
              <w:rPr>
                <w:sz w:val="17"/>
              </w:rPr>
            </w:pPr>
            <w:r>
              <w:rPr>
                <w:color w:val="231F20"/>
                <w:w w:val="110"/>
                <w:sz w:val="17"/>
              </w:rPr>
              <w:t>10,91</w:t>
            </w:r>
          </w:p>
        </w:tc>
        <w:tc>
          <w:tcPr>
            <w:tcW w:w="2387" w:type="dxa"/>
            <w:tcBorders>
              <w:right w:val="nil"/>
            </w:tcBorders>
          </w:tcPr>
          <w:p>
            <w:pPr>
              <w:pStyle w:val="TableParagraph"/>
              <w:ind w:left="108"/>
              <w:rPr>
                <w:sz w:val="17"/>
              </w:rPr>
            </w:pPr>
            <w:r>
              <w:rPr>
                <w:color w:val="231F20"/>
                <w:w w:val="105"/>
                <w:sz w:val="17"/>
              </w:rPr>
              <w:t>UPL promedio</w:t>
            </w:r>
          </w:p>
        </w:tc>
      </w:tr>
      <w:tr>
        <w:trPr>
          <w:trHeight w:val="354" w:hRule="exact"/>
        </w:trPr>
        <w:tc>
          <w:tcPr>
            <w:tcW w:w="811" w:type="dxa"/>
            <w:tcBorders>
              <w:left w:val="nil"/>
            </w:tcBorders>
          </w:tcPr>
          <w:p>
            <w:pPr>
              <w:pStyle w:val="TableParagraph"/>
              <w:ind w:left="113"/>
              <w:rPr>
                <w:sz w:val="17"/>
              </w:rPr>
            </w:pPr>
            <w:r>
              <w:rPr>
                <w:color w:val="231F20"/>
                <w:w w:val="115"/>
                <w:sz w:val="17"/>
              </w:rPr>
              <w:t>5 (JS)</w:t>
            </w:r>
          </w:p>
        </w:tc>
        <w:tc>
          <w:tcPr>
            <w:tcW w:w="590" w:type="dxa"/>
          </w:tcPr>
          <w:p>
            <w:pPr>
              <w:pStyle w:val="TableParagraph"/>
              <w:ind w:left="108"/>
              <w:rPr>
                <w:sz w:val="17"/>
              </w:rPr>
            </w:pPr>
            <w:r>
              <w:rPr>
                <w:color w:val="231F20"/>
                <w:w w:val="110"/>
                <w:sz w:val="17"/>
              </w:rPr>
              <w:t>7,3</w:t>
            </w:r>
          </w:p>
        </w:tc>
        <w:tc>
          <w:tcPr>
            <w:tcW w:w="1145" w:type="dxa"/>
          </w:tcPr>
          <w:p>
            <w:pPr>
              <w:pStyle w:val="TableParagraph"/>
              <w:ind w:left="97" w:right="102"/>
              <w:jc w:val="center"/>
              <w:rPr>
                <w:sz w:val="17"/>
              </w:rPr>
            </w:pPr>
            <w:r>
              <w:rPr>
                <w:color w:val="231F20"/>
                <w:w w:val="115"/>
                <w:sz w:val="17"/>
              </w:rPr>
              <w:t>15</w:t>
            </w:r>
          </w:p>
        </w:tc>
        <w:tc>
          <w:tcPr>
            <w:tcW w:w="844" w:type="dxa"/>
          </w:tcPr>
          <w:p>
            <w:pPr>
              <w:pStyle w:val="TableParagraph"/>
              <w:ind w:left="295" w:right="300"/>
              <w:jc w:val="center"/>
              <w:rPr>
                <w:sz w:val="17"/>
              </w:rPr>
            </w:pPr>
            <w:r>
              <w:rPr>
                <w:color w:val="231F20"/>
                <w:w w:val="115"/>
                <w:sz w:val="17"/>
              </w:rPr>
              <w:t>12</w:t>
            </w:r>
          </w:p>
        </w:tc>
        <w:tc>
          <w:tcPr>
            <w:tcW w:w="1033" w:type="dxa"/>
          </w:tcPr>
          <w:p>
            <w:pPr>
              <w:pStyle w:val="TableParagraph"/>
              <w:jc w:val="center"/>
              <w:rPr>
                <w:sz w:val="17"/>
              </w:rPr>
            </w:pPr>
            <w:r>
              <w:rPr>
                <w:color w:val="231F20"/>
                <w:w w:val="115"/>
                <w:sz w:val="17"/>
              </w:rPr>
              <w:t>0</w:t>
            </w:r>
          </w:p>
        </w:tc>
        <w:tc>
          <w:tcPr>
            <w:tcW w:w="1967" w:type="dxa"/>
          </w:tcPr>
          <w:p>
            <w:pPr>
              <w:pStyle w:val="TableParagraph"/>
              <w:ind w:left="743" w:right="743"/>
              <w:jc w:val="center"/>
              <w:rPr>
                <w:sz w:val="17"/>
              </w:rPr>
            </w:pPr>
            <w:r>
              <w:rPr>
                <w:color w:val="231F20"/>
                <w:w w:val="110"/>
                <w:sz w:val="17"/>
              </w:rPr>
              <w:t>21,15</w:t>
            </w:r>
          </w:p>
        </w:tc>
        <w:tc>
          <w:tcPr>
            <w:tcW w:w="2387" w:type="dxa"/>
            <w:tcBorders>
              <w:right w:val="nil"/>
            </w:tcBorders>
          </w:tcPr>
          <w:p>
            <w:pPr>
              <w:pStyle w:val="TableParagraph"/>
              <w:ind w:left="108"/>
              <w:rPr>
                <w:sz w:val="17"/>
              </w:rPr>
            </w:pPr>
            <w:r>
              <w:rPr>
                <w:color w:val="231F20"/>
                <w:sz w:val="17"/>
              </w:rPr>
              <w:t>Produce ensilado año tras  año</w:t>
            </w:r>
          </w:p>
        </w:tc>
      </w:tr>
      <w:tr>
        <w:trPr>
          <w:trHeight w:val="574" w:hRule="exact"/>
        </w:trPr>
        <w:tc>
          <w:tcPr>
            <w:tcW w:w="811" w:type="dxa"/>
            <w:tcBorders>
              <w:left w:val="nil"/>
            </w:tcBorders>
          </w:tcPr>
          <w:p>
            <w:pPr>
              <w:pStyle w:val="TableParagraph"/>
              <w:spacing w:before="0"/>
              <w:rPr>
                <w:sz w:val="15"/>
              </w:rPr>
            </w:pPr>
          </w:p>
          <w:p>
            <w:pPr>
              <w:pStyle w:val="TableParagraph"/>
              <w:spacing w:before="0"/>
              <w:ind w:left="113"/>
              <w:rPr>
                <w:sz w:val="17"/>
              </w:rPr>
            </w:pPr>
            <w:r>
              <w:rPr>
                <w:color w:val="231F20"/>
                <w:w w:val="115"/>
                <w:sz w:val="17"/>
              </w:rPr>
              <w:t>6 (JLS)</w:t>
            </w:r>
          </w:p>
        </w:tc>
        <w:tc>
          <w:tcPr>
            <w:tcW w:w="590" w:type="dxa"/>
          </w:tcPr>
          <w:p>
            <w:pPr>
              <w:pStyle w:val="TableParagraph"/>
              <w:spacing w:before="0"/>
              <w:rPr>
                <w:sz w:val="15"/>
              </w:rPr>
            </w:pPr>
          </w:p>
          <w:p>
            <w:pPr>
              <w:pStyle w:val="TableParagraph"/>
              <w:spacing w:before="0"/>
              <w:ind w:left="108"/>
              <w:rPr>
                <w:sz w:val="17"/>
              </w:rPr>
            </w:pPr>
            <w:r>
              <w:rPr>
                <w:color w:val="231F20"/>
                <w:w w:val="110"/>
                <w:sz w:val="17"/>
              </w:rPr>
              <w:t>2,5</w:t>
            </w:r>
          </w:p>
        </w:tc>
        <w:tc>
          <w:tcPr>
            <w:tcW w:w="1145" w:type="dxa"/>
          </w:tcPr>
          <w:p>
            <w:pPr>
              <w:pStyle w:val="TableParagraph"/>
              <w:spacing w:before="0"/>
              <w:rPr>
                <w:sz w:val="15"/>
              </w:rPr>
            </w:pPr>
          </w:p>
          <w:p>
            <w:pPr>
              <w:pStyle w:val="TableParagraph"/>
              <w:spacing w:before="0"/>
              <w:ind w:left="101" w:right="102"/>
              <w:jc w:val="center"/>
              <w:rPr>
                <w:sz w:val="17"/>
              </w:rPr>
            </w:pPr>
            <w:r>
              <w:rPr>
                <w:color w:val="231F20"/>
                <w:w w:val="115"/>
                <w:sz w:val="17"/>
              </w:rPr>
              <w:t>27</w:t>
            </w:r>
          </w:p>
        </w:tc>
        <w:tc>
          <w:tcPr>
            <w:tcW w:w="844" w:type="dxa"/>
          </w:tcPr>
          <w:p>
            <w:pPr>
              <w:pStyle w:val="TableParagraph"/>
              <w:spacing w:before="0"/>
              <w:rPr>
                <w:sz w:val="15"/>
              </w:rPr>
            </w:pPr>
          </w:p>
          <w:p>
            <w:pPr>
              <w:pStyle w:val="TableParagraph"/>
              <w:spacing w:before="0"/>
              <w:ind w:left="84"/>
              <w:jc w:val="center"/>
              <w:rPr>
                <w:sz w:val="17"/>
              </w:rPr>
            </w:pPr>
            <w:r>
              <w:rPr>
                <w:color w:val="231F20"/>
                <w:w w:val="115"/>
                <w:sz w:val="17"/>
              </w:rPr>
              <w:t>3</w:t>
            </w:r>
          </w:p>
        </w:tc>
        <w:tc>
          <w:tcPr>
            <w:tcW w:w="1033" w:type="dxa"/>
          </w:tcPr>
          <w:p>
            <w:pPr>
              <w:pStyle w:val="TableParagraph"/>
              <w:spacing w:before="0"/>
              <w:rPr>
                <w:sz w:val="15"/>
              </w:rPr>
            </w:pPr>
          </w:p>
          <w:p>
            <w:pPr>
              <w:pStyle w:val="TableParagraph"/>
              <w:spacing w:before="0"/>
              <w:jc w:val="center"/>
              <w:rPr>
                <w:sz w:val="17"/>
              </w:rPr>
            </w:pPr>
            <w:r>
              <w:rPr>
                <w:color w:val="231F20"/>
                <w:w w:val="115"/>
                <w:sz w:val="17"/>
              </w:rPr>
              <w:t>5</w:t>
            </w:r>
          </w:p>
        </w:tc>
        <w:tc>
          <w:tcPr>
            <w:tcW w:w="1967" w:type="dxa"/>
          </w:tcPr>
          <w:p>
            <w:pPr>
              <w:pStyle w:val="TableParagraph"/>
              <w:spacing w:before="0"/>
              <w:rPr>
                <w:sz w:val="15"/>
              </w:rPr>
            </w:pPr>
          </w:p>
          <w:p>
            <w:pPr>
              <w:pStyle w:val="TableParagraph"/>
              <w:spacing w:before="0"/>
              <w:ind w:left="743" w:right="743"/>
              <w:jc w:val="center"/>
              <w:rPr>
                <w:sz w:val="17"/>
              </w:rPr>
            </w:pPr>
            <w:r>
              <w:rPr>
                <w:color w:val="231F20"/>
                <w:w w:val="110"/>
                <w:sz w:val="17"/>
              </w:rPr>
              <w:t>11,56</w:t>
            </w:r>
          </w:p>
        </w:tc>
        <w:tc>
          <w:tcPr>
            <w:tcW w:w="2387" w:type="dxa"/>
            <w:tcBorders>
              <w:right w:val="nil"/>
            </w:tcBorders>
          </w:tcPr>
          <w:p>
            <w:pPr>
              <w:pStyle w:val="TableParagraph"/>
              <w:spacing w:line="254" w:lineRule="auto"/>
              <w:ind w:left="108"/>
              <w:rPr>
                <w:sz w:val="17"/>
              </w:rPr>
            </w:pPr>
            <w:r>
              <w:rPr>
                <w:color w:val="231F20"/>
                <w:sz w:val="17"/>
              </w:rPr>
              <w:t>Tiene el hato más grande y la menor cantidad de tierra</w:t>
            </w:r>
          </w:p>
        </w:tc>
      </w:tr>
    </w:tbl>
    <w:p>
      <w:pPr>
        <w:spacing w:after="0" w:line="254" w:lineRule="auto"/>
        <w:rPr>
          <w:sz w:val="17"/>
        </w:rPr>
        <w:sectPr>
          <w:type w:val="continuous"/>
          <w:pgSz w:w="11900" w:h="14450"/>
          <w:pgMar w:top="420" w:bottom="420" w:left="0" w:right="0"/>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4.   Sustentabilidad de la producción de leche en   pequeña</w:t>
      </w:r>
      <w:r>
        <w:rPr>
          <w:color w:val="231F20"/>
          <w:spacing w:val="12"/>
          <w:sz w:val="18"/>
        </w:rPr>
        <w:t> </w:t>
      </w:r>
      <w:r>
        <w:rPr>
          <w:color w:val="231F20"/>
          <w:sz w:val="18"/>
        </w:rPr>
        <w:t>escala...</w:t>
      </w:r>
      <w:r>
        <w:rPr>
          <w:color w:val="231F20"/>
          <w:sz w:val="22"/>
        </w:rPr>
        <w:tab/>
        <w:t>69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8" w:lineRule="auto"/>
        <w:ind w:left="1553"/>
        <w:jc w:val="both"/>
      </w:pPr>
      <w:r>
        <w:rPr>
          <w:color w:val="231F20"/>
          <w:w w:val="105"/>
        </w:rPr>
        <w:t>En cuanto al uso de pesticidas, vale la pena men- cionar</w:t>
      </w:r>
      <w:r>
        <w:rPr>
          <w:color w:val="231F20"/>
          <w:spacing w:val="-14"/>
          <w:w w:val="105"/>
        </w:rPr>
        <w:t> </w:t>
      </w:r>
      <w:r>
        <w:rPr>
          <w:color w:val="231F20"/>
          <w:w w:val="105"/>
        </w:rPr>
        <w:t>que</w:t>
      </w:r>
      <w:r>
        <w:rPr>
          <w:color w:val="231F20"/>
          <w:spacing w:val="-14"/>
          <w:w w:val="105"/>
        </w:rPr>
        <w:t> </w:t>
      </w:r>
      <w:r>
        <w:rPr>
          <w:color w:val="231F20"/>
          <w:w w:val="105"/>
        </w:rPr>
        <w:t>ninguna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explotaciones</w:t>
      </w:r>
      <w:r>
        <w:rPr>
          <w:color w:val="231F20"/>
          <w:spacing w:val="-14"/>
          <w:w w:val="105"/>
        </w:rPr>
        <w:t> </w:t>
      </w:r>
      <w:r>
        <w:rPr>
          <w:color w:val="231F20"/>
          <w:w w:val="105"/>
        </w:rPr>
        <w:t>tiene</w:t>
      </w:r>
      <w:r>
        <w:rPr>
          <w:color w:val="231F20"/>
          <w:spacing w:val="-14"/>
          <w:w w:val="105"/>
        </w:rPr>
        <w:t> </w:t>
      </w:r>
      <w:r>
        <w:rPr>
          <w:color w:val="231F20"/>
          <w:w w:val="105"/>
        </w:rPr>
        <w:t>una valoración negativa, porque los productos que emplean se encuentran entre los permitidos por el Instituto Nacional de Ecología (INE). Por otro lado, estas </w:t>
      </w:r>
      <w:r>
        <w:rPr>
          <w:color w:val="231F20"/>
          <w:spacing w:val="2"/>
          <w:w w:val="105"/>
        </w:rPr>
        <w:t>UPL </w:t>
      </w:r>
      <w:r>
        <w:rPr>
          <w:color w:val="231F20"/>
          <w:w w:val="105"/>
        </w:rPr>
        <w:t>utilizan todo el estiércol que se produce</w:t>
      </w:r>
      <w:r>
        <w:rPr>
          <w:color w:val="231F20"/>
          <w:spacing w:val="-16"/>
          <w:w w:val="105"/>
        </w:rPr>
        <w:t> </w:t>
      </w:r>
      <w:r>
        <w:rPr>
          <w:color w:val="231F20"/>
          <w:w w:val="105"/>
        </w:rPr>
        <w:t>para</w:t>
      </w:r>
      <w:r>
        <w:rPr>
          <w:color w:val="231F20"/>
          <w:spacing w:val="-16"/>
          <w:w w:val="105"/>
        </w:rPr>
        <w:t> </w:t>
      </w:r>
      <w:r>
        <w:rPr>
          <w:color w:val="231F20"/>
          <w:w w:val="105"/>
        </w:rPr>
        <w:t>abonar</w:t>
      </w:r>
      <w:r>
        <w:rPr>
          <w:color w:val="231F20"/>
          <w:spacing w:val="-16"/>
          <w:w w:val="105"/>
        </w:rPr>
        <w:t> </w:t>
      </w:r>
      <w:r>
        <w:rPr>
          <w:color w:val="231F20"/>
          <w:w w:val="105"/>
        </w:rPr>
        <w:t>los</w:t>
      </w:r>
      <w:r>
        <w:rPr>
          <w:color w:val="231F20"/>
          <w:spacing w:val="-16"/>
          <w:w w:val="105"/>
        </w:rPr>
        <w:t> </w:t>
      </w:r>
      <w:r>
        <w:rPr>
          <w:color w:val="231F20"/>
          <w:w w:val="105"/>
        </w:rPr>
        <w:t>cultivos</w:t>
      </w:r>
      <w:r>
        <w:rPr>
          <w:color w:val="231F20"/>
          <w:spacing w:val="-16"/>
          <w:w w:val="105"/>
        </w:rPr>
        <w:t> </w:t>
      </w:r>
      <w:r>
        <w:rPr>
          <w:color w:val="231F20"/>
          <w:w w:val="105"/>
        </w:rPr>
        <w:t>de</w:t>
      </w:r>
      <w:r>
        <w:rPr>
          <w:color w:val="231F20"/>
          <w:spacing w:val="-16"/>
          <w:w w:val="105"/>
        </w:rPr>
        <w:t> </w:t>
      </w:r>
      <w:r>
        <w:rPr>
          <w:color w:val="231F20"/>
          <w:w w:val="105"/>
        </w:rPr>
        <w:t>maíz</w:t>
      </w:r>
      <w:r>
        <w:rPr>
          <w:color w:val="231F20"/>
          <w:spacing w:val="-16"/>
          <w:w w:val="105"/>
        </w:rPr>
        <w:t> </w:t>
      </w:r>
      <w:r>
        <w:rPr>
          <w:color w:val="231F20"/>
          <w:w w:val="105"/>
        </w:rPr>
        <w:t>y</w:t>
      </w:r>
      <w:r>
        <w:rPr>
          <w:color w:val="231F20"/>
          <w:spacing w:val="-16"/>
          <w:w w:val="105"/>
        </w:rPr>
        <w:t> </w:t>
      </w:r>
      <w:r>
        <w:rPr>
          <w:color w:val="231F20"/>
          <w:w w:val="105"/>
        </w:rPr>
        <w:t>las</w:t>
      </w:r>
      <w:r>
        <w:rPr>
          <w:color w:val="231F20"/>
          <w:spacing w:val="-16"/>
          <w:w w:val="105"/>
        </w:rPr>
        <w:t> </w:t>
      </w:r>
      <w:r>
        <w:rPr>
          <w:color w:val="231F20"/>
          <w:w w:val="105"/>
        </w:rPr>
        <w:t>pra-</w:t>
      </w:r>
      <w:r>
        <w:rPr>
          <w:color w:val="231F20"/>
          <w:w w:val="95"/>
        </w:rPr>
        <w:t> </w:t>
      </w:r>
      <w:r>
        <w:rPr>
          <w:color w:val="231F20"/>
          <w:w w:val="105"/>
        </w:rPr>
        <w:t>deras, ayudando de esta manera a reducir el uso de</w:t>
      </w:r>
      <w:r>
        <w:rPr>
          <w:color w:val="231F20"/>
          <w:spacing w:val="-13"/>
          <w:w w:val="105"/>
        </w:rPr>
        <w:t> </w:t>
      </w:r>
      <w:r>
        <w:rPr>
          <w:color w:val="231F20"/>
          <w:w w:val="105"/>
        </w:rPr>
        <w:t>fertilizantes</w:t>
      </w:r>
      <w:r>
        <w:rPr>
          <w:color w:val="231F20"/>
          <w:spacing w:val="-13"/>
          <w:w w:val="105"/>
        </w:rPr>
        <w:t> </w:t>
      </w:r>
      <w:r>
        <w:rPr>
          <w:color w:val="231F20"/>
          <w:w w:val="105"/>
        </w:rPr>
        <w:t>químicos</w:t>
      </w:r>
      <w:r>
        <w:rPr>
          <w:color w:val="231F20"/>
          <w:spacing w:val="-13"/>
          <w:w w:val="105"/>
        </w:rPr>
        <w:t> </w:t>
      </w:r>
      <w:r>
        <w:rPr>
          <w:color w:val="231F20"/>
          <w:w w:val="105"/>
        </w:rPr>
        <w:t>y</w:t>
      </w:r>
      <w:r>
        <w:rPr>
          <w:color w:val="231F20"/>
          <w:spacing w:val="-13"/>
          <w:w w:val="105"/>
        </w:rPr>
        <w:t> </w:t>
      </w:r>
      <w:r>
        <w:rPr>
          <w:color w:val="231F20"/>
          <w:w w:val="105"/>
        </w:rPr>
        <w:t>su</w:t>
      </w:r>
      <w:r>
        <w:rPr>
          <w:color w:val="231F20"/>
          <w:spacing w:val="-13"/>
          <w:w w:val="105"/>
        </w:rPr>
        <w:t> </w:t>
      </w:r>
      <w:r>
        <w:rPr>
          <w:color w:val="231F20"/>
          <w:w w:val="105"/>
        </w:rPr>
        <w:t>impacto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medio ambiente;</w:t>
      </w:r>
      <w:r>
        <w:rPr>
          <w:color w:val="231F20"/>
          <w:spacing w:val="-19"/>
          <w:w w:val="105"/>
        </w:rPr>
        <w:t> </w:t>
      </w:r>
      <w:r>
        <w:rPr>
          <w:color w:val="231F20"/>
          <w:w w:val="105"/>
        </w:rPr>
        <w:t>además,</w:t>
      </w:r>
      <w:r>
        <w:rPr>
          <w:color w:val="231F20"/>
          <w:spacing w:val="-19"/>
          <w:w w:val="105"/>
        </w:rPr>
        <w:t> </w:t>
      </w:r>
      <w:r>
        <w:rPr>
          <w:color w:val="231F20"/>
          <w:w w:val="105"/>
        </w:rPr>
        <w:t>esto</w:t>
      </w:r>
      <w:r>
        <w:rPr>
          <w:color w:val="231F20"/>
          <w:spacing w:val="-19"/>
          <w:w w:val="105"/>
        </w:rPr>
        <w:t> </w:t>
      </w:r>
      <w:r>
        <w:rPr>
          <w:color w:val="231F20"/>
          <w:w w:val="105"/>
        </w:rPr>
        <w:t>les</w:t>
      </w:r>
      <w:r>
        <w:rPr>
          <w:color w:val="231F20"/>
          <w:spacing w:val="-19"/>
          <w:w w:val="105"/>
        </w:rPr>
        <w:t> </w:t>
      </w:r>
      <w:r>
        <w:rPr>
          <w:color w:val="231F20"/>
          <w:w w:val="105"/>
        </w:rPr>
        <w:t>ayuda</w:t>
      </w:r>
      <w:r>
        <w:rPr>
          <w:color w:val="231F20"/>
          <w:spacing w:val="-19"/>
          <w:w w:val="105"/>
        </w:rPr>
        <w:t> </w:t>
      </w:r>
      <w:r>
        <w:rPr>
          <w:color w:val="231F20"/>
          <w:w w:val="105"/>
        </w:rPr>
        <w:t>a</w:t>
      </w:r>
      <w:r>
        <w:rPr>
          <w:color w:val="231F20"/>
          <w:spacing w:val="-19"/>
          <w:w w:val="105"/>
        </w:rPr>
        <w:t> </w:t>
      </w:r>
      <w:r>
        <w:rPr>
          <w:color w:val="231F20"/>
          <w:w w:val="105"/>
        </w:rPr>
        <w:t>reducir</w:t>
      </w:r>
      <w:r>
        <w:rPr>
          <w:color w:val="231F20"/>
          <w:spacing w:val="-19"/>
          <w:w w:val="105"/>
        </w:rPr>
        <w:t> </w:t>
      </w:r>
      <w:r>
        <w:rPr>
          <w:color w:val="231F20"/>
          <w:w w:val="105"/>
        </w:rPr>
        <w:t>costos</w:t>
      </w:r>
      <w:r>
        <w:rPr>
          <w:color w:val="231F20"/>
          <w:w w:val="101"/>
        </w:rPr>
        <w:t> </w:t>
      </w:r>
      <w:r>
        <w:rPr>
          <w:color w:val="231F20"/>
          <w:w w:val="105"/>
        </w:rPr>
        <w:t>por la menor compra de abonos químicos. Este </w:t>
      </w:r>
      <w:r>
        <w:rPr>
          <w:color w:val="231F20"/>
        </w:rPr>
        <w:t>sistema mixto (animal-cultivo) permite disminuir la </w:t>
      </w:r>
      <w:r>
        <w:rPr>
          <w:color w:val="231F20"/>
          <w:w w:val="105"/>
        </w:rPr>
        <w:t>contaminación,</w:t>
      </w:r>
      <w:r>
        <w:rPr>
          <w:color w:val="231F20"/>
          <w:spacing w:val="-30"/>
          <w:w w:val="105"/>
        </w:rPr>
        <w:t> </w:t>
      </w:r>
      <w:r>
        <w:rPr>
          <w:color w:val="231F20"/>
          <w:w w:val="105"/>
        </w:rPr>
        <w:t>porque</w:t>
      </w:r>
      <w:r>
        <w:rPr>
          <w:color w:val="231F20"/>
          <w:spacing w:val="-29"/>
          <w:w w:val="105"/>
        </w:rPr>
        <w:t> </w:t>
      </w:r>
      <w:r>
        <w:rPr>
          <w:color w:val="231F20"/>
          <w:w w:val="105"/>
        </w:rPr>
        <w:t>los</w:t>
      </w:r>
      <w:r>
        <w:rPr>
          <w:color w:val="231F20"/>
          <w:spacing w:val="-29"/>
          <w:w w:val="105"/>
        </w:rPr>
        <w:t> </w:t>
      </w:r>
      <w:r>
        <w:rPr>
          <w:color w:val="231F20"/>
          <w:w w:val="105"/>
        </w:rPr>
        <w:t>desperdicios</w:t>
      </w:r>
      <w:r>
        <w:rPr>
          <w:color w:val="231F20"/>
          <w:spacing w:val="-30"/>
          <w:w w:val="105"/>
        </w:rPr>
        <w:t> </w:t>
      </w:r>
      <w:r>
        <w:rPr>
          <w:color w:val="231F20"/>
          <w:w w:val="105"/>
        </w:rPr>
        <w:t>de</w:t>
      </w:r>
      <w:r>
        <w:rPr>
          <w:color w:val="231F20"/>
          <w:spacing w:val="-29"/>
          <w:w w:val="105"/>
        </w:rPr>
        <w:t> </w:t>
      </w:r>
      <w:r>
        <w:rPr>
          <w:color w:val="231F20"/>
          <w:w w:val="105"/>
        </w:rPr>
        <w:t>un</w:t>
      </w:r>
      <w:r>
        <w:rPr>
          <w:color w:val="231F20"/>
          <w:spacing w:val="-29"/>
          <w:w w:val="105"/>
        </w:rPr>
        <w:t> </w:t>
      </w:r>
      <w:r>
        <w:rPr>
          <w:color w:val="231F20"/>
          <w:w w:val="105"/>
        </w:rPr>
        <w:t>sub-</w:t>
      </w:r>
      <w:r>
        <w:rPr>
          <w:color w:val="231F20"/>
          <w:w w:val="95"/>
        </w:rPr>
        <w:t> </w:t>
      </w:r>
      <w:r>
        <w:rPr>
          <w:color w:val="231F20"/>
          <w:w w:val="105"/>
        </w:rPr>
        <w:t>sistema</w:t>
      </w:r>
      <w:r>
        <w:rPr>
          <w:color w:val="231F20"/>
          <w:spacing w:val="-20"/>
          <w:w w:val="105"/>
        </w:rPr>
        <w:t> </w:t>
      </w:r>
      <w:r>
        <w:rPr>
          <w:color w:val="231F20"/>
          <w:w w:val="105"/>
        </w:rPr>
        <w:t>sirven</w:t>
      </w:r>
      <w:r>
        <w:rPr>
          <w:color w:val="231F20"/>
          <w:spacing w:val="-20"/>
          <w:w w:val="105"/>
        </w:rPr>
        <w:t> </w:t>
      </w:r>
      <w:r>
        <w:rPr>
          <w:color w:val="231F20"/>
          <w:w w:val="105"/>
        </w:rPr>
        <w:t>de</w:t>
      </w:r>
      <w:r>
        <w:rPr>
          <w:color w:val="231F20"/>
          <w:spacing w:val="-20"/>
          <w:w w:val="105"/>
        </w:rPr>
        <w:t> </w:t>
      </w:r>
      <w:r>
        <w:rPr>
          <w:color w:val="231F20"/>
          <w:w w:val="105"/>
        </w:rPr>
        <w:t>recursos</w:t>
      </w:r>
      <w:r>
        <w:rPr>
          <w:color w:val="231F20"/>
          <w:spacing w:val="-20"/>
          <w:w w:val="105"/>
        </w:rPr>
        <w:t> </w:t>
      </w:r>
      <w:r>
        <w:rPr>
          <w:color w:val="231F20"/>
          <w:w w:val="105"/>
        </w:rPr>
        <w:t>para</w:t>
      </w:r>
      <w:r>
        <w:rPr>
          <w:color w:val="231F20"/>
          <w:spacing w:val="-20"/>
          <w:w w:val="105"/>
        </w:rPr>
        <w:t> </w:t>
      </w:r>
      <w:r>
        <w:rPr>
          <w:color w:val="231F20"/>
          <w:w w:val="105"/>
        </w:rPr>
        <w:t>el</w:t>
      </w:r>
      <w:r>
        <w:rPr>
          <w:color w:val="231F20"/>
          <w:spacing w:val="-20"/>
          <w:w w:val="105"/>
        </w:rPr>
        <w:t> </w:t>
      </w:r>
      <w:r>
        <w:rPr>
          <w:color w:val="231F20"/>
          <w:w w:val="105"/>
        </w:rPr>
        <w:t>otro</w:t>
      </w:r>
      <w:r>
        <w:rPr>
          <w:color w:val="231F20"/>
          <w:spacing w:val="-20"/>
          <w:w w:val="105"/>
        </w:rPr>
        <w:t> </w:t>
      </w:r>
      <w:r>
        <w:rPr>
          <w:color w:val="231F20"/>
          <w:w w:val="105"/>
        </w:rPr>
        <w:t>subsistema (Schiere </w:t>
      </w:r>
      <w:r>
        <w:rPr>
          <w:i/>
          <w:color w:val="231F20"/>
          <w:w w:val="105"/>
        </w:rPr>
        <w:t>et al</w:t>
      </w:r>
      <w:r>
        <w:rPr>
          <w:color w:val="231F20"/>
          <w:w w:val="105"/>
        </w:rPr>
        <w:t>., 2002). De acuerdo con los resul- tados del análisis de suelos realizado en las UPL, bajo la norma mexicana </w:t>
      </w:r>
      <w:r>
        <w:rPr>
          <w:color w:val="231F20"/>
          <w:spacing w:val="-3"/>
          <w:w w:val="105"/>
        </w:rPr>
        <w:t>NOM-021-RECNAT-2000, </w:t>
      </w:r>
      <w:r>
        <w:rPr>
          <w:color w:val="231F20"/>
          <w:w w:val="105"/>
        </w:rPr>
        <w:t>se encontraron suelos con un 0,009% de mate- ria orgánica y </w:t>
      </w:r>
      <w:r>
        <w:rPr>
          <w:color w:val="231F20"/>
          <w:spacing w:val="-3"/>
          <w:w w:val="105"/>
        </w:rPr>
        <w:t>0,15 </w:t>
      </w:r>
      <w:r>
        <w:rPr>
          <w:color w:val="231F20"/>
          <w:w w:val="105"/>
        </w:rPr>
        <w:t>mg/kg de nitrógeno total, que de acuerdo con la norma son suelos muy bajos para ambos componentes. En caso de</w:t>
      </w:r>
      <w:r>
        <w:rPr>
          <w:color w:val="231F20"/>
          <w:spacing w:val="-27"/>
          <w:w w:val="105"/>
        </w:rPr>
        <w:t> </w:t>
      </w:r>
      <w:r>
        <w:rPr>
          <w:color w:val="231F20"/>
          <w:w w:val="105"/>
        </w:rPr>
        <w:t>deficiencia de nutrientes, como éste, los aportes por la ori- na y las excretas de los animales desempeñan</w:t>
      </w:r>
      <w:r>
        <w:rPr>
          <w:color w:val="231F20"/>
          <w:spacing w:val="-13"/>
          <w:w w:val="105"/>
        </w:rPr>
        <w:t> </w:t>
      </w:r>
      <w:r>
        <w:rPr>
          <w:color w:val="231F20"/>
          <w:w w:val="105"/>
        </w:rPr>
        <w:t>un papel importantísimo para mejorar el balance</w:t>
      </w:r>
      <w:r>
        <w:rPr>
          <w:color w:val="231F20"/>
          <w:spacing w:val="-8"/>
          <w:w w:val="105"/>
        </w:rPr>
        <w:t> </w:t>
      </w:r>
      <w:r>
        <w:rPr>
          <w:color w:val="231F20"/>
          <w:w w:val="105"/>
        </w:rPr>
        <w:t>de nutrientes</w:t>
      </w:r>
      <w:r>
        <w:rPr>
          <w:color w:val="231F20"/>
          <w:spacing w:val="-29"/>
          <w:w w:val="105"/>
        </w:rPr>
        <w:t> </w:t>
      </w:r>
      <w:r>
        <w:rPr>
          <w:color w:val="231F20"/>
          <w:w w:val="105"/>
        </w:rPr>
        <w:t>del</w:t>
      </w:r>
      <w:r>
        <w:rPr>
          <w:color w:val="231F20"/>
          <w:spacing w:val="-29"/>
          <w:w w:val="105"/>
        </w:rPr>
        <w:t> </w:t>
      </w:r>
      <w:r>
        <w:rPr>
          <w:color w:val="231F20"/>
          <w:w w:val="105"/>
        </w:rPr>
        <w:t>suelo</w:t>
      </w:r>
      <w:r>
        <w:rPr>
          <w:color w:val="231F20"/>
          <w:spacing w:val="-29"/>
          <w:w w:val="105"/>
        </w:rPr>
        <w:t> </w:t>
      </w:r>
      <w:r>
        <w:rPr>
          <w:color w:val="231F20"/>
          <w:w w:val="105"/>
        </w:rPr>
        <w:t>y</w:t>
      </w:r>
      <w:r>
        <w:rPr>
          <w:color w:val="231F20"/>
          <w:spacing w:val="-29"/>
          <w:w w:val="105"/>
        </w:rPr>
        <w:t> </w:t>
      </w:r>
      <w:r>
        <w:rPr>
          <w:color w:val="231F20"/>
          <w:w w:val="105"/>
        </w:rPr>
        <w:t>para</w:t>
      </w:r>
      <w:r>
        <w:rPr>
          <w:color w:val="231F20"/>
          <w:spacing w:val="-29"/>
          <w:w w:val="105"/>
        </w:rPr>
        <w:t> </w:t>
      </w:r>
      <w:r>
        <w:rPr>
          <w:color w:val="231F20"/>
          <w:w w:val="105"/>
        </w:rPr>
        <w:t>mantener</w:t>
      </w:r>
      <w:r>
        <w:rPr>
          <w:color w:val="231F20"/>
          <w:spacing w:val="-29"/>
          <w:w w:val="105"/>
        </w:rPr>
        <w:t> </w:t>
      </w:r>
      <w:r>
        <w:rPr>
          <w:color w:val="231F20"/>
          <w:w w:val="105"/>
        </w:rPr>
        <w:t>la</w:t>
      </w:r>
      <w:r>
        <w:rPr>
          <w:color w:val="231F20"/>
          <w:spacing w:val="-29"/>
          <w:w w:val="105"/>
        </w:rPr>
        <w:t> </w:t>
      </w:r>
      <w:r>
        <w:rPr>
          <w:color w:val="231F20"/>
          <w:w w:val="105"/>
        </w:rPr>
        <w:t>producción de los cultivos (McDermott </w:t>
      </w:r>
      <w:r>
        <w:rPr>
          <w:i/>
          <w:color w:val="231F20"/>
          <w:w w:val="105"/>
        </w:rPr>
        <w:t>et al</w:t>
      </w:r>
      <w:r>
        <w:rPr>
          <w:color w:val="231F20"/>
          <w:w w:val="105"/>
        </w:rPr>
        <w:t>.,</w:t>
      </w:r>
      <w:r>
        <w:rPr>
          <w:color w:val="231F20"/>
          <w:spacing w:val="-21"/>
          <w:w w:val="105"/>
        </w:rPr>
        <w:t> </w:t>
      </w:r>
      <w:r>
        <w:rPr>
          <w:color w:val="231F20"/>
          <w:spacing w:val="-4"/>
          <w:w w:val="105"/>
        </w:rPr>
        <w:t>2010).</w:t>
      </w:r>
    </w:p>
    <w:p>
      <w:pPr>
        <w:pStyle w:val="BodyText"/>
        <w:spacing w:line="268" w:lineRule="auto" w:before="114"/>
        <w:ind w:left="1553"/>
        <w:jc w:val="both"/>
      </w:pPr>
      <w:r>
        <w:rPr>
          <w:color w:val="231F20"/>
          <w:w w:val="105"/>
        </w:rPr>
        <w:t>Para la escala socioterritorial, en el componente de</w:t>
      </w:r>
      <w:r>
        <w:rPr>
          <w:color w:val="231F20"/>
          <w:spacing w:val="-10"/>
          <w:w w:val="105"/>
        </w:rPr>
        <w:t> </w:t>
      </w:r>
      <w:r>
        <w:rPr>
          <w:color w:val="231F20"/>
          <w:w w:val="105"/>
        </w:rPr>
        <w:t>calidad</w:t>
      </w:r>
      <w:r>
        <w:rPr>
          <w:color w:val="231F20"/>
          <w:spacing w:val="-10"/>
          <w:w w:val="105"/>
        </w:rPr>
        <w:t> </w:t>
      </w:r>
      <w:r>
        <w:rPr>
          <w:color w:val="231F20"/>
          <w:w w:val="105"/>
        </w:rPr>
        <w:t>y</w:t>
      </w:r>
      <w:r>
        <w:rPr>
          <w:color w:val="231F20"/>
          <w:spacing w:val="-10"/>
          <w:w w:val="105"/>
        </w:rPr>
        <w:t> </w:t>
      </w:r>
      <w:r>
        <w:rPr>
          <w:color w:val="231F20"/>
          <w:w w:val="105"/>
        </w:rPr>
        <w:t>producto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tierra</w:t>
      </w:r>
      <w:r>
        <w:rPr>
          <w:color w:val="231F20"/>
          <w:spacing w:val="-10"/>
          <w:w w:val="105"/>
        </w:rPr>
        <w:t> </w:t>
      </w:r>
      <w:r>
        <w:rPr>
          <w:color w:val="231F20"/>
          <w:w w:val="105"/>
        </w:rPr>
        <w:t>se</w:t>
      </w:r>
      <w:r>
        <w:rPr>
          <w:color w:val="231F20"/>
          <w:spacing w:val="-10"/>
          <w:w w:val="105"/>
        </w:rPr>
        <w:t> </w:t>
      </w:r>
      <w:r>
        <w:rPr>
          <w:color w:val="231F20"/>
          <w:w w:val="105"/>
        </w:rPr>
        <w:t>encontró</w:t>
      </w:r>
      <w:r>
        <w:rPr>
          <w:color w:val="231F20"/>
          <w:spacing w:val="-10"/>
          <w:w w:val="105"/>
        </w:rPr>
        <w:t> </w:t>
      </w:r>
      <w:r>
        <w:rPr>
          <w:color w:val="231F20"/>
          <w:w w:val="105"/>
        </w:rPr>
        <w:t>que las</w:t>
      </w:r>
      <w:r>
        <w:rPr>
          <w:color w:val="231F20"/>
          <w:spacing w:val="-10"/>
          <w:w w:val="105"/>
        </w:rPr>
        <w:t> </w:t>
      </w:r>
      <w:r>
        <w:rPr>
          <w:color w:val="231F20"/>
          <w:w w:val="105"/>
        </w:rPr>
        <w:t>seis</w:t>
      </w:r>
      <w:r>
        <w:rPr>
          <w:color w:val="231F20"/>
          <w:spacing w:val="-10"/>
          <w:w w:val="105"/>
        </w:rPr>
        <w:t> </w:t>
      </w:r>
      <w:r>
        <w:rPr>
          <w:color w:val="231F20"/>
          <w:spacing w:val="2"/>
          <w:w w:val="105"/>
        </w:rPr>
        <w:t>UPL</w:t>
      </w:r>
      <w:r>
        <w:rPr>
          <w:color w:val="231F20"/>
          <w:spacing w:val="-10"/>
          <w:w w:val="105"/>
        </w:rPr>
        <w:t> </w:t>
      </w:r>
      <w:r>
        <w:rPr>
          <w:color w:val="231F20"/>
          <w:w w:val="105"/>
        </w:rPr>
        <w:t>tienen</w:t>
      </w:r>
      <w:r>
        <w:rPr>
          <w:color w:val="231F20"/>
          <w:spacing w:val="-10"/>
          <w:w w:val="105"/>
        </w:rPr>
        <w:t> </w:t>
      </w:r>
      <w:r>
        <w:rPr>
          <w:color w:val="231F20"/>
          <w:w w:val="105"/>
        </w:rPr>
        <w:t>buenos</w:t>
      </w:r>
      <w:r>
        <w:rPr>
          <w:color w:val="231F20"/>
          <w:spacing w:val="-10"/>
          <w:w w:val="105"/>
        </w:rPr>
        <w:t> </w:t>
      </w:r>
      <w:r>
        <w:rPr>
          <w:color w:val="231F20"/>
          <w:w w:val="105"/>
        </w:rPr>
        <w:t>puntajes.</w:t>
      </w:r>
      <w:r>
        <w:rPr>
          <w:color w:val="231F20"/>
          <w:spacing w:val="-10"/>
          <w:w w:val="105"/>
        </w:rPr>
        <w:t> </w:t>
      </w:r>
      <w:r>
        <w:rPr>
          <w:color w:val="231F20"/>
          <w:w w:val="105"/>
        </w:rPr>
        <w:t>La</w:t>
      </w:r>
      <w:r>
        <w:rPr>
          <w:color w:val="231F20"/>
          <w:spacing w:val="-10"/>
          <w:w w:val="105"/>
        </w:rPr>
        <w:t> </w:t>
      </w:r>
      <w:r>
        <w:rPr>
          <w:color w:val="231F20"/>
          <w:w w:val="105"/>
        </w:rPr>
        <w:t>leche</w:t>
      </w:r>
      <w:r>
        <w:rPr>
          <w:color w:val="231F20"/>
          <w:spacing w:val="-10"/>
          <w:w w:val="105"/>
        </w:rPr>
        <w:t> </w:t>
      </w:r>
      <w:r>
        <w:rPr>
          <w:color w:val="231F20"/>
          <w:w w:val="105"/>
        </w:rPr>
        <w:t>pro- ducida cumple con los estándares de la norma mexicana NMX-F-700-COFOCALEC-2004. La</w:t>
      </w:r>
      <w:r>
        <w:rPr>
          <w:color w:val="231F20"/>
          <w:spacing w:val="24"/>
          <w:w w:val="105"/>
        </w:rPr>
        <w:t> </w:t>
      </w:r>
      <w:r>
        <w:rPr>
          <w:color w:val="231F20"/>
          <w:w w:val="105"/>
        </w:rPr>
        <w:t>UPL-</w:t>
      </w:r>
    </w:p>
    <w:p>
      <w:pPr>
        <w:pStyle w:val="BodyText"/>
        <w:spacing w:line="268" w:lineRule="auto"/>
        <w:ind w:left="1553"/>
        <w:jc w:val="both"/>
      </w:pPr>
      <w:r>
        <w:rPr>
          <w:color w:val="231F20"/>
          <w:w w:val="105"/>
        </w:rPr>
        <w:t>6</w:t>
      </w:r>
      <w:r>
        <w:rPr>
          <w:color w:val="231F20"/>
          <w:spacing w:val="-9"/>
          <w:w w:val="105"/>
        </w:rPr>
        <w:t> </w:t>
      </w:r>
      <w:r>
        <w:rPr>
          <w:color w:val="231F20"/>
          <w:w w:val="105"/>
        </w:rPr>
        <w:t>es</w:t>
      </w:r>
      <w:r>
        <w:rPr>
          <w:color w:val="231F20"/>
          <w:spacing w:val="-9"/>
          <w:w w:val="105"/>
        </w:rPr>
        <w:t> </w:t>
      </w:r>
      <w:r>
        <w:rPr>
          <w:color w:val="231F20"/>
          <w:w w:val="105"/>
        </w:rPr>
        <w:t>la</w:t>
      </w:r>
      <w:r>
        <w:rPr>
          <w:color w:val="231F20"/>
          <w:spacing w:val="-9"/>
          <w:w w:val="105"/>
        </w:rPr>
        <w:t> </w:t>
      </w:r>
      <w:r>
        <w:rPr>
          <w:color w:val="231F20"/>
          <w:w w:val="105"/>
        </w:rPr>
        <w:t>que</w:t>
      </w:r>
      <w:r>
        <w:rPr>
          <w:color w:val="231F20"/>
          <w:spacing w:val="-9"/>
          <w:w w:val="105"/>
        </w:rPr>
        <w:t> </w:t>
      </w:r>
      <w:r>
        <w:rPr>
          <w:color w:val="231F20"/>
          <w:w w:val="105"/>
        </w:rPr>
        <w:t>tiene</w:t>
      </w:r>
      <w:r>
        <w:rPr>
          <w:color w:val="231F20"/>
          <w:spacing w:val="-9"/>
          <w:w w:val="105"/>
        </w:rPr>
        <w:t> </w:t>
      </w:r>
      <w:r>
        <w:rPr>
          <w:color w:val="231F20"/>
          <w:w w:val="105"/>
        </w:rPr>
        <w:t>el</w:t>
      </w:r>
      <w:r>
        <w:rPr>
          <w:color w:val="231F20"/>
          <w:spacing w:val="-9"/>
          <w:w w:val="105"/>
        </w:rPr>
        <w:t> </w:t>
      </w:r>
      <w:r>
        <w:rPr>
          <w:color w:val="231F20"/>
          <w:w w:val="105"/>
        </w:rPr>
        <w:t>mayor</w:t>
      </w:r>
      <w:r>
        <w:rPr>
          <w:color w:val="231F20"/>
          <w:spacing w:val="-9"/>
          <w:w w:val="105"/>
        </w:rPr>
        <w:t> </w:t>
      </w:r>
      <w:r>
        <w:rPr>
          <w:color w:val="231F20"/>
          <w:w w:val="105"/>
        </w:rPr>
        <w:t>promedio</w:t>
      </w:r>
      <w:r>
        <w:rPr>
          <w:color w:val="231F20"/>
          <w:spacing w:val="-9"/>
          <w:w w:val="105"/>
        </w:rPr>
        <w:t> </w:t>
      </w:r>
      <w:r>
        <w:rPr>
          <w:color w:val="231F20"/>
          <w:w w:val="105"/>
        </w:rPr>
        <w:t>de</w:t>
      </w:r>
      <w:r>
        <w:rPr>
          <w:color w:val="231F20"/>
          <w:spacing w:val="-9"/>
          <w:w w:val="105"/>
        </w:rPr>
        <w:t> </w:t>
      </w:r>
      <w:r>
        <w:rPr>
          <w:color w:val="231F20"/>
          <w:w w:val="105"/>
        </w:rPr>
        <w:t>grasa,</w:t>
      </w:r>
      <w:r>
        <w:rPr>
          <w:color w:val="231F20"/>
          <w:spacing w:val="-9"/>
          <w:w w:val="105"/>
        </w:rPr>
        <w:t> </w:t>
      </w:r>
      <w:r>
        <w:rPr>
          <w:color w:val="231F20"/>
          <w:w w:val="105"/>
        </w:rPr>
        <w:t>con </w:t>
      </w:r>
      <w:r>
        <w:rPr>
          <w:color w:val="231F20"/>
          <w:spacing w:val="-5"/>
          <w:w w:val="105"/>
        </w:rPr>
        <w:t>41</w:t>
      </w:r>
      <w:r>
        <w:rPr>
          <w:color w:val="231F20"/>
          <w:spacing w:val="-13"/>
          <w:w w:val="105"/>
        </w:rPr>
        <w:t> </w:t>
      </w:r>
      <w:r>
        <w:rPr>
          <w:color w:val="231F20"/>
          <w:w w:val="105"/>
        </w:rPr>
        <w:t>g/kg</w:t>
      </w:r>
      <w:r>
        <w:rPr>
          <w:color w:val="231F20"/>
          <w:spacing w:val="-13"/>
          <w:w w:val="105"/>
        </w:rPr>
        <w:t> </w:t>
      </w:r>
      <w:r>
        <w:rPr>
          <w:color w:val="231F20"/>
          <w:w w:val="105"/>
        </w:rPr>
        <w:t>de</w:t>
      </w:r>
      <w:r>
        <w:rPr>
          <w:color w:val="231F20"/>
          <w:spacing w:val="-13"/>
          <w:w w:val="105"/>
        </w:rPr>
        <w:t> </w:t>
      </w:r>
      <w:r>
        <w:rPr>
          <w:color w:val="231F20"/>
          <w:w w:val="105"/>
        </w:rPr>
        <w:t>leche</w:t>
      </w:r>
      <w:r>
        <w:rPr>
          <w:color w:val="231F20"/>
          <w:spacing w:val="-13"/>
          <w:w w:val="105"/>
        </w:rPr>
        <w:t> </w:t>
      </w:r>
      <w:r>
        <w:rPr>
          <w:color w:val="231F20"/>
          <w:w w:val="105"/>
        </w:rPr>
        <w:t>durante</w:t>
      </w:r>
      <w:r>
        <w:rPr>
          <w:color w:val="231F20"/>
          <w:spacing w:val="-13"/>
          <w:w w:val="105"/>
        </w:rPr>
        <w:t> </w:t>
      </w:r>
      <w:r>
        <w:rPr>
          <w:color w:val="231F20"/>
          <w:w w:val="105"/>
        </w:rPr>
        <w:t>el</w:t>
      </w:r>
      <w:r>
        <w:rPr>
          <w:color w:val="231F20"/>
          <w:spacing w:val="-13"/>
          <w:w w:val="105"/>
        </w:rPr>
        <w:t> </w:t>
      </w:r>
      <w:r>
        <w:rPr>
          <w:color w:val="231F20"/>
          <w:w w:val="105"/>
        </w:rPr>
        <w:t>periodo</w:t>
      </w:r>
      <w:r>
        <w:rPr>
          <w:color w:val="231F20"/>
          <w:spacing w:val="-13"/>
          <w:w w:val="105"/>
        </w:rPr>
        <w:t> </w:t>
      </w:r>
      <w:r>
        <w:rPr>
          <w:color w:val="231F20"/>
          <w:w w:val="105"/>
        </w:rPr>
        <w:t>del</w:t>
      </w:r>
      <w:r>
        <w:rPr>
          <w:color w:val="231F20"/>
          <w:spacing w:val="-13"/>
          <w:w w:val="105"/>
        </w:rPr>
        <w:t> </w:t>
      </w:r>
      <w:r>
        <w:rPr>
          <w:color w:val="231F20"/>
          <w:w w:val="105"/>
        </w:rPr>
        <w:t>muestreo, mientras que la UPL-3 tuvo el menor promedio, con 30 g/kg de leche, pero igualmente cumple con</w:t>
      </w:r>
      <w:r>
        <w:rPr>
          <w:color w:val="231F20"/>
          <w:spacing w:val="-6"/>
          <w:w w:val="105"/>
        </w:rPr>
        <w:t> </w:t>
      </w:r>
      <w:r>
        <w:rPr>
          <w:color w:val="231F20"/>
          <w:w w:val="105"/>
        </w:rPr>
        <w:t>el</w:t>
      </w:r>
      <w:r>
        <w:rPr>
          <w:color w:val="231F20"/>
          <w:spacing w:val="-6"/>
          <w:w w:val="105"/>
        </w:rPr>
        <w:t> </w:t>
      </w:r>
      <w:r>
        <w:rPr>
          <w:color w:val="231F20"/>
          <w:w w:val="105"/>
        </w:rPr>
        <w:t>mínimo</w:t>
      </w:r>
      <w:r>
        <w:rPr>
          <w:color w:val="231F20"/>
          <w:spacing w:val="-6"/>
          <w:w w:val="105"/>
        </w:rPr>
        <w:t> </w:t>
      </w:r>
      <w:r>
        <w:rPr>
          <w:color w:val="231F20"/>
          <w:w w:val="105"/>
        </w:rPr>
        <w:t>exigido</w:t>
      </w:r>
      <w:r>
        <w:rPr>
          <w:color w:val="231F20"/>
          <w:spacing w:val="-6"/>
          <w:w w:val="105"/>
        </w:rPr>
        <w:t> </w:t>
      </w:r>
      <w:r>
        <w:rPr>
          <w:color w:val="231F20"/>
          <w:w w:val="105"/>
        </w:rPr>
        <w:t>por</w:t>
      </w:r>
      <w:r>
        <w:rPr>
          <w:color w:val="231F20"/>
          <w:spacing w:val="-6"/>
          <w:w w:val="105"/>
        </w:rPr>
        <w:t> </w:t>
      </w:r>
      <w:r>
        <w:rPr>
          <w:color w:val="231F20"/>
          <w:w w:val="105"/>
        </w:rPr>
        <w:t>la</w:t>
      </w:r>
      <w:r>
        <w:rPr>
          <w:color w:val="231F20"/>
          <w:spacing w:val="-6"/>
          <w:w w:val="105"/>
        </w:rPr>
        <w:t> </w:t>
      </w:r>
      <w:r>
        <w:rPr>
          <w:color w:val="231F20"/>
          <w:w w:val="105"/>
        </w:rPr>
        <w:t>norma.</w:t>
      </w:r>
      <w:r>
        <w:rPr>
          <w:color w:val="231F20"/>
          <w:spacing w:val="-6"/>
          <w:w w:val="105"/>
        </w:rPr>
        <w:t> </w:t>
      </w:r>
      <w:r>
        <w:rPr>
          <w:color w:val="231F20"/>
          <w:w w:val="105"/>
        </w:rPr>
        <w:t>Es</w:t>
      </w:r>
      <w:r>
        <w:rPr>
          <w:color w:val="231F20"/>
          <w:spacing w:val="-6"/>
          <w:w w:val="105"/>
        </w:rPr>
        <w:t> </w:t>
      </w:r>
      <w:r>
        <w:rPr>
          <w:color w:val="231F20"/>
          <w:w w:val="105"/>
        </w:rPr>
        <w:t>importan- te mencionar que, a pesar de que la zona donde se realizó el estudio (Aculco) se caracteriza por</w:t>
      </w:r>
      <w:r>
        <w:rPr>
          <w:color w:val="231F20"/>
          <w:spacing w:val="-16"/>
          <w:w w:val="105"/>
        </w:rPr>
        <w:t> </w:t>
      </w:r>
      <w:r>
        <w:rPr>
          <w:color w:val="231F20"/>
          <w:w w:val="105"/>
        </w:rPr>
        <w:t>la gran producción de quesos, el precio de la leche no viene dado por su composición o calidad, y el precio</w:t>
      </w:r>
      <w:r>
        <w:rPr>
          <w:color w:val="231F20"/>
          <w:spacing w:val="-6"/>
          <w:w w:val="105"/>
        </w:rPr>
        <w:t> </w:t>
      </w:r>
      <w:r>
        <w:rPr>
          <w:color w:val="231F20"/>
          <w:w w:val="105"/>
        </w:rPr>
        <w:t>es</w:t>
      </w:r>
      <w:r>
        <w:rPr>
          <w:color w:val="231F20"/>
          <w:spacing w:val="-6"/>
          <w:w w:val="105"/>
        </w:rPr>
        <w:t> </w:t>
      </w:r>
      <w:r>
        <w:rPr>
          <w:color w:val="231F20"/>
          <w:w w:val="105"/>
        </w:rPr>
        <w:t>en</w:t>
      </w:r>
      <w:r>
        <w:rPr>
          <w:color w:val="231F20"/>
          <w:spacing w:val="-6"/>
          <w:w w:val="105"/>
        </w:rPr>
        <w:t> </w:t>
      </w:r>
      <w:r>
        <w:rPr>
          <w:color w:val="231F20"/>
          <w:w w:val="105"/>
        </w:rPr>
        <w:t>promedio</w:t>
      </w:r>
      <w:r>
        <w:rPr>
          <w:color w:val="231F20"/>
          <w:spacing w:val="-6"/>
          <w:w w:val="105"/>
        </w:rPr>
        <w:t> </w:t>
      </w:r>
      <w:r>
        <w:rPr>
          <w:color w:val="231F20"/>
          <w:w w:val="105"/>
        </w:rPr>
        <w:t>de</w:t>
      </w:r>
      <w:r>
        <w:rPr>
          <w:color w:val="231F20"/>
          <w:spacing w:val="-6"/>
          <w:w w:val="105"/>
        </w:rPr>
        <w:t> </w:t>
      </w:r>
      <w:r>
        <w:rPr>
          <w:color w:val="231F20"/>
          <w:w w:val="105"/>
        </w:rPr>
        <w:t>$4,45</w:t>
      </w:r>
      <w:r>
        <w:rPr>
          <w:color w:val="231F20"/>
          <w:spacing w:val="-6"/>
          <w:w w:val="105"/>
        </w:rPr>
        <w:t> </w:t>
      </w:r>
      <w:r>
        <w:rPr>
          <w:color w:val="231F20"/>
          <w:w w:val="105"/>
        </w:rPr>
        <w:t>el</w:t>
      </w:r>
      <w:r>
        <w:rPr>
          <w:color w:val="231F20"/>
          <w:spacing w:val="-6"/>
          <w:w w:val="105"/>
        </w:rPr>
        <w:t> </w:t>
      </w:r>
      <w:r>
        <w:rPr>
          <w:color w:val="231F20"/>
          <w:w w:val="105"/>
        </w:rPr>
        <w:t>litro.</w:t>
      </w:r>
    </w:p>
    <w:p>
      <w:pPr>
        <w:pStyle w:val="BodyText"/>
        <w:spacing w:before="3"/>
        <w:rPr>
          <w:sz w:val="28"/>
        </w:rPr>
      </w:pPr>
      <w:r>
        <w:rPr/>
        <w:br w:type="column"/>
      </w:r>
      <w:r>
        <w:rPr>
          <w:sz w:val="28"/>
        </w:rPr>
      </w:r>
    </w:p>
    <w:p>
      <w:pPr>
        <w:pStyle w:val="BodyText"/>
        <w:spacing w:line="264" w:lineRule="auto"/>
        <w:ind w:left="413" w:right="1551"/>
        <w:jc w:val="both"/>
      </w:pPr>
      <w:r>
        <w:rPr>
          <w:color w:val="231F20"/>
        </w:rPr>
        <w:t>En el segundo componente de la escala, empleo     y servicios, también se encontró que las seis </w:t>
      </w:r>
      <w:r>
        <w:rPr>
          <w:color w:val="231F20"/>
          <w:spacing w:val="2"/>
        </w:rPr>
        <w:t>UPL </w:t>
      </w:r>
      <w:r>
        <w:rPr>
          <w:color w:val="231F20"/>
        </w:rPr>
        <w:t>tuvieron altos puntajes, principalmente porque los productores adquieren los alimentos e  insumos  en el territorio local y son autónomos en la utili- zación de semillas, seleccionándolas de cosechas anteriores.</w:t>
      </w:r>
    </w:p>
    <w:p>
      <w:pPr>
        <w:pStyle w:val="BodyText"/>
        <w:spacing w:line="264" w:lineRule="auto" w:before="113"/>
        <w:ind w:left="413" w:right="1551"/>
        <w:jc w:val="both"/>
      </w:pPr>
      <w:r>
        <w:rPr>
          <w:color w:val="231F20"/>
        </w:rPr>
        <w:t>Por otro lado, la generación de empleo tiene un papel muy importante en estos sistemas, ya que   se encontró que, de las seis UPL, tres (2, 3 y 5) tienen un empleado fijo a tiempo completo que   no es fuerza de trabajo familiar, mientras que las otras 3 (1, 4 y 6) tienen fuerza de trabajo tempo- ral, y todo este empleo generado es de la zona.   Los pequeños productores ocupan un lugar crucial en la generación de empleo en la zona donde se encuentran; por ejemplo, en Kenia, cerca de la mi- tad de todos los pequeños productores emplean una  persona  a  tiempo   completo   (McDermott  </w:t>
      </w:r>
      <w:r>
        <w:rPr>
          <w:i/>
          <w:color w:val="231F20"/>
        </w:rPr>
        <w:t>et  al</w:t>
      </w:r>
      <w:r>
        <w:rPr>
          <w:color w:val="231F20"/>
        </w:rPr>
        <w:t>.,</w:t>
      </w:r>
      <w:r>
        <w:rPr>
          <w:color w:val="231F20"/>
          <w:spacing w:val="33"/>
        </w:rPr>
        <w:t> </w:t>
      </w:r>
      <w:r>
        <w:rPr>
          <w:color w:val="231F20"/>
          <w:spacing w:val="-4"/>
        </w:rPr>
        <w:t>2010).</w:t>
      </w:r>
    </w:p>
    <w:p>
      <w:pPr>
        <w:pStyle w:val="BodyText"/>
        <w:spacing w:line="264" w:lineRule="auto" w:before="113"/>
        <w:ind w:left="413" w:right="1551"/>
        <w:jc w:val="both"/>
      </w:pPr>
      <w:r>
        <w:rPr>
          <w:color w:val="231F20"/>
        </w:rPr>
        <w:t>Para el indicador de sustentabilidad probable se preguntó a los productores sobre cómo veían su </w:t>
      </w:r>
      <w:r>
        <w:rPr>
          <w:color w:val="231F20"/>
          <w:spacing w:val="2"/>
        </w:rPr>
        <w:t>UPL </w:t>
      </w:r>
      <w:r>
        <w:rPr>
          <w:color w:val="231F20"/>
        </w:rPr>
        <w:t>en unos años, y las respuesta obtenidas fue- ron muy optimistas, porque no sólo quieren verla funcionando sino que les gustaría  que  estuviera en mejor estado e incluso que fuera más grande.   El único que está en duda sobre si su explotación continuará en un futuro es el productor </w:t>
      </w:r>
      <w:r>
        <w:rPr>
          <w:color w:val="231F20"/>
          <w:spacing w:val="26"/>
        </w:rPr>
        <w:t> </w:t>
      </w:r>
      <w:r>
        <w:rPr>
          <w:color w:val="231F20"/>
        </w:rPr>
        <w:t>6.</w:t>
      </w:r>
    </w:p>
    <w:p>
      <w:pPr>
        <w:pStyle w:val="BodyText"/>
        <w:spacing w:line="264" w:lineRule="auto" w:before="113"/>
        <w:ind w:left="413" w:right="1551"/>
        <w:jc w:val="both"/>
      </w:pPr>
      <w:r>
        <w:rPr>
          <w:color w:val="231F20"/>
        </w:rPr>
        <w:t>En el último componente de la escala socioterrito- rial, correspondiente a ética y desarrollo humano, puede verse la diferencia entre los productores  que pastorean y los que no, porque afecta la de- pendencia de insumos externos y el bienestar ani- mal, ya que éste depende de si los animales se encuentran en pastoreo o no </w:t>
      </w:r>
      <w:r>
        <w:rPr>
          <w:color w:val="231F20"/>
          <w:spacing w:val="-3"/>
        </w:rPr>
        <w:t>(Van </w:t>
      </w:r>
      <w:r>
        <w:rPr>
          <w:color w:val="231F20"/>
        </w:rPr>
        <w:t>Calker </w:t>
      </w:r>
      <w:r>
        <w:rPr>
          <w:i/>
          <w:color w:val="231F20"/>
        </w:rPr>
        <w:t>et al</w:t>
      </w:r>
      <w:r>
        <w:rPr>
          <w:color w:val="231F20"/>
        </w:rPr>
        <w:t>., 2008). Ésta es una de las razones de que el pun- taje más bajo sea para la UPL-6, ya que es el pro- ductor que tiene la mayor cantidad de animales y   a su vez la menor extensión de terreno. Para esta escala es importante mencionar que, en el indica- dor de calidad de las instalaciones, todos los   </w:t>
      </w:r>
      <w:r>
        <w:rPr>
          <w:color w:val="231F20"/>
          <w:spacing w:val="43"/>
        </w:rPr>
        <w:t> </w:t>
      </w:r>
      <w:r>
        <w:rPr>
          <w:color w:val="231F20"/>
        </w:rPr>
        <w:t>pro-</w:t>
      </w:r>
    </w:p>
    <w:p>
      <w:pPr>
        <w:spacing w:after="0" w:line="264"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spacing w:val="-5"/>
          <w:w w:val="120"/>
          <w:sz w:val="22"/>
        </w:rPr>
        <w:t>70</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8" w:lineRule="auto" w:before="67"/>
        <w:ind w:left="1553"/>
        <w:jc w:val="both"/>
      </w:pPr>
      <w:r>
        <w:rPr>
          <w:color w:val="231F20"/>
        </w:rPr>
        <w:t>ductores cuentan con los servicios básicos en sus casas, como son agua, luz y unidades   sanitarias.</w:t>
      </w:r>
    </w:p>
    <w:p>
      <w:pPr>
        <w:pStyle w:val="BodyText"/>
        <w:spacing w:line="268" w:lineRule="auto" w:before="114"/>
        <w:ind w:left="1553"/>
        <w:jc w:val="both"/>
      </w:pPr>
      <w:r>
        <w:rPr>
          <w:color w:val="231F20"/>
        </w:rPr>
        <w:t>Los puntajes más bajos se encuentran en los com- ponentes de la escala económica. El componente de viabilidad se divide en dos indicadores, el de viabilidad económica y el de tasa de especializa- ción económica. </w:t>
      </w:r>
      <w:r>
        <w:rPr>
          <w:color w:val="231F20"/>
          <w:spacing w:val="-3"/>
        </w:rPr>
        <w:t>Para </w:t>
      </w:r>
      <w:r>
        <w:rPr>
          <w:color w:val="231F20"/>
        </w:rPr>
        <w:t>el caso de la viabilidad, es importante explicar su interpretación, ya que </w:t>
      </w:r>
      <w:r>
        <w:rPr>
          <w:color w:val="231F20"/>
          <w:spacing w:val="-2"/>
        </w:rPr>
        <w:t>por </w:t>
      </w:r>
      <w:r>
        <w:rPr>
          <w:color w:val="231F20"/>
        </w:rPr>
        <w:t>las gráficas parece que la UPL más viable es la 2, pero no es así de simple. La viabilidad viene dada por</w:t>
      </w:r>
      <w:r>
        <w:rPr>
          <w:color w:val="231F20"/>
          <w:spacing w:val="-6"/>
        </w:rPr>
        <w:t> </w:t>
      </w:r>
      <w:r>
        <w:rPr>
          <w:color w:val="231F20"/>
        </w:rPr>
        <w:t>la</w:t>
      </w:r>
      <w:r>
        <w:rPr>
          <w:color w:val="231F20"/>
          <w:spacing w:val="-6"/>
        </w:rPr>
        <w:t> </w:t>
      </w:r>
      <w:r>
        <w:rPr>
          <w:color w:val="231F20"/>
        </w:rPr>
        <w:t>cantidad</w:t>
      </w:r>
      <w:r>
        <w:rPr>
          <w:color w:val="231F20"/>
          <w:spacing w:val="-6"/>
        </w:rPr>
        <w:t> </w:t>
      </w:r>
      <w:r>
        <w:rPr>
          <w:color w:val="231F20"/>
        </w:rPr>
        <w:t>de</w:t>
      </w:r>
      <w:r>
        <w:rPr>
          <w:color w:val="231F20"/>
          <w:spacing w:val="-6"/>
        </w:rPr>
        <w:t> </w:t>
      </w:r>
      <w:r>
        <w:rPr>
          <w:color w:val="231F20"/>
        </w:rPr>
        <w:t>salarios</w:t>
      </w:r>
      <w:r>
        <w:rPr>
          <w:color w:val="231F20"/>
          <w:spacing w:val="-6"/>
        </w:rPr>
        <w:t> </w:t>
      </w:r>
      <w:r>
        <w:rPr>
          <w:color w:val="231F20"/>
        </w:rPr>
        <w:t>mínimos</w:t>
      </w:r>
      <w:r>
        <w:rPr>
          <w:color w:val="231F20"/>
          <w:spacing w:val="-6"/>
        </w:rPr>
        <w:t> </w:t>
      </w:r>
      <w:r>
        <w:rPr>
          <w:color w:val="231F20"/>
        </w:rPr>
        <w:t>legales</w:t>
      </w:r>
      <w:r>
        <w:rPr>
          <w:color w:val="231F20"/>
          <w:spacing w:val="-6"/>
        </w:rPr>
        <w:t> </w:t>
      </w:r>
      <w:r>
        <w:rPr>
          <w:color w:val="231F20"/>
        </w:rPr>
        <w:t>vigentes por cada unidad de fuerza de trabajo familiar de tiempo completo </w:t>
      </w:r>
      <w:r>
        <w:rPr>
          <w:color w:val="231F20"/>
          <w:spacing w:val="-3"/>
        </w:rPr>
        <w:t>(MOFTC). Para </w:t>
      </w:r>
      <w:r>
        <w:rPr>
          <w:color w:val="231F20"/>
        </w:rPr>
        <w:t>el presente estu- dio, el salario mínimo en el año </w:t>
      </w:r>
      <w:r>
        <w:rPr>
          <w:color w:val="231F20"/>
          <w:spacing w:val="-7"/>
        </w:rPr>
        <w:t>2010 </w:t>
      </w:r>
      <w:r>
        <w:rPr>
          <w:color w:val="231F20"/>
        </w:rPr>
        <w:t>de la zona C equivale a </w:t>
      </w:r>
      <w:r>
        <w:rPr>
          <w:color w:val="231F20"/>
          <w:spacing w:val="-4"/>
        </w:rPr>
        <w:t>$54,47 </w:t>
      </w:r>
      <w:r>
        <w:rPr>
          <w:color w:val="231F20"/>
        </w:rPr>
        <w:t>al día (CONASAMI). </w:t>
      </w:r>
      <w:r>
        <w:rPr>
          <w:color w:val="231F20"/>
          <w:spacing w:val="-3"/>
        </w:rPr>
        <w:t>Por </w:t>
      </w:r>
      <w:r>
        <w:rPr>
          <w:color w:val="231F20"/>
        </w:rPr>
        <w:t>lo </w:t>
      </w:r>
      <w:r>
        <w:rPr>
          <w:color w:val="231F20"/>
          <w:spacing w:val="-2"/>
        </w:rPr>
        <w:t>tanto, </w:t>
      </w:r>
      <w:r>
        <w:rPr>
          <w:color w:val="231F20"/>
        </w:rPr>
        <w:t>para el caso de la UPL-1, que obtuvo </w:t>
      </w:r>
      <w:r>
        <w:rPr>
          <w:color w:val="231F20"/>
          <w:spacing w:val="-6"/>
        </w:rPr>
        <w:t>14 </w:t>
      </w:r>
      <w:r>
        <w:rPr>
          <w:color w:val="231F20"/>
        </w:rPr>
        <w:t>puntos y tiene 2 </w:t>
      </w:r>
      <w:r>
        <w:rPr>
          <w:color w:val="231F20"/>
          <w:spacing w:val="-4"/>
        </w:rPr>
        <w:t>MOFTC, </w:t>
      </w:r>
      <w:r>
        <w:rPr>
          <w:color w:val="231F20"/>
        </w:rPr>
        <w:t>la viabilidad equivale a 2,2 salarios mínimos para cada una de las 2 </w:t>
      </w:r>
      <w:r>
        <w:rPr>
          <w:color w:val="231F20"/>
          <w:spacing w:val="-4"/>
        </w:rPr>
        <w:t>MOFTC. </w:t>
      </w:r>
      <w:r>
        <w:rPr>
          <w:color w:val="231F20"/>
          <w:spacing w:val="-3"/>
        </w:rPr>
        <w:t>Para </w:t>
      </w:r>
      <w:r>
        <w:rPr>
          <w:color w:val="231F20"/>
        </w:rPr>
        <w:t>la UPL-2, que obtuvo  </w:t>
      </w:r>
      <w:r>
        <w:rPr>
          <w:color w:val="231F20"/>
          <w:spacing w:val="-3"/>
        </w:rPr>
        <w:t>20  </w:t>
      </w:r>
      <w:r>
        <w:rPr>
          <w:color w:val="231F20"/>
        </w:rPr>
        <w:t>puntos  y  tiene  1  </w:t>
      </w:r>
      <w:r>
        <w:rPr>
          <w:color w:val="231F20"/>
          <w:spacing w:val="-4"/>
        </w:rPr>
        <w:t>MOFTC, </w:t>
      </w:r>
      <w:r>
        <w:rPr>
          <w:color w:val="231F20"/>
        </w:rPr>
        <w:t>la viabilidad equivale a más de 9 salarios mínimos para la </w:t>
      </w:r>
      <w:r>
        <w:rPr>
          <w:color w:val="231F20"/>
          <w:spacing w:val="-4"/>
        </w:rPr>
        <w:t>MOFTC. </w:t>
      </w:r>
      <w:r>
        <w:rPr>
          <w:color w:val="231F20"/>
        </w:rPr>
        <w:t>La UPL-3, que al igual que  la  1 tiene 2 </w:t>
      </w:r>
      <w:r>
        <w:rPr>
          <w:color w:val="231F20"/>
          <w:spacing w:val="-4"/>
        </w:rPr>
        <w:t>MOFTC, </w:t>
      </w:r>
      <w:r>
        <w:rPr>
          <w:color w:val="231F20"/>
        </w:rPr>
        <w:t>tuvo </w:t>
      </w:r>
      <w:r>
        <w:rPr>
          <w:color w:val="231F20"/>
          <w:spacing w:val="-6"/>
        </w:rPr>
        <w:t>10 </w:t>
      </w:r>
      <w:r>
        <w:rPr>
          <w:color w:val="231F20"/>
        </w:rPr>
        <w:t>puntos, que equivalen a </w:t>
      </w:r>
      <w:r>
        <w:rPr>
          <w:color w:val="231F20"/>
          <w:spacing w:val="-3"/>
        </w:rPr>
        <w:t>1,59 </w:t>
      </w:r>
      <w:r>
        <w:rPr>
          <w:color w:val="231F20"/>
        </w:rPr>
        <w:t>salarios mínimos. La UPL-4, con 3  </w:t>
      </w:r>
      <w:r>
        <w:rPr>
          <w:color w:val="231F20"/>
          <w:spacing w:val="-4"/>
        </w:rPr>
        <w:t>MOFTC,  </w:t>
      </w:r>
      <w:r>
        <w:rPr>
          <w:color w:val="231F20"/>
        </w:rPr>
        <w:t>tuvo 5 puntos, que equivalen a 1,3 salarios míni- mos para cada una de las 3 </w:t>
      </w:r>
      <w:r>
        <w:rPr>
          <w:color w:val="231F20"/>
          <w:spacing w:val="-4"/>
        </w:rPr>
        <w:t>MOFTC. </w:t>
      </w:r>
      <w:r>
        <w:rPr>
          <w:color w:val="231F20"/>
        </w:rPr>
        <w:t>La UPL-5 tiene 4 </w:t>
      </w:r>
      <w:r>
        <w:rPr>
          <w:color w:val="231F20"/>
          <w:spacing w:val="-4"/>
        </w:rPr>
        <w:t>MOFTC </w:t>
      </w:r>
      <w:r>
        <w:rPr>
          <w:color w:val="231F20"/>
        </w:rPr>
        <w:t>y obtuvo un puntaje de </w:t>
      </w:r>
      <w:r>
        <w:rPr>
          <w:color w:val="231F20"/>
          <w:spacing w:val="-5"/>
        </w:rPr>
        <w:t>10, </w:t>
      </w:r>
      <w:r>
        <w:rPr>
          <w:color w:val="231F20"/>
        </w:rPr>
        <w:t>con 1,63 sala- rios mínimos. Finalmente, la UPL-6 obtuvo 0</w:t>
      </w:r>
      <w:r>
        <w:rPr>
          <w:color w:val="231F20"/>
          <w:spacing w:val="-26"/>
        </w:rPr>
        <w:t> </w:t>
      </w:r>
      <w:r>
        <w:rPr>
          <w:color w:val="231F20"/>
          <w:spacing w:val="-2"/>
        </w:rPr>
        <w:t>puntos </w:t>
      </w:r>
      <w:r>
        <w:rPr>
          <w:color w:val="231F20"/>
        </w:rPr>
        <w:t>porque sólo obtiene 0,63 salarios por cada</w:t>
      </w:r>
      <w:r>
        <w:rPr>
          <w:color w:val="231F20"/>
          <w:spacing w:val="34"/>
        </w:rPr>
        <w:t> </w:t>
      </w:r>
      <w:r>
        <w:rPr>
          <w:color w:val="231F20"/>
          <w:spacing w:val="-4"/>
        </w:rPr>
        <w:t>MOFTC.</w:t>
      </w:r>
    </w:p>
    <w:p>
      <w:pPr>
        <w:pStyle w:val="BodyText"/>
        <w:spacing w:line="268" w:lineRule="auto" w:before="114"/>
        <w:ind w:left="1553"/>
        <w:jc w:val="both"/>
      </w:pPr>
      <w:r>
        <w:rPr>
          <w:color w:val="231F20"/>
        </w:rPr>
        <w:t>La cantidad de MOFTC en cada una de las fincas    es diferente, por lo que no pueden compararse sin antes ofrecer una explicación. Para el caso de este indicador, la explotación que tiene la mejor viabi- lidad es la 3, seguida de la 5 y luego la 1. Para el otro indicador de viabilidad económica, la tasa de especialización, las que tuvieron los</w:t>
      </w:r>
      <w:r>
        <w:rPr>
          <w:color w:val="231F20"/>
          <w:spacing w:val="30"/>
        </w:rPr>
        <w:t> </w:t>
      </w:r>
      <w:r>
        <w:rPr>
          <w:color w:val="231F20"/>
        </w:rPr>
        <w:t>puntajes</w:t>
      </w:r>
      <w:r>
        <w:rPr>
          <w:color w:val="231F20"/>
          <w:spacing w:val="24"/>
        </w:rPr>
        <w:t> </w:t>
      </w:r>
      <w:r>
        <w:rPr>
          <w:color w:val="231F20"/>
        </w:rPr>
        <w:t>más</w:t>
      </w:r>
      <w:r>
        <w:rPr>
          <w:color w:val="231F20"/>
          <w:w w:val="104"/>
        </w:rPr>
        <w:t> </w:t>
      </w:r>
      <w:r>
        <w:rPr>
          <w:color w:val="231F20"/>
        </w:rPr>
        <w:t>altos fueron las UPL-1, 5 y 4; la 1 y la 5, porque tienen dos compradores de leche, lo que les da    un mejor precio de venta, y la 4 porque aparte de producir leche engorda los becerros</w:t>
      </w:r>
      <w:r>
        <w:rPr>
          <w:color w:val="231F20"/>
          <w:spacing w:val="42"/>
        </w:rPr>
        <w:t> </w:t>
      </w:r>
      <w:r>
        <w:rPr>
          <w:color w:val="231F20"/>
        </w:rPr>
        <w:t>machos</w:t>
      </w:r>
      <w:r>
        <w:rPr>
          <w:color w:val="231F20"/>
          <w:spacing w:val="26"/>
        </w:rPr>
        <w:t> </w:t>
      </w:r>
      <w:r>
        <w:rPr>
          <w:color w:val="231F20"/>
        </w:rPr>
        <w:t>para</w:t>
      </w:r>
      <w:r>
        <w:rPr>
          <w:color w:val="231F20"/>
          <w:w w:val="97"/>
        </w:rPr>
        <w:t> </w:t>
      </w:r>
      <w:r>
        <w:rPr>
          <w:color w:val="231F20"/>
        </w:rPr>
        <w:t>la venta, lo que le permite una mayor diversifica- ción en el </w:t>
      </w:r>
      <w:r>
        <w:rPr>
          <w:color w:val="231F20"/>
          <w:spacing w:val="11"/>
        </w:rPr>
        <w:t> </w:t>
      </w:r>
      <w:r>
        <w:rPr>
          <w:color w:val="231F20"/>
        </w:rPr>
        <w:t>mercado.</w:t>
      </w:r>
    </w:p>
    <w:p>
      <w:pPr>
        <w:pStyle w:val="BodyText"/>
        <w:spacing w:line="256" w:lineRule="auto" w:before="67"/>
        <w:ind w:left="412" w:right="1551"/>
        <w:jc w:val="both"/>
      </w:pPr>
      <w:r>
        <w:rPr/>
        <w:br w:type="column"/>
      </w:r>
      <w:r>
        <w:rPr>
          <w:color w:val="231F20"/>
        </w:rPr>
        <w:t>En el siguiente componente, la independencia, se incluyen dos indicadores: la autonomía financiera   y la sensibilidad a los apoyos del gobierno. El pri- mero hace referencia a cuán autosuficiente es el sistema, y los resultados obtenidos fueron que las </w:t>
      </w:r>
      <w:r>
        <w:rPr>
          <w:color w:val="231F20"/>
          <w:spacing w:val="2"/>
        </w:rPr>
        <w:t>UPL </w:t>
      </w:r>
      <w:r>
        <w:rPr>
          <w:color w:val="231F20"/>
        </w:rPr>
        <w:t>más autosuficientes son la 2 y la 5. La UPL-2   es la que tiene mayor extensión de terreno, pero también es la que pastorea durante todo el año para alimentar al ganado, y por lo tanto reduce la dependencia a la compra de insumos externos; y  lo mismo pasa con la UPL-5, ya que ésta produce gran parte de los forrajes que consume, como es   el ensilado de maíz. No sucede lo mismo con la UPL-3, que es la otra </w:t>
      </w:r>
      <w:r>
        <w:rPr>
          <w:color w:val="231F20"/>
          <w:spacing w:val="2"/>
        </w:rPr>
        <w:t>UPL </w:t>
      </w:r>
      <w:r>
        <w:rPr>
          <w:color w:val="231F20"/>
        </w:rPr>
        <w:t>que pastorea, ya que es más autosuficiente el productor 1 que el 3; una    de las causas es que la UPL-3 utiliza en prome-    dio </w:t>
      </w:r>
      <w:r>
        <w:rPr>
          <w:color w:val="231F20"/>
          <w:spacing w:val="-7"/>
        </w:rPr>
        <w:t>7,08 </w:t>
      </w:r>
      <w:r>
        <w:rPr>
          <w:color w:val="231F20"/>
        </w:rPr>
        <w:t>kg de materia seca (MS) concentrada por vaca y día, mientras que la UPL-1 utiliza en prome- dio 4,31 kg MS concentrada por vaca y día. El caso de la UPL-5 es muy similar al de la UPL-3, pero el problema de ésta es que compra grandes cantida- des de alimentos de baja calidad, como paja de cebada, pata de sorgo y zacate (rastrojo) de  </w:t>
      </w:r>
      <w:r>
        <w:rPr>
          <w:color w:val="231F20"/>
          <w:spacing w:val="32"/>
        </w:rPr>
        <w:t> </w:t>
      </w:r>
      <w:r>
        <w:rPr>
          <w:color w:val="231F20"/>
        </w:rPr>
        <w:t>maíz.</w:t>
      </w:r>
    </w:p>
    <w:p>
      <w:pPr>
        <w:pStyle w:val="BodyText"/>
        <w:spacing w:line="256" w:lineRule="auto" w:before="113"/>
        <w:ind w:left="412" w:right="1551"/>
        <w:jc w:val="both"/>
      </w:pPr>
      <w:r>
        <w:rPr>
          <w:color w:val="231F20"/>
        </w:rPr>
        <w:t>En cuanto a los apoyos del gobierno, todos los productores reciben al menos uno. El valor que reciben las UPL-1, 2, 3, 4 y 5 representa en pro- medio el 3% de los ingresos brutos, y por eso tienen un puntaje más alto, porque son más inde- pendientes, mientras que para la UPL-6, que es la que además tuvo la menor viabilidad, representa   el 38% de los ingresos brutos, por lo que su pun- tuación fue más</w:t>
      </w:r>
      <w:r>
        <w:rPr>
          <w:color w:val="231F20"/>
          <w:spacing w:val="40"/>
        </w:rPr>
        <w:t> </w:t>
      </w:r>
      <w:r>
        <w:rPr>
          <w:color w:val="231F20"/>
        </w:rPr>
        <w:t>baja.</w:t>
      </w:r>
    </w:p>
    <w:p>
      <w:pPr>
        <w:pStyle w:val="BodyText"/>
        <w:spacing w:line="256" w:lineRule="auto" w:before="113"/>
        <w:ind w:left="412" w:right="1551"/>
        <w:jc w:val="both"/>
      </w:pPr>
      <w:r>
        <w:rPr>
          <w:color w:val="231F20"/>
        </w:rPr>
        <w:t>Para el caso del penúltimo componente, la trans- misibilidad, el indicador valora la capacidad del productor para vender su UPL, porque ésta no es demasiado grande, y por lo tanto no puede encon- trar un productor más joven que la pueda</w:t>
      </w:r>
      <w:r>
        <w:rPr>
          <w:color w:val="231F20"/>
          <w:spacing w:val="-9"/>
        </w:rPr>
        <w:t> </w:t>
      </w:r>
      <w:r>
        <w:rPr>
          <w:color w:val="231F20"/>
        </w:rPr>
        <w:t>comprar, o lo contrario, que la </w:t>
      </w:r>
      <w:r>
        <w:rPr>
          <w:color w:val="231F20"/>
          <w:spacing w:val="2"/>
        </w:rPr>
        <w:t>UPL </w:t>
      </w:r>
      <w:r>
        <w:rPr>
          <w:color w:val="231F20"/>
        </w:rPr>
        <w:t>es demasiado pequeña    y los productores más jóvenes no pueden iniciar ningún proyecto viable como productores agrope- cuarios (Frédéric Zahm, comunicación personal). Por lo tanto, para este componente, las </w:t>
      </w:r>
      <w:r>
        <w:rPr>
          <w:color w:val="231F20"/>
          <w:spacing w:val="2"/>
        </w:rPr>
        <w:t>UPL </w:t>
      </w:r>
      <w:r>
        <w:rPr>
          <w:color w:val="231F20"/>
        </w:rPr>
        <w:t>que obtuvieron</w:t>
      </w:r>
      <w:r>
        <w:rPr>
          <w:color w:val="231F20"/>
          <w:spacing w:val="32"/>
        </w:rPr>
        <w:t> </w:t>
      </w:r>
      <w:r>
        <w:rPr>
          <w:color w:val="231F20"/>
        </w:rPr>
        <w:t>los</w:t>
      </w:r>
      <w:r>
        <w:rPr>
          <w:color w:val="231F20"/>
          <w:spacing w:val="32"/>
        </w:rPr>
        <w:t> </w:t>
      </w:r>
      <w:r>
        <w:rPr>
          <w:color w:val="231F20"/>
        </w:rPr>
        <w:t>puntajes</w:t>
      </w:r>
      <w:r>
        <w:rPr>
          <w:color w:val="231F20"/>
          <w:spacing w:val="32"/>
        </w:rPr>
        <w:t> </w:t>
      </w:r>
      <w:r>
        <w:rPr>
          <w:color w:val="231F20"/>
        </w:rPr>
        <w:t>más</w:t>
      </w:r>
      <w:r>
        <w:rPr>
          <w:color w:val="231F20"/>
          <w:spacing w:val="32"/>
        </w:rPr>
        <w:t> </w:t>
      </w:r>
      <w:r>
        <w:rPr>
          <w:color w:val="231F20"/>
        </w:rPr>
        <w:t>altos</w:t>
      </w:r>
      <w:r>
        <w:rPr>
          <w:color w:val="231F20"/>
          <w:spacing w:val="32"/>
        </w:rPr>
        <w:t> </w:t>
      </w:r>
      <w:r>
        <w:rPr>
          <w:color w:val="231F20"/>
        </w:rPr>
        <w:t>fueron</w:t>
      </w:r>
      <w:r>
        <w:rPr>
          <w:color w:val="231F20"/>
          <w:spacing w:val="32"/>
        </w:rPr>
        <w:t> </w:t>
      </w:r>
      <w:r>
        <w:rPr>
          <w:color w:val="231F20"/>
        </w:rPr>
        <w:t>la</w:t>
      </w:r>
      <w:r>
        <w:rPr>
          <w:color w:val="231F20"/>
          <w:spacing w:val="32"/>
        </w:rPr>
        <w:t> </w:t>
      </w:r>
      <w:r>
        <w:rPr>
          <w:color w:val="231F20"/>
        </w:rPr>
        <w:t>1,</w:t>
      </w:r>
      <w:r>
        <w:rPr>
          <w:color w:val="231F20"/>
          <w:spacing w:val="32"/>
        </w:rPr>
        <w:t> </w:t>
      </w:r>
      <w:r>
        <w:rPr>
          <w:color w:val="231F20"/>
        </w:rPr>
        <w:t>la</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4.   Sustentabilidad de la producción de leche en   pequeña</w:t>
      </w:r>
      <w:r>
        <w:rPr>
          <w:color w:val="231F20"/>
          <w:spacing w:val="12"/>
          <w:sz w:val="18"/>
        </w:rPr>
        <w:t> </w:t>
      </w:r>
      <w:r>
        <w:rPr>
          <w:color w:val="231F20"/>
          <w:sz w:val="18"/>
        </w:rPr>
        <w:t>escala...</w:t>
      </w:r>
      <w:r>
        <w:rPr>
          <w:color w:val="231F20"/>
          <w:sz w:val="22"/>
        </w:rPr>
        <w:tab/>
      </w:r>
      <w:r>
        <w:rPr>
          <w:color w:val="231F20"/>
          <w:spacing w:val="-9"/>
          <w:sz w:val="22"/>
        </w:rPr>
        <w:t>71</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w w:val="105"/>
        </w:rPr>
        <w:t>5,</w:t>
      </w:r>
      <w:r>
        <w:rPr>
          <w:color w:val="231F20"/>
          <w:spacing w:val="11"/>
          <w:w w:val="105"/>
        </w:rPr>
        <w:t> </w:t>
      </w:r>
      <w:r>
        <w:rPr>
          <w:color w:val="231F20"/>
          <w:w w:val="105"/>
        </w:rPr>
        <w:t>la</w:t>
      </w:r>
      <w:r>
        <w:rPr>
          <w:color w:val="231F20"/>
          <w:spacing w:val="11"/>
          <w:w w:val="105"/>
        </w:rPr>
        <w:t> </w:t>
      </w:r>
      <w:r>
        <w:rPr>
          <w:color w:val="231F20"/>
          <w:w w:val="105"/>
        </w:rPr>
        <w:t>4</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3,</w:t>
      </w:r>
      <w:r>
        <w:rPr>
          <w:color w:val="231F20"/>
          <w:spacing w:val="11"/>
          <w:w w:val="105"/>
        </w:rPr>
        <w:t> </w:t>
      </w:r>
      <w:r>
        <w:rPr>
          <w:color w:val="231F20"/>
          <w:w w:val="105"/>
        </w:rPr>
        <w:t>de</w:t>
      </w:r>
      <w:r>
        <w:rPr>
          <w:color w:val="231F20"/>
          <w:spacing w:val="11"/>
          <w:w w:val="105"/>
        </w:rPr>
        <w:t> </w:t>
      </w:r>
      <w:r>
        <w:rPr>
          <w:color w:val="231F20"/>
          <w:w w:val="105"/>
        </w:rPr>
        <w:t>mayor</w:t>
      </w:r>
      <w:r>
        <w:rPr>
          <w:color w:val="231F20"/>
          <w:spacing w:val="11"/>
          <w:w w:val="105"/>
        </w:rPr>
        <w:t> </w:t>
      </w:r>
      <w:r>
        <w:rPr>
          <w:color w:val="231F20"/>
          <w:w w:val="105"/>
        </w:rPr>
        <w:t>a</w:t>
      </w:r>
      <w:r>
        <w:rPr>
          <w:color w:val="231F20"/>
          <w:spacing w:val="11"/>
          <w:w w:val="105"/>
        </w:rPr>
        <w:t> </w:t>
      </w:r>
      <w:r>
        <w:rPr>
          <w:color w:val="231F20"/>
          <w:w w:val="105"/>
        </w:rPr>
        <w:t>menor,</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2</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6</w:t>
      </w:r>
      <w:r>
        <w:rPr>
          <w:color w:val="231F20"/>
          <w:spacing w:val="11"/>
          <w:w w:val="105"/>
        </w:rPr>
        <w:t> </w:t>
      </w:r>
      <w:r>
        <w:rPr>
          <w:color w:val="231F20"/>
          <w:w w:val="105"/>
        </w:rPr>
        <w:t>no</w:t>
      </w:r>
      <w:r>
        <w:rPr>
          <w:color w:val="231F20"/>
          <w:w w:val="102"/>
        </w:rPr>
        <w:t> </w:t>
      </w:r>
      <w:r>
        <w:rPr>
          <w:color w:val="231F20"/>
          <w:w w:val="105"/>
        </w:rPr>
        <w:t>tuvieron</w:t>
      </w:r>
      <w:r>
        <w:rPr>
          <w:color w:val="231F20"/>
          <w:spacing w:val="-14"/>
          <w:w w:val="105"/>
        </w:rPr>
        <w:t> </w:t>
      </w:r>
      <w:r>
        <w:rPr>
          <w:color w:val="231F20"/>
          <w:w w:val="105"/>
        </w:rPr>
        <w:t>puntos,</w:t>
      </w:r>
      <w:r>
        <w:rPr>
          <w:color w:val="231F20"/>
          <w:spacing w:val="-14"/>
          <w:w w:val="105"/>
        </w:rPr>
        <w:t> </w:t>
      </w:r>
      <w:r>
        <w:rPr>
          <w:color w:val="231F20"/>
          <w:w w:val="105"/>
        </w:rPr>
        <w:t>ya</w:t>
      </w:r>
      <w:r>
        <w:rPr>
          <w:color w:val="231F20"/>
          <w:spacing w:val="-14"/>
          <w:w w:val="105"/>
        </w:rPr>
        <w:t> </w:t>
      </w:r>
      <w:r>
        <w:rPr>
          <w:color w:val="231F20"/>
          <w:w w:val="105"/>
        </w:rPr>
        <w:t>que</w:t>
      </w:r>
      <w:r>
        <w:rPr>
          <w:color w:val="231F20"/>
          <w:spacing w:val="-14"/>
          <w:w w:val="105"/>
        </w:rPr>
        <w:t> </w:t>
      </w:r>
      <w:r>
        <w:rPr>
          <w:color w:val="231F20"/>
          <w:w w:val="105"/>
        </w:rPr>
        <w:t>una</w:t>
      </w:r>
      <w:r>
        <w:rPr>
          <w:color w:val="231F20"/>
          <w:spacing w:val="-14"/>
          <w:w w:val="105"/>
        </w:rPr>
        <w:t> </w:t>
      </w:r>
      <w:r>
        <w:rPr>
          <w:color w:val="231F20"/>
          <w:w w:val="105"/>
        </w:rPr>
        <w:t>es</w:t>
      </w:r>
      <w:r>
        <w:rPr>
          <w:color w:val="231F20"/>
          <w:spacing w:val="-14"/>
          <w:w w:val="105"/>
        </w:rPr>
        <w:t> </w:t>
      </w:r>
      <w:r>
        <w:rPr>
          <w:color w:val="231F20"/>
          <w:w w:val="105"/>
        </w:rPr>
        <w:t>demasiado</w:t>
      </w:r>
      <w:r>
        <w:rPr>
          <w:color w:val="231F20"/>
          <w:spacing w:val="-14"/>
          <w:w w:val="105"/>
        </w:rPr>
        <w:t> </w:t>
      </w:r>
      <w:r>
        <w:rPr>
          <w:color w:val="231F20"/>
          <w:w w:val="105"/>
        </w:rPr>
        <w:t>grande</w:t>
      </w:r>
      <w:r>
        <w:rPr>
          <w:color w:val="231F20"/>
          <w:w w:val="100"/>
        </w:rPr>
        <w:t> </w:t>
      </w:r>
      <w:r>
        <w:rPr>
          <w:color w:val="231F20"/>
          <w:w w:val="105"/>
        </w:rPr>
        <w:t>y la otra es muy</w:t>
      </w:r>
      <w:r>
        <w:rPr>
          <w:color w:val="231F20"/>
          <w:spacing w:val="-34"/>
          <w:w w:val="105"/>
        </w:rPr>
        <w:t> </w:t>
      </w:r>
      <w:r>
        <w:rPr>
          <w:color w:val="231F20"/>
          <w:w w:val="105"/>
        </w:rPr>
        <w:t>pequeña.</w:t>
      </w:r>
    </w:p>
    <w:p>
      <w:pPr>
        <w:pStyle w:val="BodyText"/>
        <w:spacing w:line="256" w:lineRule="auto" w:before="113"/>
        <w:ind w:left="1553"/>
        <w:jc w:val="both"/>
      </w:pPr>
      <w:r>
        <w:rPr>
          <w:color w:val="231F20"/>
        </w:rPr>
        <w:t>Finalmente, para el último componente, la eficien- cia de los procesos productivos, se encontró que la UPL más eficiente fue la UPL-2, seguida por la 1,    la 4, la 3 y la 5, y la que obtuvo la eficiencia </w:t>
      </w:r>
      <w:r>
        <w:rPr>
          <w:color w:val="231F20"/>
          <w:spacing w:val="-2"/>
        </w:rPr>
        <w:t>más </w:t>
      </w:r>
      <w:r>
        <w:rPr>
          <w:color w:val="231F20"/>
        </w:rPr>
        <w:t>baja fue la UPL-6, debido a la gran dependencia de insumos externos y a que a pesar de tener la</w:t>
      </w:r>
      <w:r>
        <w:rPr>
          <w:color w:val="231F20"/>
          <w:spacing w:val="-31"/>
        </w:rPr>
        <w:t> </w:t>
      </w:r>
      <w:r>
        <w:rPr>
          <w:color w:val="231F20"/>
        </w:rPr>
        <w:t>mayor cantidad de animales tiene la producción</w:t>
      </w:r>
      <w:r>
        <w:rPr>
          <w:color w:val="231F20"/>
          <w:spacing w:val="-16"/>
        </w:rPr>
        <w:t> </w:t>
      </w:r>
      <w:r>
        <w:rPr>
          <w:color w:val="231F20"/>
        </w:rPr>
        <w:t>promedio por vaca más baja (Cuadro 5). Además, la alta de- pendencia de los subsidios del gobierno disminuye la eficiencia </w:t>
      </w:r>
      <w:r>
        <w:rPr>
          <w:color w:val="231F20"/>
          <w:spacing w:val="-4"/>
        </w:rPr>
        <w:t>(Van  </w:t>
      </w:r>
      <w:r>
        <w:rPr>
          <w:color w:val="231F20"/>
          <w:spacing w:val="-3"/>
        </w:rPr>
        <w:t>Passel  </w:t>
      </w:r>
      <w:r>
        <w:rPr>
          <w:i/>
          <w:color w:val="231F20"/>
        </w:rPr>
        <w:t>et al</w:t>
      </w:r>
      <w:r>
        <w:rPr>
          <w:color w:val="231F20"/>
        </w:rPr>
        <w:t>.,  </w:t>
      </w:r>
      <w:r>
        <w:rPr>
          <w:color w:val="231F20"/>
          <w:spacing w:val="-5"/>
        </w:rPr>
        <w:t>2007)</w:t>
      </w:r>
    </w:p>
    <w:p>
      <w:pPr>
        <w:pStyle w:val="BodyText"/>
        <w:spacing w:line="256" w:lineRule="auto" w:before="113"/>
        <w:ind w:left="1553"/>
        <w:jc w:val="both"/>
      </w:pPr>
      <w:r>
        <w:rPr>
          <w:color w:val="231F20"/>
        </w:rPr>
        <w:t>La sustentabilidad final  de  las  </w:t>
      </w:r>
      <w:r>
        <w:rPr>
          <w:color w:val="231F20"/>
          <w:spacing w:val="2"/>
        </w:rPr>
        <w:t>UPL  </w:t>
      </w:r>
      <w:r>
        <w:rPr>
          <w:color w:val="231F20"/>
        </w:rPr>
        <w:t>corresponde  al valor mínimo de las tres escalas (Vilain, 2008; Zahm </w:t>
      </w:r>
      <w:r>
        <w:rPr>
          <w:i/>
          <w:color w:val="231F20"/>
        </w:rPr>
        <w:t>et al</w:t>
      </w:r>
      <w:r>
        <w:rPr>
          <w:color w:val="231F20"/>
        </w:rPr>
        <w:t>., 2008). Los resultados para cada una  de las </w:t>
      </w:r>
      <w:r>
        <w:rPr>
          <w:color w:val="231F20"/>
          <w:spacing w:val="2"/>
        </w:rPr>
        <w:t>UPL </w:t>
      </w:r>
      <w:r>
        <w:rPr>
          <w:color w:val="231F20"/>
        </w:rPr>
        <w:t>evaluadas son: UPL-1, </w:t>
      </w:r>
      <w:r>
        <w:rPr>
          <w:color w:val="231F20"/>
          <w:spacing w:val="-5"/>
        </w:rPr>
        <w:t>41 </w:t>
      </w:r>
      <w:r>
        <w:rPr>
          <w:color w:val="231F20"/>
        </w:rPr>
        <w:t>puntos; UPL-  2, 54 puntos; UPL-3 y UPL-4, 29 puntos cada una; UPL-5, 40 puntos; y UPL-6, </w:t>
      </w:r>
      <w:r>
        <w:rPr>
          <w:color w:val="231F20"/>
          <w:spacing w:val="-5"/>
        </w:rPr>
        <w:t>11    </w:t>
      </w:r>
      <w:r>
        <w:rPr>
          <w:color w:val="231F20"/>
          <w:spacing w:val="15"/>
        </w:rPr>
        <w:t> </w:t>
      </w:r>
      <w:r>
        <w:rPr>
          <w:color w:val="231F20"/>
        </w:rPr>
        <w:t>puntos.</w:t>
      </w:r>
    </w:p>
    <w:p>
      <w:pPr>
        <w:pStyle w:val="BodyText"/>
        <w:spacing w:before="10"/>
        <w:rPr>
          <w:sz w:val="27"/>
        </w:rPr>
      </w:pPr>
    </w:p>
    <w:p>
      <w:pPr>
        <w:pStyle w:val="BodyText"/>
        <w:ind w:left="1553"/>
        <w:jc w:val="both"/>
      </w:pPr>
      <w:r>
        <w:rPr>
          <w:color w:val="231F20"/>
          <w:w w:val="115"/>
        </w:rPr>
        <w:t>CONCLUSIONES</w:t>
      </w:r>
    </w:p>
    <w:p>
      <w:pPr>
        <w:pStyle w:val="BodyText"/>
        <w:spacing w:line="256" w:lineRule="auto" w:before="130"/>
        <w:ind w:left="1553"/>
        <w:jc w:val="both"/>
      </w:pPr>
      <w:r>
        <w:rPr>
          <w:color w:val="231F20"/>
        </w:rPr>
        <w:t>Los resultados obtenidos demuestran que a medi- da que estos sistemas sean más eficientes con los recursos que cuentan van a ser más sustentables, como ejemplifica el caso de la explotación 2, que resultó ser la más sustentable. Por lo tanto, la for- taleza de estos sistemas es que valoren y utilicen adecuadamente los recursos con que   cuentan.</w:t>
      </w:r>
    </w:p>
    <w:p>
      <w:pPr>
        <w:pStyle w:val="BodyText"/>
        <w:spacing w:line="256" w:lineRule="auto" w:before="113"/>
        <w:ind w:left="1553"/>
        <w:jc w:val="both"/>
      </w:pPr>
      <w:r>
        <w:rPr>
          <w:color w:val="231F20"/>
        </w:rPr>
        <w:t>Se encontró que estos sistemas tienen buenos puntajes en las escalas agroecológica y socioterri- torial, pues tienen buenas relaciones con la comu- nidad y además son optimistas para su futuro y el de sus explotaciones.</w:t>
      </w:r>
    </w:p>
    <w:p>
      <w:pPr>
        <w:pStyle w:val="BodyText"/>
        <w:spacing w:line="256" w:lineRule="auto" w:before="113"/>
        <w:ind w:left="1553"/>
        <w:jc w:val="both"/>
      </w:pPr>
      <w:r>
        <w:rPr>
          <w:color w:val="231F20"/>
        </w:rPr>
        <w:t>Estos sistemas desempeñan un papel muy impor- tante en la generación de empleo en la zona, ya que de las seis explotaciones evaluadas tres tienen un empleado fijo que no es familiar, lo que podría considerarse como otra de las oportunidades que ofrecen estos sistemas.</w:t>
      </w:r>
    </w:p>
    <w:p>
      <w:pPr>
        <w:pStyle w:val="BodyText"/>
        <w:spacing w:line="256" w:lineRule="auto" w:before="113"/>
        <w:ind w:left="1553"/>
        <w:jc w:val="both"/>
      </w:pPr>
      <w:r>
        <w:rPr>
          <w:color w:val="231F20"/>
        </w:rPr>
        <w:t>Una de las debilidades de estos sistemas, o factor limitante de la sustentabilidad, es su economía,  ya</w:t>
      </w:r>
    </w:p>
    <w:p>
      <w:pPr>
        <w:pStyle w:val="BodyText"/>
        <w:spacing w:before="3"/>
        <w:rPr>
          <w:sz w:val="28"/>
        </w:rPr>
      </w:pPr>
      <w:r>
        <w:rPr/>
        <w:br w:type="column"/>
      </w:r>
      <w:r>
        <w:rPr>
          <w:sz w:val="28"/>
        </w:rPr>
      </w:r>
    </w:p>
    <w:p>
      <w:pPr>
        <w:pStyle w:val="BodyText"/>
        <w:spacing w:line="256" w:lineRule="auto"/>
        <w:ind w:left="412" w:right="1553"/>
        <w:jc w:val="both"/>
      </w:pPr>
      <w:r>
        <w:rPr>
          <w:color w:val="231F20"/>
        </w:rPr>
        <w:t>que el puntaje más bajo de las tres escalas fue en este componente.</w:t>
      </w:r>
    </w:p>
    <w:p>
      <w:pPr>
        <w:pStyle w:val="BodyText"/>
        <w:spacing w:line="256" w:lineRule="auto" w:before="114"/>
        <w:ind w:left="412" w:right="1551"/>
        <w:jc w:val="both"/>
      </w:pPr>
      <w:r>
        <w:rPr>
          <w:color w:val="231F20"/>
        </w:rPr>
        <w:t>El método IDEA, luego de las adaptaciones, resultó ser una herramienta útil para la evaluación de la sustentabilidad en el entorno mexicano. Permite   la valoración individual de cada uno de los siste- mas y compararlos entre sí, sin necesidad de tener un sistema alterno o de </w:t>
      </w:r>
      <w:r>
        <w:rPr>
          <w:color w:val="231F20"/>
          <w:spacing w:val="6"/>
        </w:rPr>
        <w:t> </w:t>
      </w:r>
      <w:r>
        <w:rPr>
          <w:color w:val="231F20"/>
        </w:rPr>
        <w:t>referencia.</w:t>
      </w:r>
    </w:p>
    <w:p>
      <w:pPr>
        <w:pStyle w:val="BodyText"/>
      </w:pPr>
    </w:p>
    <w:p>
      <w:pPr>
        <w:pStyle w:val="BodyText"/>
        <w:spacing w:before="154"/>
        <w:ind w:left="412"/>
        <w:jc w:val="both"/>
      </w:pPr>
      <w:r>
        <w:rPr>
          <w:color w:val="231F20"/>
          <w:w w:val="110"/>
        </w:rPr>
        <w:t>BIBLIOGRAFÍA</w:t>
      </w:r>
    </w:p>
    <w:p>
      <w:pPr>
        <w:spacing w:line="264" w:lineRule="auto" w:before="130"/>
        <w:ind w:left="696" w:right="1551" w:hanging="284"/>
        <w:jc w:val="both"/>
        <w:rPr>
          <w:sz w:val="18"/>
        </w:rPr>
      </w:pPr>
      <w:r>
        <w:rPr>
          <w:color w:val="231F20"/>
          <w:sz w:val="18"/>
        </w:rPr>
        <w:t>Arriaga Jordán C.M., </w:t>
      </w:r>
      <w:r>
        <w:rPr>
          <w:color w:val="231F20"/>
          <w:spacing w:val="-3"/>
          <w:sz w:val="18"/>
        </w:rPr>
        <w:t>Espinoza </w:t>
      </w:r>
      <w:r>
        <w:rPr>
          <w:color w:val="231F20"/>
          <w:sz w:val="18"/>
        </w:rPr>
        <w:t>Ortega A., Albarrán </w:t>
      </w:r>
      <w:r>
        <w:rPr>
          <w:color w:val="231F20"/>
          <w:spacing w:val="-3"/>
          <w:sz w:val="18"/>
        </w:rPr>
        <w:t>Portillo </w:t>
      </w:r>
      <w:r>
        <w:rPr>
          <w:color w:val="231F20"/>
          <w:sz w:val="18"/>
        </w:rPr>
        <w:t>B., Castelán Ortega O. </w:t>
      </w:r>
      <w:r>
        <w:rPr>
          <w:color w:val="231F20"/>
          <w:spacing w:val="-3"/>
          <w:sz w:val="18"/>
        </w:rPr>
        <w:t>(2000). Perspectivas </w:t>
      </w:r>
      <w:r>
        <w:rPr>
          <w:color w:val="231F20"/>
          <w:sz w:val="18"/>
        </w:rPr>
        <w:t>y retos de la producción de leche en pequeña escala en el cen- tro de México. En: </w:t>
      </w:r>
      <w:r>
        <w:rPr>
          <w:color w:val="231F20"/>
          <w:spacing w:val="-3"/>
          <w:sz w:val="18"/>
        </w:rPr>
        <w:t>Yúñez-Naude </w:t>
      </w:r>
      <w:r>
        <w:rPr>
          <w:color w:val="231F20"/>
          <w:sz w:val="18"/>
        </w:rPr>
        <w:t>A., </w:t>
      </w:r>
      <w:r>
        <w:rPr>
          <w:color w:val="231F20"/>
          <w:spacing w:val="-3"/>
          <w:sz w:val="18"/>
        </w:rPr>
        <w:t>compilador. </w:t>
      </w:r>
      <w:r>
        <w:rPr>
          <w:color w:val="231F20"/>
          <w:spacing w:val="-2"/>
          <w:sz w:val="18"/>
        </w:rPr>
        <w:t>Los</w:t>
      </w:r>
      <w:r>
        <w:rPr>
          <w:color w:val="231F20"/>
          <w:spacing w:val="36"/>
          <w:sz w:val="18"/>
        </w:rPr>
        <w:t> </w:t>
      </w:r>
      <w:r>
        <w:rPr>
          <w:color w:val="231F20"/>
          <w:sz w:val="18"/>
        </w:rPr>
        <w:t>pequeños productores rurales en México: las refor- mas y las opciones. Centro de Estudios Económicos. El Colegio de México, </w:t>
      </w:r>
      <w:r>
        <w:rPr>
          <w:color w:val="231F20"/>
          <w:spacing w:val="-3"/>
          <w:sz w:val="18"/>
        </w:rPr>
        <w:t>Fundación Konrad </w:t>
      </w:r>
      <w:r>
        <w:rPr>
          <w:color w:val="231F20"/>
          <w:sz w:val="18"/>
        </w:rPr>
        <w:t>Adenauer y PRECESAM,  México  </w:t>
      </w:r>
      <w:r>
        <w:rPr>
          <w:color w:val="231F20"/>
          <w:spacing w:val="-7"/>
          <w:sz w:val="18"/>
        </w:rPr>
        <w:t>DF.  </w:t>
      </w:r>
      <w:r>
        <w:rPr>
          <w:color w:val="231F20"/>
          <w:sz w:val="18"/>
        </w:rPr>
        <w:t>pp.</w:t>
      </w:r>
      <w:r>
        <w:rPr>
          <w:color w:val="231F20"/>
          <w:spacing w:val="-5"/>
          <w:sz w:val="18"/>
        </w:rPr>
        <w:t> 219-259.</w:t>
      </w:r>
    </w:p>
    <w:p>
      <w:pPr>
        <w:spacing w:line="264" w:lineRule="auto" w:before="57"/>
        <w:ind w:left="696" w:right="1551" w:hanging="284"/>
        <w:jc w:val="both"/>
        <w:rPr>
          <w:sz w:val="18"/>
        </w:rPr>
      </w:pPr>
      <w:r>
        <w:rPr>
          <w:color w:val="231F20"/>
          <w:sz w:val="18"/>
        </w:rPr>
        <w:t>Arriaga-Jordán</w:t>
      </w:r>
      <w:r>
        <w:rPr>
          <w:color w:val="231F20"/>
          <w:spacing w:val="-16"/>
          <w:sz w:val="18"/>
        </w:rPr>
        <w:t> </w:t>
      </w:r>
      <w:r>
        <w:rPr>
          <w:color w:val="231F20"/>
          <w:sz w:val="18"/>
        </w:rPr>
        <w:t>C.M.,</w:t>
      </w:r>
      <w:r>
        <w:rPr>
          <w:color w:val="231F20"/>
          <w:spacing w:val="-16"/>
          <w:sz w:val="18"/>
        </w:rPr>
        <w:t> </w:t>
      </w:r>
      <w:r>
        <w:rPr>
          <w:color w:val="231F20"/>
          <w:sz w:val="18"/>
        </w:rPr>
        <w:t>Albarrán-Portillo</w:t>
      </w:r>
      <w:r>
        <w:rPr>
          <w:color w:val="231F20"/>
          <w:spacing w:val="-16"/>
          <w:sz w:val="18"/>
        </w:rPr>
        <w:t> </w:t>
      </w:r>
      <w:r>
        <w:rPr>
          <w:color w:val="231F20"/>
          <w:sz w:val="18"/>
        </w:rPr>
        <w:t>B.,</w:t>
      </w:r>
      <w:r>
        <w:rPr>
          <w:color w:val="231F20"/>
          <w:spacing w:val="-16"/>
          <w:sz w:val="18"/>
        </w:rPr>
        <w:t> </w:t>
      </w:r>
      <w:r>
        <w:rPr>
          <w:color w:val="231F20"/>
          <w:sz w:val="18"/>
        </w:rPr>
        <w:t>Espinoza-Ortega A., García-Martínez A., Castelán-Ortega O.A. </w:t>
      </w:r>
      <w:r>
        <w:rPr>
          <w:color w:val="231F20"/>
          <w:spacing w:val="-3"/>
          <w:sz w:val="18"/>
        </w:rPr>
        <w:t>(2002). </w:t>
      </w:r>
      <w:r>
        <w:rPr>
          <w:color w:val="231F20"/>
          <w:sz w:val="18"/>
        </w:rPr>
        <w:t>On-farm comparison of feeding strategies based on forages</w:t>
      </w:r>
      <w:r>
        <w:rPr>
          <w:color w:val="231F20"/>
          <w:spacing w:val="-15"/>
          <w:sz w:val="18"/>
        </w:rPr>
        <w:t> </w:t>
      </w:r>
      <w:r>
        <w:rPr>
          <w:color w:val="231F20"/>
          <w:sz w:val="18"/>
        </w:rPr>
        <w:t>for</w:t>
      </w:r>
      <w:r>
        <w:rPr>
          <w:color w:val="231F20"/>
          <w:spacing w:val="-15"/>
          <w:sz w:val="18"/>
        </w:rPr>
        <w:t> </w:t>
      </w:r>
      <w:r>
        <w:rPr>
          <w:color w:val="231F20"/>
          <w:sz w:val="18"/>
        </w:rPr>
        <w:t>small-scale</w:t>
      </w:r>
      <w:r>
        <w:rPr>
          <w:color w:val="231F20"/>
          <w:spacing w:val="-15"/>
          <w:sz w:val="18"/>
        </w:rPr>
        <w:t> </w:t>
      </w:r>
      <w:r>
        <w:rPr>
          <w:color w:val="231F20"/>
          <w:sz w:val="18"/>
        </w:rPr>
        <w:t>dairy</w:t>
      </w:r>
      <w:r>
        <w:rPr>
          <w:color w:val="231F20"/>
          <w:spacing w:val="-15"/>
          <w:sz w:val="18"/>
        </w:rPr>
        <w:t> </w:t>
      </w:r>
      <w:r>
        <w:rPr>
          <w:color w:val="231F20"/>
          <w:sz w:val="18"/>
        </w:rPr>
        <w:t>production</w:t>
      </w:r>
      <w:r>
        <w:rPr>
          <w:color w:val="231F20"/>
          <w:spacing w:val="-15"/>
          <w:sz w:val="18"/>
        </w:rPr>
        <w:t> </w:t>
      </w:r>
      <w:r>
        <w:rPr>
          <w:color w:val="231F20"/>
          <w:sz w:val="18"/>
        </w:rPr>
        <w:t>systems</w:t>
      </w:r>
      <w:r>
        <w:rPr>
          <w:color w:val="231F20"/>
          <w:spacing w:val="-15"/>
          <w:sz w:val="18"/>
        </w:rPr>
        <w:t> </w:t>
      </w:r>
      <w:r>
        <w:rPr>
          <w:color w:val="231F20"/>
          <w:sz w:val="18"/>
        </w:rPr>
        <w:t>in</w:t>
      </w:r>
      <w:r>
        <w:rPr>
          <w:color w:val="231F20"/>
          <w:spacing w:val="-15"/>
          <w:sz w:val="18"/>
        </w:rPr>
        <w:t> </w:t>
      </w:r>
      <w:r>
        <w:rPr>
          <w:color w:val="231F20"/>
          <w:spacing w:val="-2"/>
          <w:sz w:val="18"/>
        </w:rPr>
        <w:t>the </w:t>
      </w:r>
      <w:r>
        <w:rPr>
          <w:color w:val="231F20"/>
          <w:sz w:val="18"/>
        </w:rPr>
        <w:t>Highlands of Central Mexico. </w:t>
      </w:r>
      <w:r>
        <w:rPr>
          <w:i/>
          <w:color w:val="231F20"/>
          <w:sz w:val="18"/>
        </w:rPr>
        <w:t>Experimental Agricultu- </w:t>
      </w:r>
      <w:r>
        <w:rPr>
          <w:i/>
          <w:color w:val="231F20"/>
          <w:sz w:val="18"/>
        </w:rPr>
        <w:t>re,  </w:t>
      </w:r>
      <w:r>
        <w:rPr>
          <w:color w:val="231F20"/>
          <w:spacing w:val="-3"/>
          <w:sz w:val="18"/>
        </w:rPr>
        <w:t>38: </w:t>
      </w:r>
      <w:r>
        <w:rPr>
          <w:color w:val="231F20"/>
          <w:spacing w:val="25"/>
          <w:sz w:val="18"/>
        </w:rPr>
        <w:t> </w:t>
      </w:r>
      <w:r>
        <w:rPr>
          <w:color w:val="231F20"/>
          <w:spacing w:val="-4"/>
          <w:sz w:val="18"/>
        </w:rPr>
        <w:t>375-388.</w:t>
      </w:r>
    </w:p>
    <w:p>
      <w:pPr>
        <w:spacing w:before="57"/>
        <w:ind w:left="412" w:right="0" w:firstLine="0"/>
        <w:jc w:val="both"/>
        <w:rPr>
          <w:sz w:val="18"/>
        </w:rPr>
      </w:pPr>
      <w:r>
        <w:rPr>
          <w:color w:val="231F20"/>
          <w:sz w:val="18"/>
        </w:rPr>
        <w:t>Brunett Pérez L., González Esquivel C., García   Hernández</w:t>
      </w:r>
    </w:p>
    <w:p>
      <w:pPr>
        <w:spacing w:line="264" w:lineRule="auto" w:before="22"/>
        <w:ind w:left="696" w:right="1553" w:firstLine="0"/>
        <w:jc w:val="both"/>
        <w:rPr>
          <w:sz w:val="18"/>
        </w:rPr>
      </w:pPr>
      <w:r>
        <w:rPr>
          <w:color w:val="231F20"/>
          <w:sz w:val="18"/>
        </w:rPr>
        <w:t>L.A. </w:t>
      </w:r>
      <w:r>
        <w:rPr>
          <w:color w:val="231F20"/>
          <w:spacing w:val="-3"/>
          <w:sz w:val="18"/>
        </w:rPr>
        <w:t>(2005). </w:t>
      </w:r>
      <w:r>
        <w:rPr>
          <w:color w:val="231F20"/>
          <w:sz w:val="18"/>
        </w:rPr>
        <w:t>Evaluación de la sustentabilidad de </w:t>
      </w:r>
      <w:r>
        <w:rPr>
          <w:color w:val="231F20"/>
          <w:spacing w:val="-2"/>
          <w:sz w:val="18"/>
        </w:rPr>
        <w:t>dos </w:t>
      </w:r>
      <w:r>
        <w:rPr>
          <w:color w:val="231F20"/>
          <w:sz w:val="18"/>
        </w:rPr>
        <w:t>agro ecosistemas campesinos de producción de maíz y leche, utilizando indicadores. </w:t>
      </w:r>
      <w:r>
        <w:rPr>
          <w:i/>
          <w:color w:val="231F20"/>
          <w:sz w:val="18"/>
        </w:rPr>
        <w:t>Livestock Research</w:t>
      </w:r>
      <w:r>
        <w:rPr>
          <w:i/>
          <w:color w:val="231F20"/>
          <w:spacing w:val="-28"/>
          <w:sz w:val="18"/>
        </w:rPr>
        <w:t> </w:t>
      </w:r>
      <w:r>
        <w:rPr>
          <w:i/>
          <w:color w:val="231F20"/>
          <w:spacing w:val="-2"/>
          <w:sz w:val="18"/>
        </w:rPr>
        <w:t>for </w:t>
      </w:r>
      <w:r>
        <w:rPr>
          <w:i/>
          <w:color w:val="231F20"/>
          <w:sz w:val="18"/>
        </w:rPr>
        <w:t>Rural  Development,</w:t>
      </w:r>
      <w:r>
        <w:rPr>
          <w:i/>
          <w:color w:val="231F20"/>
          <w:spacing w:val="38"/>
          <w:sz w:val="18"/>
        </w:rPr>
        <w:t> </w:t>
      </w:r>
      <w:r>
        <w:rPr>
          <w:color w:val="231F20"/>
          <w:spacing w:val="-6"/>
          <w:sz w:val="18"/>
        </w:rPr>
        <w:t>17-78.</w:t>
      </w:r>
    </w:p>
    <w:p>
      <w:pPr>
        <w:spacing w:line="264" w:lineRule="auto" w:before="57"/>
        <w:ind w:left="696" w:right="1551" w:hanging="284"/>
        <w:jc w:val="both"/>
        <w:rPr>
          <w:sz w:val="18"/>
        </w:rPr>
      </w:pPr>
      <w:r>
        <w:rPr>
          <w:color w:val="231F20"/>
          <w:sz w:val="18"/>
        </w:rPr>
        <w:t>Cesín </w:t>
      </w:r>
      <w:r>
        <w:rPr>
          <w:color w:val="231F20"/>
          <w:spacing w:val="-3"/>
          <w:sz w:val="18"/>
        </w:rPr>
        <w:t>Vargas </w:t>
      </w:r>
      <w:r>
        <w:rPr>
          <w:color w:val="231F20"/>
          <w:sz w:val="18"/>
        </w:rPr>
        <w:t>A., Cervantes Escoto, </w:t>
      </w:r>
      <w:r>
        <w:rPr>
          <w:color w:val="231F20"/>
          <w:spacing w:val="-9"/>
          <w:sz w:val="18"/>
        </w:rPr>
        <w:t>F. </w:t>
      </w:r>
      <w:r>
        <w:rPr>
          <w:color w:val="231F20"/>
          <w:spacing w:val="-3"/>
          <w:sz w:val="18"/>
        </w:rPr>
        <w:t>(2009). </w:t>
      </w:r>
      <w:r>
        <w:rPr>
          <w:color w:val="231F20"/>
          <w:sz w:val="18"/>
        </w:rPr>
        <w:t>Ganadería lechera</w:t>
      </w:r>
      <w:r>
        <w:rPr>
          <w:color w:val="231F20"/>
          <w:spacing w:val="-10"/>
          <w:sz w:val="18"/>
        </w:rPr>
        <w:t> </w:t>
      </w:r>
      <w:r>
        <w:rPr>
          <w:color w:val="231F20"/>
          <w:sz w:val="18"/>
        </w:rPr>
        <w:t>mexicana.</w:t>
      </w:r>
      <w:r>
        <w:rPr>
          <w:color w:val="231F20"/>
          <w:spacing w:val="-10"/>
          <w:sz w:val="18"/>
        </w:rPr>
        <w:t> </w:t>
      </w:r>
      <w:r>
        <w:rPr>
          <w:color w:val="231F20"/>
          <w:sz w:val="18"/>
        </w:rPr>
        <w:t>Situación</w:t>
      </w:r>
      <w:r>
        <w:rPr>
          <w:color w:val="231F20"/>
          <w:spacing w:val="-10"/>
          <w:sz w:val="18"/>
        </w:rPr>
        <w:t> </w:t>
      </w:r>
      <w:r>
        <w:rPr>
          <w:color w:val="231F20"/>
          <w:sz w:val="18"/>
        </w:rPr>
        <w:t>actual,</w:t>
      </w:r>
      <w:r>
        <w:rPr>
          <w:color w:val="231F20"/>
          <w:spacing w:val="-10"/>
          <w:sz w:val="18"/>
        </w:rPr>
        <w:t> </w:t>
      </w:r>
      <w:r>
        <w:rPr>
          <w:color w:val="231F20"/>
          <w:sz w:val="18"/>
        </w:rPr>
        <w:t>retrovisión</w:t>
      </w:r>
      <w:r>
        <w:rPr>
          <w:color w:val="231F20"/>
          <w:spacing w:val="-10"/>
          <w:sz w:val="18"/>
        </w:rPr>
        <w:t> </w:t>
      </w:r>
      <w:r>
        <w:rPr>
          <w:color w:val="231F20"/>
          <w:sz w:val="18"/>
        </w:rPr>
        <w:t>y</w:t>
      </w:r>
      <w:r>
        <w:rPr>
          <w:color w:val="231F20"/>
          <w:spacing w:val="-10"/>
          <w:sz w:val="18"/>
        </w:rPr>
        <w:t> </w:t>
      </w:r>
      <w:r>
        <w:rPr>
          <w:color w:val="231F20"/>
          <w:sz w:val="18"/>
        </w:rPr>
        <w:t>pers- pectivas. En: Cesín </w:t>
      </w:r>
      <w:r>
        <w:rPr>
          <w:color w:val="231F20"/>
          <w:spacing w:val="-3"/>
          <w:sz w:val="18"/>
        </w:rPr>
        <w:t>Vargas </w:t>
      </w:r>
      <w:r>
        <w:rPr>
          <w:color w:val="231F20"/>
          <w:sz w:val="18"/>
        </w:rPr>
        <w:t>A., Cervantes Escoto </w:t>
      </w:r>
      <w:r>
        <w:rPr>
          <w:color w:val="231F20"/>
          <w:spacing w:val="-7"/>
          <w:sz w:val="18"/>
        </w:rPr>
        <w:t>F., </w:t>
      </w:r>
      <w:r>
        <w:rPr>
          <w:color w:val="231F20"/>
          <w:spacing w:val="-3"/>
          <w:sz w:val="18"/>
        </w:rPr>
        <w:t>Álvarez </w:t>
      </w:r>
      <w:r>
        <w:rPr>
          <w:color w:val="231F20"/>
          <w:sz w:val="18"/>
        </w:rPr>
        <w:t>Macías A. La lechería familiar en México. </w:t>
      </w:r>
      <w:r>
        <w:rPr>
          <w:color w:val="231F20"/>
          <w:spacing w:val="-2"/>
          <w:sz w:val="18"/>
        </w:rPr>
        <w:t>pp.</w:t>
      </w:r>
      <w:r>
        <w:rPr>
          <w:color w:val="231F20"/>
          <w:spacing w:val="36"/>
          <w:sz w:val="18"/>
        </w:rPr>
        <w:t> </w:t>
      </w:r>
      <w:r>
        <w:rPr>
          <w:color w:val="231F20"/>
          <w:spacing w:val="-4"/>
          <w:sz w:val="18"/>
        </w:rPr>
        <w:t>13-30. </w:t>
      </w:r>
      <w:r>
        <w:rPr>
          <w:color w:val="231F20"/>
          <w:sz w:val="18"/>
        </w:rPr>
        <w:t>Universidad Autónoma de Chapingo,  </w:t>
      </w:r>
      <w:r>
        <w:rPr>
          <w:color w:val="231F20"/>
          <w:spacing w:val="-2"/>
          <w:sz w:val="18"/>
        </w:rPr>
        <w:t>Centro </w:t>
      </w:r>
      <w:r>
        <w:rPr>
          <w:color w:val="231F20"/>
          <w:sz w:val="18"/>
        </w:rPr>
        <w:t>de Investigaciones Económicas, Sociales y </w:t>
      </w:r>
      <w:r>
        <w:rPr>
          <w:color w:val="231F20"/>
          <w:spacing w:val="-4"/>
          <w:sz w:val="18"/>
        </w:rPr>
        <w:t>Tecnológi- </w:t>
      </w:r>
      <w:r>
        <w:rPr>
          <w:color w:val="231F20"/>
          <w:sz w:val="18"/>
        </w:rPr>
        <w:t>cas</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Agroindustria</w:t>
      </w:r>
      <w:r>
        <w:rPr>
          <w:color w:val="231F20"/>
          <w:spacing w:val="-4"/>
          <w:sz w:val="18"/>
        </w:rPr>
        <w:t> </w:t>
      </w:r>
      <w:r>
        <w:rPr>
          <w:color w:val="231F20"/>
          <w:sz w:val="18"/>
        </w:rPr>
        <w:t>y</w:t>
      </w:r>
      <w:r>
        <w:rPr>
          <w:color w:val="231F20"/>
          <w:spacing w:val="-4"/>
          <w:sz w:val="18"/>
        </w:rPr>
        <w:t> </w:t>
      </w:r>
      <w:r>
        <w:rPr>
          <w:color w:val="231F20"/>
          <w:sz w:val="18"/>
        </w:rPr>
        <w:t>la</w:t>
      </w:r>
      <w:r>
        <w:rPr>
          <w:color w:val="231F20"/>
          <w:spacing w:val="-4"/>
          <w:sz w:val="18"/>
        </w:rPr>
        <w:t> </w:t>
      </w:r>
      <w:r>
        <w:rPr>
          <w:color w:val="231F20"/>
          <w:sz w:val="18"/>
        </w:rPr>
        <w:t>Agricultura</w:t>
      </w:r>
      <w:r>
        <w:rPr>
          <w:color w:val="231F20"/>
          <w:spacing w:val="-4"/>
          <w:sz w:val="18"/>
        </w:rPr>
        <w:t> </w:t>
      </w:r>
      <w:r>
        <w:rPr>
          <w:color w:val="231F20"/>
          <w:sz w:val="18"/>
        </w:rPr>
        <w:t>Mundial,</w:t>
      </w:r>
      <w:r>
        <w:rPr>
          <w:color w:val="231F20"/>
          <w:spacing w:val="-4"/>
          <w:sz w:val="18"/>
        </w:rPr>
        <w:t> </w:t>
      </w:r>
      <w:r>
        <w:rPr>
          <w:color w:val="231F20"/>
          <w:sz w:val="18"/>
        </w:rPr>
        <w:t>Cole- gio de Postgraduados Campus Puebla, Universidad Autónoma</w:t>
      </w:r>
      <w:r>
        <w:rPr>
          <w:color w:val="231F20"/>
          <w:spacing w:val="-18"/>
          <w:sz w:val="18"/>
        </w:rPr>
        <w:t> </w:t>
      </w:r>
      <w:r>
        <w:rPr>
          <w:color w:val="231F20"/>
          <w:sz w:val="18"/>
        </w:rPr>
        <w:t>Metropolitana</w:t>
      </w:r>
      <w:r>
        <w:rPr>
          <w:color w:val="231F20"/>
          <w:spacing w:val="-18"/>
          <w:sz w:val="18"/>
        </w:rPr>
        <w:t> </w:t>
      </w:r>
      <w:r>
        <w:rPr>
          <w:color w:val="231F20"/>
          <w:sz w:val="18"/>
        </w:rPr>
        <w:t>Unidad</w:t>
      </w:r>
      <w:r>
        <w:rPr>
          <w:color w:val="231F20"/>
          <w:spacing w:val="-18"/>
          <w:sz w:val="18"/>
        </w:rPr>
        <w:t> </w:t>
      </w:r>
      <w:r>
        <w:rPr>
          <w:color w:val="231F20"/>
          <w:sz w:val="18"/>
        </w:rPr>
        <w:t>Xochimilco,</w:t>
      </w:r>
      <w:r>
        <w:rPr>
          <w:color w:val="231F20"/>
          <w:spacing w:val="-18"/>
          <w:sz w:val="18"/>
        </w:rPr>
        <w:t> </w:t>
      </w:r>
      <w:r>
        <w:rPr>
          <w:color w:val="231F20"/>
          <w:sz w:val="18"/>
        </w:rPr>
        <w:t>Consejo Nacional de Ciencia y </w:t>
      </w:r>
      <w:r>
        <w:rPr>
          <w:color w:val="231F20"/>
          <w:spacing w:val="-4"/>
          <w:sz w:val="18"/>
        </w:rPr>
        <w:t>Tecnología </w:t>
      </w:r>
      <w:r>
        <w:rPr>
          <w:color w:val="231F20"/>
          <w:spacing w:val="-3"/>
          <w:sz w:val="18"/>
        </w:rPr>
        <w:t>(CONACYT), </w:t>
      </w:r>
      <w:r>
        <w:rPr>
          <w:color w:val="231F20"/>
          <w:sz w:val="18"/>
        </w:rPr>
        <w:t>y Mi- guel Ángel </w:t>
      </w:r>
      <w:r>
        <w:rPr>
          <w:color w:val="231F20"/>
          <w:spacing w:val="-3"/>
          <w:sz w:val="18"/>
        </w:rPr>
        <w:t>Porrúa. </w:t>
      </w:r>
      <w:r>
        <w:rPr>
          <w:color w:val="231F20"/>
          <w:sz w:val="18"/>
        </w:rPr>
        <w:t>México</w:t>
      </w:r>
      <w:r>
        <w:rPr>
          <w:color w:val="231F20"/>
          <w:spacing w:val="2"/>
          <w:sz w:val="18"/>
        </w:rPr>
        <w:t> </w:t>
      </w:r>
      <w:r>
        <w:rPr>
          <w:color w:val="231F20"/>
          <w:spacing w:val="-7"/>
          <w:sz w:val="18"/>
        </w:rPr>
        <w:t>DF.</w:t>
      </w:r>
    </w:p>
    <w:p>
      <w:pPr>
        <w:spacing w:line="264" w:lineRule="auto" w:before="57"/>
        <w:ind w:left="696" w:right="1551" w:hanging="284"/>
        <w:jc w:val="both"/>
        <w:rPr>
          <w:sz w:val="18"/>
        </w:rPr>
      </w:pPr>
      <w:r>
        <w:rPr>
          <w:color w:val="231F20"/>
          <w:spacing w:val="-3"/>
          <w:sz w:val="18"/>
        </w:rPr>
        <w:t>COFOCALEC. </w:t>
      </w:r>
      <w:r>
        <w:rPr>
          <w:color w:val="231F20"/>
          <w:sz w:val="18"/>
        </w:rPr>
        <w:t>Consejo  para  el  </w:t>
      </w:r>
      <w:r>
        <w:rPr>
          <w:color w:val="231F20"/>
          <w:spacing w:val="-3"/>
          <w:sz w:val="18"/>
        </w:rPr>
        <w:t>Fomento  </w:t>
      </w:r>
      <w:r>
        <w:rPr>
          <w:color w:val="231F20"/>
          <w:sz w:val="18"/>
        </w:rPr>
        <w:t>de  la  Calidad  de la Leche y sus Derivados A.C.NMX-F-700-CO- </w:t>
      </w:r>
      <w:r>
        <w:rPr>
          <w:color w:val="231F20"/>
          <w:spacing w:val="-3"/>
          <w:sz w:val="18"/>
        </w:rPr>
        <w:t>FOCALEC-2004. </w:t>
      </w:r>
      <w:r>
        <w:rPr>
          <w:color w:val="231F20"/>
          <w:sz w:val="18"/>
        </w:rPr>
        <w:t>Sistema producto leche-alimen- to-lácteo-leche    cruda    de    vaca. </w:t>
      </w:r>
      <w:r>
        <w:rPr>
          <w:color w:val="231F20"/>
          <w:spacing w:val="37"/>
          <w:sz w:val="18"/>
        </w:rPr>
        <w:t> </w:t>
      </w:r>
      <w:r>
        <w:rPr>
          <w:color w:val="231F20"/>
          <w:sz w:val="18"/>
        </w:rPr>
        <w:t>Especificaciones</w:t>
      </w:r>
    </w:p>
    <w:p>
      <w:pPr>
        <w:spacing w:after="0" w:line="264"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spacing w:val="-5"/>
          <w:w w:val="120"/>
          <w:sz w:val="22"/>
        </w:rPr>
        <w:t>72</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10"/>
        <w:rPr>
          <w:sz w:val="22"/>
        </w:rPr>
      </w:pPr>
    </w:p>
    <w:p>
      <w:pPr>
        <w:spacing w:after="0"/>
        <w:rPr>
          <w:sz w:val="22"/>
        </w:rPr>
        <w:sectPr>
          <w:pgSz w:w="11900" w:h="14450"/>
          <w:pgMar w:header="0" w:footer="222" w:top="420" w:bottom="420" w:left="0" w:right="0"/>
        </w:sectPr>
      </w:pPr>
    </w:p>
    <w:p>
      <w:pPr>
        <w:spacing w:line="271" w:lineRule="auto" w:before="70"/>
        <w:ind w:left="1837" w:right="0" w:firstLine="0"/>
        <w:jc w:val="both"/>
        <w:rPr>
          <w:sz w:val="18"/>
        </w:rPr>
      </w:pPr>
      <w:r>
        <w:rPr>
          <w:color w:val="231F20"/>
          <w:sz w:val="18"/>
        </w:rPr>
        <w:t>fisicoquímicas sanitarias y métodos de prueba. Orga- nismo Nacional de Normalización y de la Conformi- dad. Guadalajara, Jalisco, México.</w:t>
      </w:r>
    </w:p>
    <w:p>
      <w:pPr>
        <w:spacing w:line="271" w:lineRule="auto" w:before="57"/>
        <w:ind w:left="1837" w:right="1" w:hanging="284"/>
        <w:jc w:val="both"/>
        <w:rPr>
          <w:sz w:val="18"/>
        </w:rPr>
      </w:pPr>
      <w:r>
        <w:rPr>
          <w:color w:val="231F20"/>
          <w:sz w:val="18"/>
        </w:rPr>
        <w:t>CONASAMI. Comisión Nacional de los Salarios Mínimos. Disponible en línea en: </w:t>
      </w:r>
      <w:hyperlink r:id="rId77">
        <w:r>
          <w:rPr>
            <w:color w:val="231F20"/>
            <w:spacing w:val="-3"/>
            <w:sz w:val="18"/>
          </w:rPr>
          <w:t>http://www.conasami.gob.</w:t>
        </w:r>
      </w:hyperlink>
      <w:r>
        <w:rPr>
          <w:color w:val="231F20"/>
          <w:spacing w:val="-3"/>
          <w:sz w:val="18"/>
        </w:rPr>
        <w:t> mx/t_sal_mini_prof.html </w:t>
      </w:r>
      <w:r>
        <w:rPr>
          <w:color w:val="231F20"/>
          <w:sz w:val="18"/>
        </w:rPr>
        <w:t>(Consultado el 3 de enero de </w:t>
      </w:r>
      <w:r>
        <w:rPr>
          <w:color w:val="231F20"/>
          <w:spacing w:val="40"/>
          <w:sz w:val="18"/>
        </w:rPr>
        <w:t> </w:t>
      </w:r>
      <w:r>
        <w:rPr>
          <w:color w:val="231F20"/>
          <w:spacing w:val="-6"/>
          <w:sz w:val="18"/>
        </w:rPr>
        <w:t>2011.)</w:t>
      </w:r>
    </w:p>
    <w:p>
      <w:pPr>
        <w:spacing w:line="271" w:lineRule="auto" w:before="57"/>
        <w:ind w:left="1837" w:right="0" w:hanging="284"/>
        <w:jc w:val="both"/>
        <w:rPr>
          <w:sz w:val="18"/>
        </w:rPr>
      </w:pPr>
      <w:r>
        <w:rPr>
          <w:color w:val="231F20"/>
          <w:w w:val="105"/>
          <w:sz w:val="18"/>
        </w:rPr>
        <w:t>Dumanski J., Gameda S., Pieri C. </w:t>
      </w:r>
      <w:r>
        <w:rPr>
          <w:color w:val="231F20"/>
          <w:spacing w:val="-3"/>
          <w:w w:val="105"/>
          <w:sz w:val="18"/>
        </w:rPr>
        <w:t>(1998). </w:t>
      </w:r>
      <w:r>
        <w:rPr>
          <w:color w:val="231F20"/>
          <w:w w:val="105"/>
          <w:sz w:val="18"/>
        </w:rPr>
        <w:t>Indicators of land quality and sustainable land management. An annotated </w:t>
      </w:r>
      <w:r>
        <w:rPr>
          <w:color w:val="231F20"/>
          <w:spacing w:val="-3"/>
          <w:w w:val="105"/>
          <w:sz w:val="18"/>
        </w:rPr>
        <w:t>bibliography. The </w:t>
      </w:r>
      <w:r>
        <w:rPr>
          <w:color w:val="231F20"/>
          <w:w w:val="105"/>
          <w:sz w:val="18"/>
        </w:rPr>
        <w:t>International Bank Re- construction and </w:t>
      </w:r>
      <w:r>
        <w:rPr>
          <w:color w:val="231F20"/>
          <w:spacing w:val="-3"/>
          <w:w w:val="105"/>
          <w:sz w:val="18"/>
        </w:rPr>
        <w:t>Development/The World </w:t>
      </w:r>
      <w:r>
        <w:rPr>
          <w:color w:val="231F20"/>
          <w:w w:val="105"/>
          <w:sz w:val="18"/>
        </w:rPr>
        <w:t>Bank. </w:t>
      </w:r>
      <w:r>
        <w:rPr>
          <w:color w:val="231F20"/>
          <w:sz w:val="18"/>
        </w:rPr>
        <w:t>Washington DC, USA.</w:t>
      </w:r>
    </w:p>
    <w:p>
      <w:pPr>
        <w:spacing w:line="271" w:lineRule="auto" w:before="57"/>
        <w:ind w:left="1837" w:right="0" w:hanging="284"/>
        <w:jc w:val="both"/>
        <w:rPr>
          <w:sz w:val="18"/>
        </w:rPr>
      </w:pPr>
      <w:r>
        <w:rPr>
          <w:color w:val="231F20"/>
          <w:sz w:val="18"/>
        </w:rPr>
        <w:t>Espinosa García J.A., Wiggins S., </w:t>
      </w:r>
      <w:r>
        <w:rPr>
          <w:color w:val="231F20"/>
          <w:spacing w:val="-3"/>
          <w:sz w:val="18"/>
        </w:rPr>
        <w:t>González Orozco </w:t>
      </w:r>
      <w:r>
        <w:rPr>
          <w:color w:val="231F20"/>
          <w:spacing w:val="-5"/>
          <w:sz w:val="18"/>
        </w:rPr>
        <w:t>A.T., </w:t>
      </w:r>
      <w:r>
        <w:rPr>
          <w:color w:val="231F20"/>
          <w:sz w:val="18"/>
        </w:rPr>
        <w:t>Aguilar Barradas U. </w:t>
      </w:r>
      <w:r>
        <w:rPr>
          <w:color w:val="231F20"/>
          <w:spacing w:val="-3"/>
          <w:sz w:val="18"/>
        </w:rPr>
        <w:t>(2004). </w:t>
      </w:r>
      <w:r>
        <w:rPr>
          <w:color w:val="231F20"/>
          <w:sz w:val="18"/>
        </w:rPr>
        <w:t>Sustentabilidad económi- ca a nivel de empresa: aplicación a nivel de unidades familiares de producción de leche en México.</w:t>
      </w:r>
      <w:r>
        <w:rPr>
          <w:color w:val="231F20"/>
          <w:spacing w:val="-29"/>
          <w:sz w:val="18"/>
        </w:rPr>
        <w:t> </w:t>
      </w:r>
      <w:r>
        <w:rPr>
          <w:i/>
          <w:color w:val="231F20"/>
          <w:sz w:val="18"/>
        </w:rPr>
        <w:t>Técnica </w:t>
      </w:r>
      <w:r>
        <w:rPr>
          <w:i/>
          <w:color w:val="231F20"/>
          <w:sz w:val="18"/>
        </w:rPr>
        <w:t>Pecuaria en México, </w:t>
      </w:r>
      <w:r>
        <w:rPr>
          <w:color w:val="231F20"/>
          <w:sz w:val="18"/>
        </w:rPr>
        <w:t>42:  </w:t>
      </w:r>
      <w:r>
        <w:rPr>
          <w:color w:val="231F20"/>
          <w:spacing w:val="9"/>
          <w:sz w:val="18"/>
        </w:rPr>
        <w:t> </w:t>
      </w:r>
      <w:r>
        <w:rPr>
          <w:color w:val="231F20"/>
          <w:spacing w:val="-4"/>
          <w:sz w:val="18"/>
        </w:rPr>
        <w:t>55-70.</w:t>
      </w:r>
    </w:p>
    <w:p>
      <w:pPr>
        <w:spacing w:line="271" w:lineRule="auto" w:before="57"/>
        <w:ind w:left="1837" w:right="0" w:hanging="284"/>
        <w:jc w:val="both"/>
        <w:rPr>
          <w:sz w:val="18"/>
        </w:rPr>
      </w:pPr>
      <w:r>
        <w:rPr>
          <w:color w:val="231F20"/>
          <w:sz w:val="18"/>
        </w:rPr>
        <w:t>Espinoza-Ortega A., Macías Álvarez A., Del Valle M.C., Chauvete M. (2005). La economía de los sistemas campesinos de producción de leche en el Estado de México. </w:t>
      </w:r>
      <w:r>
        <w:rPr>
          <w:i/>
          <w:color w:val="231F20"/>
          <w:sz w:val="18"/>
        </w:rPr>
        <w:t>Técnica Pecuaria en México, </w:t>
      </w:r>
      <w:r>
        <w:rPr>
          <w:color w:val="231F20"/>
          <w:sz w:val="18"/>
        </w:rPr>
        <w:t>43(1):    39-56.</w:t>
      </w:r>
    </w:p>
    <w:p>
      <w:pPr>
        <w:spacing w:line="271" w:lineRule="auto" w:before="57"/>
        <w:ind w:left="1837" w:right="1" w:hanging="284"/>
        <w:jc w:val="both"/>
        <w:rPr>
          <w:sz w:val="18"/>
        </w:rPr>
      </w:pPr>
      <w:r>
        <w:rPr>
          <w:color w:val="231F20"/>
          <w:sz w:val="18"/>
        </w:rPr>
        <w:t>Espinoza-Ortega A., </w:t>
      </w:r>
      <w:r>
        <w:rPr>
          <w:color w:val="231F20"/>
          <w:spacing w:val="-3"/>
          <w:sz w:val="18"/>
        </w:rPr>
        <w:t>Espinosa-Ayala </w:t>
      </w:r>
      <w:r>
        <w:rPr>
          <w:color w:val="231F20"/>
          <w:sz w:val="18"/>
        </w:rPr>
        <w:t>E., </w:t>
      </w:r>
      <w:r>
        <w:rPr>
          <w:color w:val="231F20"/>
          <w:spacing w:val="-3"/>
          <w:sz w:val="18"/>
        </w:rPr>
        <w:t>Bastida-López </w:t>
      </w:r>
      <w:r>
        <w:rPr>
          <w:color w:val="231F20"/>
          <w:spacing w:val="-2"/>
          <w:sz w:val="18"/>
        </w:rPr>
        <w:t>J., </w:t>
      </w:r>
      <w:r>
        <w:rPr>
          <w:color w:val="231F20"/>
          <w:sz w:val="18"/>
        </w:rPr>
        <w:t>Castañeda-Martínez </w:t>
      </w:r>
      <w:r>
        <w:rPr>
          <w:color w:val="231F20"/>
          <w:spacing w:val="-7"/>
          <w:sz w:val="18"/>
        </w:rPr>
        <w:t>T., </w:t>
      </w:r>
      <w:r>
        <w:rPr>
          <w:color w:val="231F20"/>
          <w:sz w:val="18"/>
        </w:rPr>
        <w:t>Arriaga-Jordán C.M. </w:t>
      </w:r>
      <w:r>
        <w:rPr>
          <w:color w:val="231F20"/>
          <w:spacing w:val="-4"/>
          <w:sz w:val="18"/>
        </w:rPr>
        <w:t>(2007). </w:t>
      </w:r>
      <w:r>
        <w:rPr>
          <w:color w:val="231F20"/>
          <w:sz w:val="18"/>
        </w:rPr>
        <w:t>Small-scale dairy farming in the highlands of central Mexico: technical, economic and social aspects </w:t>
      </w:r>
      <w:r>
        <w:rPr>
          <w:color w:val="231F20"/>
          <w:spacing w:val="-2"/>
          <w:sz w:val="18"/>
        </w:rPr>
        <w:t>and </w:t>
      </w:r>
      <w:r>
        <w:rPr>
          <w:color w:val="231F20"/>
          <w:sz w:val="18"/>
        </w:rPr>
        <w:t>their</w:t>
      </w:r>
      <w:r>
        <w:rPr>
          <w:color w:val="231F20"/>
          <w:spacing w:val="-7"/>
          <w:sz w:val="18"/>
        </w:rPr>
        <w:t> </w:t>
      </w:r>
      <w:r>
        <w:rPr>
          <w:color w:val="231F20"/>
          <w:sz w:val="18"/>
        </w:rPr>
        <w:t>impact</w:t>
      </w:r>
      <w:r>
        <w:rPr>
          <w:color w:val="231F20"/>
          <w:spacing w:val="-7"/>
          <w:sz w:val="18"/>
        </w:rPr>
        <w:t> </w:t>
      </w:r>
      <w:r>
        <w:rPr>
          <w:color w:val="231F20"/>
          <w:sz w:val="18"/>
        </w:rPr>
        <w:t>on</w:t>
      </w:r>
      <w:r>
        <w:rPr>
          <w:color w:val="231F20"/>
          <w:spacing w:val="-7"/>
          <w:sz w:val="18"/>
        </w:rPr>
        <w:t> </w:t>
      </w:r>
      <w:r>
        <w:rPr>
          <w:color w:val="231F20"/>
          <w:spacing w:val="-3"/>
          <w:sz w:val="18"/>
        </w:rPr>
        <w:t>poverty.</w:t>
      </w:r>
      <w:r>
        <w:rPr>
          <w:color w:val="231F20"/>
          <w:spacing w:val="-7"/>
          <w:sz w:val="18"/>
        </w:rPr>
        <w:t> </w:t>
      </w:r>
      <w:r>
        <w:rPr>
          <w:i/>
          <w:color w:val="231F20"/>
          <w:sz w:val="18"/>
        </w:rPr>
        <w:t>Experimental</w:t>
      </w:r>
      <w:r>
        <w:rPr>
          <w:i/>
          <w:color w:val="231F20"/>
          <w:spacing w:val="-7"/>
          <w:sz w:val="18"/>
        </w:rPr>
        <w:t> </w:t>
      </w:r>
      <w:r>
        <w:rPr>
          <w:i/>
          <w:color w:val="231F20"/>
          <w:sz w:val="18"/>
        </w:rPr>
        <w:t>Agriculture,</w:t>
      </w:r>
      <w:r>
        <w:rPr>
          <w:i/>
          <w:color w:val="231F20"/>
          <w:spacing w:val="-7"/>
          <w:sz w:val="18"/>
        </w:rPr>
        <w:t> </w:t>
      </w:r>
      <w:r>
        <w:rPr>
          <w:color w:val="231F20"/>
          <w:spacing w:val="-2"/>
          <w:sz w:val="18"/>
        </w:rPr>
        <w:t>43: </w:t>
      </w:r>
      <w:r>
        <w:rPr>
          <w:color w:val="231F20"/>
          <w:spacing w:val="-6"/>
          <w:sz w:val="18"/>
        </w:rPr>
        <w:t>241-256.</w:t>
      </w:r>
    </w:p>
    <w:p>
      <w:pPr>
        <w:spacing w:line="271" w:lineRule="auto" w:before="57"/>
        <w:ind w:left="1837" w:right="1" w:hanging="284"/>
        <w:jc w:val="both"/>
        <w:rPr>
          <w:sz w:val="18"/>
        </w:rPr>
      </w:pPr>
      <w:r>
        <w:rPr>
          <w:color w:val="231F20"/>
          <w:sz w:val="18"/>
        </w:rPr>
        <w:t>FAO (2010). Status of and prospects for smallholder milk production – a global perspective. T. Hemme and J. Otte. Rome.</w:t>
      </w:r>
    </w:p>
    <w:p>
      <w:pPr>
        <w:spacing w:line="271" w:lineRule="auto" w:before="57"/>
        <w:ind w:left="1837" w:right="0" w:hanging="284"/>
        <w:jc w:val="both"/>
        <w:rPr>
          <w:sz w:val="18"/>
        </w:rPr>
      </w:pPr>
      <w:r>
        <w:rPr>
          <w:color w:val="231F20"/>
          <w:sz w:val="18"/>
        </w:rPr>
        <w:t>García-Muñiz J.G., Mariscal-Aguayo V.D., Caldera-Nava- rrete N.A., Ramírez-Valverde R., Estrella-Quintero H., Núñez-Domínguez R. (2007). Variables relacionadas con la producción de leche de ganado Holstein en agroempresas familiares con diferente nivel tecnoló- gico.  </w:t>
      </w:r>
      <w:r>
        <w:rPr>
          <w:i/>
          <w:color w:val="231F20"/>
          <w:sz w:val="18"/>
        </w:rPr>
        <w:t>Interciencia,  </w:t>
      </w:r>
      <w:r>
        <w:rPr>
          <w:color w:val="231F20"/>
          <w:sz w:val="18"/>
        </w:rPr>
        <w:t>32(012):   841-843.</w:t>
      </w:r>
    </w:p>
    <w:p>
      <w:pPr>
        <w:spacing w:line="271" w:lineRule="auto" w:before="57"/>
        <w:ind w:left="1837" w:right="0" w:hanging="284"/>
        <w:jc w:val="both"/>
        <w:rPr>
          <w:sz w:val="18"/>
        </w:rPr>
      </w:pPr>
      <w:r>
        <w:rPr>
          <w:color w:val="231F20"/>
          <w:spacing w:val="-3"/>
          <w:w w:val="105"/>
          <w:sz w:val="18"/>
        </w:rPr>
        <w:t>Ghozlane </w:t>
      </w:r>
      <w:r>
        <w:rPr>
          <w:color w:val="231F20"/>
          <w:spacing w:val="-7"/>
          <w:w w:val="105"/>
          <w:sz w:val="18"/>
        </w:rPr>
        <w:t>F., </w:t>
      </w:r>
      <w:r>
        <w:rPr>
          <w:color w:val="231F20"/>
          <w:w w:val="105"/>
          <w:sz w:val="18"/>
        </w:rPr>
        <w:t>Ziki B., Abbadie B., </w:t>
      </w:r>
      <w:r>
        <w:rPr>
          <w:color w:val="231F20"/>
          <w:spacing w:val="-3"/>
          <w:w w:val="105"/>
          <w:sz w:val="18"/>
        </w:rPr>
        <w:t>Yakhlef </w:t>
      </w:r>
      <w:r>
        <w:rPr>
          <w:color w:val="231F20"/>
          <w:w w:val="105"/>
          <w:sz w:val="18"/>
        </w:rPr>
        <w:t>H. </w:t>
      </w:r>
      <w:r>
        <w:rPr>
          <w:color w:val="231F20"/>
          <w:spacing w:val="-3"/>
          <w:w w:val="105"/>
          <w:sz w:val="18"/>
        </w:rPr>
        <w:t>(2008). </w:t>
      </w:r>
      <w:r>
        <w:rPr>
          <w:color w:val="231F20"/>
          <w:w w:val="105"/>
          <w:sz w:val="18"/>
        </w:rPr>
        <w:t>Éva- </w:t>
      </w:r>
      <w:r>
        <w:rPr>
          <w:color w:val="231F20"/>
          <w:sz w:val="18"/>
        </w:rPr>
        <w:t>luation de la durabilité des exploitations ovines step- </w:t>
      </w:r>
      <w:r>
        <w:rPr>
          <w:color w:val="231F20"/>
          <w:w w:val="105"/>
          <w:sz w:val="18"/>
        </w:rPr>
        <w:t>piques</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wilaya</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Djelfa.</w:t>
      </w:r>
      <w:r>
        <w:rPr>
          <w:color w:val="231F20"/>
          <w:spacing w:val="-11"/>
          <w:w w:val="105"/>
          <w:sz w:val="18"/>
        </w:rPr>
        <w:t> </w:t>
      </w:r>
      <w:r>
        <w:rPr>
          <w:i/>
          <w:color w:val="231F20"/>
          <w:w w:val="105"/>
          <w:sz w:val="18"/>
        </w:rPr>
        <w:t>Livestock</w:t>
      </w:r>
      <w:r>
        <w:rPr>
          <w:i/>
          <w:color w:val="231F20"/>
          <w:spacing w:val="-11"/>
          <w:w w:val="105"/>
          <w:sz w:val="18"/>
        </w:rPr>
        <w:t> </w:t>
      </w:r>
      <w:r>
        <w:rPr>
          <w:i/>
          <w:color w:val="231F20"/>
          <w:w w:val="105"/>
          <w:sz w:val="18"/>
        </w:rPr>
        <w:t>Research</w:t>
      </w:r>
      <w:r>
        <w:rPr>
          <w:i/>
          <w:color w:val="231F20"/>
          <w:spacing w:val="-11"/>
          <w:w w:val="105"/>
          <w:sz w:val="18"/>
        </w:rPr>
        <w:t> </w:t>
      </w:r>
      <w:r>
        <w:rPr>
          <w:i/>
          <w:color w:val="231F20"/>
          <w:spacing w:val="-2"/>
          <w:w w:val="105"/>
          <w:sz w:val="18"/>
        </w:rPr>
        <w:t>for </w:t>
      </w:r>
      <w:r>
        <w:rPr>
          <w:i/>
          <w:color w:val="231F20"/>
          <w:w w:val="105"/>
          <w:sz w:val="18"/>
        </w:rPr>
        <w:t>Rural Development, </w:t>
      </w:r>
      <w:r>
        <w:rPr>
          <w:color w:val="231F20"/>
          <w:spacing w:val="-3"/>
          <w:w w:val="105"/>
          <w:sz w:val="18"/>
        </w:rPr>
        <w:t>20</w:t>
      </w:r>
      <w:r>
        <w:rPr>
          <w:color w:val="231F20"/>
          <w:spacing w:val="20"/>
          <w:w w:val="105"/>
          <w:sz w:val="18"/>
        </w:rPr>
        <w:t> </w:t>
      </w:r>
      <w:r>
        <w:rPr>
          <w:color w:val="231F20"/>
          <w:spacing w:val="-4"/>
          <w:w w:val="105"/>
          <w:sz w:val="18"/>
        </w:rPr>
        <w:t>(10).</w:t>
      </w:r>
    </w:p>
    <w:p>
      <w:pPr>
        <w:spacing w:line="271" w:lineRule="auto" w:before="57"/>
        <w:ind w:left="1837" w:right="0" w:hanging="284"/>
        <w:jc w:val="both"/>
        <w:rPr>
          <w:sz w:val="18"/>
        </w:rPr>
      </w:pPr>
      <w:r>
        <w:rPr>
          <w:color w:val="231F20"/>
          <w:spacing w:val="-3"/>
          <w:sz w:val="18"/>
        </w:rPr>
        <w:t>González </w:t>
      </w:r>
      <w:r>
        <w:rPr>
          <w:color w:val="231F20"/>
          <w:sz w:val="18"/>
        </w:rPr>
        <w:t>Esquivel C., Brunett </w:t>
      </w:r>
      <w:r>
        <w:rPr>
          <w:color w:val="231F20"/>
          <w:spacing w:val="-3"/>
          <w:sz w:val="18"/>
        </w:rPr>
        <w:t>Pérez </w:t>
      </w:r>
      <w:r>
        <w:rPr>
          <w:color w:val="231F20"/>
          <w:sz w:val="18"/>
        </w:rPr>
        <w:t>L. </w:t>
      </w:r>
      <w:r>
        <w:rPr>
          <w:color w:val="231F20"/>
          <w:spacing w:val="-3"/>
          <w:sz w:val="18"/>
        </w:rPr>
        <w:t>(2009). </w:t>
      </w:r>
      <w:r>
        <w:rPr>
          <w:color w:val="231F20"/>
          <w:sz w:val="18"/>
        </w:rPr>
        <w:t>Metodo- logías e indicadores para la evaluación de sustenta- bilidad en sistemas lecheros. En: García </w:t>
      </w:r>
      <w:r>
        <w:rPr>
          <w:color w:val="231F20"/>
          <w:spacing w:val="-3"/>
          <w:sz w:val="18"/>
        </w:rPr>
        <w:t>Hernández </w:t>
      </w:r>
      <w:r>
        <w:rPr>
          <w:color w:val="231F20"/>
          <w:sz w:val="18"/>
        </w:rPr>
        <w:t>L.A., Brunett </w:t>
      </w:r>
      <w:r>
        <w:rPr>
          <w:color w:val="231F20"/>
          <w:spacing w:val="-3"/>
          <w:sz w:val="18"/>
        </w:rPr>
        <w:t>Pérez </w:t>
      </w:r>
      <w:r>
        <w:rPr>
          <w:color w:val="231F20"/>
          <w:sz w:val="18"/>
        </w:rPr>
        <w:t>L., editores. Producción  sustenta-</w:t>
      </w:r>
    </w:p>
    <w:p>
      <w:pPr>
        <w:spacing w:line="266" w:lineRule="auto" w:before="70"/>
        <w:ind w:left="696" w:right="1446" w:firstLine="0"/>
        <w:jc w:val="left"/>
        <w:rPr>
          <w:sz w:val="18"/>
        </w:rPr>
      </w:pPr>
      <w:r>
        <w:rPr/>
        <w:br w:type="column"/>
      </w:r>
      <w:r>
        <w:rPr>
          <w:color w:val="231F20"/>
          <w:sz w:val="18"/>
        </w:rPr>
        <w:t>ble, calidad y leche orgánica. Universidad Autónoma Metropolitana, México DF. pp. 221-242.</w:t>
      </w:r>
    </w:p>
    <w:p>
      <w:pPr>
        <w:spacing w:line="266" w:lineRule="auto" w:before="56"/>
        <w:ind w:left="696" w:right="1551" w:hanging="284"/>
        <w:jc w:val="both"/>
        <w:rPr>
          <w:sz w:val="18"/>
        </w:rPr>
      </w:pPr>
      <w:r>
        <w:rPr>
          <w:color w:val="231F20"/>
          <w:sz w:val="18"/>
        </w:rPr>
        <w:t>IFCN-International Farm Comparation Network. 2007. Dairy Report 2007. Disponible en línea en: http:// </w:t>
      </w:r>
      <w:hyperlink r:id="rId78">
        <w:r>
          <w:rPr>
            <w:color w:val="231F20"/>
            <w:sz w:val="18"/>
          </w:rPr>
          <w:t>www.ifcnnetwork.org/extern/downloads/pdf/DR07-</w:t>
        </w:r>
      </w:hyperlink>
      <w:r>
        <w:rPr>
          <w:color w:val="231F20"/>
          <w:sz w:val="18"/>
        </w:rPr>
        <w:t> web.pdf</w:t>
      </w:r>
    </w:p>
    <w:p>
      <w:pPr>
        <w:spacing w:line="266" w:lineRule="auto" w:before="56"/>
        <w:ind w:left="696" w:right="1551" w:hanging="284"/>
        <w:jc w:val="both"/>
        <w:rPr>
          <w:sz w:val="18"/>
        </w:rPr>
      </w:pPr>
      <w:r>
        <w:rPr>
          <w:color w:val="231F20"/>
          <w:sz w:val="18"/>
        </w:rPr>
        <w:t>Instituto Nacional de Ecología (INE), Comisión Intersecre- tarial</w:t>
      </w:r>
      <w:r>
        <w:rPr>
          <w:color w:val="231F20"/>
          <w:spacing w:val="-7"/>
          <w:sz w:val="18"/>
        </w:rPr>
        <w:t> </w:t>
      </w:r>
      <w:r>
        <w:rPr>
          <w:color w:val="231F20"/>
          <w:sz w:val="18"/>
        </w:rPr>
        <w:t>para</w:t>
      </w:r>
      <w:r>
        <w:rPr>
          <w:color w:val="231F20"/>
          <w:spacing w:val="-7"/>
          <w:sz w:val="18"/>
        </w:rPr>
        <w:t> </w:t>
      </w:r>
      <w:r>
        <w:rPr>
          <w:color w:val="231F20"/>
          <w:sz w:val="18"/>
        </w:rPr>
        <w:t>el</w:t>
      </w:r>
      <w:r>
        <w:rPr>
          <w:color w:val="231F20"/>
          <w:spacing w:val="-7"/>
          <w:sz w:val="18"/>
        </w:rPr>
        <w:t> </w:t>
      </w:r>
      <w:r>
        <w:rPr>
          <w:color w:val="231F20"/>
          <w:sz w:val="18"/>
        </w:rPr>
        <w:t>Control</w:t>
      </w:r>
      <w:r>
        <w:rPr>
          <w:color w:val="231F20"/>
          <w:spacing w:val="-7"/>
          <w:sz w:val="18"/>
        </w:rPr>
        <w:t> </w:t>
      </w:r>
      <w:r>
        <w:rPr>
          <w:color w:val="231F20"/>
          <w:sz w:val="18"/>
        </w:rPr>
        <w:t>del</w:t>
      </w:r>
      <w:r>
        <w:rPr>
          <w:color w:val="231F20"/>
          <w:spacing w:val="-7"/>
          <w:sz w:val="18"/>
        </w:rPr>
        <w:t> </w:t>
      </w:r>
      <w:r>
        <w:rPr>
          <w:color w:val="231F20"/>
          <w:sz w:val="18"/>
        </w:rPr>
        <w:t>Proceso</w:t>
      </w:r>
      <w:r>
        <w:rPr>
          <w:color w:val="231F20"/>
          <w:spacing w:val="-7"/>
          <w:sz w:val="18"/>
        </w:rPr>
        <w:t> </w:t>
      </w:r>
      <w:r>
        <w:rPr>
          <w:color w:val="231F20"/>
          <w:sz w:val="18"/>
        </w:rPr>
        <w:t>y</w:t>
      </w:r>
      <w:r>
        <w:rPr>
          <w:color w:val="231F20"/>
          <w:spacing w:val="-7"/>
          <w:sz w:val="18"/>
        </w:rPr>
        <w:t> </w:t>
      </w:r>
      <w:r>
        <w:rPr>
          <w:color w:val="231F20"/>
          <w:sz w:val="18"/>
        </w:rPr>
        <w:t>Uso</w:t>
      </w:r>
      <w:r>
        <w:rPr>
          <w:color w:val="231F20"/>
          <w:spacing w:val="-7"/>
          <w:sz w:val="18"/>
        </w:rPr>
        <w:t> </w:t>
      </w:r>
      <w:r>
        <w:rPr>
          <w:color w:val="231F20"/>
          <w:sz w:val="18"/>
        </w:rPr>
        <w:t>de</w:t>
      </w:r>
      <w:r>
        <w:rPr>
          <w:color w:val="231F20"/>
          <w:spacing w:val="-7"/>
          <w:sz w:val="18"/>
        </w:rPr>
        <w:t> </w:t>
      </w:r>
      <w:r>
        <w:rPr>
          <w:color w:val="231F20"/>
          <w:spacing w:val="-2"/>
          <w:sz w:val="18"/>
        </w:rPr>
        <w:t>Plaguicidas, </w:t>
      </w:r>
      <w:r>
        <w:rPr>
          <w:color w:val="231F20"/>
          <w:sz w:val="18"/>
        </w:rPr>
        <w:t>Fertilizantes y Sustancias Químicas (CICOPLAFEST), México.</w:t>
      </w:r>
      <w:r>
        <w:rPr>
          <w:color w:val="231F20"/>
          <w:spacing w:val="-12"/>
          <w:sz w:val="18"/>
        </w:rPr>
        <w:t> </w:t>
      </w:r>
      <w:r>
        <w:rPr>
          <w:color w:val="231F20"/>
          <w:sz w:val="18"/>
        </w:rPr>
        <w:t>Disponible</w:t>
      </w:r>
      <w:r>
        <w:rPr>
          <w:color w:val="231F20"/>
          <w:spacing w:val="-12"/>
          <w:sz w:val="18"/>
        </w:rPr>
        <w:t> </w:t>
      </w:r>
      <w:r>
        <w:rPr>
          <w:color w:val="231F20"/>
          <w:sz w:val="18"/>
        </w:rPr>
        <w:t>en</w:t>
      </w:r>
      <w:r>
        <w:rPr>
          <w:color w:val="231F20"/>
          <w:spacing w:val="-12"/>
          <w:sz w:val="18"/>
        </w:rPr>
        <w:t> </w:t>
      </w:r>
      <w:r>
        <w:rPr>
          <w:color w:val="231F20"/>
          <w:sz w:val="18"/>
        </w:rPr>
        <w:t>línea</w:t>
      </w:r>
      <w:r>
        <w:rPr>
          <w:color w:val="231F20"/>
          <w:spacing w:val="-12"/>
          <w:sz w:val="18"/>
        </w:rPr>
        <w:t> </w:t>
      </w:r>
      <w:r>
        <w:rPr>
          <w:color w:val="231F20"/>
          <w:sz w:val="18"/>
        </w:rPr>
        <w:t>en:</w:t>
      </w:r>
      <w:r>
        <w:rPr>
          <w:color w:val="231F20"/>
          <w:spacing w:val="-12"/>
          <w:sz w:val="18"/>
        </w:rPr>
        <w:t> </w:t>
      </w:r>
      <w:hyperlink r:id="rId79">
        <w:r>
          <w:rPr>
            <w:color w:val="231F20"/>
            <w:sz w:val="18"/>
          </w:rPr>
          <w:t>http://www2.ine.gob.</w:t>
        </w:r>
      </w:hyperlink>
      <w:r>
        <w:rPr>
          <w:color w:val="231F20"/>
          <w:sz w:val="18"/>
        </w:rPr>
        <w:t> mx/sistemas/plaguicidas/index.html (Consultado  el  8  de  noviembre  de</w:t>
      </w:r>
      <w:r>
        <w:rPr>
          <w:color w:val="231F20"/>
          <w:spacing w:val="-4"/>
          <w:sz w:val="18"/>
        </w:rPr>
        <w:t> </w:t>
      </w:r>
      <w:r>
        <w:rPr>
          <w:color w:val="231F20"/>
          <w:spacing w:val="-6"/>
          <w:sz w:val="18"/>
        </w:rPr>
        <w:t>2010.)</w:t>
      </w:r>
    </w:p>
    <w:p>
      <w:pPr>
        <w:spacing w:line="266" w:lineRule="auto" w:before="56"/>
        <w:ind w:left="696" w:right="1548" w:hanging="284"/>
        <w:jc w:val="both"/>
        <w:rPr>
          <w:sz w:val="18"/>
        </w:rPr>
      </w:pPr>
      <w:r>
        <w:rPr>
          <w:color w:val="231F20"/>
          <w:spacing w:val="-4"/>
          <w:sz w:val="18"/>
        </w:rPr>
        <w:t>INEGI-Instituto Nacional </w:t>
      </w:r>
      <w:r>
        <w:rPr>
          <w:color w:val="231F20"/>
          <w:sz w:val="18"/>
        </w:rPr>
        <w:t>de </w:t>
      </w:r>
      <w:r>
        <w:rPr>
          <w:color w:val="231F20"/>
          <w:spacing w:val="-4"/>
          <w:sz w:val="18"/>
        </w:rPr>
        <w:t>Geografía </w:t>
      </w:r>
      <w:r>
        <w:rPr>
          <w:color w:val="231F20"/>
          <w:sz w:val="18"/>
        </w:rPr>
        <w:t>y </w:t>
      </w:r>
      <w:r>
        <w:rPr>
          <w:color w:val="231F20"/>
          <w:spacing w:val="-4"/>
          <w:sz w:val="18"/>
        </w:rPr>
        <w:t>Estadística. </w:t>
      </w:r>
      <w:r>
        <w:rPr>
          <w:color w:val="231F20"/>
          <w:spacing w:val="-6"/>
          <w:sz w:val="18"/>
        </w:rPr>
        <w:t>(2007). </w:t>
      </w:r>
      <w:r>
        <w:rPr>
          <w:color w:val="231F20"/>
          <w:sz w:val="18"/>
        </w:rPr>
        <w:t>VIII Censo Agrícola, Ganadero y </w:t>
      </w:r>
      <w:r>
        <w:rPr>
          <w:color w:val="231F20"/>
          <w:spacing w:val="-3"/>
          <w:sz w:val="18"/>
        </w:rPr>
        <w:t>Forestal. </w:t>
      </w:r>
      <w:r>
        <w:rPr>
          <w:color w:val="231F20"/>
          <w:sz w:val="18"/>
        </w:rPr>
        <w:t>INEGI, Aguascalientes. Disponible en línea en: </w:t>
      </w:r>
      <w:hyperlink r:id="rId27">
        <w:r>
          <w:rPr>
            <w:color w:val="231F20"/>
            <w:sz w:val="18"/>
          </w:rPr>
          <w:t>http://www.</w:t>
        </w:r>
      </w:hyperlink>
      <w:r>
        <w:rPr>
          <w:color w:val="231F20"/>
          <w:sz w:val="18"/>
        </w:rPr>
        <w:t> </w:t>
      </w:r>
      <w:r>
        <w:rPr>
          <w:color w:val="231F20"/>
          <w:spacing w:val="4"/>
          <w:sz w:val="18"/>
        </w:rPr>
        <w:t>inegi.org.mx/sistemas/TabuladosBasicos/Default. </w:t>
      </w:r>
      <w:r>
        <w:rPr>
          <w:color w:val="231F20"/>
          <w:sz w:val="18"/>
        </w:rPr>
        <w:t>aspx?c=17177&amp;s=est (Consultado el  9  de  agosto  de  </w:t>
      </w:r>
      <w:r>
        <w:rPr>
          <w:color w:val="231F20"/>
          <w:spacing w:val="4"/>
          <w:sz w:val="18"/>
        </w:rPr>
        <w:t> </w:t>
      </w:r>
      <w:r>
        <w:rPr>
          <w:color w:val="231F20"/>
          <w:spacing w:val="-4"/>
          <w:sz w:val="18"/>
        </w:rPr>
        <w:t>2011.)</w:t>
      </w:r>
    </w:p>
    <w:p>
      <w:pPr>
        <w:spacing w:line="266" w:lineRule="auto" w:before="56"/>
        <w:ind w:left="696" w:right="1553" w:hanging="284"/>
        <w:jc w:val="both"/>
        <w:rPr>
          <w:sz w:val="18"/>
        </w:rPr>
      </w:pPr>
      <w:r>
        <w:rPr>
          <w:color w:val="231F20"/>
          <w:sz w:val="18"/>
        </w:rPr>
        <w:t>Joseph-Castillo J. (2009). Convenience sampling applied to research. Experiment-Resources.com. Scientific Method: a website about research and experiments. Disponible en línea en: http://www.experiment- resources.com/snowball-sampling.html (Consultado el 8 de abril de   2011.)</w:t>
      </w:r>
    </w:p>
    <w:p>
      <w:pPr>
        <w:spacing w:line="266" w:lineRule="auto" w:before="56"/>
        <w:ind w:left="696" w:right="1553" w:hanging="284"/>
        <w:jc w:val="both"/>
        <w:rPr>
          <w:sz w:val="18"/>
        </w:rPr>
      </w:pPr>
      <w:r>
        <w:rPr>
          <w:color w:val="231F20"/>
          <w:sz w:val="18"/>
        </w:rPr>
        <w:t>Kirner L., Kratochvil R. </w:t>
      </w:r>
      <w:r>
        <w:rPr>
          <w:color w:val="231F20"/>
          <w:spacing w:val="-3"/>
          <w:sz w:val="18"/>
        </w:rPr>
        <w:t>(2006). The </w:t>
      </w:r>
      <w:r>
        <w:rPr>
          <w:color w:val="231F20"/>
          <w:sz w:val="18"/>
        </w:rPr>
        <w:t>role of farm size in </w:t>
      </w:r>
      <w:r>
        <w:rPr>
          <w:color w:val="231F20"/>
          <w:spacing w:val="-2"/>
          <w:sz w:val="18"/>
        </w:rPr>
        <w:t>the </w:t>
      </w:r>
      <w:r>
        <w:rPr>
          <w:color w:val="231F20"/>
          <w:sz w:val="18"/>
        </w:rPr>
        <w:t>sustainability of dairy farming in Austria: an</w:t>
      </w:r>
      <w:r>
        <w:rPr>
          <w:color w:val="231F20"/>
          <w:spacing w:val="-20"/>
          <w:sz w:val="18"/>
        </w:rPr>
        <w:t> </w:t>
      </w:r>
      <w:r>
        <w:rPr>
          <w:color w:val="231F20"/>
          <w:sz w:val="18"/>
        </w:rPr>
        <w:t>empirical approach based on farm accounting data. </w:t>
      </w:r>
      <w:r>
        <w:rPr>
          <w:i/>
          <w:color w:val="231F20"/>
          <w:sz w:val="18"/>
        </w:rPr>
        <w:t>Journal of </w:t>
      </w:r>
      <w:r>
        <w:rPr>
          <w:i/>
          <w:color w:val="231F20"/>
          <w:sz w:val="18"/>
        </w:rPr>
        <w:t>Sustainable   Agriculture, </w:t>
      </w:r>
      <w:r>
        <w:rPr>
          <w:i/>
          <w:color w:val="231F20"/>
          <w:spacing w:val="16"/>
          <w:sz w:val="18"/>
        </w:rPr>
        <w:t> </w:t>
      </w:r>
      <w:r>
        <w:rPr>
          <w:color w:val="231F20"/>
          <w:spacing w:val="-4"/>
          <w:sz w:val="18"/>
        </w:rPr>
        <w:t>28(4):105-124.</w:t>
      </w:r>
    </w:p>
    <w:p>
      <w:pPr>
        <w:spacing w:line="266" w:lineRule="auto" w:before="56"/>
        <w:ind w:left="696" w:right="1551" w:hanging="284"/>
        <w:jc w:val="both"/>
        <w:rPr>
          <w:sz w:val="18"/>
        </w:rPr>
      </w:pPr>
      <w:r>
        <w:rPr>
          <w:color w:val="231F20"/>
          <w:spacing w:val="-4"/>
          <w:sz w:val="18"/>
        </w:rPr>
        <w:t>Lactodata </w:t>
      </w:r>
      <w:r>
        <w:rPr>
          <w:color w:val="231F20"/>
          <w:spacing w:val="-6"/>
          <w:sz w:val="18"/>
        </w:rPr>
        <w:t>(2012). </w:t>
      </w:r>
      <w:r>
        <w:rPr>
          <w:color w:val="231F20"/>
          <w:spacing w:val="-4"/>
          <w:sz w:val="18"/>
        </w:rPr>
        <w:t>Indicadores. Comité Nacional </w:t>
      </w:r>
      <w:r>
        <w:rPr>
          <w:color w:val="231F20"/>
          <w:spacing w:val="-3"/>
          <w:sz w:val="18"/>
        </w:rPr>
        <w:t>del  </w:t>
      </w:r>
      <w:r>
        <w:rPr>
          <w:color w:val="231F20"/>
          <w:spacing w:val="-4"/>
          <w:sz w:val="18"/>
        </w:rPr>
        <w:t>Siste- </w:t>
      </w:r>
      <w:r>
        <w:rPr>
          <w:color w:val="231F20"/>
          <w:sz w:val="18"/>
        </w:rPr>
        <w:t>ma </w:t>
      </w:r>
      <w:r>
        <w:rPr>
          <w:color w:val="231F20"/>
          <w:spacing w:val="-4"/>
          <w:sz w:val="18"/>
        </w:rPr>
        <w:t>Producto Bovinos Leche. Disponible </w:t>
      </w:r>
      <w:r>
        <w:rPr>
          <w:color w:val="231F20"/>
          <w:sz w:val="18"/>
        </w:rPr>
        <w:t>en </w:t>
      </w:r>
      <w:r>
        <w:rPr>
          <w:color w:val="231F20"/>
          <w:spacing w:val="-4"/>
          <w:sz w:val="18"/>
        </w:rPr>
        <w:t>línea en: </w:t>
      </w:r>
      <w:hyperlink r:id="rId80">
        <w:r>
          <w:rPr>
            <w:color w:val="231F20"/>
            <w:spacing w:val="-3"/>
            <w:sz w:val="18"/>
          </w:rPr>
          <w:t>http://www.lactodata.com/lactodata/lactodata_indica</w:t>
        </w:r>
      </w:hyperlink>
      <w:r>
        <w:rPr>
          <w:color w:val="231F20"/>
          <w:spacing w:val="-3"/>
          <w:sz w:val="18"/>
        </w:rPr>
        <w:t> </w:t>
      </w:r>
      <w:r>
        <w:rPr>
          <w:color w:val="231F20"/>
          <w:spacing w:val="-4"/>
          <w:sz w:val="18"/>
        </w:rPr>
        <w:t>dores_cg.php  (Consultado  </w:t>
      </w:r>
      <w:r>
        <w:rPr>
          <w:color w:val="231F20"/>
          <w:sz w:val="18"/>
        </w:rPr>
        <w:t>el </w:t>
      </w:r>
      <w:r>
        <w:rPr>
          <w:color w:val="231F20"/>
          <w:spacing w:val="-6"/>
          <w:sz w:val="18"/>
        </w:rPr>
        <w:t>10  </w:t>
      </w:r>
      <w:r>
        <w:rPr>
          <w:color w:val="231F20"/>
          <w:sz w:val="18"/>
        </w:rPr>
        <w:t>de </w:t>
      </w:r>
      <w:r>
        <w:rPr>
          <w:color w:val="231F20"/>
          <w:spacing w:val="-3"/>
          <w:sz w:val="18"/>
        </w:rPr>
        <w:t>mayo  </w:t>
      </w:r>
      <w:r>
        <w:rPr>
          <w:color w:val="231F20"/>
          <w:sz w:val="18"/>
        </w:rPr>
        <w:t>de  </w:t>
      </w:r>
      <w:r>
        <w:rPr>
          <w:color w:val="231F20"/>
          <w:spacing w:val="-7"/>
          <w:sz w:val="18"/>
        </w:rPr>
        <w:t>2012.)</w:t>
      </w:r>
    </w:p>
    <w:p>
      <w:pPr>
        <w:spacing w:line="266" w:lineRule="auto" w:before="56"/>
        <w:ind w:left="696" w:right="1551" w:hanging="284"/>
        <w:jc w:val="both"/>
        <w:rPr>
          <w:sz w:val="18"/>
        </w:rPr>
      </w:pPr>
      <w:r>
        <w:rPr>
          <w:color w:val="231F20"/>
          <w:w w:val="105"/>
          <w:sz w:val="18"/>
        </w:rPr>
        <w:t>Losada</w:t>
      </w:r>
      <w:r>
        <w:rPr>
          <w:color w:val="231F20"/>
          <w:spacing w:val="-7"/>
          <w:w w:val="105"/>
          <w:sz w:val="18"/>
        </w:rPr>
        <w:t> </w:t>
      </w:r>
      <w:r>
        <w:rPr>
          <w:color w:val="231F20"/>
          <w:w w:val="105"/>
          <w:sz w:val="18"/>
        </w:rPr>
        <w:t>H.,</w:t>
      </w:r>
      <w:r>
        <w:rPr>
          <w:color w:val="231F20"/>
          <w:spacing w:val="-7"/>
          <w:w w:val="105"/>
          <w:sz w:val="18"/>
        </w:rPr>
        <w:t> </w:t>
      </w:r>
      <w:r>
        <w:rPr>
          <w:color w:val="231F20"/>
          <w:w w:val="105"/>
          <w:sz w:val="18"/>
        </w:rPr>
        <w:t>Cortés</w:t>
      </w:r>
      <w:r>
        <w:rPr>
          <w:color w:val="231F20"/>
          <w:spacing w:val="-7"/>
          <w:w w:val="105"/>
          <w:sz w:val="18"/>
        </w:rPr>
        <w:t> </w:t>
      </w:r>
      <w:r>
        <w:rPr>
          <w:color w:val="231F20"/>
          <w:w w:val="105"/>
          <w:sz w:val="18"/>
        </w:rPr>
        <w:t>J.,</w:t>
      </w:r>
      <w:r>
        <w:rPr>
          <w:color w:val="231F20"/>
          <w:spacing w:val="-7"/>
          <w:w w:val="105"/>
          <w:sz w:val="18"/>
        </w:rPr>
        <w:t> </w:t>
      </w:r>
      <w:r>
        <w:rPr>
          <w:color w:val="231F20"/>
          <w:w w:val="105"/>
          <w:sz w:val="18"/>
        </w:rPr>
        <w:t>Rivera</w:t>
      </w:r>
      <w:r>
        <w:rPr>
          <w:color w:val="231F20"/>
          <w:spacing w:val="-7"/>
          <w:w w:val="105"/>
          <w:sz w:val="18"/>
        </w:rPr>
        <w:t> </w:t>
      </w:r>
      <w:r>
        <w:rPr>
          <w:color w:val="231F20"/>
          <w:w w:val="105"/>
          <w:sz w:val="18"/>
        </w:rPr>
        <w:t>J.,</w:t>
      </w:r>
      <w:r>
        <w:rPr>
          <w:color w:val="231F20"/>
          <w:spacing w:val="-7"/>
          <w:w w:val="105"/>
          <w:sz w:val="18"/>
        </w:rPr>
        <w:t> </w:t>
      </w:r>
      <w:r>
        <w:rPr>
          <w:color w:val="231F20"/>
          <w:spacing w:val="-3"/>
          <w:w w:val="105"/>
          <w:sz w:val="18"/>
        </w:rPr>
        <w:t>Vieyra</w:t>
      </w:r>
      <w:r>
        <w:rPr>
          <w:color w:val="231F20"/>
          <w:spacing w:val="-7"/>
          <w:w w:val="105"/>
          <w:sz w:val="18"/>
        </w:rPr>
        <w:t> </w:t>
      </w:r>
      <w:r>
        <w:rPr>
          <w:color w:val="231F20"/>
          <w:w w:val="105"/>
          <w:sz w:val="18"/>
        </w:rPr>
        <w:t>J.,</w:t>
      </w:r>
      <w:r>
        <w:rPr>
          <w:color w:val="231F20"/>
          <w:spacing w:val="-7"/>
          <w:w w:val="105"/>
          <w:sz w:val="18"/>
        </w:rPr>
        <w:t> </w:t>
      </w:r>
      <w:r>
        <w:rPr>
          <w:color w:val="231F20"/>
          <w:w w:val="105"/>
          <w:sz w:val="18"/>
        </w:rPr>
        <w:t>Castillo</w:t>
      </w:r>
      <w:r>
        <w:rPr>
          <w:color w:val="231F20"/>
          <w:spacing w:val="-7"/>
          <w:w w:val="105"/>
          <w:sz w:val="18"/>
        </w:rPr>
        <w:t> </w:t>
      </w:r>
      <w:r>
        <w:rPr>
          <w:color w:val="231F20"/>
          <w:w w:val="105"/>
          <w:sz w:val="18"/>
        </w:rPr>
        <w:t>A.,</w:t>
      </w:r>
      <w:r>
        <w:rPr>
          <w:color w:val="231F20"/>
          <w:spacing w:val="-7"/>
          <w:w w:val="105"/>
          <w:sz w:val="18"/>
        </w:rPr>
        <w:t> </w:t>
      </w:r>
      <w:r>
        <w:rPr>
          <w:color w:val="231F20"/>
          <w:w w:val="105"/>
          <w:sz w:val="18"/>
        </w:rPr>
        <w:t>Gon- </w:t>
      </w:r>
      <w:r>
        <w:rPr>
          <w:color w:val="231F20"/>
          <w:spacing w:val="-3"/>
          <w:w w:val="105"/>
          <w:sz w:val="18"/>
        </w:rPr>
        <w:t>zález </w:t>
      </w:r>
      <w:r>
        <w:rPr>
          <w:color w:val="231F20"/>
          <w:w w:val="105"/>
          <w:sz w:val="18"/>
        </w:rPr>
        <w:t>R. </w:t>
      </w:r>
      <w:r>
        <w:rPr>
          <w:color w:val="231F20"/>
          <w:spacing w:val="-3"/>
          <w:w w:val="105"/>
          <w:sz w:val="18"/>
        </w:rPr>
        <w:t>(2009). </w:t>
      </w:r>
      <w:r>
        <w:rPr>
          <w:color w:val="231F20"/>
          <w:w w:val="105"/>
          <w:sz w:val="18"/>
        </w:rPr>
        <w:t>Evaluación de la sustentabilidad de sistemas</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engorda</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ganado</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carne</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peque- ña</w:t>
      </w:r>
      <w:r>
        <w:rPr>
          <w:color w:val="231F20"/>
          <w:spacing w:val="-11"/>
          <w:w w:val="105"/>
          <w:sz w:val="18"/>
        </w:rPr>
        <w:t> </w:t>
      </w:r>
      <w:r>
        <w:rPr>
          <w:color w:val="231F20"/>
          <w:w w:val="105"/>
          <w:sz w:val="18"/>
        </w:rPr>
        <w:t>escala</w:t>
      </w:r>
      <w:r>
        <w:rPr>
          <w:color w:val="231F20"/>
          <w:spacing w:val="-11"/>
          <w:w w:val="105"/>
          <w:sz w:val="18"/>
        </w:rPr>
        <w:t> </w:t>
      </w:r>
      <w:r>
        <w:rPr>
          <w:color w:val="231F20"/>
          <w:w w:val="105"/>
          <w:sz w:val="18"/>
        </w:rPr>
        <w:t>que</w:t>
      </w:r>
      <w:r>
        <w:rPr>
          <w:color w:val="231F20"/>
          <w:spacing w:val="-11"/>
          <w:w w:val="105"/>
          <w:sz w:val="18"/>
        </w:rPr>
        <w:t> </w:t>
      </w:r>
      <w:r>
        <w:rPr>
          <w:color w:val="231F20"/>
          <w:w w:val="105"/>
          <w:sz w:val="18"/>
        </w:rPr>
        <w:t>contribuyen</w:t>
      </w:r>
      <w:r>
        <w:rPr>
          <w:color w:val="231F20"/>
          <w:spacing w:val="-11"/>
          <w:w w:val="105"/>
          <w:sz w:val="18"/>
        </w:rPr>
        <w:t> </w:t>
      </w:r>
      <w:r>
        <w:rPr>
          <w:color w:val="231F20"/>
          <w:w w:val="105"/>
          <w:sz w:val="18"/>
        </w:rPr>
        <w:t>al</w:t>
      </w:r>
      <w:r>
        <w:rPr>
          <w:color w:val="231F20"/>
          <w:spacing w:val="-11"/>
          <w:w w:val="105"/>
          <w:sz w:val="18"/>
        </w:rPr>
        <w:t> </w:t>
      </w:r>
      <w:r>
        <w:rPr>
          <w:color w:val="231F20"/>
          <w:w w:val="105"/>
          <w:sz w:val="18"/>
        </w:rPr>
        <w:t>abasto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Ciudad</w:t>
      </w:r>
      <w:r>
        <w:rPr>
          <w:color w:val="231F20"/>
          <w:spacing w:val="-11"/>
          <w:w w:val="105"/>
          <w:sz w:val="18"/>
        </w:rPr>
        <w:t> </w:t>
      </w:r>
      <w:r>
        <w:rPr>
          <w:color w:val="231F20"/>
          <w:w w:val="105"/>
          <w:sz w:val="18"/>
        </w:rPr>
        <w:t>de México. </w:t>
      </w:r>
      <w:r>
        <w:rPr>
          <w:i/>
          <w:color w:val="231F20"/>
          <w:w w:val="105"/>
          <w:sz w:val="18"/>
        </w:rPr>
        <w:t>Livestock Research for Rural</w:t>
      </w:r>
      <w:r>
        <w:rPr>
          <w:i/>
          <w:color w:val="231F20"/>
          <w:spacing w:val="-22"/>
          <w:w w:val="105"/>
          <w:sz w:val="18"/>
        </w:rPr>
        <w:t> </w:t>
      </w:r>
      <w:r>
        <w:rPr>
          <w:i/>
          <w:color w:val="231F20"/>
          <w:w w:val="105"/>
          <w:sz w:val="18"/>
        </w:rPr>
        <w:t>Development, </w:t>
      </w:r>
      <w:r>
        <w:rPr>
          <w:color w:val="231F20"/>
          <w:spacing w:val="-3"/>
          <w:w w:val="105"/>
          <w:sz w:val="18"/>
        </w:rPr>
        <w:t>21: </w:t>
      </w:r>
      <w:r>
        <w:rPr>
          <w:color w:val="231F20"/>
          <w:spacing w:val="-4"/>
          <w:w w:val="105"/>
          <w:sz w:val="18"/>
        </w:rPr>
        <w:t>12. </w:t>
      </w:r>
      <w:r>
        <w:rPr>
          <w:color w:val="231F20"/>
          <w:w w:val="105"/>
          <w:sz w:val="18"/>
        </w:rPr>
        <w:t>Disponible en línea en:</w:t>
      </w:r>
      <w:r>
        <w:rPr>
          <w:color w:val="231F20"/>
          <w:spacing w:val="-15"/>
          <w:w w:val="105"/>
          <w:sz w:val="18"/>
        </w:rPr>
        <w:t> </w:t>
      </w:r>
      <w:hyperlink r:id="rId81">
        <w:r>
          <w:rPr>
            <w:color w:val="231F20"/>
            <w:spacing w:val="-3"/>
            <w:w w:val="105"/>
            <w:sz w:val="18"/>
          </w:rPr>
          <w:t>http://www.lrrd.org/</w:t>
        </w:r>
      </w:hyperlink>
      <w:r>
        <w:rPr>
          <w:color w:val="231F20"/>
          <w:spacing w:val="-3"/>
          <w:w w:val="105"/>
          <w:sz w:val="18"/>
        </w:rPr>
        <w:t> </w:t>
      </w:r>
      <w:r>
        <w:rPr>
          <w:color w:val="231F20"/>
          <w:spacing w:val="-4"/>
          <w:w w:val="105"/>
          <w:sz w:val="18"/>
        </w:rPr>
        <w:t>lrrd21/12/losa21209.htm</w:t>
      </w:r>
    </w:p>
    <w:p>
      <w:pPr>
        <w:spacing w:line="266" w:lineRule="auto" w:before="56"/>
        <w:ind w:left="696" w:right="1551" w:hanging="284"/>
        <w:jc w:val="both"/>
        <w:rPr>
          <w:sz w:val="18"/>
        </w:rPr>
      </w:pPr>
      <w:r>
        <w:rPr>
          <w:color w:val="231F20"/>
          <w:spacing w:val="-3"/>
          <w:sz w:val="18"/>
        </w:rPr>
        <w:t>López-Ridaura </w:t>
      </w:r>
      <w:r>
        <w:rPr>
          <w:color w:val="231F20"/>
          <w:sz w:val="18"/>
        </w:rPr>
        <w:t>S., Masera O., Astier M. </w:t>
      </w:r>
      <w:r>
        <w:rPr>
          <w:color w:val="231F20"/>
          <w:spacing w:val="-3"/>
          <w:sz w:val="18"/>
        </w:rPr>
        <w:t>(2002). </w:t>
      </w:r>
      <w:r>
        <w:rPr>
          <w:color w:val="231F20"/>
          <w:sz w:val="18"/>
        </w:rPr>
        <w:t>Evaluating the</w:t>
      </w:r>
      <w:r>
        <w:rPr>
          <w:color w:val="231F20"/>
          <w:spacing w:val="-17"/>
          <w:sz w:val="18"/>
        </w:rPr>
        <w:t> </w:t>
      </w:r>
      <w:r>
        <w:rPr>
          <w:color w:val="231F20"/>
          <w:sz w:val="18"/>
        </w:rPr>
        <w:t>sustainability</w:t>
      </w:r>
      <w:r>
        <w:rPr>
          <w:color w:val="231F20"/>
          <w:spacing w:val="-17"/>
          <w:sz w:val="18"/>
        </w:rPr>
        <w:t> </w:t>
      </w:r>
      <w:r>
        <w:rPr>
          <w:color w:val="231F20"/>
          <w:sz w:val="18"/>
        </w:rPr>
        <w:t>of</w:t>
      </w:r>
      <w:r>
        <w:rPr>
          <w:color w:val="231F20"/>
          <w:spacing w:val="-17"/>
          <w:sz w:val="18"/>
        </w:rPr>
        <w:t> </w:t>
      </w:r>
      <w:r>
        <w:rPr>
          <w:color w:val="231F20"/>
          <w:sz w:val="18"/>
        </w:rPr>
        <w:t>complex</w:t>
      </w:r>
      <w:r>
        <w:rPr>
          <w:color w:val="231F20"/>
          <w:spacing w:val="-17"/>
          <w:sz w:val="18"/>
        </w:rPr>
        <w:t> </w:t>
      </w:r>
      <w:r>
        <w:rPr>
          <w:color w:val="231F20"/>
          <w:sz w:val="18"/>
        </w:rPr>
        <w:t>socio-environmental</w:t>
      </w:r>
      <w:r>
        <w:rPr>
          <w:color w:val="231F20"/>
          <w:spacing w:val="-17"/>
          <w:sz w:val="18"/>
        </w:rPr>
        <w:t> </w:t>
      </w:r>
      <w:r>
        <w:rPr>
          <w:color w:val="231F20"/>
          <w:sz w:val="18"/>
        </w:rPr>
        <w:t>sys- tems. </w:t>
      </w:r>
      <w:r>
        <w:rPr>
          <w:color w:val="231F20"/>
          <w:spacing w:val="-3"/>
          <w:sz w:val="18"/>
        </w:rPr>
        <w:t>The </w:t>
      </w:r>
      <w:r>
        <w:rPr>
          <w:color w:val="231F20"/>
          <w:sz w:val="18"/>
        </w:rPr>
        <w:t>MESMIS framework. </w:t>
      </w:r>
      <w:r>
        <w:rPr>
          <w:i/>
          <w:color w:val="231F20"/>
          <w:sz w:val="18"/>
        </w:rPr>
        <w:t>Ecological Indicators, </w:t>
      </w:r>
      <w:r>
        <w:rPr>
          <w:color w:val="231F20"/>
          <w:sz w:val="18"/>
        </w:rPr>
        <w:t>2:  </w:t>
      </w:r>
      <w:r>
        <w:rPr>
          <w:color w:val="231F20"/>
          <w:spacing w:val="10"/>
          <w:sz w:val="18"/>
        </w:rPr>
        <w:t> </w:t>
      </w:r>
      <w:r>
        <w:rPr>
          <w:color w:val="231F20"/>
          <w:spacing w:val="-5"/>
          <w:sz w:val="18"/>
        </w:rPr>
        <w:t>135-148.</w:t>
      </w:r>
    </w:p>
    <w:p>
      <w:pPr>
        <w:spacing w:line="266" w:lineRule="auto" w:before="56"/>
        <w:ind w:left="696" w:right="1553" w:hanging="284"/>
        <w:jc w:val="both"/>
        <w:rPr>
          <w:sz w:val="18"/>
        </w:rPr>
      </w:pPr>
      <w:r>
        <w:rPr>
          <w:color w:val="231F20"/>
          <w:spacing w:val="-3"/>
          <w:sz w:val="18"/>
        </w:rPr>
        <w:t>Lopez-Ridaura </w:t>
      </w:r>
      <w:r>
        <w:rPr>
          <w:color w:val="231F20"/>
          <w:sz w:val="18"/>
        </w:rPr>
        <w:t>S., </w:t>
      </w:r>
      <w:r>
        <w:rPr>
          <w:color w:val="231F20"/>
          <w:spacing w:val="-4"/>
          <w:sz w:val="18"/>
        </w:rPr>
        <w:t>Van </w:t>
      </w:r>
      <w:r>
        <w:rPr>
          <w:color w:val="231F20"/>
          <w:spacing w:val="-3"/>
          <w:sz w:val="18"/>
        </w:rPr>
        <w:t>Keulen </w:t>
      </w:r>
      <w:r>
        <w:rPr>
          <w:color w:val="231F20"/>
          <w:sz w:val="18"/>
        </w:rPr>
        <w:t>H., </w:t>
      </w:r>
      <w:r>
        <w:rPr>
          <w:color w:val="231F20"/>
          <w:spacing w:val="-4"/>
          <w:sz w:val="18"/>
        </w:rPr>
        <w:t>Van </w:t>
      </w:r>
      <w:r>
        <w:rPr>
          <w:color w:val="231F20"/>
          <w:sz w:val="18"/>
        </w:rPr>
        <w:t>Ittersum M.K., Leffelaar    </w:t>
      </w:r>
      <w:r>
        <w:rPr>
          <w:color w:val="231F20"/>
          <w:spacing w:val="-6"/>
          <w:sz w:val="18"/>
        </w:rPr>
        <w:t>P.A.    </w:t>
      </w:r>
      <w:r>
        <w:rPr>
          <w:color w:val="231F20"/>
          <w:spacing w:val="-3"/>
          <w:sz w:val="18"/>
        </w:rPr>
        <w:t>(2005).    </w:t>
      </w:r>
      <w:r>
        <w:rPr>
          <w:color w:val="231F20"/>
          <w:sz w:val="18"/>
        </w:rPr>
        <w:t>Multiscale  methodological</w:t>
      </w:r>
    </w:p>
    <w:p>
      <w:pPr>
        <w:spacing w:after="0" w:line="26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4.   Sustentabilidad de la producción de leche en   pequeña</w:t>
      </w:r>
      <w:r>
        <w:rPr>
          <w:color w:val="231F20"/>
          <w:spacing w:val="12"/>
          <w:sz w:val="18"/>
        </w:rPr>
        <w:t> </w:t>
      </w:r>
      <w:r>
        <w:rPr>
          <w:color w:val="231F20"/>
          <w:sz w:val="18"/>
        </w:rPr>
        <w:t>escala...</w:t>
      </w:r>
      <w:r>
        <w:rPr>
          <w:color w:val="231F20"/>
          <w:sz w:val="22"/>
        </w:rPr>
        <w:tab/>
      </w:r>
      <w:r>
        <w:rPr>
          <w:color w:val="231F20"/>
          <w:spacing w:val="-9"/>
          <w:sz w:val="22"/>
        </w:rPr>
        <w:t>73</w:t>
      </w:r>
    </w:p>
    <w:p>
      <w:pPr>
        <w:spacing w:after="0"/>
        <w:jc w:val="left"/>
        <w:rPr>
          <w:sz w:val="22"/>
        </w:rPr>
        <w:sectPr>
          <w:pgSz w:w="11900" w:h="14450"/>
          <w:pgMar w:header="0" w:footer="222" w:top="420" w:bottom="420" w:left="0" w:right="0"/>
        </w:sectPr>
      </w:pPr>
    </w:p>
    <w:p>
      <w:pPr>
        <w:pStyle w:val="BodyText"/>
        <w:rPr>
          <w:sz w:val="18"/>
        </w:rPr>
      </w:pPr>
    </w:p>
    <w:p>
      <w:pPr>
        <w:spacing w:line="266" w:lineRule="auto" w:before="129"/>
        <w:ind w:left="1837" w:right="1" w:firstLine="0"/>
        <w:jc w:val="both"/>
        <w:rPr>
          <w:sz w:val="18"/>
        </w:rPr>
      </w:pPr>
      <w:r>
        <w:rPr>
          <w:color w:val="231F20"/>
          <w:sz w:val="18"/>
        </w:rPr>
        <w:t>framework</w:t>
      </w:r>
      <w:r>
        <w:rPr>
          <w:color w:val="231F20"/>
          <w:spacing w:val="-6"/>
          <w:sz w:val="18"/>
        </w:rPr>
        <w:t> </w:t>
      </w:r>
      <w:r>
        <w:rPr>
          <w:color w:val="231F20"/>
          <w:sz w:val="18"/>
        </w:rPr>
        <w:t>to</w:t>
      </w:r>
      <w:r>
        <w:rPr>
          <w:color w:val="231F20"/>
          <w:spacing w:val="-6"/>
          <w:sz w:val="18"/>
        </w:rPr>
        <w:t> </w:t>
      </w:r>
      <w:r>
        <w:rPr>
          <w:color w:val="231F20"/>
          <w:sz w:val="18"/>
        </w:rPr>
        <w:t>derive</w:t>
      </w:r>
      <w:r>
        <w:rPr>
          <w:color w:val="231F20"/>
          <w:spacing w:val="-6"/>
          <w:sz w:val="18"/>
        </w:rPr>
        <w:t> </w:t>
      </w:r>
      <w:r>
        <w:rPr>
          <w:color w:val="231F20"/>
          <w:sz w:val="18"/>
        </w:rPr>
        <w:t>criteria</w:t>
      </w:r>
      <w:r>
        <w:rPr>
          <w:color w:val="231F20"/>
          <w:spacing w:val="-6"/>
          <w:sz w:val="18"/>
        </w:rPr>
        <w:t> </w:t>
      </w:r>
      <w:r>
        <w:rPr>
          <w:color w:val="231F20"/>
          <w:sz w:val="18"/>
        </w:rPr>
        <w:t>and</w:t>
      </w:r>
      <w:r>
        <w:rPr>
          <w:color w:val="231F20"/>
          <w:spacing w:val="-6"/>
          <w:sz w:val="18"/>
        </w:rPr>
        <w:t> </w:t>
      </w:r>
      <w:r>
        <w:rPr>
          <w:color w:val="231F20"/>
          <w:sz w:val="18"/>
        </w:rPr>
        <w:t>indicators</w:t>
      </w:r>
      <w:r>
        <w:rPr>
          <w:color w:val="231F20"/>
          <w:spacing w:val="-6"/>
          <w:sz w:val="18"/>
        </w:rPr>
        <w:t> </w:t>
      </w:r>
      <w:r>
        <w:rPr>
          <w:color w:val="231F20"/>
          <w:sz w:val="18"/>
        </w:rPr>
        <w:t>for</w:t>
      </w:r>
      <w:r>
        <w:rPr>
          <w:color w:val="231F20"/>
          <w:spacing w:val="-6"/>
          <w:sz w:val="18"/>
        </w:rPr>
        <w:t> </w:t>
      </w:r>
      <w:r>
        <w:rPr>
          <w:color w:val="231F20"/>
          <w:sz w:val="18"/>
        </w:rPr>
        <w:t>sustai- nability evaluation of peasant natural resource ma- nagement systems. </w:t>
      </w:r>
      <w:r>
        <w:rPr>
          <w:i/>
          <w:color w:val="231F20"/>
          <w:sz w:val="18"/>
        </w:rPr>
        <w:t>Environment, Development </w:t>
      </w:r>
      <w:r>
        <w:rPr>
          <w:i/>
          <w:color w:val="231F20"/>
          <w:spacing w:val="-2"/>
          <w:sz w:val="18"/>
        </w:rPr>
        <w:t>and </w:t>
      </w:r>
      <w:r>
        <w:rPr>
          <w:i/>
          <w:color w:val="231F20"/>
          <w:spacing w:val="-3"/>
          <w:sz w:val="18"/>
        </w:rPr>
        <w:t>Sustainability,  </w:t>
      </w:r>
      <w:r>
        <w:rPr>
          <w:color w:val="231F20"/>
          <w:sz w:val="18"/>
        </w:rPr>
        <w:t>7:</w:t>
      </w:r>
      <w:r>
        <w:rPr>
          <w:color w:val="231F20"/>
          <w:spacing w:val="37"/>
          <w:sz w:val="18"/>
        </w:rPr>
        <w:t> </w:t>
      </w:r>
      <w:r>
        <w:rPr>
          <w:color w:val="231F20"/>
          <w:spacing w:val="-4"/>
          <w:sz w:val="18"/>
        </w:rPr>
        <w:t>51-69.</w:t>
      </w:r>
    </w:p>
    <w:p>
      <w:pPr>
        <w:spacing w:line="266" w:lineRule="auto" w:before="56"/>
        <w:ind w:left="1837" w:right="1" w:hanging="284"/>
        <w:jc w:val="both"/>
        <w:rPr>
          <w:sz w:val="18"/>
        </w:rPr>
      </w:pPr>
      <w:r>
        <w:rPr>
          <w:color w:val="231F20"/>
          <w:sz w:val="18"/>
        </w:rPr>
        <w:t>Mann S., Gazzarin C. </w:t>
      </w:r>
      <w:r>
        <w:rPr>
          <w:color w:val="231F20"/>
          <w:spacing w:val="-3"/>
          <w:sz w:val="18"/>
        </w:rPr>
        <w:t>(2004). </w:t>
      </w:r>
      <w:r>
        <w:rPr>
          <w:color w:val="231F20"/>
          <w:sz w:val="18"/>
        </w:rPr>
        <w:t>Sustainability indicators </w:t>
      </w:r>
      <w:r>
        <w:rPr>
          <w:color w:val="231F20"/>
          <w:spacing w:val="-2"/>
          <w:sz w:val="18"/>
        </w:rPr>
        <w:t>for</w:t>
      </w:r>
      <w:r>
        <w:rPr>
          <w:color w:val="231F20"/>
          <w:spacing w:val="36"/>
          <w:sz w:val="18"/>
        </w:rPr>
        <w:t> </w:t>
      </w:r>
      <w:r>
        <w:rPr>
          <w:color w:val="231F20"/>
          <w:sz w:val="18"/>
        </w:rPr>
        <w:t>Swiss</w:t>
      </w:r>
      <w:r>
        <w:rPr>
          <w:color w:val="231F20"/>
          <w:spacing w:val="-6"/>
          <w:sz w:val="18"/>
        </w:rPr>
        <w:t> </w:t>
      </w:r>
      <w:r>
        <w:rPr>
          <w:color w:val="231F20"/>
          <w:sz w:val="18"/>
        </w:rPr>
        <w:t>dairy</w:t>
      </w:r>
      <w:r>
        <w:rPr>
          <w:color w:val="231F20"/>
          <w:spacing w:val="-6"/>
          <w:sz w:val="18"/>
        </w:rPr>
        <w:t> </w:t>
      </w:r>
      <w:r>
        <w:rPr>
          <w:color w:val="231F20"/>
          <w:sz w:val="18"/>
        </w:rPr>
        <w:t>farms</w:t>
      </w:r>
      <w:r>
        <w:rPr>
          <w:color w:val="231F20"/>
          <w:spacing w:val="-6"/>
          <w:sz w:val="18"/>
        </w:rPr>
        <w:t> </w:t>
      </w:r>
      <w:r>
        <w:rPr>
          <w:color w:val="231F20"/>
          <w:sz w:val="18"/>
        </w:rPr>
        <w:t>and</w:t>
      </w:r>
      <w:r>
        <w:rPr>
          <w:color w:val="231F20"/>
          <w:spacing w:val="-6"/>
          <w:sz w:val="18"/>
        </w:rPr>
        <w:t> </w:t>
      </w:r>
      <w:r>
        <w:rPr>
          <w:color w:val="231F20"/>
          <w:sz w:val="18"/>
        </w:rPr>
        <w:t>the</w:t>
      </w:r>
      <w:r>
        <w:rPr>
          <w:color w:val="231F20"/>
          <w:spacing w:val="-6"/>
          <w:sz w:val="18"/>
        </w:rPr>
        <w:t> </w:t>
      </w:r>
      <w:r>
        <w:rPr>
          <w:color w:val="231F20"/>
          <w:sz w:val="18"/>
        </w:rPr>
        <w:t>general</w:t>
      </w:r>
      <w:r>
        <w:rPr>
          <w:color w:val="231F20"/>
          <w:spacing w:val="-6"/>
          <w:sz w:val="18"/>
        </w:rPr>
        <w:t> </w:t>
      </w:r>
      <w:r>
        <w:rPr>
          <w:color w:val="231F20"/>
          <w:sz w:val="18"/>
        </w:rPr>
        <w:t>implications</w:t>
      </w:r>
      <w:r>
        <w:rPr>
          <w:color w:val="231F20"/>
          <w:spacing w:val="-6"/>
          <w:sz w:val="18"/>
        </w:rPr>
        <w:t> </w:t>
      </w:r>
      <w:r>
        <w:rPr>
          <w:color w:val="231F20"/>
          <w:sz w:val="18"/>
        </w:rPr>
        <w:t>for</w:t>
      </w:r>
      <w:r>
        <w:rPr>
          <w:color w:val="231F20"/>
          <w:spacing w:val="-6"/>
          <w:sz w:val="18"/>
        </w:rPr>
        <w:t> </w:t>
      </w:r>
      <w:r>
        <w:rPr>
          <w:color w:val="231F20"/>
          <w:sz w:val="18"/>
        </w:rPr>
        <w:t>bu- siness/government interdependencies. </w:t>
      </w:r>
      <w:r>
        <w:rPr>
          <w:i/>
          <w:color w:val="231F20"/>
          <w:sz w:val="18"/>
        </w:rPr>
        <w:t>International </w:t>
      </w:r>
      <w:r>
        <w:rPr>
          <w:i/>
          <w:color w:val="231F20"/>
          <w:sz w:val="18"/>
        </w:rPr>
        <w:t>Review of Administrative Sciences, </w:t>
      </w:r>
      <w:r>
        <w:rPr>
          <w:color w:val="231F20"/>
          <w:spacing w:val="-4"/>
          <w:sz w:val="18"/>
        </w:rPr>
        <w:t>70:   </w:t>
      </w:r>
      <w:r>
        <w:rPr>
          <w:color w:val="231F20"/>
          <w:spacing w:val="18"/>
          <w:sz w:val="18"/>
        </w:rPr>
        <w:t> </w:t>
      </w:r>
      <w:r>
        <w:rPr>
          <w:color w:val="231F20"/>
          <w:spacing w:val="-7"/>
          <w:sz w:val="18"/>
        </w:rPr>
        <w:t>111-121.</w:t>
      </w:r>
    </w:p>
    <w:p>
      <w:pPr>
        <w:spacing w:line="266" w:lineRule="auto" w:before="56"/>
        <w:ind w:left="1837" w:right="1" w:hanging="284"/>
        <w:jc w:val="both"/>
        <w:rPr>
          <w:sz w:val="18"/>
        </w:rPr>
      </w:pPr>
      <w:r>
        <w:rPr>
          <w:color w:val="231F20"/>
          <w:sz w:val="18"/>
        </w:rPr>
        <w:t>McDermott J.J., Staal S.J., </w:t>
      </w:r>
      <w:r>
        <w:rPr>
          <w:color w:val="231F20"/>
          <w:spacing w:val="-3"/>
          <w:sz w:val="18"/>
        </w:rPr>
        <w:t>Freeman </w:t>
      </w:r>
      <w:r>
        <w:rPr>
          <w:color w:val="231F20"/>
          <w:sz w:val="18"/>
        </w:rPr>
        <w:t>H.A., Herrero M., </w:t>
      </w:r>
      <w:r>
        <w:rPr>
          <w:color w:val="231F20"/>
          <w:spacing w:val="-5"/>
          <w:sz w:val="18"/>
        </w:rPr>
        <w:t>Van </w:t>
      </w:r>
      <w:r>
        <w:rPr>
          <w:color w:val="231F20"/>
          <w:sz w:val="18"/>
        </w:rPr>
        <w:t>de Steeg J.A. </w:t>
      </w:r>
      <w:r>
        <w:rPr>
          <w:color w:val="231F20"/>
          <w:spacing w:val="-5"/>
          <w:sz w:val="18"/>
        </w:rPr>
        <w:t>(2010). </w:t>
      </w:r>
      <w:r>
        <w:rPr>
          <w:color w:val="231F20"/>
          <w:sz w:val="18"/>
        </w:rPr>
        <w:t>Sustaining intensification of smallholder</w:t>
      </w:r>
      <w:r>
        <w:rPr>
          <w:color w:val="231F20"/>
          <w:spacing w:val="-7"/>
          <w:sz w:val="18"/>
        </w:rPr>
        <w:t> </w:t>
      </w:r>
      <w:r>
        <w:rPr>
          <w:color w:val="231F20"/>
          <w:sz w:val="18"/>
        </w:rPr>
        <w:t>livestock</w:t>
      </w:r>
      <w:r>
        <w:rPr>
          <w:color w:val="231F20"/>
          <w:spacing w:val="-7"/>
          <w:sz w:val="18"/>
        </w:rPr>
        <w:t> </w:t>
      </w:r>
      <w:r>
        <w:rPr>
          <w:color w:val="231F20"/>
          <w:sz w:val="18"/>
        </w:rPr>
        <w:t>systems</w:t>
      </w:r>
      <w:r>
        <w:rPr>
          <w:color w:val="231F20"/>
          <w:spacing w:val="-7"/>
          <w:sz w:val="18"/>
        </w:rPr>
        <w:t> </w:t>
      </w:r>
      <w:r>
        <w:rPr>
          <w:color w:val="231F20"/>
          <w:sz w:val="18"/>
        </w:rPr>
        <w:t>in</w:t>
      </w:r>
      <w:r>
        <w:rPr>
          <w:color w:val="231F20"/>
          <w:spacing w:val="-7"/>
          <w:sz w:val="18"/>
        </w:rPr>
        <w:t> </w:t>
      </w:r>
      <w:r>
        <w:rPr>
          <w:color w:val="231F20"/>
          <w:sz w:val="18"/>
        </w:rPr>
        <w:t>the</w:t>
      </w:r>
      <w:r>
        <w:rPr>
          <w:color w:val="231F20"/>
          <w:spacing w:val="-7"/>
          <w:sz w:val="18"/>
        </w:rPr>
        <w:t> </w:t>
      </w:r>
      <w:r>
        <w:rPr>
          <w:color w:val="231F20"/>
          <w:sz w:val="18"/>
        </w:rPr>
        <w:t>tropics.</w:t>
      </w:r>
      <w:r>
        <w:rPr>
          <w:color w:val="231F20"/>
          <w:spacing w:val="-7"/>
          <w:sz w:val="18"/>
        </w:rPr>
        <w:t> </w:t>
      </w:r>
      <w:r>
        <w:rPr>
          <w:i/>
          <w:color w:val="231F20"/>
          <w:sz w:val="18"/>
        </w:rPr>
        <w:t>Livestock </w:t>
      </w:r>
      <w:r>
        <w:rPr>
          <w:i/>
          <w:color w:val="231F20"/>
          <w:sz w:val="18"/>
        </w:rPr>
        <w:t>Science,   </w:t>
      </w:r>
      <w:r>
        <w:rPr>
          <w:color w:val="231F20"/>
          <w:spacing w:val="-5"/>
          <w:sz w:val="18"/>
        </w:rPr>
        <w:t>130: </w:t>
      </w:r>
      <w:r>
        <w:rPr>
          <w:color w:val="231F20"/>
          <w:spacing w:val="18"/>
          <w:sz w:val="18"/>
        </w:rPr>
        <w:t> </w:t>
      </w:r>
      <w:r>
        <w:rPr>
          <w:color w:val="231F20"/>
          <w:spacing w:val="-4"/>
          <w:sz w:val="18"/>
        </w:rPr>
        <w:t>95-109.</w:t>
      </w:r>
    </w:p>
    <w:p>
      <w:pPr>
        <w:spacing w:line="266" w:lineRule="auto" w:before="56"/>
        <w:ind w:left="1837" w:right="1" w:hanging="284"/>
        <w:jc w:val="both"/>
        <w:rPr>
          <w:sz w:val="18"/>
        </w:rPr>
      </w:pPr>
      <w:r>
        <w:rPr>
          <w:color w:val="231F20"/>
          <w:sz w:val="18"/>
        </w:rPr>
        <w:t>Meul M., Nevens F., Reheul D. (2009). Validating sustai- nability indicators: focus on ecological aspects of Fle- mish dairy farms. </w:t>
      </w:r>
      <w:r>
        <w:rPr>
          <w:i/>
          <w:color w:val="231F20"/>
          <w:sz w:val="18"/>
        </w:rPr>
        <w:t>Ecological Indicators, </w:t>
      </w:r>
      <w:r>
        <w:rPr>
          <w:color w:val="231F20"/>
          <w:sz w:val="18"/>
        </w:rPr>
        <w:t>9:  284-295.</w:t>
      </w:r>
    </w:p>
    <w:p>
      <w:pPr>
        <w:spacing w:line="266" w:lineRule="auto" w:before="56"/>
        <w:ind w:left="1837" w:right="1" w:hanging="284"/>
        <w:jc w:val="both"/>
        <w:rPr>
          <w:sz w:val="18"/>
        </w:rPr>
      </w:pPr>
      <w:r>
        <w:rPr>
          <w:color w:val="231F20"/>
          <w:sz w:val="18"/>
        </w:rPr>
        <w:t>Naceur M., Aloulou R., Hedhly M., Ben Hamouda M. </w:t>
      </w:r>
      <w:r>
        <w:rPr>
          <w:color w:val="231F20"/>
          <w:spacing w:val="-3"/>
          <w:sz w:val="18"/>
        </w:rPr>
        <w:t>(2009). </w:t>
      </w:r>
      <w:r>
        <w:rPr>
          <w:color w:val="231F20"/>
          <w:sz w:val="18"/>
        </w:rPr>
        <w:t>Évaluation de la durabilité des exploitations laitières tunisiennes par la méthode IDEA.</w:t>
      </w:r>
      <w:r>
        <w:rPr>
          <w:color w:val="231F20"/>
          <w:spacing w:val="-13"/>
          <w:sz w:val="18"/>
        </w:rPr>
        <w:t> </w:t>
      </w:r>
      <w:r>
        <w:rPr>
          <w:i/>
          <w:color w:val="231F20"/>
          <w:sz w:val="18"/>
        </w:rPr>
        <w:t>Biotechno- </w:t>
      </w:r>
      <w:r>
        <w:rPr>
          <w:i/>
          <w:color w:val="231F20"/>
          <w:sz w:val="18"/>
        </w:rPr>
        <w:t>logie, Agronomie, Société et Environnement, </w:t>
      </w:r>
      <w:r>
        <w:rPr>
          <w:color w:val="231F20"/>
          <w:spacing w:val="-5"/>
          <w:sz w:val="18"/>
        </w:rPr>
        <w:t>13 </w:t>
      </w:r>
      <w:r>
        <w:rPr>
          <w:color w:val="231F20"/>
          <w:sz w:val="18"/>
        </w:rPr>
        <w:t>(2): </w:t>
      </w:r>
      <w:r>
        <w:rPr>
          <w:color w:val="231F20"/>
          <w:spacing w:val="-5"/>
          <w:sz w:val="18"/>
        </w:rPr>
        <w:t>221-228.</w:t>
      </w:r>
    </w:p>
    <w:p>
      <w:pPr>
        <w:spacing w:line="266" w:lineRule="auto" w:before="56"/>
        <w:ind w:left="1837" w:right="1" w:hanging="284"/>
        <w:jc w:val="both"/>
        <w:rPr>
          <w:sz w:val="18"/>
        </w:rPr>
      </w:pPr>
      <w:r>
        <w:rPr>
          <w:color w:val="231F20"/>
          <w:sz w:val="18"/>
        </w:rPr>
        <w:t>Ortiz Salazar J.A., García Terán O., Morales Terán G. (2005). Manejo de bovinos productores de leche. Colegio de Postgraduados y Secretaría de la Reforma </w:t>
      </w:r>
      <w:r>
        <w:rPr>
          <w:color w:val="231F20"/>
          <w:w w:val="95"/>
          <w:sz w:val="18"/>
        </w:rPr>
        <w:t>Agraria, Montecillos, México.</w:t>
      </w:r>
    </w:p>
    <w:p>
      <w:pPr>
        <w:spacing w:line="266" w:lineRule="auto" w:before="56"/>
        <w:ind w:left="1837" w:right="1" w:hanging="284"/>
        <w:jc w:val="both"/>
        <w:rPr>
          <w:sz w:val="18"/>
        </w:rPr>
      </w:pPr>
      <w:r>
        <w:rPr>
          <w:color w:val="231F20"/>
          <w:spacing w:val="-3"/>
          <w:sz w:val="18"/>
        </w:rPr>
        <w:t>Parsons </w:t>
      </w:r>
      <w:r>
        <w:rPr>
          <w:color w:val="231F20"/>
          <w:sz w:val="18"/>
        </w:rPr>
        <w:t>D., Nicholson </w:t>
      </w:r>
      <w:r>
        <w:rPr>
          <w:color w:val="231F20"/>
          <w:spacing w:val="-5"/>
          <w:sz w:val="18"/>
        </w:rPr>
        <w:t>F.C., </w:t>
      </w:r>
      <w:r>
        <w:rPr>
          <w:color w:val="231F20"/>
          <w:sz w:val="18"/>
        </w:rPr>
        <w:t>Blake </w:t>
      </w:r>
      <w:r>
        <w:rPr>
          <w:color w:val="231F20"/>
          <w:spacing w:val="-5"/>
          <w:sz w:val="18"/>
        </w:rPr>
        <w:t>W.R., </w:t>
      </w:r>
      <w:r>
        <w:rPr>
          <w:color w:val="231F20"/>
          <w:spacing w:val="-3"/>
          <w:sz w:val="18"/>
        </w:rPr>
        <w:t>Ketterings </w:t>
      </w:r>
      <w:r>
        <w:rPr>
          <w:color w:val="231F20"/>
          <w:sz w:val="18"/>
        </w:rPr>
        <w:t>M.Q., </w:t>
      </w:r>
      <w:r>
        <w:rPr>
          <w:color w:val="231F20"/>
          <w:spacing w:val="-3"/>
          <w:sz w:val="18"/>
        </w:rPr>
        <w:t>Ramírez-Avilés  </w:t>
      </w:r>
      <w:r>
        <w:rPr>
          <w:color w:val="231F20"/>
          <w:sz w:val="18"/>
        </w:rPr>
        <w:t>L.,  </w:t>
      </w:r>
      <w:r>
        <w:rPr>
          <w:color w:val="231F20"/>
          <w:spacing w:val="-3"/>
          <w:sz w:val="18"/>
        </w:rPr>
        <w:t>Fox  </w:t>
      </w:r>
      <w:r>
        <w:rPr>
          <w:color w:val="231F20"/>
          <w:sz w:val="18"/>
        </w:rPr>
        <w:t>G.D.,  </w:t>
      </w:r>
      <w:r>
        <w:rPr>
          <w:color w:val="231F20"/>
          <w:spacing w:val="-5"/>
          <w:sz w:val="18"/>
        </w:rPr>
        <w:t>Tedeschi  </w:t>
      </w:r>
      <w:r>
        <w:rPr>
          <w:color w:val="231F20"/>
          <w:sz w:val="18"/>
        </w:rPr>
        <w:t>O.L.,   Cherney</w:t>
      </w:r>
    </w:p>
    <w:p>
      <w:pPr>
        <w:spacing w:line="266" w:lineRule="auto" w:before="0"/>
        <w:ind w:left="1837" w:right="1" w:firstLine="0"/>
        <w:jc w:val="both"/>
        <w:rPr>
          <w:sz w:val="18"/>
        </w:rPr>
      </w:pPr>
      <w:r>
        <w:rPr>
          <w:color w:val="231F20"/>
          <w:sz w:val="18"/>
        </w:rPr>
        <w:t>H.J. </w:t>
      </w:r>
      <w:r>
        <w:rPr>
          <w:color w:val="231F20"/>
          <w:spacing w:val="-5"/>
          <w:sz w:val="18"/>
        </w:rPr>
        <w:t>(2011). </w:t>
      </w:r>
      <w:r>
        <w:rPr>
          <w:color w:val="231F20"/>
          <w:sz w:val="18"/>
        </w:rPr>
        <w:t>Development and evaluation of an in- tegrated simulation model for assessing smallholder crop-livestock</w:t>
      </w:r>
      <w:r>
        <w:rPr>
          <w:color w:val="231F20"/>
          <w:spacing w:val="-9"/>
          <w:sz w:val="18"/>
        </w:rPr>
        <w:t> </w:t>
      </w:r>
      <w:r>
        <w:rPr>
          <w:color w:val="231F20"/>
          <w:sz w:val="18"/>
        </w:rPr>
        <w:t>production</w:t>
      </w:r>
      <w:r>
        <w:rPr>
          <w:color w:val="231F20"/>
          <w:spacing w:val="-9"/>
          <w:sz w:val="18"/>
        </w:rPr>
        <w:t> </w:t>
      </w:r>
      <w:r>
        <w:rPr>
          <w:color w:val="231F20"/>
          <w:sz w:val="18"/>
        </w:rPr>
        <w:t>in</w:t>
      </w:r>
      <w:r>
        <w:rPr>
          <w:color w:val="231F20"/>
          <w:spacing w:val="-9"/>
          <w:sz w:val="18"/>
        </w:rPr>
        <w:t> </w:t>
      </w:r>
      <w:r>
        <w:rPr>
          <w:color w:val="231F20"/>
          <w:spacing w:val="-3"/>
          <w:sz w:val="18"/>
        </w:rPr>
        <w:t>Yucatán,</w:t>
      </w:r>
      <w:r>
        <w:rPr>
          <w:color w:val="231F20"/>
          <w:spacing w:val="-9"/>
          <w:sz w:val="18"/>
        </w:rPr>
        <w:t> </w:t>
      </w:r>
      <w:r>
        <w:rPr>
          <w:color w:val="231F20"/>
          <w:sz w:val="18"/>
        </w:rPr>
        <w:t>Mexico.</w:t>
      </w:r>
      <w:r>
        <w:rPr>
          <w:color w:val="231F20"/>
          <w:spacing w:val="-9"/>
          <w:sz w:val="18"/>
        </w:rPr>
        <w:t> </w:t>
      </w:r>
      <w:r>
        <w:rPr>
          <w:i/>
          <w:color w:val="231F20"/>
          <w:sz w:val="18"/>
        </w:rPr>
        <w:t>Agricul- </w:t>
      </w:r>
      <w:r>
        <w:rPr>
          <w:i/>
          <w:color w:val="231F20"/>
          <w:sz w:val="18"/>
        </w:rPr>
        <w:t>tural  </w:t>
      </w:r>
      <w:r>
        <w:rPr>
          <w:i/>
          <w:color w:val="231F20"/>
          <w:spacing w:val="-3"/>
          <w:sz w:val="18"/>
        </w:rPr>
        <w:t>Systems,  </w:t>
      </w:r>
      <w:r>
        <w:rPr>
          <w:color w:val="231F20"/>
          <w:spacing w:val="-4"/>
          <w:sz w:val="18"/>
        </w:rPr>
        <w:t>104:</w:t>
      </w:r>
      <w:r>
        <w:rPr>
          <w:color w:val="231F20"/>
          <w:spacing w:val="31"/>
          <w:sz w:val="18"/>
        </w:rPr>
        <w:t> </w:t>
      </w:r>
      <w:r>
        <w:rPr>
          <w:color w:val="231F20"/>
          <w:spacing w:val="-6"/>
          <w:sz w:val="18"/>
        </w:rPr>
        <w:t>1-12.</w:t>
      </w:r>
    </w:p>
    <w:p>
      <w:pPr>
        <w:spacing w:line="266" w:lineRule="auto" w:before="56"/>
        <w:ind w:left="1837" w:right="1" w:hanging="284"/>
        <w:jc w:val="both"/>
        <w:rPr>
          <w:sz w:val="18"/>
        </w:rPr>
      </w:pPr>
      <w:r>
        <w:rPr>
          <w:color w:val="231F20"/>
          <w:sz w:val="18"/>
        </w:rPr>
        <w:t>Reijntjes C., Haverkort B., </w:t>
      </w:r>
      <w:r>
        <w:rPr>
          <w:color w:val="231F20"/>
          <w:spacing w:val="-3"/>
          <w:sz w:val="18"/>
        </w:rPr>
        <w:t>Waters-Bayer </w:t>
      </w:r>
      <w:r>
        <w:rPr>
          <w:color w:val="231F20"/>
          <w:sz w:val="18"/>
        </w:rPr>
        <w:t>A. </w:t>
      </w:r>
      <w:r>
        <w:rPr>
          <w:color w:val="231F20"/>
          <w:spacing w:val="-3"/>
          <w:sz w:val="18"/>
        </w:rPr>
        <w:t>(1992). Far- </w:t>
      </w:r>
      <w:r>
        <w:rPr>
          <w:color w:val="231F20"/>
          <w:sz w:val="18"/>
        </w:rPr>
        <w:t>ming for the future: an introduction to low-exter- nal-input</w:t>
      </w:r>
      <w:r>
        <w:rPr>
          <w:color w:val="231F20"/>
          <w:spacing w:val="-19"/>
          <w:sz w:val="18"/>
        </w:rPr>
        <w:t> </w:t>
      </w:r>
      <w:r>
        <w:rPr>
          <w:color w:val="231F20"/>
          <w:sz w:val="18"/>
        </w:rPr>
        <w:t>and</w:t>
      </w:r>
      <w:r>
        <w:rPr>
          <w:color w:val="231F20"/>
          <w:spacing w:val="-19"/>
          <w:sz w:val="18"/>
        </w:rPr>
        <w:t> </w:t>
      </w:r>
      <w:r>
        <w:rPr>
          <w:color w:val="231F20"/>
          <w:sz w:val="18"/>
        </w:rPr>
        <w:t>sustainable</w:t>
      </w:r>
      <w:r>
        <w:rPr>
          <w:color w:val="231F20"/>
          <w:spacing w:val="-19"/>
          <w:sz w:val="18"/>
        </w:rPr>
        <w:t> </w:t>
      </w:r>
      <w:r>
        <w:rPr>
          <w:color w:val="231F20"/>
          <w:sz w:val="18"/>
        </w:rPr>
        <w:t>agriculture.</w:t>
      </w:r>
      <w:r>
        <w:rPr>
          <w:color w:val="231F20"/>
          <w:spacing w:val="-19"/>
          <w:sz w:val="18"/>
        </w:rPr>
        <w:t> </w:t>
      </w:r>
      <w:r>
        <w:rPr>
          <w:color w:val="231F20"/>
          <w:sz w:val="18"/>
        </w:rPr>
        <w:t>MacMillan</w:t>
      </w:r>
      <w:r>
        <w:rPr>
          <w:color w:val="231F20"/>
          <w:spacing w:val="-19"/>
          <w:sz w:val="18"/>
        </w:rPr>
        <w:t> </w:t>
      </w:r>
      <w:r>
        <w:rPr>
          <w:color w:val="231F20"/>
          <w:sz w:val="18"/>
        </w:rPr>
        <w:t>Press and ILEIA,</w:t>
      </w:r>
      <w:r>
        <w:rPr>
          <w:color w:val="231F20"/>
          <w:spacing w:val="4"/>
          <w:sz w:val="18"/>
        </w:rPr>
        <w:t> </w:t>
      </w:r>
      <w:r>
        <w:rPr>
          <w:color w:val="231F20"/>
          <w:sz w:val="18"/>
        </w:rPr>
        <w:t>London.</w:t>
      </w:r>
    </w:p>
    <w:p>
      <w:pPr>
        <w:spacing w:line="266" w:lineRule="auto" w:before="56"/>
        <w:ind w:left="1837" w:right="0" w:hanging="284"/>
        <w:jc w:val="both"/>
        <w:rPr>
          <w:sz w:val="18"/>
        </w:rPr>
      </w:pPr>
      <w:r>
        <w:rPr>
          <w:color w:val="231F20"/>
          <w:sz w:val="18"/>
        </w:rPr>
        <w:t>SAGARPA–Secretaría de Agricultura, Ganadería, Desarro- llo Rural, Pesca y Alimentación (2010). Producción pecuaria sustentable y ordenamiento ganadero y apícola (Nuevo PROGAN). Disponible en línea en: </w:t>
      </w:r>
      <w:hyperlink r:id="rId82">
        <w:r>
          <w:rPr>
            <w:color w:val="231F20"/>
            <w:sz w:val="18"/>
          </w:rPr>
          <w:t>http://www.sagarpa.gob.mx/ganaderia/Programas/</w:t>
        </w:r>
      </w:hyperlink>
      <w:r>
        <w:rPr>
          <w:color w:val="231F20"/>
          <w:sz w:val="18"/>
        </w:rPr>
        <w:t> Paginas/PROGRAM.aspx</w:t>
      </w:r>
    </w:p>
    <w:p>
      <w:pPr>
        <w:spacing w:line="266" w:lineRule="auto" w:before="56"/>
        <w:ind w:left="1837" w:right="1" w:hanging="284"/>
        <w:jc w:val="both"/>
        <w:rPr>
          <w:sz w:val="18"/>
        </w:rPr>
      </w:pPr>
      <w:r>
        <w:rPr>
          <w:color w:val="231F20"/>
          <w:sz w:val="18"/>
        </w:rPr>
        <w:t>Schiere J.B., Ibrahim M.N.M., van Keulen J.B. (2002). The role of livestock for sustainability in mixed farming: criteria and scenario studies under varying resources allocation. </w:t>
      </w:r>
      <w:r>
        <w:rPr>
          <w:i/>
          <w:color w:val="231F20"/>
          <w:sz w:val="18"/>
        </w:rPr>
        <w:t>Agriculture, Ecosystems and Environment, </w:t>
      </w:r>
      <w:r>
        <w:rPr>
          <w:color w:val="231F20"/>
          <w:sz w:val="18"/>
        </w:rPr>
        <w:t>90:   139-153.</w:t>
      </w:r>
    </w:p>
    <w:p>
      <w:pPr>
        <w:pStyle w:val="BodyText"/>
        <w:rPr>
          <w:sz w:val="18"/>
        </w:rPr>
      </w:pPr>
      <w:r>
        <w:rPr/>
        <w:br w:type="column"/>
      </w:r>
      <w:r>
        <w:rPr>
          <w:sz w:val="18"/>
        </w:rPr>
      </w:r>
    </w:p>
    <w:p>
      <w:pPr>
        <w:spacing w:line="278" w:lineRule="auto" w:before="129"/>
        <w:ind w:left="695" w:right="1551" w:hanging="284"/>
        <w:jc w:val="both"/>
        <w:rPr>
          <w:sz w:val="18"/>
        </w:rPr>
      </w:pPr>
      <w:r>
        <w:rPr>
          <w:color w:val="231F20"/>
          <w:spacing w:val="-3"/>
          <w:w w:val="105"/>
          <w:sz w:val="18"/>
        </w:rPr>
        <w:t>SEDESOL–Secretaría </w:t>
      </w:r>
      <w:r>
        <w:rPr>
          <w:color w:val="231F20"/>
          <w:w w:val="105"/>
          <w:sz w:val="18"/>
        </w:rPr>
        <w:t>de Desarrollo Social </w:t>
      </w:r>
      <w:r>
        <w:rPr>
          <w:color w:val="231F20"/>
          <w:spacing w:val="-3"/>
          <w:w w:val="105"/>
          <w:sz w:val="18"/>
        </w:rPr>
        <w:t>(2002). </w:t>
      </w:r>
      <w:r>
        <w:rPr>
          <w:color w:val="231F20"/>
          <w:w w:val="105"/>
          <w:sz w:val="18"/>
        </w:rPr>
        <w:t>Ob- jetivos</w:t>
      </w:r>
      <w:r>
        <w:rPr>
          <w:color w:val="231F20"/>
          <w:spacing w:val="-14"/>
          <w:w w:val="105"/>
          <w:sz w:val="18"/>
        </w:rPr>
        <w:t> </w:t>
      </w:r>
      <w:r>
        <w:rPr>
          <w:color w:val="231F20"/>
          <w:w w:val="105"/>
          <w:sz w:val="18"/>
        </w:rPr>
        <w:t>estratégicos</w:t>
      </w:r>
      <w:r>
        <w:rPr>
          <w:color w:val="231F20"/>
          <w:spacing w:val="-14"/>
          <w:w w:val="105"/>
          <w:sz w:val="18"/>
        </w:rPr>
        <w:t> </w:t>
      </w:r>
      <w:r>
        <w:rPr>
          <w:color w:val="231F20"/>
          <w:w w:val="105"/>
          <w:sz w:val="18"/>
        </w:rPr>
        <w:t>del</w:t>
      </w:r>
      <w:r>
        <w:rPr>
          <w:color w:val="231F20"/>
          <w:spacing w:val="-14"/>
          <w:w w:val="105"/>
          <w:sz w:val="18"/>
        </w:rPr>
        <w:t> </w:t>
      </w:r>
      <w:r>
        <w:rPr>
          <w:color w:val="231F20"/>
          <w:w w:val="105"/>
          <w:sz w:val="18"/>
        </w:rPr>
        <w:t>desarrollo</w:t>
      </w:r>
      <w:r>
        <w:rPr>
          <w:color w:val="231F20"/>
          <w:spacing w:val="-14"/>
          <w:w w:val="105"/>
          <w:sz w:val="18"/>
        </w:rPr>
        <w:t> </w:t>
      </w:r>
      <w:r>
        <w:rPr>
          <w:color w:val="231F20"/>
          <w:w w:val="105"/>
          <w:sz w:val="18"/>
        </w:rPr>
        <w:t>social.</w:t>
      </w:r>
      <w:r>
        <w:rPr>
          <w:color w:val="231F20"/>
          <w:spacing w:val="-14"/>
          <w:w w:val="105"/>
          <w:sz w:val="18"/>
        </w:rPr>
        <w:t> </w:t>
      </w:r>
      <w:r>
        <w:rPr>
          <w:color w:val="231F20"/>
          <w:w w:val="105"/>
          <w:sz w:val="18"/>
        </w:rPr>
        <w:t>Disponible en</w:t>
      </w:r>
      <w:r>
        <w:rPr>
          <w:color w:val="231F20"/>
          <w:spacing w:val="-21"/>
          <w:w w:val="105"/>
          <w:sz w:val="18"/>
        </w:rPr>
        <w:t> </w:t>
      </w:r>
      <w:r>
        <w:rPr>
          <w:color w:val="231F20"/>
          <w:w w:val="105"/>
          <w:sz w:val="18"/>
        </w:rPr>
        <w:t>línea</w:t>
      </w:r>
      <w:r>
        <w:rPr>
          <w:color w:val="231F20"/>
          <w:spacing w:val="-21"/>
          <w:w w:val="105"/>
          <w:sz w:val="18"/>
        </w:rPr>
        <w:t> </w:t>
      </w:r>
      <w:r>
        <w:rPr>
          <w:color w:val="231F20"/>
          <w:w w:val="105"/>
          <w:sz w:val="18"/>
        </w:rPr>
        <w:t>en:</w:t>
      </w:r>
      <w:r>
        <w:rPr>
          <w:color w:val="231F20"/>
          <w:spacing w:val="-21"/>
          <w:w w:val="105"/>
          <w:sz w:val="18"/>
        </w:rPr>
        <w:t> </w:t>
      </w:r>
      <w:hyperlink r:id="rId83">
        <w:r>
          <w:rPr>
            <w:color w:val="231F20"/>
            <w:spacing w:val="-3"/>
            <w:w w:val="105"/>
            <w:sz w:val="18"/>
          </w:rPr>
          <w:t>http://www.sedesol.gob.mx/archivos/0/</w:t>
        </w:r>
      </w:hyperlink>
      <w:r>
        <w:rPr>
          <w:color w:val="231F20"/>
          <w:spacing w:val="-3"/>
          <w:w w:val="105"/>
          <w:sz w:val="18"/>
        </w:rPr>
        <w:t> File/010408/Objetivos_Estrategicos_abril%202008_ </w:t>
      </w:r>
      <w:r>
        <w:rPr>
          <w:color w:val="231F20"/>
          <w:w w:val="105"/>
          <w:sz w:val="18"/>
        </w:rPr>
        <w:t>v1.pdf (Consultado el </w:t>
      </w:r>
      <w:r>
        <w:rPr>
          <w:color w:val="231F20"/>
          <w:spacing w:val="-3"/>
          <w:w w:val="105"/>
          <w:sz w:val="18"/>
        </w:rPr>
        <w:t>29 </w:t>
      </w:r>
      <w:r>
        <w:rPr>
          <w:color w:val="231F20"/>
          <w:w w:val="105"/>
          <w:sz w:val="18"/>
        </w:rPr>
        <w:t>de julio de</w:t>
      </w:r>
      <w:r>
        <w:rPr>
          <w:color w:val="231F20"/>
          <w:spacing w:val="-4"/>
          <w:w w:val="105"/>
          <w:sz w:val="18"/>
        </w:rPr>
        <w:t> </w:t>
      </w:r>
      <w:r>
        <w:rPr>
          <w:color w:val="231F20"/>
          <w:spacing w:val="-3"/>
          <w:w w:val="105"/>
          <w:sz w:val="18"/>
        </w:rPr>
        <w:t>2008.)</w:t>
      </w:r>
    </w:p>
    <w:p>
      <w:pPr>
        <w:spacing w:line="278" w:lineRule="auto" w:before="57"/>
        <w:ind w:left="695" w:right="1553" w:hanging="284"/>
        <w:jc w:val="both"/>
        <w:rPr>
          <w:sz w:val="18"/>
        </w:rPr>
      </w:pPr>
      <w:r>
        <w:rPr>
          <w:color w:val="231F20"/>
          <w:sz w:val="18"/>
        </w:rPr>
        <w:t>Val-Arreola D., Kebreab E., France J. (2006). Modeling small-scale dairy farms in Central Mexico. </w:t>
      </w:r>
      <w:r>
        <w:rPr>
          <w:i/>
          <w:color w:val="231F20"/>
          <w:sz w:val="18"/>
        </w:rPr>
        <w:t>Journal of </w:t>
      </w:r>
      <w:r>
        <w:rPr>
          <w:i/>
          <w:color w:val="231F20"/>
          <w:sz w:val="18"/>
        </w:rPr>
        <w:t>Dairy  Science,  </w:t>
      </w:r>
      <w:r>
        <w:rPr>
          <w:color w:val="231F20"/>
          <w:sz w:val="18"/>
        </w:rPr>
        <w:t>89:   1662-1672.</w:t>
      </w:r>
    </w:p>
    <w:p>
      <w:pPr>
        <w:spacing w:line="278" w:lineRule="auto" w:before="57"/>
        <w:ind w:left="695" w:right="1553" w:hanging="284"/>
        <w:jc w:val="both"/>
        <w:rPr>
          <w:sz w:val="18"/>
        </w:rPr>
      </w:pPr>
      <w:r>
        <w:rPr>
          <w:color w:val="231F20"/>
          <w:spacing w:val="-4"/>
          <w:sz w:val="18"/>
        </w:rPr>
        <w:t>Van </w:t>
      </w:r>
      <w:r>
        <w:rPr>
          <w:color w:val="231F20"/>
          <w:sz w:val="18"/>
        </w:rPr>
        <w:t>Calker K.J., Berentsen </w:t>
      </w:r>
      <w:r>
        <w:rPr>
          <w:color w:val="231F20"/>
          <w:spacing w:val="-4"/>
          <w:sz w:val="18"/>
        </w:rPr>
        <w:t>P.B.M., </w:t>
      </w:r>
      <w:r>
        <w:rPr>
          <w:color w:val="231F20"/>
          <w:sz w:val="18"/>
        </w:rPr>
        <w:t>de Boer I.M.J., </w:t>
      </w:r>
      <w:r>
        <w:rPr>
          <w:color w:val="231F20"/>
          <w:spacing w:val="-2"/>
          <w:sz w:val="18"/>
        </w:rPr>
        <w:t>Giesen </w:t>
      </w:r>
      <w:r>
        <w:rPr>
          <w:color w:val="231F20"/>
          <w:spacing w:val="-4"/>
          <w:sz w:val="18"/>
        </w:rPr>
        <w:t>G.W.J., </w:t>
      </w:r>
      <w:r>
        <w:rPr>
          <w:color w:val="231F20"/>
          <w:sz w:val="18"/>
        </w:rPr>
        <w:t>Huirne R.B.M. </w:t>
      </w:r>
      <w:r>
        <w:rPr>
          <w:color w:val="231F20"/>
          <w:spacing w:val="-3"/>
          <w:sz w:val="18"/>
        </w:rPr>
        <w:t>(2003). </w:t>
      </w:r>
      <w:r>
        <w:rPr>
          <w:color w:val="231F20"/>
          <w:sz w:val="18"/>
        </w:rPr>
        <w:t>An LP-model to analyze economic and ecological sustainability in Dutch dairy farming. International </w:t>
      </w:r>
      <w:r>
        <w:rPr>
          <w:color w:val="231F20"/>
          <w:spacing w:val="-3"/>
          <w:sz w:val="18"/>
        </w:rPr>
        <w:t>Farm </w:t>
      </w:r>
      <w:r>
        <w:rPr>
          <w:color w:val="231F20"/>
          <w:sz w:val="18"/>
        </w:rPr>
        <w:t>Management Congress.</w:t>
      </w:r>
    </w:p>
    <w:p>
      <w:pPr>
        <w:spacing w:line="278" w:lineRule="auto" w:before="57"/>
        <w:ind w:left="695" w:right="1551" w:hanging="284"/>
        <w:jc w:val="both"/>
        <w:rPr>
          <w:sz w:val="18"/>
        </w:rPr>
      </w:pPr>
      <w:r>
        <w:rPr>
          <w:color w:val="231F20"/>
          <w:spacing w:val="-4"/>
          <w:sz w:val="18"/>
        </w:rPr>
        <w:t>Van</w:t>
      </w:r>
      <w:r>
        <w:rPr>
          <w:color w:val="231F20"/>
          <w:spacing w:val="-9"/>
          <w:sz w:val="18"/>
        </w:rPr>
        <w:t> </w:t>
      </w:r>
      <w:r>
        <w:rPr>
          <w:color w:val="231F20"/>
          <w:sz w:val="18"/>
        </w:rPr>
        <w:t>Calker</w:t>
      </w:r>
      <w:r>
        <w:rPr>
          <w:color w:val="231F20"/>
          <w:spacing w:val="-9"/>
          <w:sz w:val="18"/>
        </w:rPr>
        <w:t> </w:t>
      </w:r>
      <w:r>
        <w:rPr>
          <w:color w:val="231F20"/>
          <w:sz w:val="18"/>
        </w:rPr>
        <w:t>K.J.,</w:t>
      </w:r>
      <w:r>
        <w:rPr>
          <w:color w:val="231F20"/>
          <w:spacing w:val="-9"/>
          <w:sz w:val="18"/>
        </w:rPr>
        <w:t> </w:t>
      </w:r>
      <w:r>
        <w:rPr>
          <w:color w:val="231F20"/>
          <w:sz w:val="18"/>
        </w:rPr>
        <w:t>Berentsen</w:t>
      </w:r>
      <w:r>
        <w:rPr>
          <w:color w:val="231F20"/>
          <w:spacing w:val="-9"/>
          <w:sz w:val="18"/>
        </w:rPr>
        <w:t> </w:t>
      </w:r>
      <w:r>
        <w:rPr>
          <w:color w:val="231F20"/>
          <w:sz w:val="18"/>
        </w:rPr>
        <w:t>B.,</w:t>
      </w:r>
      <w:r>
        <w:rPr>
          <w:color w:val="231F20"/>
          <w:spacing w:val="-9"/>
          <w:sz w:val="18"/>
        </w:rPr>
        <w:t> </w:t>
      </w:r>
      <w:r>
        <w:rPr>
          <w:color w:val="231F20"/>
          <w:sz w:val="18"/>
        </w:rPr>
        <w:t>Giesen</w:t>
      </w:r>
      <w:r>
        <w:rPr>
          <w:color w:val="231F20"/>
          <w:spacing w:val="-9"/>
          <w:sz w:val="18"/>
        </w:rPr>
        <w:t> </w:t>
      </w:r>
      <w:r>
        <w:rPr>
          <w:color w:val="231F20"/>
          <w:spacing w:val="-4"/>
          <w:sz w:val="18"/>
        </w:rPr>
        <w:t>G.W.J.,</w:t>
      </w:r>
      <w:r>
        <w:rPr>
          <w:color w:val="231F20"/>
          <w:spacing w:val="-9"/>
          <w:sz w:val="18"/>
        </w:rPr>
        <w:t> </w:t>
      </w:r>
      <w:r>
        <w:rPr>
          <w:color w:val="231F20"/>
          <w:sz w:val="18"/>
        </w:rPr>
        <w:t>Huirne</w:t>
      </w:r>
      <w:r>
        <w:rPr>
          <w:color w:val="231F20"/>
          <w:spacing w:val="-9"/>
          <w:sz w:val="18"/>
        </w:rPr>
        <w:t> </w:t>
      </w:r>
      <w:r>
        <w:rPr>
          <w:color w:val="231F20"/>
          <w:spacing w:val="-2"/>
          <w:sz w:val="18"/>
        </w:rPr>
        <w:t>R.B.M. </w:t>
      </w:r>
      <w:r>
        <w:rPr>
          <w:color w:val="231F20"/>
          <w:spacing w:val="-3"/>
          <w:sz w:val="18"/>
        </w:rPr>
        <w:t>(2008). </w:t>
      </w:r>
      <w:r>
        <w:rPr>
          <w:color w:val="231F20"/>
          <w:sz w:val="18"/>
        </w:rPr>
        <w:t>Maximizing sustainability of Dutch dairy far- ming systems for different stakeholders: a modeling approach.  </w:t>
      </w:r>
      <w:r>
        <w:rPr>
          <w:i/>
          <w:color w:val="231F20"/>
          <w:sz w:val="18"/>
        </w:rPr>
        <w:t>Ecological  Economics,  </w:t>
      </w:r>
      <w:r>
        <w:rPr>
          <w:color w:val="231F20"/>
          <w:sz w:val="18"/>
        </w:rPr>
        <w:t>65:</w:t>
      </w:r>
      <w:r>
        <w:rPr>
          <w:color w:val="231F20"/>
          <w:spacing w:val="2"/>
          <w:sz w:val="18"/>
        </w:rPr>
        <w:t> </w:t>
      </w:r>
      <w:r>
        <w:rPr>
          <w:color w:val="231F20"/>
          <w:spacing w:val="-6"/>
          <w:sz w:val="18"/>
        </w:rPr>
        <w:t>407-419.</w:t>
      </w:r>
    </w:p>
    <w:p>
      <w:pPr>
        <w:spacing w:line="278" w:lineRule="auto" w:before="57"/>
        <w:ind w:left="695" w:right="1551" w:hanging="284"/>
        <w:jc w:val="both"/>
        <w:rPr>
          <w:sz w:val="18"/>
        </w:rPr>
      </w:pPr>
      <w:r>
        <w:rPr>
          <w:color w:val="231F20"/>
          <w:sz w:val="18"/>
        </w:rPr>
        <w:t>Van Passel Steven F.N., Mathijb E., Van Huylenbroeck G. (2007). Measuring farm sustainability and explaining differences in sustainable efficiency. </w:t>
      </w:r>
      <w:r>
        <w:rPr>
          <w:i/>
          <w:color w:val="231F20"/>
          <w:sz w:val="18"/>
        </w:rPr>
        <w:t>Ecological Eco- </w:t>
      </w:r>
      <w:r>
        <w:rPr>
          <w:i/>
          <w:color w:val="231F20"/>
          <w:sz w:val="18"/>
        </w:rPr>
        <w:t>nomics,  </w:t>
      </w:r>
      <w:r>
        <w:rPr>
          <w:color w:val="231F20"/>
          <w:sz w:val="18"/>
        </w:rPr>
        <w:t>62:  149-161.</w:t>
      </w:r>
    </w:p>
    <w:p>
      <w:pPr>
        <w:spacing w:line="278" w:lineRule="auto" w:before="57"/>
        <w:ind w:left="695" w:right="1551" w:hanging="284"/>
        <w:jc w:val="both"/>
        <w:rPr>
          <w:sz w:val="18"/>
        </w:rPr>
      </w:pPr>
      <w:r>
        <w:rPr>
          <w:color w:val="231F20"/>
          <w:spacing w:val="-3"/>
          <w:sz w:val="18"/>
        </w:rPr>
        <w:t>Vilain </w:t>
      </w:r>
      <w:r>
        <w:rPr>
          <w:color w:val="231F20"/>
          <w:sz w:val="18"/>
        </w:rPr>
        <w:t>L. </w:t>
      </w:r>
      <w:r>
        <w:rPr>
          <w:color w:val="231F20"/>
          <w:spacing w:val="-3"/>
          <w:sz w:val="18"/>
        </w:rPr>
        <w:t>(2008). </w:t>
      </w:r>
      <w:r>
        <w:rPr>
          <w:color w:val="231F20"/>
          <w:sz w:val="18"/>
        </w:rPr>
        <w:t>La métode IDEA. Indicateurs de durabili- té</w:t>
      </w:r>
      <w:r>
        <w:rPr>
          <w:color w:val="231F20"/>
          <w:spacing w:val="-8"/>
          <w:sz w:val="18"/>
        </w:rPr>
        <w:t> </w:t>
      </w:r>
      <w:r>
        <w:rPr>
          <w:color w:val="231F20"/>
          <w:sz w:val="18"/>
        </w:rPr>
        <w:t>des</w:t>
      </w:r>
      <w:r>
        <w:rPr>
          <w:color w:val="231F20"/>
          <w:spacing w:val="-8"/>
          <w:sz w:val="18"/>
        </w:rPr>
        <w:t> </w:t>
      </w:r>
      <w:r>
        <w:rPr>
          <w:color w:val="231F20"/>
          <w:sz w:val="18"/>
        </w:rPr>
        <w:t>explotations</w:t>
      </w:r>
      <w:r>
        <w:rPr>
          <w:color w:val="231F20"/>
          <w:spacing w:val="-8"/>
          <w:sz w:val="18"/>
        </w:rPr>
        <w:t> </w:t>
      </w:r>
      <w:r>
        <w:rPr>
          <w:color w:val="231F20"/>
          <w:sz w:val="18"/>
        </w:rPr>
        <w:t>agricoles.</w:t>
      </w:r>
      <w:r>
        <w:rPr>
          <w:color w:val="231F20"/>
          <w:spacing w:val="-8"/>
          <w:sz w:val="18"/>
        </w:rPr>
        <w:t> </w:t>
      </w:r>
      <w:r>
        <w:rPr>
          <w:color w:val="231F20"/>
          <w:spacing w:val="-4"/>
          <w:sz w:val="18"/>
        </w:rPr>
        <w:t>Troisième</w:t>
      </w:r>
      <w:r>
        <w:rPr>
          <w:color w:val="231F20"/>
          <w:spacing w:val="-8"/>
          <w:sz w:val="18"/>
        </w:rPr>
        <w:t> </w:t>
      </w:r>
      <w:r>
        <w:rPr>
          <w:color w:val="231F20"/>
          <w:sz w:val="18"/>
        </w:rPr>
        <w:t>Édition</w:t>
      </w:r>
      <w:r>
        <w:rPr>
          <w:color w:val="231F20"/>
          <w:spacing w:val="-8"/>
          <w:sz w:val="18"/>
        </w:rPr>
        <w:t> </w:t>
      </w:r>
      <w:r>
        <w:rPr>
          <w:color w:val="231F20"/>
          <w:sz w:val="18"/>
        </w:rPr>
        <w:t>Actua- lisée, Educagri</w:t>
      </w:r>
      <w:r>
        <w:rPr>
          <w:color w:val="231F20"/>
          <w:spacing w:val="-31"/>
          <w:sz w:val="18"/>
        </w:rPr>
        <w:t> </w:t>
      </w:r>
      <w:r>
        <w:rPr>
          <w:color w:val="231F20"/>
          <w:sz w:val="18"/>
        </w:rPr>
        <w:t>Editions.</w:t>
      </w:r>
    </w:p>
    <w:p>
      <w:pPr>
        <w:spacing w:line="278" w:lineRule="auto" w:before="57"/>
        <w:ind w:left="695" w:right="1551" w:hanging="284"/>
        <w:jc w:val="both"/>
        <w:rPr>
          <w:sz w:val="18"/>
        </w:rPr>
      </w:pPr>
      <w:r>
        <w:rPr>
          <w:color w:val="231F20"/>
          <w:sz w:val="18"/>
        </w:rPr>
        <w:t>Wiggins S., </w:t>
      </w:r>
      <w:r>
        <w:rPr>
          <w:color w:val="231F20"/>
          <w:spacing w:val="-3"/>
          <w:sz w:val="18"/>
        </w:rPr>
        <w:t>Tzintzun </w:t>
      </w:r>
      <w:r>
        <w:rPr>
          <w:color w:val="231F20"/>
          <w:sz w:val="18"/>
        </w:rPr>
        <w:t>Rascón R., </w:t>
      </w:r>
      <w:r>
        <w:rPr>
          <w:color w:val="231F20"/>
          <w:spacing w:val="-3"/>
          <w:sz w:val="18"/>
        </w:rPr>
        <w:t>Ramírez González </w:t>
      </w:r>
      <w:r>
        <w:rPr>
          <w:color w:val="231F20"/>
          <w:sz w:val="18"/>
        </w:rPr>
        <w:t>M., Ra- </w:t>
      </w:r>
      <w:r>
        <w:rPr>
          <w:color w:val="231F20"/>
          <w:spacing w:val="-3"/>
          <w:sz w:val="18"/>
        </w:rPr>
        <w:t>mírez González </w:t>
      </w:r>
      <w:r>
        <w:rPr>
          <w:color w:val="231F20"/>
          <w:sz w:val="18"/>
        </w:rPr>
        <w:t>R., </w:t>
      </w:r>
      <w:r>
        <w:rPr>
          <w:color w:val="231F20"/>
          <w:spacing w:val="-3"/>
          <w:sz w:val="18"/>
        </w:rPr>
        <w:t>Ramírez Valencia </w:t>
      </w:r>
      <w:r>
        <w:rPr>
          <w:color w:val="231F20"/>
          <w:spacing w:val="-5"/>
          <w:sz w:val="18"/>
        </w:rPr>
        <w:t>F.J., </w:t>
      </w:r>
      <w:r>
        <w:rPr>
          <w:color w:val="231F20"/>
          <w:sz w:val="18"/>
        </w:rPr>
        <w:t>Ortiz Ortiz </w:t>
      </w:r>
      <w:r>
        <w:rPr>
          <w:color w:val="231F20"/>
          <w:spacing w:val="-2"/>
          <w:sz w:val="18"/>
        </w:rPr>
        <w:t>G., </w:t>
      </w:r>
      <w:r>
        <w:rPr>
          <w:color w:val="231F20"/>
          <w:sz w:val="18"/>
        </w:rPr>
        <w:t>Piña</w:t>
      </w:r>
      <w:r>
        <w:rPr>
          <w:color w:val="231F20"/>
          <w:spacing w:val="-12"/>
          <w:sz w:val="18"/>
        </w:rPr>
        <w:t> </w:t>
      </w:r>
      <w:r>
        <w:rPr>
          <w:color w:val="231F20"/>
          <w:sz w:val="18"/>
        </w:rPr>
        <w:t>Cárdenas</w:t>
      </w:r>
      <w:r>
        <w:rPr>
          <w:color w:val="231F20"/>
          <w:spacing w:val="-12"/>
          <w:sz w:val="18"/>
        </w:rPr>
        <w:t> </w:t>
      </w:r>
      <w:r>
        <w:rPr>
          <w:color w:val="231F20"/>
          <w:sz w:val="18"/>
        </w:rPr>
        <w:t>B.,</w:t>
      </w:r>
      <w:r>
        <w:rPr>
          <w:color w:val="231F20"/>
          <w:spacing w:val="-12"/>
          <w:sz w:val="18"/>
        </w:rPr>
        <w:t> </w:t>
      </w:r>
      <w:r>
        <w:rPr>
          <w:color w:val="231F20"/>
          <w:sz w:val="18"/>
        </w:rPr>
        <w:t>Aguilar</w:t>
      </w:r>
      <w:r>
        <w:rPr>
          <w:color w:val="231F20"/>
          <w:spacing w:val="-12"/>
          <w:sz w:val="18"/>
        </w:rPr>
        <w:t> </w:t>
      </w:r>
      <w:r>
        <w:rPr>
          <w:color w:val="231F20"/>
          <w:sz w:val="18"/>
        </w:rPr>
        <w:t>Barradas</w:t>
      </w:r>
      <w:r>
        <w:rPr>
          <w:color w:val="231F20"/>
          <w:spacing w:val="-12"/>
          <w:sz w:val="18"/>
        </w:rPr>
        <w:t> </w:t>
      </w:r>
      <w:r>
        <w:rPr>
          <w:color w:val="231F20"/>
          <w:sz w:val="18"/>
        </w:rPr>
        <w:t>U.,</w:t>
      </w:r>
      <w:r>
        <w:rPr>
          <w:color w:val="231F20"/>
          <w:spacing w:val="-12"/>
          <w:sz w:val="18"/>
        </w:rPr>
        <w:t> </w:t>
      </w:r>
      <w:r>
        <w:rPr>
          <w:color w:val="231F20"/>
          <w:spacing w:val="-3"/>
          <w:sz w:val="18"/>
        </w:rPr>
        <w:t>Espinoza</w:t>
      </w:r>
      <w:r>
        <w:rPr>
          <w:color w:val="231F20"/>
          <w:spacing w:val="-12"/>
          <w:sz w:val="18"/>
        </w:rPr>
        <w:t> </w:t>
      </w:r>
      <w:r>
        <w:rPr>
          <w:color w:val="231F20"/>
          <w:sz w:val="18"/>
        </w:rPr>
        <w:t>Ortega A., </w:t>
      </w:r>
      <w:r>
        <w:rPr>
          <w:color w:val="231F20"/>
          <w:spacing w:val="-3"/>
          <w:sz w:val="18"/>
        </w:rPr>
        <w:t>Pedraza Fuentes </w:t>
      </w:r>
      <w:r>
        <w:rPr>
          <w:color w:val="231F20"/>
          <w:sz w:val="18"/>
        </w:rPr>
        <w:t>A.M., Rivera Herrejón G., Arriaga Jordán C. </w:t>
      </w:r>
      <w:r>
        <w:rPr>
          <w:color w:val="231F20"/>
          <w:spacing w:val="-4"/>
          <w:sz w:val="18"/>
        </w:rPr>
        <w:t>(2001). </w:t>
      </w:r>
      <w:r>
        <w:rPr>
          <w:color w:val="231F20"/>
          <w:sz w:val="18"/>
        </w:rPr>
        <w:t>Costos y retornos de la producción de leche en pequeña escala, en la zona central de México. La lechería como empresa. Cuadernos de In- vestigación. Cuarta </w:t>
      </w:r>
      <w:r>
        <w:rPr>
          <w:color w:val="231F20"/>
          <w:spacing w:val="-3"/>
          <w:sz w:val="18"/>
        </w:rPr>
        <w:t>época/19. </w:t>
      </w:r>
      <w:r>
        <w:rPr>
          <w:color w:val="231F20"/>
          <w:sz w:val="18"/>
        </w:rPr>
        <w:t>Universidad Autónoma del Estado de México, </w:t>
      </w:r>
      <w:r>
        <w:rPr>
          <w:color w:val="231F20"/>
          <w:spacing w:val="-5"/>
          <w:sz w:val="18"/>
        </w:rPr>
        <w:t>Toluca,</w:t>
      </w:r>
      <w:r>
        <w:rPr>
          <w:color w:val="231F20"/>
          <w:spacing w:val="-16"/>
          <w:sz w:val="18"/>
        </w:rPr>
        <w:t> </w:t>
      </w:r>
      <w:r>
        <w:rPr>
          <w:color w:val="231F20"/>
          <w:sz w:val="18"/>
        </w:rPr>
        <w:t>México.</w:t>
      </w:r>
    </w:p>
    <w:p>
      <w:pPr>
        <w:spacing w:line="278" w:lineRule="auto" w:before="57"/>
        <w:ind w:left="695" w:right="1551" w:hanging="284"/>
        <w:jc w:val="both"/>
        <w:rPr>
          <w:sz w:val="18"/>
        </w:rPr>
      </w:pPr>
      <w:r>
        <w:rPr>
          <w:color w:val="231F20"/>
          <w:sz w:val="18"/>
        </w:rPr>
        <w:t>Zahm </w:t>
      </w:r>
      <w:r>
        <w:rPr>
          <w:color w:val="231F20"/>
          <w:spacing w:val="-7"/>
          <w:sz w:val="18"/>
        </w:rPr>
        <w:t>F., </w:t>
      </w:r>
      <w:r>
        <w:rPr>
          <w:color w:val="231F20"/>
          <w:spacing w:val="-3"/>
          <w:sz w:val="18"/>
        </w:rPr>
        <w:t>Viaux </w:t>
      </w:r>
      <w:r>
        <w:rPr>
          <w:color w:val="231F20"/>
          <w:spacing w:val="-7"/>
          <w:sz w:val="18"/>
        </w:rPr>
        <w:t>P., </w:t>
      </w:r>
      <w:r>
        <w:rPr>
          <w:color w:val="231F20"/>
          <w:spacing w:val="-3"/>
          <w:sz w:val="18"/>
        </w:rPr>
        <w:t>Vilain </w:t>
      </w:r>
      <w:r>
        <w:rPr>
          <w:color w:val="231F20"/>
          <w:sz w:val="18"/>
        </w:rPr>
        <w:t>L., Girardin </w:t>
      </w:r>
      <w:r>
        <w:rPr>
          <w:color w:val="231F20"/>
          <w:spacing w:val="-7"/>
          <w:sz w:val="18"/>
        </w:rPr>
        <w:t>F., </w:t>
      </w:r>
      <w:r>
        <w:rPr>
          <w:color w:val="231F20"/>
          <w:sz w:val="18"/>
        </w:rPr>
        <w:t>Mouchet C. </w:t>
      </w:r>
      <w:r>
        <w:rPr>
          <w:color w:val="231F20"/>
          <w:spacing w:val="-3"/>
          <w:sz w:val="18"/>
        </w:rPr>
        <w:t>(2004). </w:t>
      </w:r>
      <w:r>
        <w:rPr>
          <w:color w:val="231F20"/>
          <w:sz w:val="18"/>
        </w:rPr>
        <w:t>La méthode IDEA (Indicateurs de Durabilité des Ex- ploitations Agricoles): une méthode de diagnostic pour</w:t>
      </w:r>
      <w:r>
        <w:rPr>
          <w:color w:val="231F20"/>
          <w:spacing w:val="-7"/>
          <w:sz w:val="18"/>
        </w:rPr>
        <w:t> </w:t>
      </w:r>
      <w:r>
        <w:rPr>
          <w:color w:val="231F20"/>
          <w:sz w:val="18"/>
        </w:rPr>
        <w:t>passer</w:t>
      </w:r>
      <w:r>
        <w:rPr>
          <w:color w:val="231F20"/>
          <w:spacing w:val="-7"/>
          <w:sz w:val="18"/>
        </w:rPr>
        <w:t> </w:t>
      </w:r>
      <w:r>
        <w:rPr>
          <w:color w:val="231F20"/>
          <w:sz w:val="18"/>
        </w:rPr>
        <w:t>du</w:t>
      </w:r>
      <w:r>
        <w:rPr>
          <w:color w:val="231F20"/>
          <w:spacing w:val="-7"/>
          <w:sz w:val="18"/>
        </w:rPr>
        <w:t> </w:t>
      </w:r>
      <w:r>
        <w:rPr>
          <w:color w:val="231F20"/>
          <w:sz w:val="18"/>
        </w:rPr>
        <w:t>concept</w:t>
      </w:r>
      <w:r>
        <w:rPr>
          <w:color w:val="231F20"/>
          <w:spacing w:val="-7"/>
          <w:sz w:val="18"/>
        </w:rPr>
        <w:t> </w:t>
      </w:r>
      <w:r>
        <w:rPr>
          <w:color w:val="231F20"/>
          <w:sz w:val="18"/>
        </w:rPr>
        <w:t>de</w:t>
      </w:r>
      <w:r>
        <w:rPr>
          <w:color w:val="231F20"/>
          <w:spacing w:val="-7"/>
          <w:sz w:val="18"/>
        </w:rPr>
        <w:t> </w:t>
      </w:r>
      <w:r>
        <w:rPr>
          <w:color w:val="231F20"/>
          <w:sz w:val="18"/>
        </w:rPr>
        <w:t>durabilité</w:t>
      </w:r>
      <w:r>
        <w:rPr>
          <w:color w:val="231F20"/>
          <w:spacing w:val="-7"/>
          <w:sz w:val="18"/>
        </w:rPr>
        <w:t> </w:t>
      </w:r>
      <w:r>
        <w:rPr>
          <w:color w:val="231F20"/>
          <w:sz w:val="18"/>
        </w:rPr>
        <w:t>à</w:t>
      </w:r>
      <w:r>
        <w:rPr>
          <w:color w:val="231F20"/>
          <w:spacing w:val="-7"/>
          <w:sz w:val="18"/>
        </w:rPr>
        <w:t> </w:t>
      </w:r>
      <w:r>
        <w:rPr>
          <w:color w:val="231F20"/>
          <w:sz w:val="18"/>
        </w:rPr>
        <w:t>son</w:t>
      </w:r>
      <w:r>
        <w:rPr>
          <w:color w:val="231F20"/>
          <w:spacing w:val="-7"/>
          <w:sz w:val="18"/>
        </w:rPr>
        <w:t> </w:t>
      </w:r>
      <w:r>
        <w:rPr>
          <w:color w:val="231F20"/>
          <w:sz w:val="18"/>
        </w:rPr>
        <w:t>évaluation à partir d’indicateurs. PEER Conference, </w:t>
      </w:r>
      <w:r>
        <w:rPr>
          <w:color w:val="231F20"/>
          <w:spacing w:val="-4"/>
          <w:sz w:val="18"/>
        </w:rPr>
        <w:t>17th </w:t>
      </w:r>
      <w:r>
        <w:rPr>
          <w:color w:val="231F20"/>
          <w:sz w:val="18"/>
        </w:rPr>
        <w:t>to </w:t>
      </w:r>
      <w:r>
        <w:rPr>
          <w:color w:val="231F20"/>
          <w:spacing w:val="-4"/>
          <w:sz w:val="18"/>
        </w:rPr>
        <w:t>18th </w:t>
      </w:r>
      <w:r>
        <w:rPr>
          <w:color w:val="231F20"/>
          <w:spacing w:val="-3"/>
          <w:sz w:val="18"/>
        </w:rPr>
        <w:t>November, </w:t>
      </w:r>
      <w:r>
        <w:rPr>
          <w:color w:val="231F20"/>
          <w:sz w:val="18"/>
        </w:rPr>
        <w:t>Helsinki,</w:t>
      </w:r>
      <w:r>
        <w:rPr>
          <w:color w:val="231F20"/>
          <w:spacing w:val="-4"/>
          <w:sz w:val="18"/>
        </w:rPr>
        <w:t> </w:t>
      </w:r>
      <w:r>
        <w:rPr>
          <w:color w:val="231F20"/>
          <w:sz w:val="18"/>
        </w:rPr>
        <w:t>Finland.</w:t>
      </w:r>
    </w:p>
    <w:p>
      <w:pPr>
        <w:spacing w:line="278" w:lineRule="auto" w:before="57"/>
        <w:ind w:left="695" w:right="1553" w:hanging="284"/>
        <w:jc w:val="both"/>
        <w:rPr>
          <w:sz w:val="18"/>
        </w:rPr>
      </w:pPr>
      <w:r>
        <w:rPr>
          <w:color w:val="231F20"/>
          <w:sz w:val="18"/>
        </w:rPr>
        <w:t>Zahm </w:t>
      </w:r>
      <w:r>
        <w:rPr>
          <w:color w:val="231F20"/>
          <w:spacing w:val="-7"/>
          <w:sz w:val="18"/>
        </w:rPr>
        <w:t>F., </w:t>
      </w:r>
      <w:r>
        <w:rPr>
          <w:color w:val="231F20"/>
          <w:spacing w:val="-3"/>
          <w:sz w:val="18"/>
        </w:rPr>
        <w:t>Viaux </w:t>
      </w:r>
      <w:r>
        <w:rPr>
          <w:color w:val="231F20"/>
          <w:spacing w:val="-7"/>
          <w:sz w:val="18"/>
        </w:rPr>
        <w:t>P., </w:t>
      </w:r>
      <w:r>
        <w:rPr>
          <w:color w:val="231F20"/>
          <w:spacing w:val="-3"/>
          <w:sz w:val="18"/>
        </w:rPr>
        <w:t>Vilain </w:t>
      </w:r>
      <w:r>
        <w:rPr>
          <w:color w:val="231F20"/>
          <w:sz w:val="18"/>
        </w:rPr>
        <w:t>L., Girardin </w:t>
      </w:r>
      <w:r>
        <w:rPr>
          <w:color w:val="231F20"/>
          <w:spacing w:val="-7"/>
          <w:sz w:val="18"/>
        </w:rPr>
        <w:t>F., </w:t>
      </w:r>
      <w:r>
        <w:rPr>
          <w:color w:val="231F20"/>
          <w:sz w:val="18"/>
        </w:rPr>
        <w:t>Mouchet C. </w:t>
      </w:r>
      <w:r>
        <w:rPr>
          <w:color w:val="231F20"/>
          <w:spacing w:val="-3"/>
          <w:sz w:val="18"/>
        </w:rPr>
        <w:t>(2008). </w:t>
      </w:r>
      <w:r>
        <w:rPr>
          <w:color w:val="231F20"/>
          <w:sz w:val="18"/>
        </w:rPr>
        <w:t>Assessing farm sustainability with the IDEA    </w:t>
      </w:r>
      <w:r>
        <w:rPr>
          <w:color w:val="231F20"/>
          <w:spacing w:val="-2"/>
          <w:sz w:val="18"/>
        </w:rPr>
        <w:t>Method</w:t>
      </w:r>
    </w:p>
    <w:p>
      <w:pPr>
        <w:spacing w:line="278" w:lineRule="auto" w:before="1"/>
        <w:ind w:left="695" w:right="1551" w:firstLine="0"/>
        <w:jc w:val="both"/>
        <w:rPr>
          <w:sz w:val="18"/>
        </w:rPr>
      </w:pPr>
      <w:r>
        <w:rPr>
          <w:color w:val="231F20"/>
          <w:w w:val="105"/>
          <w:sz w:val="18"/>
        </w:rPr>
        <w:t>– from the concept of agriculture sustainability to case</w:t>
      </w:r>
      <w:r>
        <w:rPr>
          <w:color w:val="231F20"/>
          <w:spacing w:val="-22"/>
          <w:w w:val="105"/>
          <w:sz w:val="18"/>
        </w:rPr>
        <w:t> </w:t>
      </w:r>
      <w:r>
        <w:rPr>
          <w:color w:val="231F20"/>
          <w:w w:val="105"/>
          <w:sz w:val="18"/>
        </w:rPr>
        <w:t>studies</w:t>
      </w:r>
      <w:r>
        <w:rPr>
          <w:color w:val="231F20"/>
          <w:spacing w:val="-22"/>
          <w:w w:val="105"/>
          <w:sz w:val="18"/>
        </w:rPr>
        <w:t> </w:t>
      </w:r>
      <w:r>
        <w:rPr>
          <w:color w:val="231F20"/>
          <w:w w:val="105"/>
          <w:sz w:val="18"/>
        </w:rPr>
        <w:t>on</w:t>
      </w:r>
      <w:r>
        <w:rPr>
          <w:color w:val="231F20"/>
          <w:spacing w:val="-22"/>
          <w:w w:val="105"/>
          <w:sz w:val="18"/>
        </w:rPr>
        <w:t> </w:t>
      </w:r>
      <w:r>
        <w:rPr>
          <w:color w:val="231F20"/>
          <w:w w:val="105"/>
          <w:sz w:val="18"/>
        </w:rPr>
        <w:t>farms.</w:t>
      </w:r>
      <w:r>
        <w:rPr>
          <w:color w:val="231F20"/>
          <w:spacing w:val="-22"/>
          <w:w w:val="105"/>
          <w:sz w:val="18"/>
        </w:rPr>
        <w:t> </w:t>
      </w:r>
      <w:r>
        <w:rPr>
          <w:i/>
          <w:color w:val="231F20"/>
          <w:w w:val="105"/>
          <w:sz w:val="18"/>
        </w:rPr>
        <w:t>Sustainable</w:t>
      </w:r>
      <w:r>
        <w:rPr>
          <w:i/>
          <w:color w:val="231F20"/>
          <w:spacing w:val="-22"/>
          <w:w w:val="105"/>
          <w:sz w:val="18"/>
        </w:rPr>
        <w:t> </w:t>
      </w:r>
      <w:r>
        <w:rPr>
          <w:i/>
          <w:color w:val="231F20"/>
          <w:w w:val="105"/>
          <w:sz w:val="18"/>
        </w:rPr>
        <w:t>Development,</w:t>
      </w:r>
      <w:r>
        <w:rPr>
          <w:i/>
          <w:color w:val="231F20"/>
          <w:spacing w:val="-22"/>
          <w:w w:val="105"/>
          <w:sz w:val="18"/>
        </w:rPr>
        <w:t> </w:t>
      </w:r>
      <w:r>
        <w:rPr>
          <w:color w:val="231F20"/>
          <w:spacing w:val="-4"/>
          <w:w w:val="105"/>
          <w:sz w:val="18"/>
        </w:rPr>
        <w:t>16: </w:t>
      </w:r>
      <w:r>
        <w:rPr>
          <w:color w:val="231F20"/>
          <w:spacing w:val="-6"/>
          <w:w w:val="105"/>
          <w:sz w:val="18"/>
        </w:rPr>
        <w:t>271-281.</w:t>
      </w:r>
    </w:p>
    <w:p>
      <w:pPr>
        <w:spacing w:after="0" w:line="278" w:lineRule="auto"/>
        <w:jc w:val="both"/>
        <w:rPr>
          <w:sz w:val="18"/>
        </w:rPr>
        <w:sectPr>
          <w:type w:val="continuous"/>
          <w:pgSz w:w="11900" w:h="14450"/>
          <w:pgMar w:top="420" w:bottom="420" w:left="0" w:right="0"/>
          <w:cols w:num="2" w:equalWidth="0">
            <w:col w:w="5723" w:space="40"/>
            <w:col w:w="6137"/>
          </w:cols>
        </w:sectPr>
      </w:pPr>
    </w:p>
    <w:p>
      <w:pPr>
        <w:pStyle w:val="BodyText"/>
        <w:spacing w:before="4"/>
        <w:rPr>
          <w:rFonts w:ascii="Times New Roman"/>
          <w:sz w:val="17"/>
        </w:rPr>
      </w:pPr>
    </w:p>
    <w:p>
      <w:pPr>
        <w:spacing w:after="0"/>
        <w:rPr>
          <w:rFonts w:ascii="Times New Roman"/>
          <w:sz w:val="17"/>
        </w:rPr>
        <w:sectPr>
          <w:footerReference w:type="default" r:id="rId84"/>
          <w:pgSz w:w="11900" w:h="14450"/>
          <w:pgMar w:footer="222" w:header="0"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before="154"/>
        <w:ind w:left="1553" w:right="2503" w:firstLine="0"/>
        <w:jc w:val="left"/>
        <w:rPr>
          <w:sz w:val="28"/>
        </w:rPr>
      </w:pPr>
      <w:r>
        <w:rPr>
          <w:color w:val="6D6E71"/>
          <w:w w:val="120"/>
          <w:sz w:val="54"/>
        </w:rPr>
        <w:t>A. </w:t>
      </w:r>
      <w:r>
        <w:rPr>
          <w:color w:val="6D6E71"/>
          <w:w w:val="120"/>
          <w:sz w:val="40"/>
        </w:rPr>
        <w:t>S</w:t>
      </w:r>
      <w:r>
        <w:rPr>
          <w:color w:val="6D6E71"/>
          <w:w w:val="120"/>
          <w:sz w:val="28"/>
        </w:rPr>
        <w:t>iStemAS de producción de  leche</w:t>
      </w:r>
    </w:p>
    <w:p>
      <w:pPr>
        <w:pStyle w:val="Heading3"/>
        <w:spacing w:before="290"/>
        <w:ind w:right="2503"/>
        <w:jc w:val="left"/>
        <w:rPr>
          <w:sz w:val="60"/>
        </w:rPr>
      </w:pPr>
      <w:bookmarkStart w:name="_TOC_250010" w:id="2"/>
      <w:r>
        <w:rPr>
          <w:color w:val="231F20"/>
          <w:w w:val="110"/>
        </w:rPr>
        <w:t>CAPÍTULO </w:t>
      </w:r>
      <w:bookmarkEnd w:id="2"/>
      <w:r>
        <w:rPr>
          <w:color w:val="231F20"/>
          <w:w w:val="110"/>
          <w:sz w:val="60"/>
        </w:rPr>
        <w:t>5</w:t>
      </w:r>
    </w:p>
    <w:p>
      <w:pPr>
        <w:spacing w:before="219"/>
        <w:ind w:left="1553" w:right="1885" w:firstLine="0"/>
        <w:jc w:val="left"/>
        <w:rPr>
          <w:sz w:val="36"/>
        </w:rPr>
      </w:pPr>
      <w:r>
        <w:rPr>
          <w:color w:val="231F20"/>
          <w:spacing w:val="-6"/>
          <w:w w:val="105"/>
          <w:sz w:val="36"/>
        </w:rPr>
        <w:t>FACTORES </w:t>
      </w:r>
      <w:r>
        <w:rPr>
          <w:color w:val="231F20"/>
          <w:spacing w:val="2"/>
          <w:w w:val="105"/>
          <w:sz w:val="36"/>
        </w:rPr>
        <w:t>QUE </w:t>
      </w:r>
      <w:r>
        <w:rPr>
          <w:color w:val="231F20"/>
          <w:w w:val="105"/>
          <w:sz w:val="36"/>
        </w:rPr>
        <w:t>INTERVIENEN EN </w:t>
      </w:r>
      <w:r>
        <w:rPr>
          <w:color w:val="231F20"/>
          <w:spacing w:val="3"/>
          <w:w w:val="105"/>
          <w:sz w:val="36"/>
        </w:rPr>
        <w:t>LA </w:t>
      </w:r>
      <w:r>
        <w:rPr>
          <w:color w:val="231F20"/>
          <w:w w:val="105"/>
          <w:sz w:val="36"/>
        </w:rPr>
        <w:t>ADOPCIÓN DE </w:t>
      </w:r>
      <w:r>
        <w:rPr>
          <w:color w:val="231F20"/>
          <w:spacing w:val="-3"/>
          <w:w w:val="105"/>
          <w:sz w:val="36"/>
        </w:rPr>
        <w:t>TECNOLOGÍAS </w:t>
      </w:r>
      <w:r>
        <w:rPr>
          <w:color w:val="231F20"/>
          <w:w w:val="105"/>
          <w:sz w:val="36"/>
        </w:rPr>
        <w:t>AGROPECUARIAS POR PRODUCTORES  DE LECHE EN PEQUEÑA ESCALA Y </w:t>
      </w:r>
      <w:r>
        <w:rPr>
          <w:color w:val="231F20"/>
          <w:spacing w:val="2"/>
          <w:w w:val="105"/>
          <w:sz w:val="36"/>
        </w:rPr>
        <w:t>SUS IMPLICACIONES </w:t>
      </w:r>
      <w:r>
        <w:rPr>
          <w:color w:val="231F20"/>
          <w:spacing w:val="-4"/>
          <w:w w:val="105"/>
          <w:sz w:val="36"/>
        </w:rPr>
        <w:t>PARA </w:t>
      </w:r>
      <w:r>
        <w:rPr>
          <w:color w:val="231F20"/>
          <w:w w:val="105"/>
          <w:sz w:val="36"/>
        </w:rPr>
        <w:t>EL DESARROLLO</w:t>
      </w:r>
      <w:r>
        <w:rPr>
          <w:color w:val="231F20"/>
          <w:spacing w:val="54"/>
          <w:w w:val="105"/>
          <w:sz w:val="36"/>
        </w:rPr>
        <w:t> </w:t>
      </w:r>
      <w:r>
        <w:rPr>
          <w:color w:val="231F20"/>
          <w:spacing w:val="4"/>
          <w:w w:val="105"/>
          <w:sz w:val="36"/>
        </w:rPr>
        <w:t>RURAL</w:t>
      </w:r>
    </w:p>
    <w:p>
      <w:pPr>
        <w:pStyle w:val="Heading4"/>
        <w:spacing w:line="240" w:lineRule="auto" w:before="240"/>
        <w:ind w:right="2503"/>
        <w:jc w:val="left"/>
        <w:rPr>
          <w:i/>
        </w:rPr>
      </w:pPr>
      <w:r>
        <w:rPr>
          <w:i/>
          <w:color w:val="231F20"/>
        </w:rPr>
        <w:t>Carlos Galdino Martínez-García</w:t>
      </w:r>
      <w:r>
        <w:rPr>
          <w:i/>
          <w:color w:val="231F20"/>
          <w:position w:val="9"/>
          <w:sz w:val="16"/>
        </w:rPr>
        <w:t>*   </w:t>
      </w:r>
      <w:r>
        <w:rPr>
          <w:i/>
          <w:color w:val="231F20"/>
        </w:rPr>
        <w:t>y Carlos Manuel    Arriaga-Jordán</w:t>
      </w:r>
    </w:p>
    <w:p>
      <w:pPr>
        <w:pStyle w:val="BodyText"/>
        <w:spacing w:line="254" w:lineRule="auto" w:before="107"/>
        <w:ind w:left="1553" w:right="2144"/>
      </w:pPr>
      <w:r>
        <w:rPr/>
        <w:pict>
          <v:line style="position:absolute;mso-position-horizontal-relative:page;mso-position-vertical-relative:paragraph;z-index:2368;mso-wrap-distance-left:0;mso-wrap-distance-right:0" from="77.692902pt,35.519978pt" to="517.062902pt,35.519978pt" stroked="true" strokeweight=".5pt" strokecolor="#231f20">
            <w10:wrap type="topAndBottom"/>
          </v:line>
        </w:pict>
      </w:r>
      <w:r>
        <w:rPr>
          <w:color w:val="231F20"/>
          <w:w w:val="105"/>
        </w:rPr>
        <w:t>Instituto</w:t>
      </w:r>
      <w:r>
        <w:rPr>
          <w:color w:val="231F20"/>
          <w:spacing w:val="-17"/>
          <w:w w:val="105"/>
        </w:rPr>
        <w:t> </w:t>
      </w:r>
      <w:r>
        <w:rPr>
          <w:color w:val="231F20"/>
          <w:w w:val="105"/>
        </w:rPr>
        <w:t>de</w:t>
      </w:r>
      <w:r>
        <w:rPr>
          <w:color w:val="231F20"/>
          <w:spacing w:val="-17"/>
          <w:w w:val="105"/>
        </w:rPr>
        <w:t> </w:t>
      </w:r>
      <w:r>
        <w:rPr>
          <w:color w:val="231F20"/>
          <w:w w:val="105"/>
        </w:rPr>
        <w:t>Ciencias</w:t>
      </w:r>
      <w:r>
        <w:rPr>
          <w:color w:val="231F20"/>
          <w:spacing w:val="-17"/>
          <w:w w:val="105"/>
        </w:rPr>
        <w:t> </w:t>
      </w:r>
      <w:r>
        <w:rPr>
          <w:color w:val="231F20"/>
          <w:w w:val="105"/>
        </w:rPr>
        <w:t>Agropecuarias</w:t>
      </w:r>
      <w:r>
        <w:rPr>
          <w:color w:val="231F20"/>
          <w:spacing w:val="-17"/>
          <w:w w:val="105"/>
        </w:rPr>
        <w:t> </w:t>
      </w:r>
      <w:r>
        <w:rPr>
          <w:color w:val="231F20"/>
          <w:w w:val="105"/>
        </w:rPr>
        <w:t>y</w:t>
      </w:r>
      <w:r>
        <w:rPr>
          <w:color w:val="231F20"/>
          <w:spacing w:val="-17"/>
          <w:w w:val="105"/>
        </w:rPr>
        <w:t> </w:t>
      </w:r>
      <w:r>
        <w:rPr>
          <w:color w:val="231F20"/>
          <w:w w:val="105"/>
        </w:rPr>
        <w:t>Rurales</w:t>
      </w:r>
      <w:r>
        <w:rPr>
          <w:color w:val="231F20"/>
          <w:spacing w:val="-17"/>
          <w:w w:val="105"/>
        </w:rPr>
        <w:t> </w:t>
      </w:r>
      <w:r>
        <w:rPr>
          <w:color w:val="231F20"/>
          <w:w w:val="105"/>
        </w:rPr>
        <w:t>(ICAR),</w:t>
      </w:r>
      <w:r>
        <w:rPr>
          <w:color w:val="231F20"/>
          <w:spacing w:val="-17"/>
          <w:w w:val="105"/>
        </w:rPr>
        <w:t> </w:t>
      </w:r>
      <w:r>
        <w:rPr>
          <w:color w:val="231F20"/>
          <w:w w:val="105"/>
        </w:rPr>
        <w:t>Universidad</w:t>
      </w:r>
      <w:r>
        <w:rPr>
          <w:color w:val="231F20"/>
          <w:spacing w:val="-17"/>
          <w:w w:val="105"/>
        </w:rPr>
        <w:t> </w:t>
      </w:r>
      <w:r>
        <w:rPr>
          <w:color w:val="231F20"/>
          <w:w w:val="105"/>
        </w:rPr>
        <w:t>Autónoma</w:t>
      </w:r>
      <w:r>
        <w:rPr>
          <w:color w:val="231F20"/>
          <w:spacing w:val="-17"/>
          <w:w w:val="105"/>
        </w:rPr>
        <w:t> </w:t>
      </w:r>
      <w:r>
        <w:rPr>
          <w:color w:val="231F20"/>
          <w:w w:val="105"/>
        </w:rPr>
        <w:t>del</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México. Instituto</w:t>
      </w:r>
      <w:r>
        <w:rPr>
          <w:color w:val="231F20"/>
          <w:spacing w:val="-12"/>
          <w:w w:val="105"/>
        </w:rPr>
        <w:t> </w:t>
      </w:r>
      <w:r>
        <w:rPr>
          <w:color w:val="231F20"/>
          <w:w w:val="105"/>
        </w:rPr>
        <w:t>Literario</w:t>
      </w:r>
      <w:r>
        <w:rPr>
          <w:color w:val="231F20"/>
          <w:spacing w:val="-12"/>
          <w:w w:val="105"/>
        </w:rPr>
        <w:t> </w:t>
      </w:r>
      <w:r>
        <w:rPr>
          <w:color w:val="231F20"/>
          <w:w w:val="105"/>
        </w:rPr>
        <w:t>#</w:t>
      </w:r>
      <w:r>
        <w:rPr>
          <w:color w:val="231F20"/>
          <w:spacing w:val="-12"/>
          <w:w w:val="105"/>
        </w:rPr>
        <w:t> </w:t>
      </w:r>
      <w:r>
        <w:rPr>
          <w:color w:val="231F20"/>
          <w:spacing w:val="-3"/>
          <w:w w:val="105"/>
        </w:rPr>
        <w:t>100,</w:t>
      </w:r>
      <w:r>
        <w:rPr>
          <w:color w:val="231F20"/>
          <w:spacing w:val="-12"/>
          <w:w w:val="105"/>
        </w:rPr>
        <w:t> </w:t>
      </w:r>
      <w:r>
        <w:rPr>
          <w:color w:val="231F20"/>
          <w:w w:val="105"/>
        </w:rPr>
        <w:t>Colonia</w:t>
      </w:r>
      <w:r>
        <w:rPr>
          <w:color w:val="231F20"/>
          <w:spacing w:val="-12"/>
          <w:w w:val="105"/>
        </w:rPr>
        <w:t> </w:t>
      </w:r>
      <w:r>
        <w:rPr>
          <w:color w:val="231F20"/>
          <w:w w:val="105"/>
        </w:rPr>
        <w:t>Centro,</w:t>
      </w:r>
      <w:r>
        <w:rPr>
          <w:color w:val="231F20"/>
          <w:spacing w:val="-12"/>
          <w:w w:val="105"/>
        </w:rPr>
        <w:t> </w:t>
      </w:r>
      <w:r>
        <w:rPr>
          <w:color w:val="231F20"/>
          <w:spacing w:val="-3"/>
          <w:w w:val="105"/>
        </w:rPr>
        <w:t>Toluca,</w:t>
      </w:r>
      <w:r>
        <w:rPr>
          <w:color w:val="231F20"/>
          <w:spacing w:val="-12"/>
          <w:w w:val="105"/>
        </w:rPr>
        <w:t> </w:t>
      </w:r>
      <w:r>
        <w:rPr>
          <w:color w:val="231F20"/>
          <w:w w:val="105"/>
        </w:rPr>
        <w:t>Estado</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rPr>
        <w:t>México,</w:t>
      </w:r>
      <w:r>
        <w:rPr>
          <w:color w:val="231F20"/>
          <w:spacing w:val="-12"/>
          <w:w w:val="105"/>
        </w:rPr>
        <w:t> </w:t>
      </w:r>
      <w:r>
        <w:rPr>
          <w:color w:val="231F20"/>
          <w:spacing w:val="-5"/>
          <w:w w:val="105"/>
        </w:rPr>
        <w:t>C.P.</w:t>
      </w:r>
      <w:r>
        <w:rPr>
          <w:color w:val="231F20"/>
          <w:spacing w:val="-12"/>
          <w:w w:val="105"/>
        </w:rPr>
        <w:t> </w:t>
      </w:r>
      <w:r>
        <w:rPr>
          <w:color w:val="231F20"/>
          <w:w w:val="105"/>
        </w:rPr>
        <w:t>50000.</w:t>
      </w:r>
    </w:p>
    <w:p>
      <w:pPr>
        <w:pStyle w:val="BodyText"/>
        <w:spacing w:before="2"/>
        <w:rPr>
          <w:sz w:val="19"/>
        </w:rPr>
      </w:pPr>
    </w:p>
    <w:p>
      <w:pPr>
        <w:pStyle w:val="BodyText"/>
        <w:ind w:left="1553" w:right="2503"/>
      </w:pPr>
      <w:r>
        <w:rPr>
          <w:color w:val="231F20"/>
          <w:w w:val="110"/>
        </w:rPr>
        <w:t>RESUMEN</w:t>
      </w:r>
    </w:p>
    <w:p>
      <w:pPr>
        <w:pStyle w:val="BodyText"/>
        <w:spacing w:line="254" w:lineRule="auto" w:before="129"/>
        <w:ind w:left="1553" w:right="1551"/>
        <w:jc w:val="both"/>
      </w:pPr>
      <w:r>
        <w:rPr>
          <w:color w:val="231F20"/>
          <w:spacing w:val="-4"/>
          <w:w w:val="105"/>
        </w:rPr>
        <w:t>Para</w:t>
      </w:r>
      <w:r>
        <w:rPr>
          <w:color w:val="231F20"/>
          <w:spacing w:val="-21"/>
          <w:w w:val="105"/>
        </w:rPr>
        <w:t> </w:t>
      </w:r>
      <w:r>
        <w:rPr>
          <w:color w:val="231F20"/>
          <w:spacing w:val="-4"/>
          <w:w w:val="105"/>
        </w:rPr>
        <w:t>identificar</w:t>
      </w:r>
      <w:r>
        <w:rPr>
          <w:color w:val="231F20"/>
          <w:spacing w:val="-21"/>
          <w:w w:val="105"/>
        </w:rPr>
        <w:t> </w:t>
      </w:r>
      <w:r>
        <w:rPr>
          <w:color w:val="231F20"/>
          <w:spacing w:val="-4"/>
          <w:w w:val="105"/>
        </w:rPr>
        <w:t>alternativas</w:t>
      </w:r>
      <w:r>
        <w:rPr>
          <w:color w:val="231F20"/>
          <w:spacing w:val="-21"/>
          <w:w w:val="105"/>
        </w:rPr>
        <w:t> </w:t>
      </w:r>
      <w:r>
        <w:rPr>
          <w:color w:val="231F20"/>
          <w:spacing w:val="-4"/>
          <w:w w:val="105"/>
        </w:rPr>
        <w:t>tecnológicas</w:t>
      </w:r>
      <w:r>
        <w:rPr>
          <w:color w:val="231F20"/>
          <w:spacing w:val="-21"/>
          <w:w w:val="105"/>
        </w:rPr>
        <w:t> </w:t>
      </w:r>
      <w:r>
        <w:rPr>
          <w:color w:val="231F20"/>
          <w:w w:val="105"/>
        </w:rPr>
        <w:t>en</w:t>
      </w:r>
      <w:r>
        <w:rPr>
          <w:color w:val="231F20"/>
          <w:spacing w:val="-21"/>
          <w:w w:val="105"/>
        </w:rPr>
        <w:t> </w:t>
      </w:r>
      <w:r>
        <w:rPr>
          <w:color w:val="231F20"/>
          <w:spacing w:val="-3"/>
          <w:w w:val="105"/>
        </w:rPr>
        <w:t>los</w:t>
      </w:r>
      <w:r>
        <w:rPr>
          <w:color w:val="231F20"/>
          <w:spacing w:val="-21"/>
          <w:w w:val="105"/>
        </w:rPr>
        <w:t> </w:t>
      </w:r>
      <w:r>
        <w:rPr>
          <w:color w:val="231F20"/>
          <w:spacing w:val="-4"/>
          <w:w w:val="105"/>
        </w:rPr>
        <w:t>sistemas</w:t>
      </w:r>
      <w:r>
        <w:rPr>
          <w:color w:val="231F20"/>
          <w:spacing w:val="-21"/>
          <w:w w:val="105"/>
        </w:rPr>
        <w:t> </w:t>
      </w:r>
      <w:r>
        <w:rPr>
          <w:color w:val="231F20"/>
          <w:w w:val="105"/>
        </w:rPr>
        <w:t>de</w:t>
      </w:r>
      <w:r>
        <w:rPr>
          <w:color w:val="231F20"/>
          <w:spacing w:val="-21"/>
          <w:w w:val="105"/>
        </w:rPr>
        <w:t> </w:t>
      </w:r>
      <w:r>
        <w:rPr>
          <w:color w:val="231F20"/>
          <w:spacing w:val="-4"/>
          <w:w w:val="105"/>
        </w:rPr>
        <w:t>producción</w:t>
      </w:r>
      <w:r>
        <w:rPr>
          <w:color w:val="231F20"/>
          <w:spacing w:val="-21"/>
          <w:w w:val="105"/>
        </w:rPr>
        <w:t> </w:t>
      </w:r>
      <w:r>
        <w:rPr>
          <w:color w:val="231F20"/>
          <w:w w:val="105"/>
        </w:rPr>
        <w:t>de</w:t>
      </w:r>
      <w:r>
        <w:rPr>
          <w:color w:val="231F20"/>
          <w:spacing w:val="-21"/>
          <w:w w:val="105"/>
        </w:rPr>
        <w:t> </w:t>
      </w:r>
      <w:r>
        <w:rPr>
          <w:color w:val="231F20"/>
          <w:spacing w:val="-4"/>
          <w:w w:val="105"/>
        </w:rPr>
        <w:t>leche</w:t>
      </w:r>
      <w:r>
        <w:rPr>
          <w:color w:val="231F20"/>
          <w:spacing w:val="-21"/>
          <w:w w:val="105"/>
        </w:rPr>
        <w:t> </w:t>
      </w:r>
      <w:r>
        <w:rPr>
          <w:color w:val="231F20"/>
          <w:w w:val="105"/>
        </w:rPr>
        <w:t>en</w:t>
      </w:r>
      <w:r>
        <w:rPr>
          <w:color w:val="231F20"/>
          <w:spacing w:val="-21"/>
          <w:w w:val="105"/>
        </w:rPr>
        <w:t> </w:t>
      </w:r>
      <w:r>
        <w:rPr>
          <w:color w:val="231F20"/>
          <w:spacing w:val="-4"/>
          <w:w w:val="105"/>
        </w:rPr>
        <w:t>pequeña</w:t>
      </w:r>
      <w:r>
        <w:rPr>
          <w:color w:val="231F20"/>
          <w:spacing w:val="-21"/>
          <w:w w:val="105"/>
        </w:rPr>
        <w:t> </w:t>
      </w:r>
      <w:r>
        <w:rPr>
          <w:color w:val="231F20"/>
          <w:spacing w:val="-4"/>
          <w:w w:val="105"/>
        </w:rPr>
        <w:t>escala</w:t>
      </w:r>
      <w:r>
        <w:rPr>
          <w:color w:val="231F20"/>
          <w:spacing w:val="-21"/>
          <w:w w:val="105"/>
        </w:rPr>
        <w:t> </w:t>
      </w:r>
      <w:r>
        <w:rPr>
          <w:color w:val="231F20"/>
          <w:w w:val="105"/>
        </w:rPr>
        <w:t>y</w:t>
      </w:r>
      <w:r>
        <w:rPr>
          <w:color w:val="231F20"/>
          <w:spacing w:val="-21"/>
          <w:w w:val="105"/>
        </w:rPr>
        <w:t> </w:t>
      </w:r>
      <w:r>
        <w:rPr>
          <w:color w:val="231F20"/>
          <w:w w:val="105"/>
        </w:rPr>
        <w:t>su</w:t>
      </w:r>
      <w:r>
        <w:rPr>
          <w:color w:val="231F20"/>
          <w:spacing w:val="-21"/>
          <w:w w:val="105"/>
        </w:rPr>
        <w:t> </w:t>
      </w:r>
      <w:r>
        <w:rPr>
          <w:color w:val="231F20"/>
          <w:spacing w:val="-4"/>
          <w:w w:val="105"/>
        </w:rPr>
        <w:t>contri- bución</w:t>
      </w:r>
      <w:r>
        <w:rPr>
          <w:color w:val="231F20"/>
          <w:spacing w:val="-17"/>
          <w:w w:val="105"/>
        </w:rPr>
        <w:t> </w:t>
      </w:r>
      <w:r>
        <w:rPr>
          <w:color w:val="231F20"/>
          <w:w w:val="105"/>
        </w:rPr>
        <w:t>al</w:t>
      </w:r>
      <w:r>
        <w:rPr>
          <w:color w:val="231F20"/>
          <w:spacing w:val="-17"/>
          <w:w w:val="105"/>
        </w:rPr>
        <w:t> </w:t>
      </w:r>
      <w:r>
        <w:rPr>
          <w:color w:val="231F20"/>
          <w:spacing w:val="-4"/>
          <w:w w:val="105"/>
        </w:rPr>
        <w:t>desarrollo</w:t>
      </w:r>
      <w:r>
        <w:rPr>
          <w:color w:val="231F20"/>
          <w:spacing w:val="-17"/>
          <w:w w:val="105"/>
        </w:rPr>
        <w:t> </w:t>
      </w:r>
      <w:r>
        <w:rPr>
          <w:color w:val="231F20"/>
          <w:spacing w:val="-4"/>
          <w:w w:val="105"/>
        </w:rPr>
        <w:t>rural</w:t>
      </w:r>
      <w:r>
        <w:rPr>
          <w:color w:val="231F20"/>
          <w:spacing w:val="-17"/>
          <w:w w:val="105"/>
        </w:rPr>
        <w:t> </w:t>
      </w:r>
      <w:r>
        <w:rPr>
          <w:color w:val="231F20"/>
          <w:w w:val="105"/>
        </w:rPr>
        <w:t>se</w:t>
      </w:r>
      <w:r>
        <w:rPr>
          <w:color w:val="231F20"/>
          <w:spacing w:val="-17"/>
          <w:w w:val="105"/>
        </w:rPr>
        <w:t> </w:t>
      </w:r>
      <w:r>
        <w:rPr>
          <w:color w:val="231F20"/>
          <w:spacing w:val="-4"/>
          <w:w w:val="105"/>
        </w:rPr>
        <w:t>caracterizaron</w:t>
      </w:r>
      <w:r>
        <w:rPr>
          <w:color w:val="231F20"/>
          <w:spacing w:val="-17"/>
          <w:w w:val="105"/>
        </w:rPr>
        <w:t> </w:t>
      </w:r>
      <w:r>
        <w:rPr>
          <w:color w:val="231F20"/>
          <w:spacing w:val="-9"/>
          <w:w w:val="105"/>
        </w:rPr>
        <w:t>115</w:t>
      </w:r>
      <w:r>
        <w:rPr>
          <w:color w:val="231F20"/>
          <w:spacing w:val="-17"/>
          <w:w w:val="105"/>
        </w:rPr>
        <w:t> </w:t>
      </w:r>
      <w:r>
        <w:rPr>
          <w:color w:val="231F20"/>
          <w:spacing w:val="-4"/>
          <w:w w:val="105"/>
        </w:rPr>
        <w:t>unidades</w:t>
      </w:r>
      <w:r>
        <w:rPr>
          <w:color w:val="231F20"/>
          <w:spacing w:val="-17"/>
          <w:w w:val="105"/>
        </w:rPr>
        <w:t> </w:t>
      </w:r>
      <w:r>
        <w:rPr>
          <w:color w:val="231F20"/>
          <w:w w:val="105"/>
        </w:rPr>
        <w:t>de</w:t>
      </w:r>
      <w:r>
        <w:rPr>
          <w:color w:val="231F20"/>
          <w:spacing w:val="-17"/>
          <w:w w:val="105"/>
        </w:rPr>
        <w:t> </w:t>
      </w:r>
      <w:r>
        <w:rPr>
          <w:color w:val="231F20"/>
          <w:spacing w:val="-4"/>
          <w:w w:val="105"/>
        </w:rPr>
        <w:t>producción</w:t>
      </w:r>
      <w:r>
        <w:rPr>
          <w:color w:val="231F20"/>
          <w:spacing w:val="-17"/>
          <w:w w:val="105"/>
        </w:rPr>
        <w:t> </w:t>
      </w:r>
      <w:r>
        <w:rPr>
          <w:color w:val="231F20"/>
          <w:spacing w:val="-3"/>
          <w:w w:val="105"/>
        </w:rPr>
        <w:t>del</w:t>
      </w:r>
      <w:r>
        <w:rPr>
          <w:color w:val="231F20"/>
          <w:spacing w:val="-17"/>
          <w:w w:val="105"/>
        </w:rPr>
        <w:t> </w:t>
      </w:r>
      <w:r>
        <w:rPr>
          <w:color w:val="231F20"/>
          <w:spacing w:val="-4"/>
          <w:w w:val="105"/>
        </w:rPr>
        <w:t>Estado</w:t>
      </w:r>
      <w:r>
        <w:rPr>
          <w:color w:val="231F20"/>
          <w:spacing w:val="-17"/>
          <w:w w:val="105"/>
        </w:rPr>
        <w:t> </w:t>
      </w:r>
      <w:r>
        <w:rPr>
          <w:color w:val="231F20"/>
          <w:w w:val="105"/>
        </w:rPr>
        <w:t>de</w:t>
      </w:r>
      <w:r>
        <w:rPr>
          <w:color w:val="231F20"/>
          <w:spacing w:val="-17"/>
          <w:w w:val="105"/>
        </w:rPr>
        <w:t> </w:t>
      </w:r>
      <w:r>
        <w:rPr>
          <w:color w:val="231F20"/>
          <w:spacing w:val="-4"/>
          <w:w w:val="105"/>
        </w:rPr>
        <w:t>México,</w:t>
      </w:r>
      <w:r>
        <w:rPr>
          <w:color w:val="231F20"/>
          <w:spacing w:val="-17"/>
          <w:w w:val="105"/>
        </w:rPr>
        <w:t> </w:t>
      </w:r>
      <w:r>
        <w:rPr>
          <w:color w:val="231F20"/>
          <w:w w:val="105"/>
        </w:rPr>
        <w:t>de</w:t>
      </w:r>
      <w:r>
        <w:rPr>
          <w:color w:val="231F20"/>
          <w:spacing w:val="-17"/>
          <w:w w:val="105"/>
        </w:rPr>
        <w:t> </w:t>
      </w:r>
      <w:r>
        <w:rPr>
          <w:color w:val="231F20"/>
          <w:spacing w:val="-4"/>
          <w:w w:val="105"/>
        </w:rPr>
        <w:t>acuerdo</w:t>
      </w:r>
      <w:r>
        <w:rPr>
          <w:color w:val="231F20"/>
          <w:spacing w:val="-17"/>
          <w:w w:val="105"/>
        </w:rPr>
        <w:t> </w:t>
      </w:r>
      <w:r>
        <w:rPr>
          <w:color w:val="231F20"/>
          <w:spacing w:val="-4"/>
          <w:w w:val="105"/>
        </w:rPr>
        <w:t>con </w:t>
      </w:r>
      <w:r>
        <w:rPr>
          <w:color w:val="231F20"/>
          <w:spacing w:val="-3"/>
          <w:w w:val="105"/>
        </w:rPr>
        <w:t>sus</w:t>
      </w:r>
      <w:r>
        <w:rPr>
          <w:color w:val="231F20"/>
          <w:spacing w:val="-10"/>
          <w:w w:val="105"/>
        </w:rPr>
        <w:t> </w:t>
      </w:r>
      <w:r>
        <w:rPr>
          <w:color w:val="231F20"/>
          <w:spacing w:val="-4"/>
          <w:w w:val="105"/>
        </w:rPr>
        <w:t>características</w:t>
      </w:r>
      <w:r>
        <w:rPr>
          <w:color w:val="231F20"/>
          <w:spacing w:val="-10"/>
          <w:w w:val="105"/>
        </w:rPr>
        <w:t> </w:t>
      </w:r>
      <w:r>
        <w:rPr>
          <w:color w:val="231F20"/>
          <w:spacing w:val="-4"/>
          <w:w w:val="105"/>
        </w:rPr>
        <w:t>socioeconómicas</w:t>
      </w:r>
      <w:r>
        <w:rPr>
          <w:color w:val="231F20"/>
          <w:spacing w:val="-10"/>
          <w:w w:val="105"/>
        </w:rPr>
        <w:t> </w:t>
      </w:r>
      <w:r>
        <w:rPr>
          <w:color w:val="231F20"/>
          <w:w w:val="105"/>
        </w:rPr>
        <w:t>y</w:t>
      </w:r>
      <w:r>
        <w:rPr>
          <w:color w:val="231F20"/>
          <w:spacing w:val="-10"/>
          <w:w w:val="105"/>
        </w:rPr>
        <w:t> </w:t>
      </w:r>
      <w:r>
        <w:rPr>
          <w:color w:val="231F20"/>
          <w:spacing w:val="-3"/>
          <w:w w:val="105"/>
        </w:rPr>
        <w:t>del</w:t>
      </w:r>
      <w:r>
        <w:rPr>
          <w:color w:val="231F20"/>
          <w:spacing w:val="-10"/>
          <w:w w:val="105"/>
        </w:rPr>
        <w:t> </w:t>
      </w:r>
      <w:r>
        <w:rPr>
          <w:color w:val="231F20"/>
          <w:spacing w:val="-4"/>
          <w:w w:val="105"/>
        </w:rPr>
        <w:t>sistema.</w:t>
      </w:r>
      <w:r>
        <w:rPr>
          <w:color w:val="231F20"/>
          <w:spacing w:val="-10"/>
          <w:w w:val="105"/>
        </w:rPr>
        <w:t> </w:t>
      </w:r>
      <w:r>
        <w:rPr>
          <w:color w:val="231F20"/>
          <w:w w:val="105"/>
        </w:rPr>
        <w:t>El</w:t>
      </w:r>
      <w:r>
        <w:rPr>
          <w:color w:val="231F20"/>
          <w:spacing w:val="-10"/>
          <w:w w:val="105"/>
        </w:rPr>
        <w:t> </w:t>
      </w:r>
      <w:r>
        <w:rPr>
          <w:color w:val="231F20"/>
          <w:spacing w:val="-4"/>
          <w:w w:val="105"/>
        </w:rPr>
        <w:t>propósito</w:t>
      </w:r>
      <w:r>
        <w:rPr>
          <w:color w:val="231F20"/>
          <w:spacing w:val="-10"/>
          <w:w w:val="105"/>
        </w:rPr>
        <w:t> </w:t>
      </w:r>
      <w:r>
        <w:rPr>
          <w:color w:val="231F20"/>
          <w:spacing w:val="-3"/>
          <w:w w:val="105"/>
        </w:rPr>
        <w:t>del</w:t>
      </w:r>
      <w:r>
        <w:rPr>
          <w:color w:val="231F20"/>
          <w:spacing w:val="-10"/>
          <w:w w:val="105"/>
        </w:rPr>
        <w:t> </w:t>
      </w:r>
      <w:r>
        <w:rPr>
          <w:color w:val="231F20"/>
          <w:spacing w:val="-4"/>
          <w:w w:val="105"/>
        </w:rPr>
        <w:t>estudio</w:t>
      </w:r>
      <w:r>
        <w:rPr>
          <w:color w:val="231F20"/>
          <w:spacing w:val="-10"/>
          <w:w w:val="105"/>
        </w:rPr>
        <w:t> </w:t>
      </w:r>
      <w:r>
        <w:rPr>
          <w:color w:val="231F20"/>
          <w:spacing w:val="-3"/>
          <w:w w:val="105"/>
        </w:rPr>
        <w:t>fue</w:t>
      </w:r>
      <w:r>
        <w:rPr>
          <w:color w:val="231F20"/>
          <w:spacing w:val="-10"/>
          <w:w w:val="105"/>
        </w:rPr>
        <w:t> </w:t>
      </w:r>
      <w:r>
        <w:rPr>
          <w:color w:val="231F20"/>
          <w:spacing w:val="-4"/>
          <w:w w:val="105"/>
        </w:rPr>
        <w:t>entender</w:t>
      </w:r>
      <w:r>
        <w:rPr>
          <w:color w:val="231F20"/>
          <w:spacing w:val="-10"/>
          <w:w w:val="105"/>
        </w:rPr>
        <w:t> </w:t>
      </w:r>
      <w:r>
        <w:rPr>
          <w:color w:val="231F20"/>
          <w:w w:val="105"/>
        </w:rPr>
        <w:t>e</w:t>
      </w:r>
      <w:r>
        <w:rPr>
          <w:color w:val="231F20"/>
          <w:spacing w:val="-10"/>
          <w:w w:val="105"/>
        </w:rPr>
        <w:t> </w:t>
      </w:r>
      <w:r>
        <w:rPr>
          <w:color w:val="231F20"/>
          <w:spacing w:val="-4"/>
          <w:w w:val="105"/>
        </w:rPr>
        <w:t>identificar</w:t>
      </w:r>
      <w:r>
        <w:rPr>
          <w:color w:val="231F20"/>
          <w:spacing w:val="-10"/>
          <w:w w:val="105"/>
        </w:rPr>
        <w:t> </w:t>
      </w:r>
      <w:r>
        <w:rPr>
          <w:color w:val="231F20"/>
          <w:spacing w:val="-4"/>
          <w:w w:val="105"/>
        </w:rPr>
        <w:t>factores asociados </w:t>
      </w:r>
      <w:r>
        <w:rPr>
          <w:color w:val="231F20"/>
          <w:spacing w:val="-3"/>
          <w:w w:val="105"/>
        </w:rPr>
        <w:t>con </w:t>
      </w:r>
      <w:r>
        <w:rPr>
          <w:color w:val="231F20"/>
          <w:w w:val="105"/>
        </w:rPr>
        <w:t>la </w:t>
      </w:r>
      <w:r>
        <w:rPr>
          <w:color w:val="231F20"/>
          <w:spacing w:val="-4"/>
          <w:w w:val="105"/>
        </w:rPr>
        <w:t>adopción </w:t>
      </w:r>
      <w:r>
        <w:rPr>
          <w:color w:val="231F20"/>
          <w:w w:val="105"/>
        </w:rPr>
        <w:t>o el </w:t>
      </w:r>
      <w:r>
        <w:rPr>
          <w:color w:val="231F20"/>
          <w:spacing w:val="-4"/>
          <w:w w:val="105"/>
        </w:rPr>
        <w:t>rechazo </w:t>
      </w:r>
      <w:r>
        <w:rPr>
          <w:color w:val="231F20"/>
          <w:w w:val="105"/>
        </w:rPr>
        <w:t>de </w:t>
      </w:r>
      <w:r>
        <w:rPr>
          <w:color w:val="231F20"/>
          <w:spacing w:val="-7"/>
          <w:w w:val="105"/>
        </w:rPr>
        <w:t>11 </w:t>
      </w:r>
      <w:r>
        <w:rPr>
          <w:color w:val="231F20"/>
          <w:spacing w:val="-4"/>
          <w:w w:val="105"/>
        </w:rPr>
        <w:t>tecnologías agropecuarias </w:t>
      </w:r>
      <w:r>
        <w:rPr>
          <w:color w:val="231F20"/>
          <w:spacing w:val="-3"/>
          <w:w w:val="105"/>
        </w:rPr>
        <w:t>por grupos </w:t>
      </w:r>
      <w:r>
        <w:rPr>
          <w:color w:val="231F20"/>
          <w:w w:val="105"/>
        </w:rPr>
        <w:t>de </w:t>
      </w:r>
      <w:r>
        <w:rPr>
          <w:color w:val="231F20"/>
          <w:spacing w:val="-4"/>
          <w:w w:val="105"/>
        </w:rPr>
        <w:t>productores. Para el análisis </w:t>
      </w:r>
      <w:r>
        <w:rPr>
          <w:color w:val="231F20"/>
          <w:w w:val="105"/>
        </w:rPr>
        <w:t>de </w:t>
      </w:r>
      <w:r>
        <w:rPr>
          <w:color w:val="231F20"/>
          <w:spacing w:val="-4"/>
          <w:w w:val="105"/>
        </w:rPr>
        <w:t>datos </w:t>
      </w:r>
      <w:r>
        <w:rPr>
          <w:color w:val="231F20"/>
          <w:w w:val="105"/>
        </w:rPr>
        <w:t>se </w:t>
      </w:r>
      <w:r>
        <w:rPr>
          <w:color w:val="231F20"/>
          <w:spacing w:val="-4"/>
          <w:w w:val="105"/>
        </w:rPr>
        <w:t>utilizó </w:t>
      </w:r>
      <w:r>
        <w:rPr>
          <w:color w:val="231F20"/>
          <w:w w:val="105"/>
        </w:rPr>
        <w:t>un </w:t>
      </w:r>
      <w:r>
        <w:rPr>
          <w:color w:val="231F20"/>
          <w:spacing w:val="-4"/>
          <w:w w:val="105"/>
        </w:rPr>
        <w:t>enfoque multivariado (análisis factorial </w:t>
      </w:r>
      <w:r>
        <w:rPr>
          <w:color w:val="231F20"/>
          <w:w w:val="105"/>
        </w:rPr>
        <w:t>y </w:t>
      </w:r>
      <w:r>
        <w:rPr>
          <w:color w:val="231F20"/>
          <w:spacing w:val="-4"/>
          <w:w w:val="105"/>
        </w:rPr>
        <w:t>conglomerados). </w:t>
      </w:r>
      <w:r>
        <w:rPr>
          <w:color w:val="231F20"/>
          <w:w w:val="105"/>
        </w:rPr>
        <w:t>La </w:t>
      </w:r>
      <w:r>
        <w:rPr>
          <w:color w:val="231F20"/>
          <w:spacing w:val="-4"/>
          <w:w w:val="105"/>
        </w:rPr>
        <w:t>importancia de </w:t>
      </w:r>
      <w:r>
        <w:rPr>
          <w:color w:val="231F20"/>
          <w:spacing w:val="-3"/>
          <w:w w:val="105"/>
        </w:rPr>
        <w:t>cada una </w:t>
      </w:r>
      <w:r>
        <w:rPr>
          <w:color w:val="231F20"/>
          <w:w w:val="105"/>
        </w:rPr>
        <w:t>de </w:t>
      </w:r>
      <w:r>
        <w:rPr>
          <w:color w:val="231F20"/>
          <w:spacing w:val="-3"/>
          <w:w w:val="105"/>
        </w:rPr>
        <w:t>las </w:t>
      </w:r>
      <w:r>
        <w:rPr>
          <w:color w:val="231F20"/>
          <w:spacing w:val="-4"/>
          <w:w w:val="105"/>
        </w:rPr>
        <w:t>tecnologías </w:t>
      </w:r>
      <w:r>
        <w:rPr>
          <w:color w:val="231F20"/>
          <w:w w:val="105"/>
        </w:rPr>
        <w:t>se </w:t>
      </w:r>
      <w:r>
        <w:rPr>
          <w:color w:val="231F20"/>
          <w:spacing w:val="-4"/>
          <w:w w:val="105"/>
        </w:rPr>
        <w:t>midió </w:t>
      </w:r>
      <w:r>
        <w:rPr>
          <w:color w:val="231F20"/>
          <w:spacing w:val="-3"/>
          <w:w w:val="105"/>
        </w:rPr>
        <w:t>con una </w:t>
      </w:r>
      <w:r>
        <w:rPr>
          <w:color w:val="231F20"/>
          <w:spacing w:val="-4"/>
          <w:w w:val="105"/>
        </w:rPr>
        <w:t>escala </w:t>
      </w:r>
      <w:r>
        <w:rPr>
          <w:color w:val="231F20"/>
          <w:w w:val="105"/>
        </w:rPr>
        <w:t>de </w:t>
      </w:r>
      <w:r>
        <w:rPr>
          <w:color w:val="231F20"/>
          <w:spacing w:val="-3"/>
          <w:w w:val="105"/>
        </w:rPr>
        <w:t>tipo Likert, </w:t>
      </w:r>
      <w:r>
        <w:rPr>
          <w:color w:val="231F20"/>
          <w:w w:val="105"/>
        </w:rPr>
        <w:t>en la </w:t>
      </w:r>
      <w:r>
        <w:rPr>
          <w:color w:val="231F20"/>
          <w:spacing w:val="-3"/>
          <w:w w:val="105"/>
        </w:rPr>
        <w:t>cual </w:t>
      </w:r>
      <w:r>
        <w:rPr>
          <w:color w:val="231F20"/>
          <w:w w:val="105"/>
        </w:rPr>
        <w:t>1 = </w:t>
      </w:r>
      <w:r>
        <w:rPr>
          <w:color w:val="231F20"/>
          <w:spacing w:val="-3"/>
          <w:w w:val="105"/>
        </w:rPr>
        <w:t>nada </w:t>
      </w:r>
      <w:r>
        <w:rPr>
          <w:color w:val="231F20"/>
          <w:spacing w:val="-4"/>
          <w:w w:val="105"/>
        </w:rPr>
        <w:t>importante, </w:t>
      </w:r>
      <w:r>
        <w:rPr>
          <w:color w:val="231F20"/>
          <w:w w:val="105"/>
        </w:rPr>
        <w:t>2 =</w:t>
      </w:r>
      <w:r>
        <w:rPr>
          <w:color w:val="231F20"/>
          <w:spacing w:val="-24"/>
          <w:w w:val="105"/>
        </w:rPr>
        <w:t> </w:t>
      </w:r>
      <w:r>
        <w:rPr>
          <w:color w:val="231F20"/>
          <w:spacing w:val="-4"/>
          <w:w w:val="105"/>
        </w:rPr>
        <w:t>poco importante,</w:t>
      </w:r>
      <w:r>
        <w:rPr>
          <w:color w:val="231F20"/>
          <w:spacing w:val="-14"/>
          <w:w w:val="105"/>
        </w:rPr>
        <w:t> </w:t>
      </w:r>
      <w:r>
        <w:rPr>
          <w:color w:val="231F20"/>
          <w:w w:val="105"/>
        </w:rPr>
        <w:t>3</w:t>
      </w:r>
      <w:r>
        <w:rPr>
          <w:color w:val="231F20"/>
          <w:spacing w:val="-14"/>
          <w:w w:val="105"/>
        </w:rPr>
        <w:t> </w:t>
      </w:r>
      <w:r>
        <w:rPr>
          <w:color w:val="231F20"/>
          <w:w w:val="105"/>
        </w:rPr>
        <w:t>=</w:t>
      </w:r>
      <w:r>
        <w:rPr>
          <w:color w:val="231F20"/>
          <w:spacing w:val="-14"/>
          <w:w w:val="105"/>
        </w:rPr>
        <w:t> </w:t>
      </w:r>
      <w:r>
        <w:rPr>
          <w:color w:val="231F20"/>
          <w:spacing w:val="-4"/>
          <w:w w:val="105"/>
        </w:rPr>
        <w:t>importante,</w:t>
      </w:r>
      <w:r>
        <w:rPr>
          <w:color w:val="231F20"/>
          <w:spacing w:val="-14"/>
          <w:w w:val="105"/>
        </w:rPr>
        <w:t> </w:t>
      </w:r>
      <w:r>
        <w:rPr>
          <w:color w:val="231F20"/>
          <w:w w:val="105"/>
        </w:rPr>
        <w:t>4</w:t>
      </w:r>
      <w:r>
        <w:rPr>
          <w:color w:val="231F20"/>
          <w:spacing w:val="-14"/>
          <w:w w:val="105"/>
        </w:rPr>
        <w:t> </w:t>
      </w:r>
      <w:r>
        <w:rPr>
          <w:color w:val="231F20"/>
          <w:w w:val="105"/>
        </w:rPr>
        <w:t>=</w:t>
      </w:r>
      <w:r>
        <w:rPr>
          <w:color w:val="231F20"/>
          <w:spacing w:val="-14"/>
          <w:w w:val="105"/>
        </w:rPr>
        <w:t> </w:t>
      </w:r>
      <w:r>
        <w:rPr>
          <w:color w:val="231F20"/>
          <w:spacing w:val="-4"/>
          <w:w w:val="105"/>
        </w:rPr>
        <w:t>bastante</w:t>
      </w:r>
      <w:r>
        <w:rPr>
          <w:color w:val="231F20"/>
          <w:spacing w:val="-14"/>
          <w:w w:val="105"/>
        </w:rPr>
        <w:t> </w:t>
      </w:r>
      <w:r>
        <w:rPr>
          <w:color w:val="231F20"/>
          <w:spacing w:val="-4"/>
          <w:w w:val="105"/>
        </w:rPr>
        <w:t>importante</w:t>
      </w:r>
      <w:r>
        <w:rPr>
          <w:color w:val="231F20"/>
          <w:spacing w:val="-14"/>
          <w:w w:val="105"/>
        </w:rPr>
        <w:t> </w:t>
      </w:r>
      <w:r>
        <w:rPr>
          <w:color w:val="231F20"/>
          <w:w w:val="105"/>
        </w:rPr>
        <w:t>y</w:t>
      </w:r>
      <w:r>
        <w:rPr>
          <w:color w:val="231F20"/>
          <w:spacing w:val="-14"/>
          <w:w w:val="105"/>
        </w:rPr>
        <w:t> </w:t>
      </w:r>
      <w:r>
        <w:rPr>
          <w:color w:val="231F20"/>
          <w:w w:val="105"/>
        </w:rPr>
        <w:t>5</w:t>
      </w:r>
      <w:r>
        <w:rPr>
          <w:color w:val="231F20"/>
          <w:spacing w:val="-14"/>
          <w:w w:val="105"/>
        </w:rPr>
        <w:t> </w:t>
      </w:r>
      <w:r>
        <w:rPr>
          <w:color w:val="231F20"/>
          <w:w w:val="105"/>
        </w:rPr>
        <w:t>=</w:t>
      </w:r>
      <w:r>
        <w:rPr>
          <w:color w:val="231F20"/>
          <w:spacing w:val="-14"/>
          <w:w w:val="105"/>
        </w:rPr>
        <w:t> </w:t>
      </w:r>
      <w:r>
        <w:rPr>
          <w:color w:val="231F20"/>
          <w:spacing w:val="-3"/>
          <w:w w:val="105"/>
        </w:rPr>
        <w:t>muy</w:t>
      </w:r>
      <w:r>
        <w:rPr>
          <w:color w:val="231F20"/>
          <w:spacing w:val="-14"/>
          <w:w w:val="105"/>
        </w:rPr>
        <w:t> </w:t>
      </w:r>
      <w:r>
        <w:rPr>
          <w:color w:val="231F20"/>
          <w:spacing w:val="-4"/>
          <w:w w:val="105"/>
        </w:rPr>
        <w:t>importante.</w:t>
      </w:r>
      <w:r>
        <w:rPr>
          <w:color w:val="231F20"/>
          <w:spacing w:val="-14"/>
          <w:w w:val="105"/>
        </w:rPr>
        <w:t> </w:t>
      </w:r>
      <w:r>
        <w:rPr>
          <w:color w:val="231F20"/>
          <w:w w:val="105"/>
        </w:rPr>
        <w:t>Se</w:t>
      </w:r>
      <w:r>
        <w:rPr>
          <w:color w:val="231F20"/>
          <w:spacing w:val="-14"/>
          <w:w w:val="105"/>
        </w:rPr>
        <w:t> </w:t>
      </w:r>
      <w:r>
        <w:rPr>
          <w:color w:val="231F20"/>
          <w:spacing w:val="-4"/>
          <w:w w:val="105"/>
        </w:rPr>
        <w:t>identificaron</w:t>
      </w:r>
      <w:r>
        <w:rPr>
          <w:color w:val="231F20"/>
          <w:spacing w:val="-14"/>
          <w:w w:val="105"/>
        </w:rPr>
        <w:t> </w:t>
      </w:r>
      <w:r>
        <w:rPr>
          <w:color w:val="231F20"/>
          <w:spacing w:val="-4"/>
          <w:w w:val="105"/>
        </w:rPr>
        <w:t>cuatro</w:t>
      </w:r>
      <w:r>
        <w:rPr>
          <w:color w:val="231F20"/>
          <w:spacing w:val="-14"/>
          <w:w w:val="105"/>
        </w:rPr>
        <w:t> </w:t>
      </w:r>
      <w:r>
        <w:rPr>
          <w:color w:val="231F20"/>
          <w:spacing w:val="-3"/>
          <w:w w:val="105"/>
        </w:rPr>
        <w:t>grupos</w:t>
      </w:r>
      <w:r>
        <w:rPr>
          <w:color w:val="231F20"/>
          <w:spacing w:val="-14"/>
          <w:w w:val="105"/>
        </w:rPr>
        <w:t> </w:t>
      </w:r>
      <w:r>
        <w:rPr>
          <w:color w:val="231F20"/>
          <w:spacing w:val="-4"/>
          <w:w w:val="105"/>
        </w:rPr>
        <w:t>de productores</w:t>
      </w:r>
      <w:r>
        <w:rPr>
          <w:color w:val="231F20"/>
          <w:spacing w:val="-20"/>
          <w:w w:val="105"/>
        </w:rPr>
        <w:t> </w:t>
      </w:r>
      <w:r>
        <w:rPr>
          <w:color w:val="231F20"/>
          <w:spacing w:val="-3"/>
          <w:w w:val="105"/>
        </w:rPr>
        <w:t>que</w:t>
      </w:r>
      <w:r>
        <w:rPr>
          <w:color w:val="231F20"/>
          <w:spacing w:val="-20"/>
          <w:w w:val="105"/>
        </w:rPr>
        <w:t> </w:t>
      </w:r>
      <w:r>
        <w:rPr>
          <w:color w:val="231F20"/>
          <w:spacing w:val="-4"/>
          <w:w w:val="105"/>
        </w:rPr>
        <w:t>mostraron</w:t>
      </w:r>
      <w:r>
        <w:rPr>
          <w:color w:val="231F20"/>
          <w:spacing w:val="-20"/>
          <w:w w:val="105"/>
        </w:rPr>
        <w:t> </w:t>
      </w:r>
      <w:r>
        <w:rPr>
          <w:color w:val="231F20"/>
          <w:spacing w:val="-3"/>
          <w:w w:val="105"/>
        </w:rPr>
        <w:t>grados</w:t>
      </w:r>
      <w:r>
        <w:rPr>
          <w:color w:val="231F20"/>
          <w:spacing w:val="-20"/>
          <w:w w:val="105"/>
        </w:rPr>
        <w:t> </w:t>
      </w:r>
      <w:r>
        <w:rPr>
          <w:color w:val="231F20"/>
          <w:w w:val="105"/>
        </w:rPr>
        <w:t>de</w:t>
      </w:r>
      <w:r>
        <w:rPr>
          <w:color w:val="231F20"/>
          <w:spacing w:val="-20"/>
          <w:w w:val="105"/>
        </w:rPr>
        <w:t> </w:t>
      </w:r>
      <w:r>
        <w:rPr>
          <w:color w:val="231F20"/>
          <w:spacing w:val="-4"/>
          <w:w w:val="105"/>
        </w:rPr>
        <w:t>adopción</w:t>
      </w:r>
      <w:r>
        <w:rPr>
          <w:color w:val="231F20"/>
          <w:spacing w:val="-20"/>
          <w:w w:val="105"/>
        </w:rPr>
        <w:t> </w:t>
      </w:r>
      <w:r>
        <w:rPr>
          <w:color w:val="231F20"/>
          <w:w w:val="105"/>
        </w:rPr>
        <w:t>y</w:t>
      </w:r>
      <w:r>
        <w:rPr>
          <w:color w:val="231F20"/>
          <w:spacing w:val="-20"/>
          <w:w w:val="105"/>
        </w:rPr>
        <w:t> </w:t>
      </w:r>
      <w:r>
        <w:rPr>
          <w:color w:val="231F20"/>
          <w:spacing w:val="-4"/>
          <w:w w:val="105"/>
        </w:rPr>
        <w:t>preferencias</w:t>
      </w:r>
      <w:r>
        <w:rPr>
          <w:color w:val="231F20"/>
          <w:spacing w:val="-20"/>
          <w:w w:val="105"/>
        </w:rPr>
        <w:t> </w:t>
      </w:r>
      <w:r>
        <w:rPr>
          <w:color w:val="231F20"/>
          <w:spacing w:val="-4"/>
          <w:w w:val="105"/>
        </w:rPr>
        <w:t>tecnológicas</w:t>
      </w:r>
      <w:r>
        <w:rPr>
          <w:color w:val="231F20"/>
          <w:spacing w:val="-20"/>
          <w:w w:val="105"/>
        </w:rPr>
        <w:t> </w:t>
      </w:r>
      <w:r>
        <w:rPr>
          <w:color w:val="231F20"/>
          <w:spacing w:val="-4"/>
          <w:w w:val="105"/>
        </w:rPr>
        <w:t>diferentes.</w:t>
      </w:r>
      <w:r>
        <w:rPr>
          <w:color w:val="231F20"/>
          <w:spacing w:val="-20"/>
          <w:w w:val="105"/>
        </w:rPr>
        <w:t> </w:t>
      </w:r>
      <w:r>
        <w:rPr>
          <w:color w:val="231F20"/>
          <w:spacing w:val="-3"/>
          <w:w w:val="105"/>
        </w:rPr>
        <w:t>Los</w:t>
      </w:r>
      <w:r>
        <w:rPr>
          <w:color w:val="231F20"/>
          <w:spacing w:val="-20"/>
          <w:w w:val="105"/>
        </w:rPr>
        <w:t> </w:t>
      </w:r>
      <w:r>
        <w:rPr>
          <w:color w:val="231F20"/>
          <w:spacing w:val="-4"/>
          <w:w w:val="105"/>
        </w:rPr>
        <w:t>factores</w:t>
      </w:r>
      <w:r>
        <w:rPr>
          <w:color w:val="231F20"/>
          <w:spacing w:val="-20"/>
          <w:w w:val="105"/>
        </w:rPr>
        <w:t> </w:t>
      </w:r>
      <w:r>
        <w:rPr>
          <w:color w:val="231F20"/>
          <w:spacing w:val="-4"/>
          <w:w w:val="105"/>
        </w:rPr>
        <w:t>asociados </w:t>
      </w:r>
      <w:r>
        <w:rPr>
          <w:color w:val="231F20"/>
          <w:spacing w:val="-3"/>
          <w:w w:val="105"/>
        </w:rPr>
        <w:t>con</w:t>
      </w:r>
      <w:r>
        <w:rPr>
          <w:color w:val="231F20"/>
          <w:spacing w:val="-21"/>
          <w:w w:val="105"/>
        </w:rPr>
        <w:t> </w:t>
      </w:r>
      <w:r>
        <w:rPr>
          <w:color w:val="231F20"/>
          <w:w w:val="105"/>
        </w:rPr>
        <w:t>la</w:t>
      </w:r>
      <w:r>
        <w:rPr>
          <w:color w:val="231F20"/>
          <w:spacing w:val="-21"/>
          <w:w w:val="105"/>
        </w:rPr>
        <w:t> </w:t>
      </w:r>
      <w:r>
        <w:rPr>
          <w:color w:val="231F20"/>
          <w:spacing w:val="-4"/>
          <w:w w:val="105"/>
        </w:rPr>
        <w:t>adopción</w:t>
      </w:r>
      <w:r>
        <w:rPr>
          <w:color w:val="231F20"/>
          <w:spacing w:val="-21"/>
          <w:w w:val="105"/>
        </w:rPr>
        <w:t> </w:t>
      </w:r>
      <w:r>
        <w:rPr>
          <w:color w:val="231F20"/>
          <w:w w:val="105"/>
        </w:rPr>
        <w:t>de</w:t>
      </w:r>
      <w:r>
        <w:rPr>
          <w:color w:val="231F20"/>
          <w:spacing w:val="-21"/>
          <w:w w:val="105"/>
        </w:rPr>
        <w:t> </w:t>
      </w:r>
      <w:r>
        <w:rPr>
          <w:color w:val="231F20"/>
          <w:spacing w:val="-4"/>
          <w:w w:val="105"/>
        </w:rPr>
        <w:t>tecnologías</w:t>
      </w:r>
      <w:r>
        <w:rPr>
          <w:color w:val="231F20"/>
          <w:spacing w:val="-21"/>
          <w:w w:val="105"/>
        </w:rPr>
        <w:t> </w:t>
      </w:r>
      <w:r>
        <w:rPr>
          <w:color w:val="231F20"/>
          <w:spacing w:val="-4"/>
          <w:w w:val="105"/>
        </w:rPr>
        <w:t>agropecuarias</w:t>
      </w:r>
      <w:r>
        <w:rPr>
          <w:color w:val="231F20"/>
          <w:spacing w:val="-21"/>
          <w:w w:val="105"/>
        </w:rPr>
        <w:t> </w:t>
      </w:r>
      <w:r>
        <w:rPr>
          <w:color w:val="231F20"/>
          <w:w w:val="105"/>
        </w:rPr>
        <w:t>en</w:t>
      </w:r>
      <w:r>
        <w:rPr>
          <w:color w:val="231F20"/>
          <w:spacing w:val="-21"/>
          <w:w w:val="105"/>
        </w:rPr>
        <w:t> </w:t>
      </w:r>
      <w:r>
        <w:rPr>
          <w:color w:val="231F20"/>
          <w:spacing w:val="-3"/>
          <w:w w:val="105"/>
        </w:rPr>
        <w:t>los</w:t>
      </w:r>
      <w:r>
        <w:rPr>
          <w:color w:val="231F20"/>
          <w:spacing w:val="-21"/>
          <w:w w:val="105"/>
        </w:rPr>
        <w:t> </w:t>
      </w:r>
      <w:r>
        <w:rPr>
          <w:color w:val="231F20"/>
          <w:spacing w:val="-4"/>
          <w:w w:val="105"/>
        </w:rPr>
        <w:t>cuatro</w:t>
      </w:r>
      <w:r>
        <w:rPr>
          <w:color w:val="231F20"/>
          <w:spacing w:val="-21"/>
          <w:w w:val="105"/>
        </w:rPr>
        <w:t> </w:t>
      </w:r>
      <w:r>
        <w:rPr>
          <w:color w:val="231F20"/>
          <w:spacing w:val="-3"/>
          <w:w w:val="105"/>
        </w:rPr>
        <w:t>grupos</w:t>
      </w:r>
      <w:r>
        <w:rPr>
          <w:color w:val="231F20"/>
          <w:spacing w:val="-21"/>
          <w:w w:val="105"/>
        </w:rPr>
        <w:t> </w:t>
      </w:r>
      <w:r>
        <w:rPr>
          <w:color w:val="231F20"/>
          <w:w w:val="105"/>
        </w:rPr>
        <w:t>se</w:t>
      </w:r>
      <w:r>
        <w:rPr>
          <w:color w:val="231F20"/>
          <w:spacing w:val="-21"/>
          <w:w w:val="105"/>
        </w:rPr>
        <w:t> </w:t>
      </w:r>
      <w:r>
        <w:rPr>
          <w:color w:val="231F20"/>
          <w:spacing w:val="-4"/>
          <w:w w:val="105"/>
        </w:rPr>
        <w:t>basaban</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spacing w:val="-4"/>
          <w:w w:val="105"/>
        </w:rPr>
        <w:t>utilidad,</w:t>
      </w:r>
      <w:r>
        <w:rPr>
          <w:color w:val="231F20"/>
          <w:spacing w:val="-21"/>
          <w:w w:val="105"/>
        </w:rPr>
        <w:t> </w:t>
      </w:r>
      <w:r>
        <w:rPr>
          <w:color w:val="231F20"/>
          <w:w w:val="105"/>
        </w:rPr>
        <w:t>la</w:t>
      </w:r>
      <w:r>
        <w:rPr>
          <w:color w:val="231F20"/>
          <w:spacing w:val="-21"/>
          <w:w w:val="105"/>
        </w:rPr>
        <w:t> </w:t>
      </w:r>
      <w:r>
        <w:rPr>
          <w:color w:val="231F20"/>
          <w:spacing w:val="-4"/>
          <w:w w:val="105"/>
        </w:rPr>
        <w:t>productividad</w:t>
      </w:r>
      <w:r>
        <w:rPr>
          <w:color w:val="231F20"/>
          <w:spacing w:val="-21"/>
          <w:w w:val="105"/>
        </w:rPr>
        <w:t> </w:t>
      </w:r>
      <w:r>
        <w:rPr>
          <w:color w:val="231F20"/>
          <w:w w:val="105"/>
        </w:rPr>
        <w:t>y </w:t>
      </w:r>
      <w:r>
        <w:rPr>
          <w:color w:val="231F20"/>
          <w:spacing w:val="-3"/>
          <w:w w:val="105"/>
        </w:rPr>
        <w:t>los</w:t>
      </w:r>
      <w:r>
        <w:rPr>
          <w:color w:val="231F20"/>
          <w:spacing w:val="-22"/>
          <w:w w:val="105"/>
        </w:rPr>
        <w:t> </w:t>
      </w:r>
      <w:r>
        <w:rPr>
          <w:color w:val="231F20"/>
          <w:spacing w:val="-4"/>
          <w:w w:val="105"/>
        </w:rPr>
        <w:t>beneficios</w:t>
      </w:r>
      <w:r>
        <w:rPr>
          <w:color w:val="231F20"/>
          <w:spacing w:val="-22"/>
          <w:w w:val="105"/>
        </w:rPr>
        <w:t> </w:t>
      </w:r>
      <w:r>
        <w:rPr>
          <w:color w:val="231F20"/>
          <w:spacing w:val="-3"/>
          <w:w w:val="105"/>
        </w:rPr>
        <w:t>que</w:t>
      </w:r>
      <w:r>
        <w:rPr>
          <w:color w:val="231F20"/>
          <w:spacing w:val="-22"/>
          <w:w w:val="105"/>
        </w:rPr>
        <w:t> </w:t>
      </w:r>
      <w:r>
        <w:rPr>
          <w:color w:val="231F20"/>
          <w:spacing w:val="-4"/>
          <w:w w:val="105"/>
        </w:rPr>
        <w:t>éstas</w:t>
      </w:r>
      <w:r>
        <w:rPr>
          <w:color w:val="231F20"/>
          <w:spacing w:val="-22"/>
          <w:w w:val="105"/>
        </w:rPr>
        <w:t> </w:t>
      </w:r>
      <w:r>
        <w:rPr>
          <w:color w:val="231F20"/>
          <w:spacing w:val="-4"/>
          <w:w w:val="105"/>
        </w:rPr>
        <w:t>brinden</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spacing w:val="-3"/>
          <w:w w:val="105"/>
        </w:rPr>
        <w:t>granja,</w:t>
      </w:r>
      <w:r>
        <w:rPr>
          <w:color w:val="231F20"/>
          <w:spacing w:val="-22"/>
          <w:w w:val="105"/>
        </w:rPr>
        <w:t> </w:t>
      </w:r>
      <w:r>
        <w:rPr>
          <w:color w:val="231F20"/>
          <w:spacing w:val="-4"/>
          <w:w w:val="105"/>
        </w:rPr>
        <w:t>mientras</w:t>
      </w:r>
      <w:r>
        <w:rPr>
          <w:color w:val="231F20"/>
          <w:spacing w:val="-22"/>
          <w:w w:val="105"/>
        </w:rPr>
        <w:t> </w:t>
      </w:r>
      <w:r>
        <w:rPr>
          <w:color w:val="231F20"/>
          <w:spacing w:val="-3"/>
          <w:w w:val="105"/>
        </w:rPr>
        <w:t>que</w:t>
      </w:r>
      <w:r>
        <w:rPr>
          <w:color w:val="231F20"/>
          <w:spacing w:val="-22"/>
          <w:w w:val="105"/>
        </w:rPr>
        <w:t> </w:t>
      </w:r>
      <w:r>
        <w:rPr>
          <w:color w:val="231F20"/>
          <w:w w:val="105"/>
        </w:rPr>
        <w:t>el</w:t>
      </w:r>
      <w:r>
        <w:rPr>
          <w:color w:val="231F20"/>
          <w:spacing w:val="-22"/>
          <w:w w:val="105"/>
        </w:rPr>
        <w:t> </w:t>
      </w:r>
      <w:r>
        <w:rPr>
          <w:color w:val="231F20"/>
          <w:spacing w:val="-4"/>
          <w:w w:val="105"/>
        </w:rPr>
        <w:t>rechazo</w:t>
      </w:r>
      <w:r>
        <w:rPr>
          <w:color w:val="231F20"/>
          <w:spacing w:val="-22"/>
          <w:w w:val="105"/>
        </w:rPr>
        <w:t> </w:t>
      </w:r>
      <w:r>
        <w:rPr>
          <w:color w:val="231F20"/>
          <w:w w:val="105"/>
        </w:rPr>
        <w:t>se</w:t>
      </w:r>
      <w:r>
        <w:rPr>
          <w:color w:val="231F20"/>
          <w:spacing w:val="-22"/>
          <w:w w:val="105"/>
        </w:rPr>
        <w:t> </w:t>
      </w:r>
      <w:r>
        <w:rPr>
          <w:color w:val="231F20"/>
          <w:spacing w:val="-4"/>
          <w:w w:val="105"/>
        </w:rPr>
        <w:t>asoció</w:t>
      </w:r>
      <w:r>
        <w:rPr>
          <w:color w:val="231F20"/>
          <w:spacing w:val="-22"/>
          <w:w w:val="105"/>
        </w:rPr>
        <w:t> </w:t>
      </w:r>
      <w:r>
        <w:rPr>
          <w:color w:val="231F20"/>
          <w:spacing w:val="-3"/>
          <w:w w:val="105"/>
        </w:rPr>
        <w:t>con</w:t>
      </w:r>
      <w:r>
        <w:rPr>
          <w:color w:val="231F20"/>
          <w:spacing w:val="-22"/>
          <w:w w:val="105"/>
        </w:rPr>
        <w:t> </w:t>
      </w:r>
      <w:r>
        <w:rPr>
          <w:color w:val="231F20"/>
          <w:w w:val="105"/>
        </w:rPr>
        <w:t>la</w:t>
      </w:r>
      <w:r>
        <w:rPr>
          <w:color w:val="231F20"/>
          <w:spacing w:val="-22"/>
          <w:w w:val="105"/>
        </w:rPr>
        <w:t> </w:t>
      </w:r>
      <w:r>
        <w:rPr>
          <w:color w:val="231F20"/>
          <w:spacing w:val="-4"/>
          <w:w w:val="105"/>
        </w:rPr>
        <w:t>falta</w:t>
      </w:r>
      <w:r>
        <w:rPr>
          <w:color w:val="231F20"/>
          <w:spacing w:val="-22"/>
          <w:w w:val="105"/>
        </w:rPr>
        <w:t> </w:t>
      </w:r>
      <w:r>
        <w:rPr>
          <w:color w:val="231F20"/>
          <w:w w:val="105"/>
        </w:rPr>
        <w:t>de</w:t>
      </w:r>
      <w:r>
        <w:rPr>
          <w:color w:val="231F20"/>
          <w:spacing w:val="-22"/>
          <w:w w:val="105"/>
        </w:rPr>
        <w:t> </w:t>
      </w:r>
      <w:r>
        <w:rPr>
          <w:color w:val="231F20"/>
          <w:spacing w:val="-4"/>
          <w:w w:val="105"/>
        </w:rPr>
        <w:t>recursos</w:t>
      </w:r>
      <w:r>
        <w:rPr>
          <w:color w:val="231F20"/>
          <w:spacing w:val="-22"/>
          <w:w w:val="105"/>
        </w:rPr>
        <w:t> </w:t>
      </w:r>
      <w:r>
        <w:rPr>
          <w:color w:val="231F20"/>
          <w:spacing w:val="-4"/>
          <w:w w:val="105"/>
        </w:rPr>
        <w:t>económi- </w:t>
      </w:r>
      <w:r>
        <w:rPr>
          <w:color w:val="231F20"/>
          <w:spacing w:val="-3"/>
          <w:w w:val="105"/>
        </w:rPr>
        <w:t>cos,</w:t>
      </w:r>
      <w:r>
        <w:rPr>
          <w:color w:val="231F20"/>
          <w:spacing w:val="-25"/>
          <w:w w:val="105"/>
        </w:rPr>
        <w:t> </w:t>
      </w:r>
      <w:r>
        <w:rPr>
          <w:color w:val="231F20"/>
          <w:w w:val="105"/>
        </w:rPr>
        <w:t>la</w:t>
      </w:r>
      <w:r>
        <w:rPr>
          <w:color w:val="231F20"/>
          <w:spacing w:val="-25"/>
          <w:w w:val="105"/>
        </w:rPr>
        <w:t> </w:t>
      </w:r>
      <w:r>
        <w:rPr>
          <w:color w:val="231F20"/>
          <w:spacing w:val="-4"/>
          <w:w w:val="105"/>
        </w:rPr>
        <w:t>falta</w:t>
      </w:r>
      <w:r>
        <w:rPr>
          <w:color w:val="231F20"/>
          <w:spacing w:val="-25"/>
          <w:w w:val="105"/>
        </w:rPr>
        <w:t> </w:t>
      </w:r>
      <w:r>
        <w:rPr>
          <w:color w:val="231F20"/>
          <w:w w:val="105"/>
        </w:rPr>
        <w:t>de</w:t>
      </w:r>
      <w:r>
        <w:rPr>
          <w:color w:val="231F20"/>
          <w:spacing w:val="-25"/>
          <w:w w:val="105"/>
        </w:rPr>
        <w:t> </w:t>
      </w:r>
      <w:r>
        <w:rPr>
          <w:color w:val="231F20"/>
          <w:spacing w:val="-4"/>
          <w:w w:val="105"/>
        </w:rPr>
        <w:t>conocimientos</w:t>
      </w:r>
      <w:r>
        <w:rPr>
          <w:color w:val="231F20"/>
          <w:spacing w:val="-25"/>
          <w:w w:val="105"/>
        </w:rPr>
        <w:t> </w:t>
      </w:r>
      <w:r>
        <w:rPr>
          <w:color w:val="231F20"/>
          <w:spacing w:val="-3"/>
          <w:w w:val="105"/>
        </w:rPr>
        <w:t>para</w:t>
      </w:r>
      <w:r>
        <w:rPr>
          <w:color w:val="231F20"/>
          <w:spacing w:val="-25"/>
          <w:w w:val="105"/>
        </w:rPr>
        <w:t> </w:t>
      </w:r>
      <w:r>
        <w:rPr>
          <w:color w:val="231F20"/>
          <w:w w:val="105"/>
        </w:rPr>
        <w:t>el</w:t>
      </w:r>
      <w:r>
        <w:rPr>
          <w:color w:val="231F20"/>
          <w:spacing w:val="-25"/>
          <w:w w:val="105"/>
        </w:rPr>
        <w:t> </w:t>
      </w:r>
      <w:r>
        <w:rPr>
          <w:color w:val="231F20"/>
          <w:spacing w:val="-3"/>
          <w:w w:val="105"/>
        </w:rPr>
        <w:t>uso</w:t>
      </w:r>
      <w:r>
        <w:rPr>
          <w:color w:val="231F20"/>
          <w:spacing w:val="-25"/>
          <w:w w:val="105"/>
        </w:rPr>
        <w:t> </w:t>
      </w:r>
      <w:r>
        <w:rPr>
          <w:color w:val="231F20"/>
          <w:w w:val="105"/>
        </w:rPr>
        <w:t>de</w:t>
      </w:r>
      <w:r>
        <w:rPr>
          <w:color w:val="231F20"/>
          <w:spacing w:val="-25"/>
          <w:w w:val="105"/>
        </w:rPr>
        <w:t> </w:t>
      </w:r>
      <w:r>
        <w:rPr>
          <w:color w:val="231F20"/>
          <w:spacing w:val="-3"/>
          <w:w w:val="105"/>
        </w:rPr>
        <w:t>las</w:t>
      </w:r>
      <w:r>
        <w:rPr>
          <w:color w:val="231F20"/>
          <w:spacing w:val="-25"/>
          <w:w w:val="105"/>
        </w:rPr>
        <w:t> </w:t>
      </w:r>
      <w:r>
        <w:rPr>
          <w:color w:val="231F20"/>
          <w:spacing w:val="-4"/>
          <w:w w:val="105"/>
        </w:rPr>
        <w:t>tecnologías,</w:t>
      </w:r>
      <w:r>
        <w:rPr>
          <w:color w:val="231F20"/>
          <w:spacing w:val="-25"/>
          <w:w w:val="105"/>
        </w:rPr>
        <w:t> </w:t>
      </w:r>
      <w:r>
        <w:rPr>
          <w:color w:val="231F20"/>
          <w:w w:val="105"/>
        </w:rPr>
        <w:t>la</w:t>
      </w:r>
      <w:r>
        <w:rPr>
          <w:color w:val="231F20"/>
          <w:spacing w:val="-25"/>
          <w:w w:val="105"/>
        </w:rPr>
        <w:t> </w:t>
      </w:r>
      <w:r>
        <w:rPr>
          <w:color w:val="231F20"/>
          <w:spacing w:val="-4"/>
          <w:w w:val="105"/>
        </w:rPr>
        <w:t>falta</w:t>
      </w:r>
      <w:r>
        <w:rPr>
          <w:color w:val="231F20"/>
          <w:spacing w:val="-25"/>
          <w:w w:val="105"/>
        </w:rPr>
        <w:t> </w:t>
      </w:r>
      <w:r>
        <w:rPr>
          <w:color w:val="231F20"/>
          <w:w w:val="105"/>
        </w:rPr>
        <w:t>de</w:t>
      </w:r>
      <w:r>
        <w:rPr>
          <w:color w:val="231F20"/>
          <w:spacing w:val="-25"/>
          <w:w w:val="105"/>
        </w:rPr>
        <w:t> </w:t>
      </w:r>
      <w:r>
        <w:rPr>
          <w:color w:val="231F20"/>
          <w:spacing w:val="-4"/>
          <w:w w:val="105"/>
        </w:rPr>
        <w:t>disponibilidad</w:t>
      </w:r>
      <w:r>
        <w:rPr>
          <w:color w:val="231F20"/>
          <w:spacing w:val="-25"/>
          <w:w w:val="105"/>
        </w:rPr>
        <w:t> </w:t>
      </w:r>
      <w:r>
        <w:rPr>
          <w:color w:val="231F20"/>
          <w:w w:val="105"/>
        </w:rPr>
        <w:t>de</w:t>
      </w:r>
      <w:r>
        <w:rPr>
          <w:color w:val="231F20"/>
          <w:spacing w:val="-25"/>
          <w:w w:val="105"/>
        </w:rPr>
        <w:t> </w:t>
      </w:r>
      <w:r>
        <w:rPr>
          <w:color w:val="231F20"/>
          <w:spacing w:val="-4"/>
          <w:w w:val="105"/>
        </w:rPr>
        <w:t>terrenos,</w:t>
      </w:r>
      <w:r>
        <w:rPr>
          <w:color w:val="231F20"/>
          <w:spacing w:val="-25"/>
          <w:w w:val="105"/>
        </w:rPr>
        <w:t> </w:t>
      </w:r>
      <w:r>
        <w:rPr>
          <w:color w:val="231F20"/>
          <w:w w:val="105"/>
        </w:rPr>
        <w:t>el</w:t>
      </w:r>
      <w:r>
        <w:rPr>
          <w:color w:val="231F20"/>
          <w:spacing w:val="-25"/>
          <w:w w:val="105"/>
        </w:rPr>
        <w:t> </w:t>
      </w:r>
      <w:r>
        <w:rPr>
          <w:color w:val="231F20"/>
          <w:spacing w:val="-4"/>
          <w:w w:val="105"/>
        </w:rPr>
        <w:t>tamaño</w:t>
      </w:r>
      <w:r>
        <w:rPr>
          <w:color w:val="231F20"/>
          <w:spacing w:val="-25"/>
          <w:w w:val="105"/>
        </w:rPr>
        <w:t> </w:t>
      </w:r>
      <w:r>
        <w:rPr>
          <w:color w:val="231F20"/>
          <w:spacing w:val="-4"/>
          <w:w w:val="105"/>
        </w:rPr>
        <w:t>del hato,</w:t>
      </w:r>
      <w:r>
        <w:rPr>
          <w:color w:val="231F20"/>
          <w:spacing w:val="-18"/>
          <w:w w:val="105"/>
        </w:rPr>
        <w:t> </w:t>
      </w:r>
      <w:r>
        <w:rPr>
          <w:color w:val="231F20"/>
          <w:w w:val="105"/>
        </w:rPr>
        <w:t>la</w:t>
      </w:r>
      <w:r>
        <w:rPr>
          <w:color w:val="231F20"/>
          <w:spacing w:val="-18"/>
          <w:w w:val="105"/>
        </w:rPr>
        <w:t> </w:t>
      </w:r>
      <w:r>
        <w:rPr>
          <w:color w:val="231F20"/>
          <w:spacing w:val="-4"/>
          <w:w w:val="105"/>
        </w:rPr>
        <w:t>falta</w:t>
      </w:r>
      <w:r>
        <w:rPr>
          <w:color w:val="231F20"/>
          <w:spacing w:val="-18"/>
          <w:w w:val="105"/>
        </w:rPr>
        <w:t> </w:t>
      </w:r>
      <w:r>
        <w:rPr>
          <w:color w:val="231F20"/>
          <w:w w:val="105"/>
        </w:rPr>
        <w:t>de</w:t>
      </w:r>
      <w:r>
        <w:rPr>
          <w:color w:val="231F20"/>
          <w:spacing w:val="-18"/>
          <w:w w:val="105"/>
        </w:rPr>
        <w:t> </w:t>
      </w:r>
      <w:r>
        <w:rPr>
          <w:color w:val="231F20"/>
          <w:spacing w:val="-4"/>
          <w:w w:val="105"/>
        </w:rPr>
        <w:t>servicios</w:t>
      </w:r>
      <w:r>
        <w:rPr>
          <w:color w:val="231F20"/>
          <w:spacing w:val="-18"/>
          <w:w w:val="105"/>
        </w:rPr>
        <w:t> </w:t>
      </w:r>
      <w:r>
        <w:rPr>
          <w:color w:val="231F20"/>
          <w:w w:val="105"/>
        </w:rPr>
        <w:t>de</w:t>
      </w:r>
      <w:r>
        <w:rPr>
          <w:color w:val="231F20"/>
          <w:spacing w:val="-18"/>
          <w:w w:val="105"/>
        </w:rPr>
        <w:t> </w:t>
      </w:r>
      <w:r>
        <w:rPr>
          <w:color w:val="231F20"/>
          <w:spacing w:val="-4"/>
          <w:w w:val="105"/>
        </w:rPr>
        <w:t>extensión,</w:t>
      </w:r>
      <w:r>
        <w:rPr>
          <w:color w:val="231F20"/>
          <w:spacing w:val="-18"/>
          <w:w w:val="105"/>
        </w:rPr>
        <w:t> </w:t>
      </w:r>
      <w:r>
        <w:rPr>
          <w:color w:val="231F20"/>
          <w:w w:val="105"/>
        </w:rPr>
        <w:t>la</w:t>
      </w:r>
      <w:r>
        <w:rPr>
          <w:color w:val="231F20"/>
          <w:spacing w:val="-18"/>
          <w:w w:val="105"/>
        </w:rPr>
        <w:t> </w:t>
      </w:r>
      <w:r>
        <w:rPr>
          <w:color w:val="231F20"/>
          <w:spacing w:val="-4"/>
          <w:w w:val="105"/>
        </w:rPr>
        <w:t>falta</w:t>
      </w:r>
      <w:r>
        <w:rPr>
          <w:color w:val="231F20"/>
          <w:spacing w:val="-18"/>
          <w:w w:val="105"/>
        </w:rPr>
        <w:t> </w:t>
      </w:r>
      <w:r>
        <w:rPr>
          <w:color w:val="231F20"/>
          <w:w w:val="105"/>
        </w:rPr>
        <w:t>de</w:t>
      </w:r>
      <w:r>
        <w:rPr>
          <w:color w:val="231F20"/>
          <w:spacing w:val="-18"/>
          <w:w w:val="105"/>
        </w:rPr>
        <w:t> </w:t>
      </w:r>
      <w:r>
        <w:rPr>
          <w:color w:val="231F20"/>
          <w:spacing w:val="-4"/>
          <w:w w:val="105"/>
        </w:rPr>
        <w:t>información</w:t>
      </w:r>
      <w:r>
        <w:rPr>
          <w:color w:val="231F20"/>
          <w:spacing w:val="-18"/>
          <w:w w:val="105"/>
        </w:rPr>
        <w:t> </w:t>
      </w:r>
      <w:r>
        <w:rPr>
          <w:color w:val="231F20"/>
          <w:w w:val="105"/>
        </w:rPr>
        <w:t>de</w:t>
      </w:r>
      <w:r>
        <w:rPr>
          <w:color w:val="231F20"/>
          <w:spacing w:val="-18"/>
          <w:w w:val="105"/>
        </w:rPr>
        <w:t> </w:t>
      </w:r>
      <w:r>
        <w:rPr>
          <w:color w:val="231F20"/>
          <w:spacing w:val="-3"/>
          <w:w w:val="105"/>
        </w:rPr>
        <w:t>los</w:t>
      </w:r>
      <w:r>
        <w:rPr>
          <w:color w:val="231F20"/>
          <w:spacing w:val="-18"/>
          <w:w w:val="105"/>
        </w:rPr>
        <w:t> </w:t>
      </w:r>
      <w:r>
        <w:rPr>
          <w:color w:val="231F20"/>
          <w:spacing w:val="-4"/>
          <w:w w:val="105"/>
        </w:rPr>
        <w:t>programas</w:t>
      </w:r>
      <w:r>
        <w:rPr>
          <w:color w:val="231F20"/>
          <w:spacing w:val="-18"/>
          <w:w w:val="105"/>
        </w:rPr>
        <w:t> </w:t>
      </w:r>
      <w:r>
        <w:rPr>
          <w:color w:val="231F20"/>
          <w:w w:val="105"/>
        </w:rPr>
        <w:t>de</w:t>
      </w:r>
      <w:r>
        <w:rPr>
          <w:color w:val="231F20"/>
          <w:spacing w:val="-18"/>
          <w:w w:val="105"/>
        </w:rPr>
        <w:t> </w:t>
      </w:r>
      <w:r>
        <w:rPr>
          <w:color w:val="231F20"/>
          <w:spacing w:val="-4"/>
          <w:w w:val="105"/>
        </w:rPr>
        <w:t>gobierno</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spacing w:val="-4"/>
          <w:w w:val="105"/>
        </w:rPr>
        <w:t>hecho</w:t>
      </w:r>
      <w:r>
        <w:rPr>
          <w:color w:val="231F20"/>
          <w:spacing w:val="-18"/>
          <w:w w:val="105"/>
        </w:rPr>
        <w:t> </w:t>
      </w:r>
      <w:r>
        <w:rPr>
          <w:color w:val="231F20"/>
          <w:w w:val="105"/>
        </w:rPr>
        <w:t>de</w:t>
      </w:r>
      <w:r>
        <w:rPr>
          <w:color w:val="231F20"/>
          <w:spacing w:val="-18"/>
          <w:w w:val="105"/>
        </w:rPr>
        <w:t> </w:t>
      </w:r>
      <w:r>
        <w:rPr>
          <w:color w:val="231F20"/>
          <w:spacing w:val="-4"/>
          <w:w w:val="105"/>
        </w:rPr>
        <w:t>que </w:t>
      </w:r>
      <w:r>
        <w:rPr>
          <w:color w:val="231F20"/>
          <w:spacing w:val="-3"/>
          <w:w w:val="105"/>
        </w:rPr>
        <w:t>las</w:t>
      </w:r>
      <w:r>
        <w:rPr>
          <w:color w:val="231F20"/>
          <w:spacing w:val="-19"/>
          <w:w w:val="105"/>
        </w:rPr>
        <w:t> </w:t>
      </w:r>
      <w:r>
        <w:rPr>
          <w:color w:val="231F20"/>
          <w:spacing w:val="-4"/>
          <w:w w:val="105"/>
        </w:rPr>
        <w:t>instituciones</w:t>
      </w:r>
      <w:r>
        <w:rPr>
          <w:color w:val="231F20"/>
          <w:spacing w:val="-19"/>
          <w:w w:val="105"/>
        </w:rPr>
        <w:t> </w:t>
      </w:r>
      <w:r>
        <w:rPr>
          <w:color w:val="231F20"/>
          <w:w w:val="105"/>
        </w:rPr>
        <w:t>de</w:t>
      </w:r>
      <w:r>
        <w:rPr>
          <w:color w:val="231F20"/>
          <w:spacing w:val="-19"/>
          <w:w w:val="105"/>
        </w:rPr>
        <w:t> </w:t>
      </w:r>
      <w:r>
        <w:rPr>
          <w:color w:val="231F20"/>
          <w:spacing w:val="-4"/>
          <w:w w:val="105"/>
        </w:rPr>
        <w:t>gobierno</w:t>
      </w:r>
      <w:r>
        <w:rPr>
          <w:color w:val="231F20"/>
          <w:spacing w:val="-19"/>
          <w:w w:val="105"/>
        </w:rPr>
        <w:t> </w:t>
      </w:r>
      <w:r>
        <w:rPr>
          <w:color w:val="231F20"/>
          <w:spacing w:val="-4"/>
          <w:w w:val="105"/>
        </w:rPr>
        <w:t>pidan</w:t>
      </w:r>
      <w:r>
        <w:rPr>
          <w:color w:val="231F20"/>
          <w:spacing w:val="-19"/>
          <w:w w:val="105"/>
        </w:rPr>
        <w:t> </w:t>
      </w:r>
      <w:r>
        <w:rPr>
          <w:color w:val="231F20"/>
          <w:spacing w:val="-4"/>
          <w:w w:val="105"/>
        </w:rPr>
        <w:t>muchos</w:t>
      </w:r>
      <w:r>
        <w:rPr>
          <w:color w:val="231F20"/>
          <w:spacing w:val="-19"/>
          <w:w w:val="105"/>
        </w:rPr>
        <w:t> </w:t>
      </w:r>
      <w:r>
        <w:rPr>
          <w:color w:val="231F20"/>
          <w:spacing w:val="-4"/>
          <w:w w:val="105"/>
        </w:rPr>
        <w:t>requisitos</w:t>
      </w:r>
      <w:r>
        <w:rPr>
          <w:color w:val="231F20"/>
          <w:spacing w:val="-19"/>
          <w:w w:val="105"/>
        </w:rPr>
        <w:t> </w:t>
      </w:r>
      <w:r>
        <w:rPr>
          <w:color w:val="231F20"/>
          <w:w w:val="105"/>
        </w:rPr>
        <w:t>al</w:t>
      </w:r>
      <w:r>
        <w:rPr>
          <w:color w:val="231F20"/>
          <w:spacing w:val="-19"/>
          <w:w w:val="105"/>
        </w:rPr>
        <w:t> </w:t>
      </w:r>
      <w:r>
        <w:rPr>
          <w:color w:val="231F20"/>
          <w:spacing w:val="-4"/>
          <w:w w:val="105"/>
        </w:rPr>
        <w:t>solicitar</w:t>
      </w:r>
      <w:r>
        <w:rPr>
          <w:color w:val="231F20"/>
          <w:spacing w:val="-19"/>
          <w:w w:val="105"/>
        </w:rPr>
        <w:t> </w:t>
      </w:r>
      <w:r>
        <w:rPr>
          <w:color w:val="231F20"/>
          <w:spacing w:val="-3"/>
          <w:w w:val="105"/>
        </w:rPr>
        <w:t>los</w:t>
      </w:r>
      <w:r>
        <w:rPr>
          <w:color w:val="231F20"/>
          <w:spacing w:val="-19"/>
          <w:w w:val="105"/>
        </w:rPr>
        <w:t> </w:t>
      </w:r>
      <w:r>
        <w:rPr>
          <w:color w:val="231F20"/>
          <w:spacing w:val="-4"/>
          <w:w w:val="105"/>
        </w:rPr>
        <w:t>apoyos.</w:t>
      </w:r>
      <w:r>
        <w:rPr>
          <w:color w:val="231F20"/>
          <w:spacing w:val="-19"/>
          <w:w w:val="105"/>
        </w:rPr>
        <w:t> </w:t>
      </w:r>
      <w:r>
        <w:rPr>
          <w:color w:val="231F20"/>
          <w:spacing w:val="-4"/>
          <w:w w:val="105"/>
        </w:rPr>
        <w:t>Además,</w:t>
      </w:r>
      <w:r>
        <w:rPr>
          <w:color w:val="231F20"/>
          <w:spacing w:val="-19"/>
          <w:w w:val="105"/>
        </w:rPr>
        <w:t> </w:t>
      </w:r>
      <w:r>
        <w:rPr>
          <w:color w:val="231F20"/>
          <w:spacing w:val="-3"/>
          <w:w w:val="105"/>
        </w:rPr>
        <w:t>los</w:t>
      </w:r>
      <w:r>
        <w:rPr>
          <w:color w:val="231F20"/>
          <w:spacing w:val="-19"/>
          <w:w w:val="105"/>
        </w:rPr>
        <w:t> </w:t>
      </w:r>
      <w:r>
        <w:rPr>
          <w:color w:val="231F20"/>
          <w:spacing w:val="-4"/>
          <w:w w:val="105"/>
        </w:rPr>
        <w:t>productores</w:t>
      </w:r>
      <w:r>
        <w:rPr>
          <w:color w:val="231F20"/>
          <w:spacing w:val="-19"/>
          <w:w w:val="105"/>
        </w:rPr>
        <w:t> </w:t>
      </w:r>
      <w:r>
        <w:rPr>
          <w:color w:val="231F20"/>
          <w:spacing w:val="-4"/>
          <w:w w:val="105"/>
        </w:rPr>
        <w:t>conside- raron</w:t>
      </w:r>
      <w:r>
        <w:rPr>
          <w:color w:val="231F20"/>
          <w:spacing w:val="-21"/>
          <w:w w:val="105"/>
        </w:rPr>
        <w:t> </w:t>
      </w:r>
      <w:r>
        <w:rPr>
          <w:color w:val="231F20"/>
          <w:spacing w:val="-4"/>
          <w:w w:val="105"/>
        </w:rPr>
        <w:t>algunas</w:t>
      </w:r>
      <w:r>
        <w:rPr>
          <w:color w:val="231F20"/>
          <w:spacing w:val="-21"/>
          <w:w w:val="105"/>
        </w:rPr>
        <w:t> </w:t>
      </w:r>
      <w:r>
        <w:rPr>
          <w:color w:val="231F20"/>
          <w:w w:val="105"/>
        </w:rPr>
        <w:t>de</w:t>
      </w:r>
      <w:r>
        <w:rPr>
          <w:color w:val="231F20"/>
          <w:spacing w:val="-21"/>
          <w:w w:val="105"/>
        </w:rPr>
        <w:t> </w:t>
      </w:r>
      <w:r>
        <w:rPr>
          <w:color w:val="231F20"/>
          <w:spacing w:val="-3"/>
          <w:w w:val="105"/>
        </w:rPr>
        <w:t>las</w:t>
      </w:r>
      <w:r>
        <w:rPr>
          <w:color w:val="231F20"/>
          <w:spacing w:val="-21"/>
          <w:w w:val="105"/>
        </w:rPr>
        <w:t> </w:t>
      </w:r>
      <w:r>
        <w:rPr>
          <w:color w:val="231F20"/>
          <w:spacing w:val="-4"/>
          <w:w w:val="105"/>
        </w:rPr>
        <w:t>tecnologías</w:t>
      </w:r>
      <w:r>
        <w:rPr>
          <w:color w:val="231F20"/>
          <w:spacing w:val="-21"/>
          <w:w w:val="105"/>
        </w:rPr>
        <w:t> </w:t>
      </w:r>
      <w:r>
        <w:rPr>
          <w:color w:val="231F20"/>
          <w:w w:val="105"/>
        </w:rPr>
        <w:t>de</w:t>
      </w:r>
      <w:r>
        <w:rPr>
          <w:color w:val="231F20"/>
          <w:spacing w:val="-21"/>
          <w:w w:val="105"/>
        </w:rPr>
        <w:t> </w:t>
      </w:r>
      <w:r>
        <w:rPr>
          <w:color w:val="231F20"/>
          <w:spacing w:val="-3"/>
          <w:w w:val="105"/>
        </w:rPr>
        <w:t>poca</w:t>
      </w:r>
      <w:r>
        <w:rPr>
          <w:color w:val="231F20"/>
          <w:spacing w:val="-21"/>
          <w:w w:val="105"/>
        </w:rPr>
        <w:t> </w:t>
      </w:r>
      <w:r>
        <w:rPr>
          <w:color w:val="231F20"/>
          <w:spacing w:val="-4"/>
          <w:w w:val="105"/>
        </w:rPr>
        <w:t>importancia</w:t>
      </w:r>
      <w:r>
        <w:rPr>
          <w:color w:val="231F20"/>
          <w:spacing w:val="-21"/>
          <w:w w:val="105"/>
        </w:rPr>
        <w:t> </w:t>
      </w:r>
      <w:r>
        <w:rPr>
          <w:color w:val="231F20"/>
          <w:w w:val="105"/>
        </w:rPr>
        <w:t>o</w:t>
      </w:r>
      <w:r>
        <w:rPr>
          <w:color w:val="231F20"/>
          <w:spacing w:val="-21"/>
          <w:w w:val="105"/>
        </w:rPr>
        <w:t> </w:t>
      </w:r>
      <w:r>
        <w:rPr>
          <w:color w:val="231F20"/>
          <w:spacing w:val="-3"/>
          <w:w w:val="105"/>
        </w:rPr>
        <w:t>nada</w:t>
      </w:r>
      <w:r>
        <w:rPr>
          <w:color w:val="231F20"/>
          <w:spacing w:val="-21"/>
          <w:w w:val="105"/>
        </w:rPr>
        <w:t> </w:t>
      </w:r>
      <w:r>
        <w:rPr>
          <w:color w:val="231F20"/>
          <w:spacing w:val="-4"/>
          <w:w w:val="105"/>
        </w:rPr>
        <w:t>importantes</w:t>
      </w:r>
      <w:r>
        <w:rPr>
          <w:color w:val="231F20"/>
          <w:spacing w:val="-21"/>
          <w:w w:val="105"/>
        </w:rPr>
        <w:t> </w:t>
      </w:r>
      <w:r>
        <w:rPr>
          <w:color w:val="231F20"/>
          <w:spacing w:val="-3"/>
          <w:w w:val="105"/>
        </w:rPr>
        <w:t>para</w:t>
      </w:r>
      <w:r>
        <w:rPr>
          <w:color w:val="231F20"/>
          <w:spacing w:val="-21"/>
          <w:w w:val="105"/>
        </w:rPr>
        <w:t> </w:t>
      </w:r>
      <w:r>
        <w:rPr>
          <w:color w:val="231F20"/>
          <w:w w:val="105"/>
        </w:rPr>
        <w:t>la</w:t>
      </w:r>
      <w:r>
        <w:rPr>
          <w:color w:val="231F20"/>
          <w:spacing w:val="-21"/>
          <w:w w:val="105"/>
        </w:rPr>
        <w:t> </w:t>
      </w:r>
      <w:r>
        <w:rPr>
          <w:color w:val="231F20"/>
          <w:spacing w:val="-4"/>
          <w:w w:val="105"/>
        </w:rPr>
        <w:t>unidad</w:t>
      </w:r>
      <w:r>
        <w:rPr>
          <w:color w:val="231F20"/>
          <w:spacing w:val="-21"/>
          <w:w w:val="105"/>
        </w:rPr>
        <w:t> </w:t>
      </w:r>
      <w:r>
        <w:rPr>
          <w:color w:val="231F20"/>
          <w:w w:val="105"/>
        </w:rPr>
        <w:t>de</w:t>
      </w:r>
      <w:r>
        <w:rPr>
          <w:color w:val="231F20"/>
          <w:spacing w:val="-21"/>
          <w:w w:val="105"/>
        </w:rPr>
        <w:t> </w:t>
      </w:r>
      <w:r>
        <w:rPr>
          <w:color w:val="231F20"/>
          <w:spacing w:val="-4"/>
          <w:w w:val="105"/>
        </w:rPr>
        <w:t>producción.</w:t>
      </w:r>
      <w:r>
        <w:rPr>
          <w:color w:val="231F20"/>
          <w:spacing w:val="-21"/>
          <w:w w:val="105"/>
        </w:rPr>
        <w:t> </w:t>
      </w:r>
      <w:r>
        <w:rPr>
          <w:color w:val="231F20"/>
          <w:spacing w:val="-4"/>
          <w:w w:val="105"/>
        </w:rPr>
        <w:t>Puede concluirse</w:t>
      </w:r>
      <w:r>
        <w:rPr>
          <w:color w:val="231F20"/>
          <w:spacing w:val="-22"/>
          <w:w w:val="105"/>
        </w:rPr>
        <w:t> </w:t>
      </w:r>
      <w:r>
        <w:rPr>
          <w:color w:val="231F20"/>
          <w:spacing w:val="-3"/>
          <w:w w:val="105"/>
        </w:rPr>
        <w:t>que</w:t>
      </w:r>
      <w:r>
        <w:rPr>
          <w:color w:val="231F20"/>
          <w:spacing w:val="-22"/>
          <w:w w:val="105"/>
        </w:rPr>
        <w:t> </w:t>
      </w:r>
      <w:r>
        <w:rPr>
          <w:color w:val="231F20"/>
          <w:spacing w:val="-3"/>
          <w:w w:val="105"/>
        </w:rPr>
        <w:t>las</w:t>
      </w:r>
      <w:r>
        <w:rPr>
          <w:color w:val="231F20"/>
          <w:spacing w:val="-22"/>
          <w:w w:val="105"/>
        </w:rPr>
        <w:t> </w:t>
      </w:r>
      <w:r>
        <w:rPr>
          <w:color w:val="231F20"/>
          <w:spacing w:val="-4"/>
          <w:w w:val="105"/>
        </w:rPr>
        <w:t>tecnologías,</w:t>
      </w:r>
      <w:r>
        <w:rPr>
          <w:color w:val="231F20"/>
          <w:spacing w:val="-22"/>
          <w:w w:val="105"/>
        </w:rPr>
        <w:t> </w:t>
      </w:r>
      <w:r>
        <w:rPr>
          <w:color w:val="231F20"/>
          <w:spacing w:val="-4"/>
          <w:w w:val="105"/>
        </w:rPr>
        <w:t>tanto</w:t>
      </w:r>
      <w:r>
        <w:rPr>
          <w:color w:val="231F20"/>
          <w:spacing w:val="-22"/>
          <w:w w:val="105"/>
        </w:rPr>
        <w:t> </w:t>
      </w:r>
      <w:r>
        <w:rPr>
          <w:color w:val="231F20"/>
          <w:spacing w:val="-4"/>
          <w:w w:val="105"/>
        </w:rPr>
        <w:t>agrícolas</w:t>
      </w:r>
      <w:r>
        <w:rPr>
          <w:color w:val="231F20"/>
          <w:spacing w:val="-22"/>
          <w:w w:val="105"/>
        </w:rPr>
        <w:t> </w:t>
      </w:r>
      <w:r>
        <w:rPr>
          <w:color w:val="231F20"/>
          <w:spacing w:val="-3"/>
          <w:w w:val="105"/>
        </w:rPr>
        <w:t>como</w:t>
      </w:r>
      <w:r>
        <w:rPr>
          <w:color w:val="231F20"/>
          <w:spacing w:val="-22"/>
          <w:w w:val="105"/>
        </w:rPr>
        <w:t> </w:t>
      </w:r>
      <w:r>
        <w:rPr>
          <w:color w:val="231F20"/>
          <w:spacing w:val="-4"/>
          <w:w w:val="105"/>
        </w:rPr>
        <w:t>pecuarias,</w:t>
      </w:r>
      <w:r>
        <w:rPr>
          <w:color w:val="231F20"/>
          <w:spacing w:val="-22"/>
          <w:w w:val="105"/>
        </w:rPr>
        <w:t> </w:t>
      </w:r>
      <w:r>
        <w:rPr>
          <w:color w:val="231F20"/>
          <w:spacing w:val="-3"/>
          <w:w w:val="105"/>
        </w:rPr>
        <w:t>que</w:t>
      </w:r>
      <w:r>
        <w:rPr>
          <w:color w:val="231F20"/>
          <w:spacing w:val="-22"/>
          <w:w w:val="105"/>
        </w:rPr>
        <w:t> </w:t>
      </w:r>
      <w:r>
        <w:rPr>
          <w:color w:val="231F20"/>
          <w:spacing w:val="-4"/>
          <w:w w:val="105"/>
        </w:rPr>
        <w:t>mostraron</w:t>
      </w:r>
      <w:r>
        <w:rPr>
          <w:color w:val="231F20"/>
          <w:spacing w:val="-22"/>
          <w:w w:val="105"/>
        </w:rPr>
        <w:t> </w:t>
      </w:r>
      <w:r>
        <w:rPr>
          <w:color w:val="231F20"/>
          <w:spacing w:val="-4"/>
          <w:w w:val="105"/>
        </w:rPr>
        <w:t>mayor</w:t>
      </w:r>
      <w:r>
        <w:rPr>
          <w:color w:val="231F20"/>
          <w:spacing w:val="-22"/>
          <w:w w:val="105"/>
        </w:rPr>
        <w:t> </w:t>
      </w:r>
      <w:r>
        <w:rPr>
          <w:color w:val="231F20"/>
          <w:spacing w:val="-4"/>
          <w:w w:val="105"/>
        </w:rPr>
        <w:t>importancia,</w:t>
      </w:r>
      <w:r>
        <w:rPr>
          <w:color w:val="231F20"/>
          <w:spacing w:val="-22"/>
          <w:w w:val="105"/>
        </w:rPr>
        <w:t> </w:t>
      </w:r>
      <w:r>
        <w:rPr>
          <w:color w:val="231F20"/>
          <w:spacing w:val="-4"/>
          <w:w w:val="105"/>
        </w:rPr>
        <w:t>preferencia </w:t>
      </w:r>
      <w:r>
        <w:rPr>
          <w:color w:val="231F20"/>
          <w:w w:val="105"/>
        </w:rPr>
        <w:t>y </w:t>
      </w:r>
      <w:r>
        <w:rPr>
          <w:color w:val="231F20"/>
          <w:spacing w:val="-3"/>
          <w:w w:val="105"/>
        </w:rPr>
        <w:t>grado </w:t>
      </w:r>
      <w:r>
        <w:rPr>
          <w:color w:val="231F20"/>
          <w:w w:val="105"/>
        </w:rPr>
        <w:t>de </w:t>
      </w:r>
      <w:r>
        <w:rPr>
          <w:color w:val="231F20"/>
          <w:spacing w:val="-4"/>
          <w:w w:val="105"/>
        </w:rPr>
        <w:t>adopción </w:t>
      </w:r>
      <w:r>
        <w:rPr>
          <w:color w:val="231F20"/>
          <w:spacing w:val="-3"/>
          <w:w w:val="105"/>
        </w:rPr>
        <w:t>por los </w:t>
      </w:r>
      <w:r>
        <w:rPr>
          <w:color w:val="231F20"/>
          <w:spacing w:val="-4"/>
          <w:w w:val="105"/>
        </w:rPr>
        <w:t>cuatro </w:t>
      </w:r>
      <w:r>
        <w:rPr>
          <w:color w:val="231F20"/>
          <w:spacing w:val="-3"/>
          <w:w w:val="105"/>
        </w:rPr>
        <w:t>grupos </w:t>
      </w:r>
      <w:r>
        <w:rPr>
          <w:color w:val="231F20"/>
          <w:w w:val="105"/>
        </w:rPr>
        <w:t>de </w:t>
      </w:r>
      <w:r>
        <w:rPr>
          <w:color w:val="231F20"/>
          <w:spacing w:val="-4"/>
          <w:w w:val="105"/>
        </w:rPr>
        <w:t>productores pueden </w:t>
      </w:r>
      <w:r>
        <w:rPr>
          <w:color w:val="231F20"/>
          <w:spacing w:val="-3"/>
          <w:w w:val="105"/>
        </w:rPr>
        <w:t>ser </w:t>
      </w:r>
      <w:r>
        <w:rPr>
          <w:color w:val="231F20"/>
          <w:spacing w:val="-4"/>
          <w:w w:val="105"/>
        </w:rPr>
        <w:t>alternativas tecnológicas viables que contribuyan</w:t>
      </w:r>
      <w:r>
        <w:rPr>
          <w:color w:val="231F20"/>
          <w:spacing w:val="-25"/>
          <w:w w:val="105"/>
        </w:rPr>
        <w:t> </w:t>
      </w:r>
      <w:r>
        <w:rPr>
          <w:color w:val="231F20"/>
          <w:w w:val="105"/>
        </w:rPr>
        <w:t>al</w:t>
      </w:r>
      <w:r>
        <w:rPr>
          <w:color w:val="231F20"/>
          <w:spacing w:val="-25"/>
          <w:w w:val="105"/>
        </w:rPr>
        <w:t> </w:t>
      </w:r>
      <w:r>
        <w:rPr>
          <w:color w:val="231F20"/>
          <w:spacing w:val="-4"/>
          <w:w w:val="105"/>
        </w:rPr>
        <w:t>desarrollo</w:t>
      </w:r>
      <w:r>
        <w:rPr>
          <w:color w:val="231F20"/>
          <w:spacing w:val="-25"/>
          <w:w w:val="105"/>
        </w:rPr>
        <w:t> </w:t>
      </w:r>
      <w:r>
        <w:rPr>
          <w:color w:val="231F20"/>
          <w:spacing w:val="-4"/>
          <w:w w:val="105"/>
        </w:rPr>
        <w:t>rural</w:t>
      </w:r>
      <w:r>
        <w:rPr>
          <w:color w:val="231F20"/>
          <w:spacing w:val="-25"/>
          <w:w w:val="105"/>
        </w:rPr>
        <w:t> </w:t>
      </w:r>
      <w:r>
        <w:rPr>
          <w:color w:val="231F20"/>
          <w:w w:val="105"/>
        </w:rPr>
        <w:t>de</w:t>
      </w:r>
      <w:r>
        <w:rPr>
          <w:color w:val="231F20"/>
          <w:spacing w:val="-25"/>
          <w:w w:val="105"/>
        </w:rPr>
        <w:t> </w:t>
      </w:r>
      <w:r>
        <w:rPr>
          <w:color w:val="231F20"/>
          <w:spacing w:val="-3"/>
          <w:w w:val="105"/>
        </w:rPr>
        <w:t>los</w:t>
      </w:r>
      <w:r>
        <w:rPr>
          <w:color w:val="231F20"/>
          <w:spacing w:val="-25"/>
          <w:w w:val="105"/>
        </w:rPr>
        <w:t> </w:t>
      </w:r>
      <w:r>
        <w:rPr>
          <w:color w:val="231F20"/>
          <w:spacing w:val="-4"/>
          <w:w w:val="105"/>
        </w:rPr>
        <w:t>sistemas</w:t>
      </w:r>
      <w:r>
        <w:rPr>
          <w:color w:val="231F20"/>
          <w:spacing w:val="-25"/>
          <w:w w:val="105"/>
        </w:rPr>
        <w:t> </w:t>
      </w:r>
      <w:r>
        <w:rPr>
          <w:color w:val="231F20"/>
          <w:w w:val="105"/>
        </w:rPr>
        <w:t>de</w:t>
      </w:r>
      <w:r>
        <w:rPr>
          <w:color w:val="231F20"/>
          <w:spacing w:val="-25"/>
          <w:w w:val="105"/>
        </w:rPr>
        <w:t> </w:t>
      </w:r>
      <w:r>
        <w:rPr>
          <w:color w:val="231F20"/>
          <w:spacing w:val="-4"/>
          <w:w w:val="105"/>
        </w:rPr>
        <w:t>producción</w:t>
      </w:r>
      <w:r>
        <w:rPr>
          <w:color w:val="231F20"/>
          <w:spacing w:val="-25"/>
          <w:w w:val="105"/>
        </w:rPr>
        <w:t> </w:t>
      </w:r>
      <w:r>
        <w:rPr>
          <w:color w:val="231F20"/>
          <w:w w:val="105"/>
        </w:rPr>
        <w:t>de</w:t>
      </w:r>
      <w:r>
        <w:rPr>
          <w:color w:val="231F20"/>
          <w:spacing w:val="-25"/>
          <w:w w:val="105"/>
        </w:rPr>
        <w:t> </w:t>
      </w:r>
      <w:r>
        <w:rPr>
          <w:color w:val="231F20"/>
          <w:spacing w:val="-4"/>
          <w:w w:val="105"/>
        </w:rPr>
        <w:t>leche</w:t>
      </w:r>
      <w:r>
        <w:rPr>
          <w:color w:val="231F20"/>
          <w:spacing w:val="-25"/>
          <w:w w:val="105"/>
        </w:rPr>
        <w:t> </w:t>
      </w:r>
      <w:r>
        <w:rPr>
          <w:color w:val="231F20"/>
          <w:w w:val="105"/>
        </w:rPr>
        <w:t>en</w:t>
      </w:r>
      <w:r>
        <w:rPr>
          <w:color w:val="231F20"/>
          <w:spacing w:val="-25"/>
          <w:w w:val="105"/>
        </w:rPr>
        <w:t> </w:t>
      </w:r>
      <w:r>
        <w:rPr>
          <w:color w:val="231F20"/>
          <w:spacing w:val="-4"/>
          <w:w w:val="105"/>
        </w:rPr>
        <w:t>pequeña</w:t>
      </w:r>
      <w:r>
        <w:rPr>
          <w:color w:val="231F20"/>
          <w:spacing w:val="-25"/>
          <w:w w:val="105"/>
        </w:rPr>
        <w:t> </w:t>
      </w:r>
      <w:r>
        <w:rPr>
          <w:color w:val="231F20"/>
          <w:spacing w:val="-4"/>
          <w:w w:val="105"/>
        </w:rPr>
        <w:t>escala</w:t>
      </w:r>
      <w:r>
        <w:rPr>
          <w:color w:val="231F20"/>
          <w:spacing w:val="-25"/>
          <w:w w:val="105"/>
        </w:rPr>
        <w:t> </w:t>
      </w:r>
      <w:r>
        <w:rPr>
          <w:color w:val="231F20"/>
          <w:spacing w:val="-3"/>
          <w:w w:val="105"/>
        </w:rPr>
        <w:t>del</w:t>
      </w:r>
      <w:r>
        <w:rPr>
          <w:color w:val="231F20"/>
          <w:spacing w:val="-25"/>
          <w:w w:val="105"/>
        </w:rPr>
        <w:t> </w:t>
      </w:r>
      <w:r>
        <w:rPr>
          <w:color w:val="231F20"/>
          <w:spacing w:val="-4"/>
          <w:w w:val="105"/>
        </w:rPr>
        <w:t>Estado</w:t>
      </w:r>
      <w:r>
        <w:rPr>
          <w:color w:val="231F20"/>
          <w:spacing w:val="-25"/>
          <w:w w:val="105"/>
        </w:rPr>
        <w:t> </w:t>
      </w:r>
      <w:r>
        <w:rPr>
          <w:color w:val="231F20"/>
          <w:w w:val="105"/>
        </w:rPr>
        <w:t>de</w:t>
      </w:r>
      <w:r>
        <w:rPr>
          <w:color w:val="231F20"/>
          <w:spacing w:val="-25"/>
          <w:w w:val="105"/>
        </w:rPr>
        <w:t> </w:t>
      </w:r>
      <w:r>
        <w:rPr>
          <w:color w:val="231F20"/>
          <w:spacing w:val="-4"/>
          <w:w w:val="105"/>
        </w:rPr>
        <w:t>México.</w:t>
      </w:r>
    </w:p>
    <w:p>
      <w:pPr>
        <w:pStyle w:val="BodyText"/>
        <w:spacing w:line="254" w:lineRule="auto" w:before="114"/>
        <w:ind w:left="1553" w:right="1655"/>
      </w:pPr>
      <w:r>
        <w:rPr>
          <w:color w:val="231F20"/>
        </w:rPr>
        <w:t>Palabras clave: Análisis multivariado - Caracterización de unidades de producción - Adopción de tecnolo- gías - Alternativas tecnológicas - Desarrollo</w:t>
      </w:r>
      <w:r>
        <w:rPr>
          <w:color w:val="231F20"/>
          <w:spacing w:val="12"/>
        </w:rPr>
        <w:t> </w:t>
      </w:r>
      <w:r>
        <w:rPr>
          <w:color w:val="231F20"/>
        </w:rPr>
        <w:t>rural.</w:t>
      </w:r>
    </w:p>
    <w:p>
      <w:pPr>
        <w:pStyle w:val="BodyText"/>
        <w:rPr>
          <w:sz w:val="19"/>
        </w:rPr>
      </w:pPr>
      <w:r>
        <w:rPr/>
        <w:pict>
          <v:line style="position:absolute;mso-position-horizontal-relative:page;mso-position-vertical-relative:paragraph;z-index:2392;mso-wrap-distance-left:0;mso-wrap-distance-right:0" from="77.692902pt,13.839933pt" to="517.062902pt,13.839933pt" stroked="true" strokeweight=".5pt" strokecolor="#231f20">
            <w10:wrap type="topAndBottom"/>
          </v:line>
        </w:pict>
      </w:r>
    </w:p>
    <w:p>
      <w:pPr>
        <w:pStyle w:val="BodyText"/>
        <w:spacing w:before="11"/>
        <w:rPr>
          <w:sz w:val="5"/>
        </w:rPr>
      </w:pPr>
    </w:p>
    <w:p>
      <w:pPr>
        <w:pStyle w:val="BodyText"/>
        <w:spacing w:line="20" w:lineRule="exact"/>
        <w:ind w:left="1553"/>
        <w:rPr>
          <w:sz w:val="2"/>
        </w:rPr>
      </w:pPr>
      <w:r>
        <w:rPr>
          <w:sz w:val="2"/>
        </w:rPr>
        <w:pict>
          <v:group style="width:70.9pt;height:.5pt;mso-position-horizontal-relative:char;mso-position-vertical-relative:line" coordorigin="0,0" coordsize="1418,10">
            <v:line style="position:absolute" from="35,5" to="1397,5" stroked="true" strokeweight=".5pt" strokecolor="#231f20">
              <v:stroke dashstyle="dash"/>
            </v:line>
            <v:line style="position:absolute" from="5,5" to="5,5" stroked="true" strokeweight=".5pt" strokecolor="#231f20"/>
            <v:line style="position:absolute" from="1412,5" to="1412,5" stroked="true" strokeweight=".5pt" strokecolor="#231f20"/>
          </v:group>
        </w:pict>
      </w:r>
      <w:r>
        <w:rPr>
          <w:sz w:val="2"/>
        </w:rPr>
      </w:r>
    </w:p>
    <w:p>
      <w:pPr>
        <w:spacing w:before="89"/>
        <w:ind w:left="1553" w:right="2503" w:firstLine="0"/>
        <w:jc w:val="left"/>
        <w:rPr>
          <w:sz w:val="16"/>
        </w:rPr>
      </w:pPr>
      <w:r>
        <w:rPr>
          <w:color w:val="231F20"/>
          <w:sz w:val="16"/>
        </w:rPr>
        <w:t>* Para correspondencia: </w:t>
      </w:r>
      <w:hyperlink r:id="rId85">
        <w:r>
          <w:rPr>
            <w:color w:val="231F20"/>
            <w:sz w:val="16"/>
          </w:rPr>
          <w:t>cgmartine</w:t>
        </w:r>
      </w:hyperlink>
      <w:hyperlink r:id="rId86">
        <w:r>
          <w:rPr>
            <w:color w:val="231F20"/>
            <w:sz w:val="16"/>
          </w:rPr>
          <w:t>zg@uaemex.mx</w:t>
        </w:r>
      </w:hyperlink>
    </w:p>
    <w:p>
      <w:pPr>
        <w:pStyle w:val="Heading5"/>
        <w:spacing w:before="2"/>
      </w:pPr>
      <w:r>
        <w:rPr>
          <w:color w:val="231F20"/>
          <w:w w:val="115"/>
        </w:rPr>
        <w:t>75</w:t>
      </w:r>
    </w:p>
    <w:p>
      <w:pPr>
        <w:spacing w:after="0"/>
        <w:sectPr>
          <w:pgSz w:w="11900" w:h="14450"/>
          <w:pgMar w:header="0" w:footer="222" w:top="420" w:bottom="420" w:left="0" w:right="0"/>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spacing w:val="-5"/>
          <w:w w:val="120"/>
          <w:sz w:val="22"/>
        </w:rPr>
        <w:t>76</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9" w:lineRule="auto" w:before="133"/>
        <w:ind w:left="1553"/>
        <w:jc w:val="both"/>
      </w:pPr>
      <w:r>
        <w:rPr>
          <w:color w:val="231F20"/>
        </w:rPr>
        <w:t>En el Estado de  México,  la  lechería  en  peque-  ña escala representa una  actividad  </w:t>
      </w:r>
      <w:r>
        <w:rPr>
          <w:color w:val="231F20"/>
          <w:spacing w:val="2"/>
        </w:rPr>
        <w:t>importante,  </w:t>
      </w:r>
      <w:r>
        <w:rPr>
          <w:color w:val="231F20"/>
        </w:rPr>
        <w:t>ya que  ofrece  beneficios  a  familias,  productores y comunidades mediante la generación de em- pleos e </w:t>
      </w:r>
      <w:r>
        <w:rPr>
          <w:color w:val="231F20"/>
          <w:spacing w:val="2"/>
        </w:rPr>
        <w:t>ingresos </w:t>
      </w:r>
      <w:r>
        <w:rPr>
          <w:color w:val="231F20"/>
        </w:rPr>
        <w:t>diarios (Arriaga-Jordán </w:t>
      </w:r>
      <w:r>
        <w:rPr>
          <w:i/>
          <w:color w:val="231F20"/>
        </w:rPr>
        <w:t>et al</w:t>
      </w:r>
      <w:r>
        <w:rPr>
          <w:color w:val="231F20"/>
        </w:rPr>
        <w:t>., 2002), de $108 a $420 por día y familia; </w:t>
      </w:r>
      <w:r>
        <w:rPr>
          <w:color w:val="231F20"/>
          <w:spacing w:val="2"/>
        </w:rPr>
        <w:t>sin </w:t>
      </w:r>
      <w:r>
        <w:rPr>
          <w:color w:val="231F20"/>
        </w:rPr>
        <w:t>embargo, esto depende de las características de cada  unidad  de  producción   </w:t>
      </w:r>
      <w:r>
        <w:rPr>
          <w:color w:val="231F20"/>
          <w:spacing w:val="2"/>
        </w:rPr>
        <w:t>(Espinoza-Ortega   </w:t>
      </w:r>
      <w:r>
        <w:rPr>
          <w:i/>
          <w:color w:val="231F20"/>
        </w:rPr>
        <w:t>et al</w:t>
      </w:r>
      <w:r>
        <w:rPr>
          <w:color w:val="231F20"/>
        </w:rPr>
        <w:t>., 2005). Además, en promedio cada hato proporciona entre dos y  seis  empleos  locales  a  lo largo del año </w:t>
      </w:r>
      <w:r>
        <w:rPr>
          <w:color w:val="231F20"/>
          <w:spacing w:val="2"/>
        </w:rPr>
        <w:t>(Martínez-García </w:t>
      </w:r>
      <w:r>
        <w:rPr>
          <w:i/>
          <w:color w:val="231F20"/>
        </w:rPr>
        <w:t>et al</w:t>
      </w:r>
      <w:r>
        <w:rPr>
          <w:color w:val="231F20"/>
        </w:rPr>
        <w:t>., 2012), generando un </w:t>
      </w:r>
      <w:r>
        <w:rPr>
          <w:color w:val="231F20"/>
          <w:spacing w:val="2"/>
        </w:rPr>
        <w:t>ingreso </w:t>
      </w:r>
      <w:r>
        <w:rPr>
          <w:color w:val="231F20"/>
        </w:rPr>
        <w:t>de $72 a $84 por persona </w:t>
      </w:r>
      <w:r>
        <w:rPr>
          <w:color w:val="231F20"/>
          <w:spacing w:val="2"/>
        </w:rPr>
        <w:t>(Espinoza-Ortega </w:t>
      </w:r>
      <w:r>
        <w:rPr>
          <w:i/>
          <w:color w:val="231F20"/>
        </w:rPr>
        <w:t>et al</w:t>
      </w:r>
      <w:r>
        <w:rPr>
          <w:color w:val="231F20"/>
        </w:rPr>
        <w:t>., 2005). Esto permite a </w:t>
      </w:r>
      <w:r>
        <w:rPr>
          <w:color w:val="231F20"/>
          <w:spacing w:val="2"/>
        </w:rPr>
        <w:t>los </w:t>
      </w:r>
      <w:r>
        <w:rPr>
          <w:color w:val="231F20"/>
        </w:rPr>
        <w:t>miembros de la familia permanecer en sus comu- nidades en lugar de </w:t>
      </w:r>
      <w:r>
        <w:rPr>
          <w:color w:val="231F20"/>
          <w:spacing w:val="2"/>
        </w:rPr>
        <w:t>migrar </w:t>
      </w:r>
      <w:r>
        <w:rPr>
          <w:color w:val="231F20"/>
        </w:rPr>
        <w:t>a las ciudades en bus- ca de empleo (Arriaga-Jordán </w:t>
      </w:r>
      <w:r>
        <w:rPr>
          <w:i/>
          <w:color w:val="231F20"/>
        </w:rPr>
        <w:t>et al</w:t>
      </w:r>
      <w:r>
        <w:rPr>
          <w:color w:val="231F20"/>
        </w:rPr>
        <w:t>., 1999). Por lo tanto, la lechería en pequeña escala desempeña  un papel </w:t>
      </w:r>
      <w:r>
        <w:rPr>
          <w:color w:val="231F20"/>
          <w:spacing w:val="2"/>
        </w:rPr>
        <w:t>importante </w:t>
      </w:r>
      <w:r>
        <w:rPr>
          <w:color w:val="231F20"/>
        </w:rPr>
        <w:t>en el desarrollo rural de </w:t>
      </w:r>
      <w:r>
        <w:rPr>
          <w:color w:val="231F20"/>
          <w:spacing w:val="2"/>
        </w:rPr>
        <w:t>las </w:t>
      </w:r>
      <w:r>
        <w:rPr>
          <w:color w:val="231F20"/>
        </w:rPr>
        <w:t>familias y las comunidades del Estado de México. No obstante, estos sistemas de producción de leche han mostrado un bajo  índice  de  adopción de tecnologías </w:t>
      </w:r>
      <w:r>
        <w:rPr>
          <w:color w:val="231F20"/>
          <w:spacing w:val="2"/>
        </w:rPr>
        <w:t>agropecuarias </w:t>
      </w:r>
      <w:r>
        <w:rPr>
          <w:color w:val="231F20"/>
        </w:rPr>
        <w:t>promovidas por or- ganizaciones gubernamentales  (Espinosa-Solares </w:t>
      </w:r>
      <w:r>
        <w:rPr>
          <w:i/>
          <w:color w:val="231F20"/>
        </w:rPr>
        <w:t>et  al.  </w:t>
      </w:r>
      <w:r>
        <w:rPr>
          <w:color w:val="231F20"/>
        </w:rPr>
        <w:t>2006;  Cervantes  </w:t>
      </w:r>
      <w:r>
        <w:rPr>
          <w:i/>
          <w:color w:val="231F20"/>
        </w:rPr>
        <w:t>et  al.</w:t>
      </w:r>
      <w:r>
        <w:rPr>
          <w:color w:val="231F20"/>
        </w:rPr>
        <w:t>,</w:t>
      </w:r>
      <w:r>
        <w:rPr>
          <w:color w:val="231F20"/>
          <w:spacing w:val="10"/>
        </w:rPr>
        <w:t> </w:t>
      </w:r>
      <w:r>
        <w:rPr>
          <w:color w:val="231F20"/>
        </w:rPr>
        <w:t>2007).</w:t>
      </w:r>
    </w:p>
    <w:p>
      <w:pPr>
        <w:pStyle w:val="BodyText"/>
        <w:spacing w:line="259" w:lineRule="auto" w:before="114"/>
        <w:ind w:left="1553"/>
        <w:jc w:val="both"/>
      </w:pPr>
      <w:r>
        <w:rPr>
          <w:color w:val="231F20"/>
        </w:rPr>
        <w:t>La adopción o el rechazo de la tecnología se </w:t>
      </w:r>
      <w:r>
        <w:rPr>
          <w:color w:val="231F20"/>
          <w:spacing w:val="2"/>
        </w:rPr>
        <w:t>han </w:t>
      </w:r>
      <w:r>
        <w:rPr>
          <w:color w:val="231F20"/>
        </w:rPr>
        <w:t>atribuido a la heterogeneidad de los productores (Bernués y Herrero, 2008), en especial por </w:t>
      </w:r>
      <w:r>
        <w:rPr>
          <w:color w:val="231F20"/>
          <w:spacing w:val="2"/>
        </w:rPr>
        <w:t>sus </w:t>
      </w:r>
      <w:r>
        <w:rPr>
          <w:color w:val="231F20"/>
        </w:rPr>
        <w:t>características socioeconómicas  (edad,  educa- ción y experiencia, tamaño de  la  familia,  mano  de obra familiar, principal fuente de  </w:t>
      </w:r>
      <w:r>
        <w:rPr>
          <w:color w:val="231F20"/>
          <w:spacing w:val="2"/>
        </w:rPr>
        <w:t>ingresos) </w:t>
      </w:r>
      <w:r>
        <w:rPr>
          <w:color w:val="231F20"/>
        </w:rPr>
        <w:t>y por las características de la unidad de producción (total de hectáreas, tamaño del hato, número de vacas en producción, producción de leche, prác- ticas de manejo y  nivel  </w:t>
      </w:r>
      <w:r>
        <w:rPr>
          <w:color w:val="231F20"/>
          <w:spacing w:val="2"/>
        </w:rPr>
        <w:t>tecnológico) </w:t>
      </w:r>
      <w:r>
        <w:rPr>
          <w:color w:val="231F20"/>
        </w:rPr>
        <w:t>(Mafimisebi </w:t>
      </w:r>
      <w:r>
        <w:rPr>
          <w:i/>
          <w:color w:val="231F20"/>
        </w:rPr>
        <w:t>et al., </w:t>
      </w:r>
      <w:r>
        <w:rPr>
          <w:color w:val="231F20"/>
        </w:rPr>
        <w:t>2006; </w:t>
      </w:r>
      <w:r>
        <w:rPr>
          <w:color w:val="231F20"/>
          <w:spacing w:val="2"/>
        </w:rPr>
        <w:t>Espinoza-Ortega </w:t>
      </w:r>
      <w:r>
        <w:rPr>
          <w:i/>
          <w:color w:val="231F20"/>
        </w:rPr>
        <w:t>et al., </w:t>
      </w:r>
      <w:r>
        <w:rPr>
          <w:color w:val="231F20"/>
        </w:rPr>
        <w:t>2007). Estas variables, así como la identificación de la impor- tancia de las tecnologías que promueve el gobier- no para los productores, necesitan ser analizadas de  manera  conjunta.  Esto  permitiría  </w:t>
      </w:r>
      <w:r>
        <w:rPr>
          <w:color w:val="231F20"/>
          <w:spacing w:val="38"/>
        </w:rPr>
        <w:t> </w:t>
      </w:r>
      <w:r>
        <w:rPr>
          <w:color w:val="231F20"/>
        </w:rPr>
        <w:t>desarrollar</w:t>
      </w:r>
    </w:p>
    <w:p>
      <w:pPr>
        <w:pStyle w:val="BodyText"/>
        <w:spacing w:line="259" w:lineRule="auto" w:before="67"/>
        <w:ind w:left="410" w:right="1549"/>
        <w:jc w:val="both"/>
      </w:pPr>
      <w:r>
        <w:rPr/>
        <w:br w:type="column"/>
      </w:r>
      <w:r>
        <w:rPr>
          <w:color w:val="231F20"/>
          <w:spacing w:val="2"/>
        </w:rPr>
        <w:t>estrategias </w:t>
      </w:r>
      <w:r>
        <w:rPr>
          <w:color w:val="231F20"/>
        </w:rPr>
        <w:t>para promover tecnologías que pue- dan ser viables para cada </w:t>
      </w:r>
      <w:r>
        <w:rPr>
          <w:color w:val="231F20"/>
          <w:spacing w:val="2"/>
        </w:rPr>
        <w:t>grupo </w:t>
      </w:r>
      <w:r>
        <w:rPr>
          <w:color w:val="231F20"/>
        </w:rPr>
        <w:t>de </w:t>
      </w:r>
      <w:r>
        <w:rPr>
          <w:color w:val="231F20"/>
          <w:spacing w:val="2"/>
        </w:rPr>
        <w:t>productores. </w:t>
      </w:r>
      <w:r>
        <w:rPr>
          <w:color w:val="231F20"/>
        </w:rPr>
        <w:t>Puesto que el mecanismo de transferencia tec- </w:t>
      </w:r>
      <w:r>
        <w:rPr>
          <w:color w:val="231F20"/>
          <w:spacing w:val="2"/>
        </w:rPr>
        <w:t>nológica </w:t>
      </w:r>
      <w:r>
        <w:rPr>
          <w:color w:val="231F20"/>
        </w:rPr>
        <w:t>por las organizaciones gubernamentales se ha ido realizando de forma general, sin consi- derar los aspectos mencionados anteriormente, Somda </w:t>
      </w:r>
      <w:r>
        <w:rPr>
          <w:i/>
          <w:color w:val="231F20"/>
        </w:rPr>
        <w:t>et al. </w:t>
      </w:r>
      <w:r>
        <w:rPr>
          <w:color w:val="231F20"/>
        </w:rPr>
        <w:t>(2005)  </w:t>
      </w:r>
      <w:r>
        <w:rPr>
          <w:color w:val="231F20"/>
          <w:spacing w:val="2"/>
        </w:rPr>
        <w:t>sugieren  </w:t>
      </w:r>
      <w:r>
        <w:rPr>
          <w:color w:val="231F20"/>
        </w:rPr>
        <w:t>que  estos  siste-  mas necesitan ser caracterizados para la identi- ficación de </w:t>
      </w:r>
      <w:r>
        <w:rPr>
          <w:color w:val="231F20"/>
          <w:spacing w:val="2"/>
        </w:rPr>
        <w:t>grupos </w:t>
      </w:r>
      <w:r>
        <w:rPr>
          <w:color w:val="231F20"/>
        </w:rPr>
        <w:t>similares y al mismo </w:t>
      </w:r>
      <w:r>
        <w:rPr>
          <w:color w:val="231F20"/>
          <w:spacing w:val="2"/>
        </w:rPr>
        <w:t>tiempo </w:t>
      </w:r>
      <w:r>
        <w:rPr>
          <w:color w:val="231F20"/>
        </w:rPr>
        <w:t>poder identificar  </w:t>
      </w:r>
      <w:r>
        <w:rPr>
          <w:color w:val="231F20"/>
          <w:spacing w:val="2"/>
        </w:rPr>
        <w:t>oportunidades  </w:t>
      </w:r>
      <w:r>
        <w:rPr>
          <w:color w:val="231F20"/>
        </w:rPr>
        <w:t>y  restricciones de adopción o rechazo de las tecnologías. Por lo tanto,  los  objetivos  del  presente  trabajo</w:t>
      </w:r>
      <w:r>
        <w:rPr>
          <w:color w:val="231F20"/>
          <w:spacing w:val="44"/>
        </w:rPr>
        <w:t> </w:t>
      </w:r>
      <w:r>
        <w:rPr>
          <w:color w:val="231F20"/>
        </w:rPr>
        <w:t>fueron:</w:t>
      </w:r>
    </w:p>
    <w:p>
      <w:pPr>
        <w:pStyle w:val="ListParagraph"/>
        <w:numPr>
          <w:ilvl w:val="0"/>
          <w:numId w:val="10"/>
        </w:numPr>
        <w:tabs>
          <w:tab w:pos="714" w:val="left" w:leader="none"/>
        </w:tabs>
        <w:spacing w:line="259" w:lineRule="auto" w:before="0" w:after="0"/>
        <w:ind w:left="410" w:right="1549" w:firstLine="0"/>
        <w:jc w:val="both"/>
        <w:rPr>
          <w:sz w:val="20"/>
        </w:rPr>
      </w:pPr>
      <w:r>
        <w:rPr>
          <w:color w:val="231F20"/>
          <w:sz w:val="20"/>
        </w:rPr>
        <w:t>la caracterización de pequeños  productores  de leche del Estado de México considerando </w:t>
      </w:r>
      <w:r>
        <w:rPr>
          <w:color w:val="231F20"/>
          <w:spacing w:val="2"/>
          <w:sz w:val="20"/>
        </w:rPr>
        <w:t>sus </w:t>
      </w:r>
      <w:r>
        <w:rPr>
          <w:color w:val="231F20"/>
          <w:sz w:val="20"/>
        </w:rPr>
        <w:t>características socioeconómicas y de la unidad de producción, y 2) la identificación de las tecnolo- gías </w:t>
      </w:r>
      <w:r>
        <w:rPr>
          <w:color w:val="231F20"/>
          <w:spacing w:val="2"/>
          <w:sz w:val="20"/>
        </w:rPr>
        <w:t>agropecuarias </w:t>
      </w:r>
      <w:r>
        <w:rPr>
          <w:color w:val="231F20"/>
          <w:sz w:val="20"/>
        </w:rPr>
        <w:t>que promueven las organiza- ciones gubernamentales del Estado de México. Además, se pretende explorar las razones de </w:t>
      </w:r>
      <w:r>
        <w:rPr>
          <w:color w:val="231F20"/>
          <w:spacing w:val="2"/>
          <w:sz w:val="20"/>
        </w:rPr>
        <w:t>los </w:t>
      </w:r>
      <w:r>
        <w:rPr>
          <w:color w:val="231F20"/>
          <w:sz w:val="20"/>
        </w:rPr>
        <w:t>productores para su adopción o rechazo, consi- derando la </w:t>
      </w:r>
      <w:r>
        <w:rPr>
          <w:color w:val="231F20"/>
          <w:spacing w:val="2"/>
          <w:sz w:val="20"/>
        </w:rPr>
        <w:t>importancia </w:t>
      </w:r>
      <w:r>
        <w:rPr>
          <w:color w:val="231F20"/>
          <w:sz w:val="20"/>
        </w:rPr>
        <w:t>de cada tecnología  para los productores en sus sistemas. Esta información es de utilidad para la implementación de políticas gubernamentales </w:t>
      </w:r>
      <w:r>
        <w:rPr>
          <w:color w:val="231F20"/>
          <w:spacing w:val="2"/>
          <w:sz w:val="20"/>
        </w:rPr>
        <w:t>dirigidas </w:t>
      </w:r>
      <w:r>
        <w:rPr>
          <w:color w:val="231F20"/>
          <w:sz w:val="20"/>
        </w:rPr>
        <w:t>al desarrollo rural en el área  de</w:t>
      </w:r>
      <w:r>
        <w:rPr>
          <w:color w:val="231F20"/>
          <w:spacing w:val="7"/>
          <w:sz w:val="20"/>
        </w:rPr>
        <w:t> </w:t>
      </w:r>
      <w:r>
        <w:rPr>
          <w:color w:val="231F20"/>
          <w:sz w:val="20"/>
        </w:rPr>
        <w:t>estudio.</w:t>
      </w:r>
    </w:p>
    <w:p>
      <w:pPr>
        <w:pStyle w:val="BodyText"/>
      </w:pPr>
    </w:p>
    <w:p>
      <w:pPr>
        <w:pStyle w:val="BodyText"/>
        <w:spacing w:before="153"/>
        <w:ind w:left="410"/>
        <w:jc w:val="both"/>
      </w:pPr>
      <w:r>
        <w:rPr>
          <w:color w:val="231F20"/>
          <w:w w:val="110"/>
        </w:rPr>
        <w:t>METODOLOGÍA</w:t>
      </w:r>
    </w:p>
    <w:p>
      <w:pPr>
        <w:pStyle w:val="BodyText"/>
        <w:spacing w:line="259" w:lineRule="auto" w:before="133"/>
        <w:ind w:left="410" w:right="1551"/>
        <w:jc w:val="both"/>
      </w:pPr>
      <w:r>
        <w:rPr>
          <w:color w:val="231F20"/>
        </w:rPr>
        <w:t>El trabajo se realizó con </w:t>
      </w:r>
      <w:r>
        <w:rPr>
          <w:color w:val="231F20"/>
          <w:spacing w:val="-6"/>
        </w:rPr>
        <w:t>115 </w:t>
      </w:r>
      <w:r>
        <w:rPr>
          <w:color w:val="231F20"/>
        </w:rPr>
        <w:t>productores  de  le- che en pequeña escala del Estado. Mediante un cuestionario estructurado se recabó información sobre características socioeconómicas, la unidad  de producción, tecnologías agrícolas promovidas por organizaciones gubernamentales, tecnologías usadas por los productores, razones de los pro- ductores para adoptar o rechazar las tecnologías e importancia de cada tecnología para los producto- res. El criterio de selección de los productores se basó en un tamaño de hato de 3 a 20 animales; criterio que ya ha sido considerado para peque- ños productores de leche (Espinoza-Ortega </w:t>
      </w:r>
      <w:r>
        <w:rPr>
          <w:i/>
          <w:color w:val="231F20"/>
        </w:rPr>
        <w:t>et   </w:t>
      </w:r>
      <w:r>
        <w:rPr>
          <w:i/>
          <w:color w:val="231F20"/>
          <w:spacing w:val="28"/>
        </w:rPr>
        <w:t> </w:t>
      </w:r>
      <w:r>
        <w:rPr>
          <w:i/>
          <w:color w:val="231F20"/>
        </w:rPr>
        <w:t>al</w:t>
      </w:r>
      <w:r>
        <w:rPr>
          <w:color w:val="231F20"/>
        </w:rPr>
        <w:t>.,</w:t>
      </w:r>
    </w:p>
    <w:p>
      <w:pPr>
        <w:spacing w:after="0" w:line="259"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5.   Factores que intervienen en la adopción de </w:t>
      </w:r>
      <w:r>
        <w:rPr>
          <w:color w:val="231F20"/>
          <w:spacing w:val="35"/>
          <w:sz w:val="18"/>
        </w:rPr>
        <w:t> </w:t>
      </w:r>
      <w:r>
        <w:rPr>
          <w:color w:val="231F20"/>
          <w:sz w:val="18"/>
        </w:rPr>
        <w:t>tecnologías</w:t>
      </w:r>
      <w:r>
        <w:rPr>
          <w:color w:val="231F20"/>
          <w:spacing w:val="11"/>
          <w:sz w:val="18"/>
        </w:rPr>
        <w:t> </w:t>
      </w:r>
      <w:r>
        <w:rPr>
          <w:color w:val="231F20"/>
          <w:sz w:val="18"/>
        </w:rPr>
        <w:t>agropecuarias...</w:t>
      </w:r>
      <w:r>
        <w:rPr>
          <w:color w:val="231F20"/>
          <w:sz w:val="22"/>
        </w:rPr>
        <w:tab/>
      </w:r>
      <w:r>
        <w:rPr>
          <w:color w:val="231F20"/>
          <w:spacing w:val="-9"/>
          <w:sz w:val="22"/>
        </w:rPr>
        <w:t>77</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1" w:lineRule="auto"/>
        <w:ind w:left="1553"/>
        <w:jc w:val="both"/>
      </w:pPr>
      <w:r>
        <w:rPr>
          <w:color w:val="231F20"/>
        </w:rPr>
        <w:t>2007). El método de muestreó utilizado fue el de “bola de nieve” (Vogt,   2005).</w:t>
      </w:r>
    </w:p>
    <w:p>
      <w:pPr>
        <w:pStyle w:val="BodyText"/>
        <w:spacing w:before="7"/>
        <w:rPr>
          <w:sz w:val="18"/>
        </w:rPr>
      </w:pPr>
    </w:p>
    <w:p>
      <w:pPr>
        <w:spacing w:before="0"/>
        <w:ind w:left="1553" w:right="0" w:firstLine="0"/>
        <w:jc w:val="both"/>
        <w:rPr>
          <w:rFonts w:ascii="Cambria" w:hAnsi="Cambria"/>
          <w:i/>
          <w:sz w:val="20"/>
        </w:rPr>
      </w:pPr>
      <w:r>
        <w:rPr>
          <w:rFonts w:ascii="Cambria" w:hAnsi="Cambria"/>
          <w:i/>
          <w:color w:val="231F20"/>
          <w:w w:val="105"/>
          <w:sz w:val="20"/>
        </w:rPr>
        <w:t>Tecnologías promovidas</w:t>
      </w:r>
    </w:p>
    <w:p>
      <w:pPr>
        <w:spacing w:line="273" w:lineRule="auto" w:before="32"/>
        <w:ind w:left="1553" w:right="742" w:firstLine="0"/>
        <w:jc w:val="left"/>
        <w:rPr>
          <w:rFonts w:ascii="Cambria"/>
          <w:i/>
          <w:sz w:val="20"/>
        </w:rPr>
      </w:pPr>
      <w:r>
        <w:rPr>
          <w:rFonts w:ascii="Cambria"/>
          <w:i/>
          <w:color w:val="231F20"/>
          <w:w w:val="110"/>
          <w:sz w:val="20"/>
        </w:rPr>
        <w:t>por organizaciones gubernamentales</w:t>
      </w:r>
      <w:r>
        <w:rPr>
          <w:rFonts w:ascii="Cambria"/>
          <w:i/>
          <w:color w:val="231F20"/>
          <w:w w:val="108"/>
          <w:sz w:val="20"/>
        </w:rPr>
        <w:t> </w:t>
      </w:r>
      <w:r>
        <w:rPr>
          <w:rFonts w:ascii="Cambria"/>
          <w:i/>
          <w:color w:val="231F20"/>
          <w:w w:val="110"/>
          <w:sz w:val="20"/>
        </w:rPr>
        <w:t>e importancia para los productores</w:t>
      </w:r>
    </w:p>
    <w:p>
      <w:pPr>
        <w:pStyle w:val="BodyText"/>
        <w:spacing w:line="261" w:lineRule="auto" w:before="112"/>
        <w:ind w:left="1553"/>
        <w:jc w:val="both"/>
      </w:pPr>
      <w:r>
        <w:rPr>
          <w:color w:val="231F20"/>
          <w:w w:val="105"/>
        </w:rPr>
        <w:t>Se realizó una revisión de los programas </w:t>
      </w:r>
      <w:r>
        <w:rPr>
          <w:color w:val="231F20"/>
          <w:spacing w:val="-5"/>
          <w:w w:val="105"/>
        </w:rPr>
        <w:t>“Alianza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campo”</w:t>
      </w:r>
      <w:r>
        <w:rPr>
          <w:color w:val="231F20"/>
          <w:spacing w:val="-7"/>
          <w:w w:val="105"/>
        </w:rPr>
        <w:t> </w:t>
      </w:r>
      <w:r>
        <w:rPr>
          <w:color w:val="231F20"/>
          <w:w w:val="105"/>
        </w:rPr>
        <w:t>dirigidos</w:t>
      </w:r>
      <w:r>
        <w:rPr>
          <w:color w:val="231F20"/>
          <w:spacing w:val="-7"/>
          <w:w w:val="105"/>
        </w:rPr>
        <w:t> </w:t>
      </w:r>
      <w:r>
        <w:rPr>
          <w:color w:val="231F20"/>
          <w:w w:val="105"/>
        </w:rPr>
        <w:t>a</w:t>
      </w:r>
      <w:r>
        <w:rPr>
          <w:color w:val="231F20"/>
          <w:spacing w:val="-7"/>
          <w:w w:val="105"/>
        </w:rPr>
        <w:t> </w:t>
      </w:r>
      <w:r>
        <w:rPr>
          <w:color w:val="231F20"/>
          <w:w w:val="105"/>
        </w:rPr>
        <w:t>prestar</w:t>
      </w:r>
      <w:r>
        <w:rPr>
          <w:color w:val="231F20"/>
          <w:spacing w:val="-7"/>
          <w:w w:val="105"/>
        </w:rPr>
        <w:t> </w:t>
      </w:r>
      <w:r>
        <w:rPr>
          <w:color w:val="231F20"/>
          <w:w w:val="105"/>
        </w:rPr>
        <w:t>apoyo</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pe- queños productores de leche del Estado de Mé- xico. Se identificaron y analizaron </w:t>
      </w:r>
      <w:r>
        <w:rPr>
          <w:color w:val="231F20"/>
          <w:spacing w:val="-6"/>
          <w:w w:val="105"/>
        </w:rPr>
        <w:t>11 </w:t>
      </w:r>
      <w:r>
        <w:rPr>
          <w:color w:val="231F20"/>
          <w:spacing w:val="-2"/>
          <w:w w:val="105"/>
        </w:rPr>
        <w:t>tecnologías: </w:t>
      </w:r>
      <w:r>
        <w:rPr>
          <w:color w:val="231F20"/>
          <w:w w:val="105"/>
        </w:rPr>
        <w:t>cinco</w:t>
      </w:r>
      <w:r>
        <w:rPr>
          <w:color w:val="231F20"/>
          <w:spacing w:val="-16"/>
          <w:w w:val="105"/>
        </w:rPr>
        <w:t> </w:t>
      </w:r>
      <w:r>
        <w:rPr>
          <w:color w:val="231F20"/>
          <w:w w:val="105"/>
        </w:rPr>
        <w:t>agrícolas</w:t>
      </w:r>
      <w:r>
        <w:rPr>
          <w:color w:val="231F20"/>
          <w:spacing w:val="-16"/>
          <w:w w:val="105"/>
        </w:rPr>
        <w:t> </w:t>
      </w:r>
      <w:r>
        <w:rPr>
          <w:color w:val="231F20"/>
          <w:w w:val="105"/>
        </w:rPr>
        <w:t>(semillas</w:t>
      </w:r>
      <w:r>
        <w:rPr>
          <w:color w:val="231F20"/>
          <w:spacing w:val="-16"/>
          <w:w w:val="105"/>
        </w:rPr>
        <w:t> </w:t>
      </w:r>
      <w:r>
        <w:rPr>
          <w:color w:val="231F20"/>
          <w:w w:val="105"/>
        </w:rPr>
        <w:t>mejoradas,</w:t>
      </w:r>
      <w:r>
        <w:rPr>
          <w:color w:val="231F20"/>
          <w:spacing w:val="-16"/>
          <w:w w:val="105"/>
        </w:rPr>
        <w:t> </w:t>
      </w:r>
      <w:r>
        <w:rPr>
          <w:color w:val="231F20"/>
          <w:w w:val="105"/>
        </w:rPr>
        <w:t>praderas,</w:t>
      </w:r>
      <w:r>
        <w:rPr>
          <w:color w:val="231F20"/>
          <w:spacing w:val="-16"/>
          <w:w w:val="105"/>
        </w:rPr>
        <w:t> </w:t>
      </w:r>
      <w:r>
        <w:rPr>
          <w:color w:val="231F20"/>
          <w:w w:val="105"/>
        </w:rPr>
        <w:t>fer- tilizantes, herbicidas y tractores) y seis pecuarias (ordeñadoras, molinos de martillos,</w:t>
      </w:r>
      <w:r>
        <w:rPr>
          <w:color w:val="231F20"/>
          <w:spacing w:val="-28"/>
          <w:w w:val="105"/>
        </w:rPr>
        <w:t> </w:t>
      </w:r>
      <w:r>
        <w:rPr>
          <w:color w:val="231F20"/>
          <w:spacing w:val="-2"/>
          <w:w w:val="105"/>
        </w:rPr>
        <w:t>inseminación </w:t>
      </w:r>
      <w:r>
        <w:rPr>
          <w:color w:val="231F20"/>
        </w:rPr>
        <w:t>artificial, vacunas, desparasitación y registros).</w:t>
      </w:r>
      <w:r>
        <w:rPr>
          <w:color w:val="231F20"/>
          <w:spacing w:val="-14"/>
        </w:rPr>
        <w:t> </w:t>
      </w:r>
      <w:r>
        <w:rPr>
          <w:color w:val="231F20"/>
          <w:spacing w:val="-3"/>
        </w:rPr>
        <w:t>Para </w:t>
      </w:r>
      <w:r>
        <w:rPr>
          <w:color w:val="231F20"/>
        </w:rPr>
        <w:t>medir la importancia que los productores otorgan</w:t>
      </w:r>
      <w:r>
        <w:rPr>
          <w:color w:val="231F20"/>
          <w:spacing w:val="-25"/>
        </w:rPr>
        <w:t> </w:t>
      </w:r>
      <w:r>
        <w:rPr>
          <w:color w:val="231F20"/>
        </w:rPr>
        <w:t>a </w:t>
      </w:r>
      <w:r>
        <w:rPr>
          <w:color w:val="231F20"/>
          <w:w w:val="105"/>
        </w:rPr>
        <w:t>cada</w:t>
      </w:r>
      <w:r>
        <w:rPr>
          <w:color w:val="231F20"/>
          <w:spacing w:val="-19"/>
          <w:w w:val="105"/>
        </w:rPr>
        <w:t> </w:t>
      </w:r>
      <w:r>
        <w:rPr>
          <w:color w:val="231F20"/>
          <w:w w:val="105"/>
        </w:rPr>
        <w:t>una</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tecnologías</w:t>
      </w:r>
      <w:r>
        <w:rPr>
          <w:color w:val="231F20"/>
          <w:spacing w:val="-19"/>
          <w:w w:val="105"/>
        </w:rPr>
        <w:t> </w:t>
      </w:r>
      <w:r>
        <w:rPr>
          <w:color w:val="231F20"/>
          <w:w w:val="105"/>
        </w:rPr>
        <w:t>se</w:t>
      </w:r>
      <w:r>
        <w:rPr>
          <w:color w:val="231F20"/>
          <w:spacing w:val="-19"/>
          <w:w w:val="105"/>
        </w:rPr>
        <w:t> </w:t>
      </w:r>
      <w:r>
        <w:rPr>
          <w:color w:val="231F20"/>
          <w:w w:val="105"/>
        </w:rPr>
        <w:t>utilizó</w:t>
      </w:r>
      <w:r>
        <w:rPr>
          <w:color w:val="231F20"/>
          <w:spacing w:val="-19"/>
          <w:w w:val="105"/>
        </w:rPr>
        <w:t> </w:t>
      </w:r>
      <w:r>
        <w:rPr>
          <w:color w:val="231F20"/>
          <w:w w:val="105"/>
        </w:rPr>
        <w:t>una</w:t>
      </w:r>
      <w:r>
        <w:rPr>
          <w:color w:val="231F20"/>
          <w:spacing w:val="-19"/>
          <w:w w:val="105"/>
        </w:rPr>
        <w:t> </w:t>
      </w:r>
      <w:r>
        <w:rPr>
          <w:color w:val="231F20"/>
          <w:w w:val="105"/>
        </w:rPr>
        <w:t>escala</w:t>
      </w:r>
      <w:r>
        <w:rPr>
          <w:color w:val="231F20"/>
          <w:spacing w:val="-19"/>
          <w:w w:val="105"/>
        </w:rPr>
        <w:t> </w:t>
      </w:r>
      <w:r>
        <w:rPr>
          <w:color w:val="231F20"/>
          <w:w w:val="105"/>
        </w:rPr>
        <w:t>de</w:t>
      </w:r>
      <w:r>
        <w:rPr>
          <w:color w:val="231F20"/>
          <w:spacing w:val="-2"/>
          <w:w w:val="103"/>
        </w:rPr>
        <w:t> </w:t>
      </w:r>
      <w:r>
        <w:rPr>
          <w:color w:val="231F20"/>
          <w:w w:val="105"/>
        </w:rPr>
        <w:t>Likert,</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cual</w:t>
      </w:r>
      <w:r>
        <w:rPr>
          <w:color w:val="231F20"/>
          <w:spacing w:val="-16"/>
          <w:w w:val="105"/>
        </w:rPr>
        <w:t> </w:t>
      </w:r>
      <w:r>
        <w:rPr>
          <w:color w:val="231F20"/>
          <w:w w:val="105"/>
        </w:rPr>
        <w:t>1</w:t>
      </w:r>
      <w:r>
        <w:rPr>
          <w:color w:val="231F20"/>
          <w:spacing w:val="-16"/>
          <w:w w:val="105"/>
        </w:rPr>
        <w:t> </w:t>
      </w:r>
      <w:r>
        <w:rPr>
          <w:color w:val="231F20"/>
          <w:w w:val="105"/>
        </w:rPr>
        <w:t>=</w:t>
      </w:r>
      <w:r>
        <w:rPr>
          <w:color w:val="231F20"/>
          <w:spacing w:val="-16"/>
          <w:w w:val="105"/>
        </w:rPr>
        <w:t> </w:t>
      </w:r>
      <w:r>
        <w:rPr>
          <w:color w:val="231F20"/>
          <w:w w:val="105"/>
        </w:rPr>
        <w:t>nada</w:t>
      </w:r>
      <w:r>
        <w:rPr>
          <w:color w:val="231F20"/>
          <w:spacing w:val="-16"/>
          <w:w w:val="105"/>
        </w:rPr>
        <w:t> </w:t>
      </w:r>
      <w:r>
        <w:rPr>
          <w:color w:val="231F20"/>
          <w:w w:val="105"/>
        </w:rPr>
        <w:t>importante,</w:t>
      </w:r>
      <w:r>
        <w:rPr>
          <w:color w:val="231F20"/>
          <w:spacing w:val="-16"/>
          <w:w w:val="105"/>
        </w:rPr>
        <w:t> </w:t>
      </w:r>
      <w:r>
        <w:rPr>
          <w:color w:val="231F20"/>
          <w:w w:val="105"/>
        </w:rPr>
        <w:t>2</w:t>
      </w:r>
      <w:r>
        <w:rPr>
          <w:color w:val="231F20"/>
          <w:spacing w:val="-16"/>
          <w:w w:val="105"/>
        </w:rPr>
        <w:t> </w:t>
      </w:r>
      <w:r>
        <w:rPr>
          <w:color w:val="231F20"/>
          <w:w w:val="105"/>
        </w:rPr>
        <w:t>=</w:t>
      </w:r>
      <w:r>
        <w:rPr>
          <w:color w:val="231F20"/>
          <w:spacing w:val="-16"/>
          <w:w w:val="105"/>
        </w:rPr>
        <w:t> </w:t>
      </w:r>
      <w:r>
        <w:rPr>
          <w:color w:val="231F20"/>
          <w:w w:val="105"/>
        </w:rPr>
        <w:t>poco</w:t>
      </w:r>
      <w:r>
        <w:rPr>
          <w:color w:val="231F20"/>
          <w:spacing w:val="-16"/>
          <w:w w:val="105"/>
        </w:rPr>
        <w:t> </w:t>
      </w:r>
      <w:r>
        <w:rPr>
          <w:color w:val="231F20"/>
          <w:w w:val="105"/>
        </w:rPr>
        <w:t>im- </w:t>
      </w:r>
      <w:r>
        <w:rPr>
          <w:color w:val="231F20"/>
        </w:rPr>
        <w:t>portante,</w:t>
      </w:r>
      <w:r>
        <w:rPr>
          <w:color w:val="231F20"/>
          <w:spacing w:val="-8"/>
        </w:rPr>
        <w:t> </w:t>
      </w:r>
      <w:r>
        <w:rPr>
          <w:color w:val="231F20"/>
        </w:rPr>
        <w:t>3</w:t>
      </w:r>
      <w:r>
        <w:rPr>
          <w:color w:val="231F20"/>
          <w:spacing w:val="-8"/>
        </w:rPr>
        <w:t> </w:t>
      </w:r>
      <w:r>
        <w:rPr>
          <w:color w:val="231F20"/>
        </w:rPr>
        <w:t>=</w:t>
      </w:r>
      <w:r>
        <w:rPr>
          <w:color w:val="231F20"/>
          <w:spacing w:val="-8"/>
        </w:rPr>
        <w:t> </w:t>
      </w:r>
      <w:r>
        <w:rPr>
          <w:color w:val="231F20"/>
        </w:rPr>
        <w:t>importante,</w:t>
      </w:r>
      <w:r>
        <w:rPr>
          <w:color w:val="231F20"/>
          <w:spacing w:val="-8"/>
        </w:rPr>
        <w:t> </w:t>
      </w:r>
      <w:r>
        <w:rPr>
          <w:color w:val="231F20"/>
        </w:rPr>
        <w:t>4</w:t>
      </w:r>
      <w:r>
        <w:rPr>
          <w:color w:val="231F20"/>
          <w:spacing w:val="-8"/>
        </w:rPr>
        <w:t> </w:t>
      </w:r>
      <w:r>
        <w:rPr>
          <w:color w:val="231F20"/>
        </w:rPr>
        <w:t>=</w:t>
      </w:r>
      <w:r>
        <w:rPr>
          <w:color w:val="231F20"/>
          <w:spacing w:val="-8"/>
        </w:rPr>
        <w:t> </w:t>
      </w:r>
      <w:r>
        <w:rPr>
          <w:color w:val="231F20"/>
        </w:rPr>
        <w:t>bastante</w:t>
      </w:r>
      <w:r>
        <w:rPr>
          <w:color w:val="231F20"/>
          <w:spacing w:val="-8"/>
        </w:rPr>
        <w:t> </w:t>
      </w:r>
      <w:r>
        <w:rPr>
          <w:color w:val="231F20"/>
        </w:rPr>
        <w:t>importante</w:t>
      </w:r>
      <w:r>
        <w:rPr>
          <w:color w:val="231F20"/>
          <w:spacing w:val="-8"/>
        </w:rPr>
        <w:t> </w:t>
      </w:r>
      <w:r>
        <w:rPr>
          <w:color w:val="231F20"/>
        </w:rPr>
        <w:t>y </w:t>
      </w:r>
      <w:r>
        <w:rPr>
          <w:color w:val="231F20"/>
          <w:w w:val="105"/>
        </w:rPr>
        <w:t>5</w:t>
      </w:r>
      <w:r>
        <w:rPr>
          <w:color w:val="231F20"/>
          <w:spacing w:val="-16"/>
          <w:w w:val="105"/>
        </w:rPr>
        <w:t> </w:t>
      </w:r>
      <w:r>
        <w:rPr>
          <w:color w:val="231F20"/>
          <w:w w:val="105"/>
        </w:rPr>
        <w:t>=</w:t>
      </w:r>
      <w:r>
        <w:rPr>
          <w:color w:val="231F20"/>
          <w:spacing w:val="-16"/>
          <w:w w:val="105"/>
        </w:rPr>
        <w:t> </w:t>
      </w:r>
      <w:r>
        <w:rPr>
          <w:color w:val="231F20"/>
          <w:w w:val="105"/>
        </w:rPr>
        <w:t>muy</w:t>
      </w:r>
      <w:r>
        <w:rPr>
          <w:color w:val="231F20"/>
          <w:spacing w:val="-16"/>
          <w:w w:val="105"/>
        </w:rPr>
        <w:t> </w:t>
      </w:r>
      <w:r>
        <w:rPr>
          <w:color w:val="231F20"/>
          <w:w w:val="105"/>
        </w:rPr>
        <w:t>importante.</w:t>
      </w:r>
      <w:r>
        <w:rPr>
          <w:color w:val="231F20"/>
          <w:spacing w:val="-16"/>
          <w:w w:val="105"/>
        </w:rPr>
        <w:t> </w:t>
      </w:r>
      <w:r>
        <w:rPr>
          <w:color w:val="231F20"/>
          <w:w w:val="105"/>
        </w:rPr>
        <w:t>Las</w:t>
      </w:r>
      <w:r>
        <w:rPr>
          <w:color w:val="231F20"/>
          <w:spacing w:val="-16"/>
          <w:w w:val="105"/>
        </w:rPr>
        <w:t> </w:t>
      </w:r>
      <w:r>
        <w:rPr>
          <w:color w:val="231F20"/>
          <w:w w:val="105"/>
        </w:rPr>
        <w:t>razones</w:t>
      </w:r>
      <w:r>
        <w:rPr>
          <w:color w:val="231F20"/>
          <w:spacing w:val="-16"/>
          <w:w w:val="105"/>
        </w:rPr>
        <w:t> </w:t>
      </w:r>
      <w:r>
        <w:rPr>
          <w:color w:val="231F20"/>
          <w:w w:val="105"/>
        </w:rPr>
        <w:t>de</w:t>
      </w:r>
      <w:r>
        <w:rPr>
          <w:color w:val="231F20"/>
          <w:spacing w:val="-16"/>
          <w:w w:val="105"/>
        </w:rPr>
        <w:t> </w:t>
      </w:r>
      <w:r>
        <w:rPr>
          <w:color w:val="231F20"/>
          <w:w w:val="105"/>
        </w:rPr>
        <w:t>adopción</w:t>
      </w:r>
      <w:r>
        <w:rPr>
          <w:color w:val="231F20"/>
          <w:spacing w:val="-16"/>
          <w:w w:val="105"/>
        </w:rPr>
        <w:t> </w:t>
      </w:r>
      <w:r>
        <w:rPr>
          <w:color w:val="231F20"/>
          <w:w w:val="105"/>
        </w:rPr>
        <w:t>o</w:t>
      </w:r>
      <w:r>
        <w:rPr>
          <w:color w:val="231F20"/>
          <w:spacing w:val="-16"/>
          <w:w w:val="105"/>
        </w:rPr>
        <w:t> </w:t>
      </w:r>
      <w:r>
        <w:rPr>
          <w:color w:val="231F20"/>
          <w:w w:val="105"/>
        </w:rPr>
        <w:t>no adopción</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tecnologías</w:t>
      </w:r>
      <w:r>
        <w:rPr>
          <w:color w:val="231F20"/>
          <w:spacing w:val="-28"/>
          <w:w w:val="105"/>
        </w:rPr>
        <w:t> </w:t>
      </w:r>
      <w:r>
        <w:rPr>
          <w:color w:val="231F20"/>
          <w:w w:val="105"/>
        </w:rPr>
        <w:t>se</w:t>
      </w:r>
      <w:r>
        <w:rPr>
          <w:color w:val="231F20"/>
          <w:spacing w:val="-28"/>
          <w:w w:val="105"/>
        </w:rPr>
        <w:t> </w:t>
      </w:r>
      <w:r>
        <w:rPr>
          <w:color w:val="231F20"/>
          <w:w w:val="105"/>
        </w:rPr>
        <w:t>obtuvieron</w:t>
      </w:r>
      <w:r>
        <w:rPr>
          <w:color w:val="231F20"/>
          <w:spacing w:val="-28"/>
          <w:w w:val="105"/>
        </w:rPr>
        <w:t> </w:t>
      </w:r>
      <w:r>
        <w:rPr>
          <w:color w:val="231F20"/>
          <w:w w:val="105"/>
        </w:rPr>
        <w:t>median-</w:t>
      </w:r>
      <w:r>
        <w:rPr>
          <w:color w:val="231F20"/>
          <w:w w:val="95"/>
        </w:rPr>
        <w:t> </w:t>
      </w:r>
      <w:r>
        <w:rPr>
          <w:color w:val="231F20"/>
        </w:rPr>
        <w:t>te</w:t>
      </w:r>
      <w:r>
        <w:rPr>
          <w:color w:val="231F20"/>
          <w:spacing w:val="-8"/>
        </w:rPr>
        <w:t> </w:t>
      </w:r>
      <w:r>
        <w:rPr>
          <w:color w:val="231F20"/>
        </w:rPr>
        <w:t>preguntas</w:t>
      </w:r>
      <w:r>
        <w:rPr>
          <w:color w:val="231F20"/>
          <w:spacing w:val="-8"/>
        </w:rPr>
        <w:t> </w:t>
      </w:r>
      <w:r>
        <w:rPr>
          <w:color w:val="231F20"/>
        </w:rPr>
        <w:t>abiertas,</w:t>
      </w:r>
      <w:r>
        <w:rPr>
          <w:color w:val="231F20"/>
          <w:spacing w:val="-8"/>
        </w:rPr>
        <w:t> </w:t>
      </w:r>
      <w:r>
        <w:rPr>
          <w:color w:val="231F20"/>
        </w:rPr>
        <w:t>y</w:t>
      </w:r>
      <w:r>
        <w:rPr>
          <w:color w:val="231F20"/>
          <w:spacing w:val="-8"/>
        </w:rPr>
        <w:t> </w:t>
      </w:r>
      <w:r>
        <w:rPr>
          <w:color w:val="231F20"/>
        </w:rPr>
        <w:t>luego</w:t>
      </w:r>
      <w:r>
        <w:rPr>
          <w:color w:val="231F20"/>
          <w:spacing w:val="-8"/>
        </w:rPr>
        <w:t> </w:t>
      </w:r>
      <w:r>
        <w:rPr>
          <w:color w:val="231F20"/>
        </w:rPr>
        <w:t>fueron</w:t>
      </w:r>
      <w:r>
        <w:rPr>
          <w:color w:val="231F20"/>
          <w:spacing w:val="-8"/>
        </w:rPr>
        <w:t> </w:t>
      </w:r>
      <w:r>
        <w:rPr>
          <w:color w:val="231F20"/>
        </w:rPr>
        <w:t>agrupadas.</w:t>
      </w:r>
    </w:p>
    <w:p>
      <w:pPr>
        <w:pStyle w:val="BodyText"/>
        <w:spacing w:before="7"/>
        <w:rPr>
          <w:sz w:val="18"/>
        </w:rPr>
      </w:pPr>
    </w:p>
    <w:p>
      <w:pPr>
        <w:spacing w:before="0"/>
        <w:ind w:left="1553" w:right="0" w:firstLine="0"/>
        <w:jc w:val="both"/>
        <w:rPr>
          <w:rFonts w:ascii="Cambria" w:hAnsi="Cambria"/>
          <w:i/>
          <w:sz w:val="20"/>
        </w:rPr>
      </w:pPr>
      <w:r>
        <w:rPr>
          <w:rFonts w:ascii="Cambria" w:hAnsi="Cambria"/>
          <w:i/>
          <w:color w:val="231F20"/>
          <w:w w:val="105"/>
          <w:sz w:val="20"/>
        </w:rPr>
        <w:t>Análisis  de  los datos</w:t>
      </w:r>
    </w:p>
    <w:p>
      <w:pPr>
        <w:spacing w:before="32"/>
        <w:ind w:left="1553" w:right="0" w:firstLine="0"/>
        <w:jc w:val="both"/>
        <w:rPr>
          <w:rFonts w:ascii="Cambria" w:hAnsi="Cambria"/>
          <w:i/>
          <w:sz w:val="20"/>
        </w:rPr>
      </w:pPr>
      <w:r>
        <w:rPr>
          <w:rFonts w:ascii="Cambria" w:hAnsi="Cambria"/>
          <w:i/>
          <w:color w:val="231F20"/>
          <w:w w:val="105"/>
          <w:sz w:val="20"/>
        </w:rPr>
        <w:t>y caracterización de los  productores</w:t>
      </w:r>
    </w:p>
    <w:p>
      <w:pPr>
        <w:pStyle w:val="BodyText"/>
        <w:spacing w:line="261" w:lineRule="auto" w:before="145"/>
        <w:ind w:left="1553"/>
        <w:jc w:val="both"/>
      </w:pPr>
      <w:r>
        <w:rPr>
          <w:color w:val="231F20"/>
        </w:rPr>
        <w:t>Para examinar la relación entre las variables origi- nales se realizó un análisis factorial por el método de componentes principales con 14 variables: seis socioeconómicas (edad, educación y experiencia del productor, miembros de la familia, mano de obra familiar y fuentes de ingresos) y ocho de la unidad de producción (tamaño del hato, vacas en producción, producción total de leche por hato y año, prácticas de manejo, total de hectáreas, nú- mero de tecnologías agrícolas, número de tecno- logías pecuarias y uso de concentrados). Estas variables se eligieron considerando su relevancia para el estudio. Finalmente, para clasificar a los productores en grupos se realizó un análisis de conglomerados por el método de Ward, en el cual se utilizaron coordenadas de las variables   origina-</w:t>
      </w:r>
    </w:p>
    <w:p>
      <w:pPr>
        <w:pStyle w:val="BodyText"/>
        <w:spacing w:before="3"/>
        <w:rPr>
          <w:sz w:val="28"/>
        </w:rPr>
      </w:pPr>
      <w:r>
        <w:rPr/>
        <w:br w:type="column"/>
      </w:r>
      <w:r>
        <w:rPr>
          <w:sz w:val="28"/>
        </w:rPr>
      </w:r>
    </w:p>
    <w:p>
      <w:pPr>
        <w:pStyle w:val="BodyText"/>
        <w:spacing w:line="256" w:lineRule="auto"/>
        <w:ind w:left="413" w:right="1551"/>
        <w:jc w:val="both"/>
      </w:pPr>
      <w:r>
        <w:rPr>
          <w:color w:val="231F20"/>
        </w:rPr>
        <w:t>les en cada factor obtenido del análisis de compo- nentes principales.</w:t>
      </w:r>
    </w:p>
    <w:p>
      <w:pPr>
        <w:pStyle w:val="BodyText"/>
      </w:pPr>
    </w:p>
    <w:p>
      <w:pPr>
        <w:pStyle w:val="BodyText"/>
        <w:spacing w:before="152"/>
        <w:ind w:left="413"/>
        <w:jc w:val="both"/>
      </w:pPr>
      <w:r>
        <w:rPr>
          <w:color w:val="231F20"/>
          <w:w w:val="110"/>
        </w:rPr>
        <w:t>RESULTADOS</w:t>
      </w:r>
    </w:p>
    <w:p>
      <w:pPr>
        <w:spacing w:line="266" w:lineRule="auto" w:before="130"/>
        <w:ind w:left="413" w:right="1676" w:firstLine="0"/>
        <w:jc w:val="left"/>
        <w:rPr>
          <w:rFonts w:ascii="Cambria" w:hAnsi="Cambria"/>
          <w:i/>
          <w:sz w:val="20"/>
        </w:rPr>
      </w:pPr>
      <w:r>
        <w:rPr>
          <w:rFonts w:ascii="Cambria" w:hAnsi="Cambria"/>
          <w:i/>
          <w:color w:val="231F20"/>
          <w:w w:val="110"/>
          <w:sz w:val="20"/>
        </w:rPr>
        <w:t>Características generales de los productores </w:t>
      </w:r>
      <w:r>
        <w:rPr>
          <w:rFonts w:ascii="Cambria" w:hAnsi="Cambria"/>
          <w:i/>
          <w:color w:val="231F20"/>
          <w:w w:val="110"/>
          <w:sz w:val="20"/>
        </w:rPr>
        <w:t>de leche en pequeña  escala</w:t>
      </w:r>
    </w:p>
    <w:p>
      <w:pPr>
        <w:pStyle w:val="BodyText"/>
        <w:spacing w:line="256" w:lineRule="auto" w:before="113"/>
        <w:ind w:left="413" w:right="1551"/>
        <w:jc w:val="both"/>
      </w:pPr>
      <w:r>
        <w:rPr>
          <w:color w:val="231F20"/>
        </w:rPr>
        <w:t>La edad promedio de  los  productores  fue  de  51,3  años,  con  educación  primaria  (5,5  años)     y una experiencia en la producción de leche  de 26,5 años. La mayoría de las granjas (79%) pro- porciona empleo de tiempo completo a los miem- bros de la familia; así, la producción de leche se considera como la principal fuente ingresos. El resto de las granjas </w:t>
      </w:r>
      <w:r>
        <w:rPr>
          <w:color w:val="231F20"/>
          <w:spacing w:val="-3"/>
        </w:rPr>
        <w:t>(21%) </w:t>
      </w:r>
      <w:r>
        <w:rPr>
          <w:color w:val="231F20"/>
        </w:rPr>
        <w:t>pueden considerarse como de medio tiempo, ya que el ingreso familiar proviene tanto de la producción  de  leche  como de actividades no agropecuarias (trabajos artesa- nales o asalariados). Las granjas tienen en pro- medio 5,4 hectáreas, con un tamaño de hato de </w:t>
      </w:r>
      <w:r>
        <w:rPr>
          <w:color w:val="231F20"/>
          <w:spacing w:val="-4"/>
        </w:rPr>
        <w:t>10,13 </w:t>
      </w:r>
      <w:r>
        <w:rPr>
          <w:color w:val="231F20"/>
        </w:rPr>
        <w:t>animales, de las cuales 4,48 vacas se en- cuentran en producción. El promedio de produc- ción de leche fue de </w:t>
      </w:r>
      <w:r>
        <w:rPr>
          <w:color w:val="231F20"/>
          <w:spacing w:val="-3"/>
        </w:rPr>
        <w:t>10,5 </w:t>
      </w:r>
      <w:r>
        <w:rPr>
          <w:color w:val="231F20"/>
        </w:rPr>
        <w:t>litros por vaca al día, con una producción promedio de 240 días. En la ma- yoría de las granjas (94,8%) el ordeño es manual.  La alimentación del hato se basa en los forrajes producidos en la granja, entre ellos pradera,</w:t>
      </w:r>
      <w:r>
        <w:rPr>
          <w:color w:val="231F20"/>
          <w:spacing w:val="-10"/>
        </w:rPr>
        <w:t> </w:t>
      </w:r>
      <w:r>
        <w:rPr>
          <w:color w:val="231F20"/>
        </w:rPr>
        <w:t>avena, residuos de cultivos como rastrojo de maíz, pastos nativos, arvenses y pastoreo. El 86% de los pro- ductores la suplementa con concentrados comer- ciales. El </w:t>
      </w:r>
      <w:r>
        <w:rPr>
          <w:color w:val="231F20"/>
          <w:spacing w:val="-3"/>
        </w:rPr>
        <w:t>14% </w:t>
      </w:r>
      <w:r>
        <w:rPr>
          <w:color w:val="231F20"/>
        </w:rPr>
        <w:t>de los productores manifestó tener contacto con un servicio de extensión. Respecto a las cinco tecnologías agrícolas analizadas, el </w:t>
      </w:r>
      <w:r>
        <w:rPr>
          <w:color w:val="231F20"/>
          <w:spacing w:val="-3"/>
        </w:rPr>
        <w:t>6,1% </w:t>
      </w:r>
      <w:r>
        <w:rPr>
          <w:color w:val="231F20"/>
        </w:rPr>
        <w:t>de los productores no usa ninguna tecnología, el </w:t>
      </w:r>
      <w:r>
        <w:rPr>
          <w:color w:val="231F20"/>
          <w:spacing w:val="-3"/>
        </w:rPr>
        <w:t>73% </w:t>
      </w:r>
      <w:r>
        <w:rPr>
          <w:color w:val="231F20"/>
        </w:rPr>
        <w:t>usa de una a tres y el 20% usa de cuatro a cinco. Para el caso de las seis tecnologías pecua- rias, el </w:t>
      </w:r>
      <w:r>
        <w:rPr>
          <w:color w:val="231F20"/>
          <w:spacing w:val="-7"/>
        </w:rPr>
        <w:t>7,8%  </w:t>
      </w:r>
      <w:r>
        <w:rPr>
          <w:color w:val="231F20"/>
        </w:rPr>
        <w:t>no usa ninguna, el 72,2% usa de una    a tres y el 20% usa de cuatro a seis tecnologías. Más de la mitad de los productores (59,1%) ma- nifestó tener conocimiento de los programas gu- bernamentales para la promoción de </w:t>
      </w:r>
      <w:r>
        <w:rPr>
          <w:color w:val="231F20"/>
          <w:spacing w:val="34"/>
        </w:rPr>
        <w:t> </w:t>
      </w:r>
      <w:r>
        <w:rPr>
          <w:color w:val="231F20"/>
        </w:rPr>
        <w:t>tecnologías.</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spacing w:val="-5"/>
          <w:w w:val="120"/>
          <w:sz w:val="22"/>
        </w:rPr>
        <w:t>78</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spacing w:line="268" w:lineRule="auto" w:before="76"/>
        <w:ind w:left="1553" w:right="1346" w:firstLine="0"/>
        <w:jc w:val="left"/>
        <w:rPr>
          <w:rFonts w:ascii="Cambria" w:hAnsi="Cambria"/>
          <w:i/>
          <w:sz w:val="20"/>
        </w:rPr>
      </w:pPr>
      <w:r>
        <w:rPr>
          <w:rFonts w:ascii="Cambria" w:hAnsi="Cambria"/>
          <w:i/>
          <w:color w:val="231F20"/>
          <w:w w:val="110"/>
          <w:sz w:val="20"/>
        </w:rPr>
        <w:t>Caracterización de los </w:t>
      </w:r>
      <w:r>
        <w:rPr>
          <w:rFonts w:ascii="Cambria" w:hAnsi="Cambria"/>
          <w:i/>
          <w:color w:val="231F20"/>
          <w:w w:val="110"/>
          <w:sz w:val="20"/>
        </w:rPr>
        <w:t>pequeños productores de leche</w:t>
      </w:r>
    </w:p>
    <w:p>
      <w:pPr>
        <w:pStyle w:val="BodyText"/>
        <w:spacing w:line="256" w:lineRule="auto" w:before="112"/>
        <w:ind w:left="1553"/>
        <w:jc w:val="both"/>
      </w:pPr>
      <w:r>
        <w:rPr>
          <w:color w:val="231F20"/>
        </w:rPr>
        <w:t>Del análisis factorial se obtuvieron cuatro factores que explicaron el 70,4% del total de la varianza acumulada de la muestra, con un Kaiser-Mayer-Ol- kin  de 0,712:</w:t>
      </w:r>
    </w:p>
    <w:p>
      <w:pPr>
        <w:pStyle w:val="ListParagraph"/>
        <w:numPr>
          <w:ilvl w:val="1"/>
          <w:numId w:val="10"/>
        </w:numPr>
        <w:tabs>
          <w:tab w:pos="1838" w:val="left" w:leader="none"/>
        </w:tabs>
        <w:spacing w:line="256" w:lineRule="auto" w:before="114" w:after="0"/>
        <w:ind w:left="1837" w:right="0" w:hanging="284"/>
        <w:jc w:val="both"/>
        <w:rPr>
          <w:sz w:val="20"/>
        </w:rPr>
      </w:pPr>
      <w:r>
        <w:rPr>
          <w:color w:val="231F20"/>
          <w:sz w:val="20"/>
        </w:rPr>
        <w:t>Factor 1: describe una relación directa entre las variables tamaño de hato, vacas en producción, producción total de leche por hato y año, y ma- yor número de tecnologías </w:t>
      </w:r>
      <w:r>
        <w:rPr>
          <w:color w:val="231F20"/>
          <w:spacing w:val="7"/>
          <w:sz w:val="20"/>
        </w:rPr>
        <w:t> </w:t>
      </w:r>
      <w:r>
        <w:rPr>
          <w:color w:val="231F20"/>
          <w:sz w:val="20"/>
        </w:rPr>
        <w:t>agrícolas.</w:t>
      </w:r>
    </w:p>
    <w:p>
      <w:pPr>
        <w:pStyle w:val="ListParagraph"/>
        <w:numPr>
          <w:ilvl w:val="1"/>
          <w:numId w:val="10"/>
        </w:numPr>
        <w:tabs>
          <w:tab w:pos="1838" w:val="left" w:leader="none"/>
        </w:tabs>
        <w:spacing w:line="256" w:lineRule="auto" w:before="114" w:after="0"/>
        <w:ind w:left="1837" w:right="0" w:hanging="284"/>
        <w:jc w:val="both"/>
        <w:rPr>
          <w:sz w:val="20"/>
        </w:rPr>
      </w:pPr>
      <w:r>
        <w:rPr>
          <w:color w:val="231F20"/>
          <w:spacing w:val="-3"/>
          <w:sz w:val="20"/>
        </w:rPr>
        <w:t>Factor </w:t>
      </w:r>
      <w:r>
        <w:rPr>
          <w:color w:val="231F20"/>
          <w:sz w:val="20"/>
        </w:rPr>
        <w:t>2: explica un mayor uso de prácticas de manejo en el hato, número de tecnologías pe- cuarias y concentrados comerciales para la  </w:t>
      </w:r>
      <w:r>
        <w:rPr>
          <w:color w:val="231F20"/>
          <w:spacing w:val="19"/>
          <w:sz w:val="20"/>
        </w:rPr>
        <w:t> </w:t>
      </w:r>
      <w:r>
        <w:rPr>
          <w:color w:val="231F20"/>
          <w:sz w:val="20"/>
        </w:rPr>
        <w:t>ali-</w:t>
      </w:r>
    </w:p>
    <w:p>
      <w:pPr>
        <w:pStyle w:val="BodyText"/>
        <w:spacing w:line="256" w:lineRule="auto" w:before="67"/>
        <w:ind w:left="696" w:right="1476"/>
      </w:pPr>
      <w:r>
        <w:rPr/>
        <w:br w:type="column"/>
      </w:r>
      <w:r>
        <w:rPr>
          <w:color w:val="231F20"/>
        </w:rPr>
        <w:t>mentación del hato. La producción de leche fue la principal fuente de ingresos para productores.</w:t>
      </w:r>
    </w:p>
    <w:p>
      <w:pPr>
        <w:pStyle w:val="ListParagraph"/>
        <w:numPr>
          <w:ilvl w:val="0"/>
          <w:numId w:val="8"/>
        </w:numPr>
        <w:tabs>
          <w:tab w:pos="697" w:val="left" w:leader="none"/>
        </w:tabs>
        <w:spacing w:line="256" w:lineRule="auto" w:before="114" w:after="0"/>
        <w:ind w:left="696" w:right="1551" w:hanging="283"/>
        <w:jc w:val="both"/>
        <w:rPr>
          <w:sz w:val="20"/>
        </w:rPr>
      </w:pPr>
      <w:r>
        <w:rPr>
          <w:color w:val="231F20"/>
          <w:sz w:val="20"/>
        </w:rPr>
        <w:t>Factor 3: describe a productores con mayor edad y más años de experiencia, pero con me- nos</w:t>
      </w:r>
      <w:r>
        <w:rPr>
          <w:color w:val="231F20"/>
          <w:spacing w:val="34"/>
          <w:sz w:val="20"/>
        </w:rPr>
        <w:t> </w:t>
      </w:r>
      <w:r>
        <w:rPr>
          <w:color w:val="231F20"/>
          <w:sz w:val="20"/>
        </w:rPr>
        <w:t>educación.</w:t>
      </w:r>
    </w:p>
    <w:p>
      <w:pPr>
        <w:pStyle w:val="ListParagraph"/>
        <w:numPr>
          <w:ilvl w:val="0"/>
          <w:numId w:val="8"/>
        </w:numPr>
        <w:tabs>
          <w:tab w:pos="697" w:val="left" w:leader="none"/>
        </w:tabs>
        <w:spacing w:line="256" w:lineRule="auto" w:before="114" w:after="0"/>
        <w:ind w:left="696" w:right="1551" w:hanging="283"/>
        <w:jc w:val="both"/>
        <w:rPr>
          <w:sz w:val="20"/>
        </w:rPr>
      </w:pPr>
      <w:r>
        <w:rPr>
          <w:color w:val="231F20"/>
          <w:spacing w:val="-3"/>
          <w:sz w:val="20"/>
        </w:rPr>
        <w:t>Factor </w:t>
      </w:r>
      <w:r>
        <w:rPr>
          <w:color w:val="231F20"/>
          <w:sz w:val="20"/>
        </w:rPr>
        <w:t>4: mayor número de miembros de la fa- milia </w:t>
      </w:r>
      <w:r>
        <w:rPr>
          <w:color w:val="231F20"/>
          <w:spacing w:val="-6"/>
          <w:sz w:val="20"/>
        </w:rPr>
        <w:t>y, </w:t>
      </w:r>
      <w:r>
        <w:rPr>
          <w:color w:val="231F20"/>
          <w:sz w:val="20"/>
        </w:rPr>
        <w:t>por consiguiente, mayor disponibilidad de mano de obra </w:t>
      </w:r>
      <w:r>
        <w:rPr>
          <w:color w:val="231F20"/>
          <w:spacing w:val="-3"/>
          <w:sz w:val="20"/>
        </w:rPr>
        <w:t>familiar. </w:t>
      </w:r>
      <w:r>
        <w:rPr>
          <w:color w:val="231F20"/>
          <w:sz w:val="20"/>
        </w:rPr>
        <w:t>Además, este </w:t>
      </w:r>
      <w:r>
        <w:rPr>
          <w:color w:val="231F20"/>
          <w:spacing w:val="-2"/>
          <w:sz w:val="20"/>
        </w:rPr>
        <w:t>factor </w:t>
      </w:r>
      <w:r>
        <w:rPr>
          <w:color w:val="231F20"/>
          <w:sz w:val="20"/>
        </w:rPr>
        <w:t>hace referencia a una mayor disponibilidad de hectáreas.</w:t>
      </w:r>
    </w:p>
    <w:p>
      <w:pPr>
        <w:pStyle w:val="BodyText"/>
        <w:spacing w:line="256" w:lineRule="auto" w:before="114"/>
        <w:ind w:left="413" w:right="1551"/>
        <w:jc w:val="both"/>
      </w:pPr>
      <w:r>
        <w:rPr>
          <w:color w:val="231F20"/>
        </w:rPr>
        <w:t>De estos factores se identificaron  cuatro  grupos de productores, cuyas principales características se muestran en el Cuadro  1:</w:t>
      </w:r>
    </w:p>
    <w:p>
      <w:pPr>
        <w:spacing w:after="0" w:line="256" w:lineRule="auto"/>
        <w:jc w:val="both"/>
        <w:sectPr>
          <w:type w:val="continuous"/>
          <w:pgSz w:w="11900" w:h="14450"/>
          <w:pgMar w:top="420" w:bottom="420" w:left="0" w:right="0"/>
          <w:cols w:num="2" w:equalWidth="0">
            <w:col w:w="5722" w:space="40"/>
            <w:col w:w="6138"/>
          </w:cols>
        </w:sectPr>
      </w:pPr>
    </w:p>
    <w:p>
      <w:pPr>
        <w:pStyle w:val="BodyText"/>
        <w:spacing w:before="7"/>
        <w:rPr>
          <w:sz w:val="23"/>
        </w:rPr>
      </w:pPr>
    </w:p>
    <w:p>
      <w:pPr>
        <w:spacing w:before="72"/>
        <w:ind w:left="1553" w:right="2503" w:firstLine="0"/>
        <w:jc w:val="left"/>
        <w:rPr>
          <w:sz w:val="18"/>
        </w:rPr>
      </w:pPr>
      <w:r>
        <w:rPr>
          <w:color w:val="231F20"/>
          <w:sz w:val="18"/>
        </w:rPr>
        <w:t>Cuadro 1.   Características de los cuatro grupos  identificados.</w:t>
      </w:r>
    </w:p>
    <w:p>
      <w:pPr>
        <w:pStyle w:val="BodyText"/>
        <w:rPr>
          <w:sz w:val="12"/>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37"/>
        <w:gridCol w:w="765"/>
        <w:gridCol w:w="921"/>
        <w:gridCol w:w="666"/>
        <w:gridCol w:w="921"/>
        <w:gridCol w:w="539"/>
        <w:gridCol w:w="921"/>
        <w:gridCol w:w="652"/>
        <w:gridCol w:w="921"/>
        <w:gridCol w:w="562"/>
      </w:tblGrid>
      <w:tr>
        <w:trPr>
          <w:trHeight w:val="369" w:hRule="exact"/>
        </w:trPr>
        <w:tc>
          <w:tcPr>
            <w:tcW w:w="1937" w:type="dxa"/>
            <w:vMerge w:val="restart"/>
            <w:tcBorders>
              <w:left w:val="nil"/>
            </w:tcBorders>
          </w:tcPr>
          <w:p>
            <w:pPr>
              <w:pStyle w:val="TableParagraph"/>
              <w:spacing w:before="7"/>
              <w:rPr>
                <w:sz w:val="21"/>
              </w:rPr>
            </w:pPr>
          </w:p>
          <w:p>
            <w:pPr>
              <w:pStyle w:val="TableParagraph"/>
              <w:spacing w:before="0"/>
              <w:ind w:left="599"/>
              <w:rPr>
                <w:rFonts w:ascii="Cambria"/>
                <w:i/>
                <w:sz w:val="18"/>
              </w:rPr>
            </w:pPr>
            <w:r>
              <w:rPr>
                <w:rFonts w:ascii="Cambria"/>
                <w:i/>
                <w:color w:val="231F20"/>
                <w:w w:val="105"/>
                <w:sz w:val="18"/>
              </w:rPr>
              <w:t>Variables</w:t>
            </w:r>
          </w:p>
        </w:tc>
        <w:tc>
          <w:tcPr>
            <w:tcW w:w="765" w:type="dxa"/>
            <w:vMerge w:val="restart"/>
          </w:tcPr>
          <w:p>
            <w:pPr>
              <w:pStyle w:val="TableParagraph"/>
              <w:spacing w:before="7"/>
              <w:rPr>
                <w:sz w:val="21"/>
              </w:rPr>
            </w:pPr>
          </w:p>
          <w:p>
            <w:pPr>
              <w:pStyle w:val="TableParagraph"/>
              <w:spacing w:before="0"/>
              <w:ind w:left="83"/>
              <w:rPr>
                <w:rFonts w:ascii="Cambria"/>
                <w:i/>
                <w:sz w:val="18"/>
              </w:rPr>
            </w:pPr>
            <w:r>
              <w:rPr>
                <w:rFonts w:ascii="Cambria"/>
                <w:i/>
                <w:color w:val="231F20"/>
                <w:w w:val="110"/>
                <w:sz w:val="18"/>
              </w:rPr>
              <w:t>Unidad</w:t>
            </w:r>
          </w:p>
        </w:tc>
        <w:tc>
          <w:tcPr>
            <w:tcW w:w="1587" w:type="dxa"/>
            <w:gridSpan w:val="2"/>
          </w:tcPr>
          <w:p>
            <w:pPr>
              <w:pStyle w:val="TableParagraph"/>
              <w:spacing w:before="79"/>
              <w:ind w:left="96"/>
              <w:rPr>
                <w:rFonts w:ascii="Cambria"/>
                <w:i/>
                <w:sz w:val="18"/>
              </w:rPr>
            </w:pPr>
            <w:r>
              <w:rPr>
                <w:rFonts w:ascii="Cambria"/>
                <w:i/>
                <w:color w:val="231F20"/>
                <w:w w:val="110"/>
                <w:sz w:val="18"/>
              </w:rPr>
              <w:t>Grupo 1 (n = 15)</w:t>
            </w:r>
          </w:p>
        </w:tc>
        <w:tc>
          <w:tcPr>
            <w:tcW w:w="1460" w:type="dxa"/>
            <w:gridSpan w:val="2"/>
          </w:tcPr>
          <w:p>
            <w:pPr>
              <w:pStyle w:val="TableParagraph"/>
              <w:spacing w:before="79"/>
              <w:ind w:left="60"/>
              <w:rPr>
                <w:rFonts w:ascii="Cambria"/>
                <w:i/>
                <w:sz w:val="18"/>
              </w:rPr>
            </w:pPr>
            <w:r>
              <w:rPr>
                <w:rFonts w:ascii="Cambria"/>
                <w:i/>
                <w:color w:val="231F20"/>
                <w:w w:val="110"/>
                <w:sz w:val="18"/>
              </w:rPr>
              <w:t>Grupo 2 (n = 41)</w:t>
            </w:r>
          </w:p>
        </w:tc>
        <w:tc>
          <w:tcPr>
            <w:tcW w:w="1573" w:type="dxa"/>
            <w:gridSpan w:val="2"/>
          </w:tcPr>
          <w:p>
            <w:pPr>
              <w:pStyle w:val="TableParagraph"/>
              <w:spacing w:before="79"/>
              <w:ind w:left="118"/>
              <w:rPr>
                <w:rFonts w:ascii="Cambria"/>
                <w:i/>
                <w:sz w:val="18"/>
              </w:rPr>
            </w:pPr>
            <w:r>
              <w:rPr>
                <w:rFonts w:ascii="Cambria"/>
                <w:i/>
                <w:color w:val="231F20"/>
                <w:w w:val="110"/>
                <w:sz w:val="18"/>
              </w:rPr>
              <w:t>Grupo 3 (n = 37)</w:t>
            </w:r>
          </w:p>
        </w:tc>
        <w:tc>
          <w:tcPr>
            <w:tcW w:w="1483" w:type="dxa"/>
            <w:gridSpan w:val="2"/>
            <w:tcBorders>
              <w:right w:val="nil"/>
            </w:tcBorders>
          </w:tcPr>
          <w:p>
            <w:pPr>
              <w:pStyle w:val="TableParagraph"/>
              <w:spacing w:before="79"/>
              <w:ind w:left="71"/>
              <w:rPr>
                <w:rFonts w:ascii="Cambria"/>
                <w:i/>
                <w:sz w:val="18"/>
              </w:rPr>
            </w:pPr>
            <w:r>
              <w:rPr>
                <w:rFonts w:ascii="Cambria"/>
                <w:i/>
                <w:color w:val="231F20"/>
                <w:w w:val="110"/>
                <w:sz w:val="18"/>
              </w:rPr>
              <w:t>Grupo 4 (n = 22)</w:t>
            </w:r>
          </w:p>
        </w:tc>
      </w:tr>
      <w:tr>
        <w:trPr>
          <w:trHeight w:val="369" w:hRule="exact"/>
        </w:trPr>
        <w:tc>
          <w:tcPr>
            <w:tcW w:w="1937" w:type="dxa"/>
            <w:vMerge/>
            <w:tcBorders>
              <w:left w:val="nil"/>
            </w:tcBorders>
          </w:tcPr>
          <w:p>
            <w:pPr/>
          </w:p>
        </w:tc>
        <w:tc>
          <w:tcPr>
            <w:tcW w:w="765" w:type="dxa"/>
            <w:vMerge/>
          </w:tcPr>
          <w:p>
            <w:pPr/>
          </w:p>
        </w:tc>
        <w:tc>
          <w:tcPr>
            <w:tcW w:w="921" w:type="dxa"/>
          </w:tcPr>
          <w:p>
            <w:pPr>
              <w:pStyle w:val="TableParagraph"/>
              <w:spacing w:before="79"/>
              <w:ind w:left="69"/>
              <w:rPr>
                <w:rFonts w:ascii="Cambria"/>
                <w:i/>
                <w:sz w:val="18"/>
              </w:rPr>
            </w:pPr>
            <w:r>
              <w:rPr>
                <w:rFonts w:ascii="Cambria"/>
                <w:i/>
                <w:color w:val="231F20"/>
                <w:w w:val="105"/>
                <w:sz w:val="18"/>
              </w:rPr>
              <w:t>Promedio</w:t>
            </w:r>
          </w:p>
        </w:tc>
        <w:tc>
          <w:tcPr>
            <w:tcW w:w="666" w:type="dxa"/>
          </w:tcPr>
          <w:p>
            <w:pPr>
              <w:pStyle w:val="TableParagraph"/>
              <w:spacing w:before="79"/>
              <w:ind w:left="217"/>
              <w:rPr>
                <w:rFonts w:ascii="Cambria"/>
                <w:i/>
                <w:sz w:val="18"/>
              </w:rPr>
            </w:pPr>
            <w:r>
              <w:rPr>
                <w:rFonts w:ascii="Cambria"/>
                <w:i/>
                <w:color w:val="231F20"/>
                <w:sz w:val="18"/>
              </w:rPr>
              <w:t>DE</w:t>
            </w:r>
          </w:p>
        </w:tc>
        <w:tc>
          <w:tcPr>
            <w:tcW w:w="921" w:type="dxa"/>
          </w:tcPr>
          <w:p>
            <w:pPr>
              <w:pStyle w:val="TableParagraph"/>
              <w:spacing w:before="79"/>
              <w:ind w:left="69"/>
              <w:rPr>
                <w:rFonts w:ascii="Cambria"/>
                <w:i/>
                <w:sz w:val="18"/>
              </w:rPr>
            </w:pPr>
            <w:r>
              <w:rPr>
                <w:rFonts w:ascii="Cambria"/>
                <w:i/>
                <w:color w:val="231F20"/>
                <w:w w:val="105"/>
                <w:sz w:val="18"/>
              </w:rPr>
              <w:t>Promedio</w:t>
            </w:r>
          </w:p>
        </w:tc>
        <w:tc>
          <w:tcPr>
            <w:tcW w:w="539" w:type="dxa"/>
          </w:tcPr>
          <w:p>
            <w:pPr>
              <w:pStyle w:val="TableParagraph"/>
              <w:spacing w:before="79"/>
              <w:ind w:left="153"/>
              <w:rPr>
                <w:rFonts w:ascii="Cambria"/>
                <w:i/>
                <w:sz w:val="18"/>
              </w:rPr>
            </w:pPr>
            <w:r>
              <w:rPr>
                <w:rFonts w:ascii="Cambria"/>
                <w:i/>
                <w:color w:val="231F20"/>
                <w:sz w:val="18"/>
              </w:rPr>
              <w:t>DE</w:t>
            </w:r>
          </w:p>
        </w:tc>
        <w:tc>
          <w:tcPr>
            <w:tcW w:w="921" w:type="dxa"/>
          </w:tcPr>
          <w:p>
            <w:pPr>
              <w:pStyle w:val="TableParagraph"/>
              <w:spacing w:before="79"/>
              <w:ind w:left="69"/>
              <w:rPr>
                <w:rFonts w:ascii="Cambria"/>
                <w:i/>
                <w:sz w:val="18"/>
              </w:rPr>
            </w:pPr>
            <w:r>
              <w:rPr>
                <w:rFonts w:ascii="Cambria"/>
                <w:i/>
                <w:color w:val="231F20"/>
                <w:w w:val="105"/>
                <w:sz w:val="18"/>
              </w:rPr>
              <w:t>Promedio</w:t>
            </w:r>
          </w:p>
        </w:tc>
        <w:tc>
          <w:tcPr>
            <w:tcW w:w="652" w:type="dxa"/>
          </w:tcPr>
          <w:p>
            <w:pPr>
              <w:pStyle w:val="TableParagraph"/>
              <w:spacing w:before="79"/>
              <w:ind w:left="210"/>
              <w:rPr>
                <w:rFonts w:ascii="Cambria"/>
                <w:i/>
                <w:sz w:val="18"/>
              </w:rPr>
            </w:pPr>
            <w:r>
              <w:rPr>
                <w:rFonts w:ascii="Cambria"/>
                <w:i/>
                <w:color w:val="231F20"/>
                <w:sz w:val="18"/>
              </w:rPr>
              <w:t>DE</w:t>
            </w:r>
          </w:p>
        </w:tc>
        <w:tc>
          <w:tcPr>
            <w:tcW w:w="921" w:type="dxa"/>
          </w:tcPr>
          <w:p>
            <w:pPr>
              <w:pStyle w:val="TableParagraph"/>
              <w:spacing w:before="79"/>
              <w:ind w:left="69"/>
              <w:rPr>
                <w:rFonts w:ascii="Cambria"/>
                <w:i/>
                <w:sz w:val="18"/>
              </w:rPr>
            </w:pPr>
            <w:r>
              <w:rPr>
                <w:rFonts w:ascii="Cambria"/>
                <w:i/>
                <w:color w:val="231F20"/>
                <w:w w:val="105"/>
                <w:sz w:val="18"/>
              </w:rPr>
              <w:t>Promedio</w:t>
            </w:r>
          </w:p>
        </w:tc>
        <w:tc>
          <w:tcPr>
            <w:tcW w:w="562" w:type="dxa"/>
            <w:tcBorders>
              <w:right w:val="nil"/>
            </w:tcBorders>
          </w:tcPr>
          <w:p>
            <w:pPr>
              <w:pStyle w:val="TableParagraph"/>
              <w:spacing w:before="79"/>
              <w:ind w:left="165"/>
              <w:rPr>
                <w:rFonts w:ascii="Cambria"/>
                <w:i/>
                <w:sz w:val="18"/>
              </w:rPr>
            </w:pPr>
            <w:r>
              <w:rPr>
                <w:rFonts w:ascii="Cambria"/>
                <w:i/>
                <w:color w:val="231F20"/>
                <w:sz w:val="18"/>
              </w:rPr>
              <w:t>DE</w:t>
            </w:r>
          </w:p>
        </w:tc>
      </w:tr>
    </w:tbl>
    <w:p>
      <w:pPr>
        <w:spacing w:before="102"/>
        <w:ind w:left="1610" w:right="2503" w:firstLine="0"/>
        <w:jc w:val="left"/>
        <w:rPr>
          <w:rFonts w:ascii="Cambria" w:hAnsi="Cambria"/>
          <w:i/>
          <w:sz w:val="18"/>
        </w:rPr>
      </w:pPr>
      <w:r>
        <w:rPr>
          <w:rFonts w:ascii="Cambria" w:hAnsi="Cambria"/>
          <w:i/>
          <w:color w:val="231F20"/>
          <w:w w:val="110"/>
          <w:sz w:val="18"/>
        </w:rPr>
        <w:t>Socioeconómicas</w:t>
      </w:r>
    </w:p>
    <w:p>
      <w:pPr>
        <w:pStyle w:val="BodyText"/>
        <w:spacing w:before="9"/>
        <w:rPr>
          <w:rFonts w:ascii="Cambria"/>
          <w:i/>
          <w:sz w:val="7"/>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37"/>
        <w:gridCol w:w="765"/>
        <w:gridCol w:w="921"/>
        <w:gridCol w:w="666"/>
        <w:gridCol w:w="921"/>
        <w:gridCol w:w="539"/>
        <w:gridCol w:w="921"/>
        <w:gridCol w:w="652"/>
        <w:gridCol w:w="921"/>
        <w:gridCol w:w="562"/>
      </w:tblGrid>
      <w:tr>
        <w:trPr>
          <w:trHeight w:val="354" w:hRule="exact"/>
        </w:trPr>
        <w:tc>
          <w:tcPr>
            <w:tcW w:w="1937" w:type="dxa"/>
            <w:tcBorders>
              <w:left w:val="nil"/>
            </w:tcBorders>
          </w:tcPr>
          <w:p>
            <w:pPr>
              <w:pStyle w:val="TableParagraph"/>
              <w:ind w:left="56"/>
              <w:rPr>
                <w:sz w:val="17"/>
              </w:rPr>
            </w:pPr>
            <w:r>
              <w:rPr>
                <w:color w:val="231F20"/>
                <w:sz w:val="17"/>
              </w:rPr>
              <w:t>Edad del productor</w:t>
            </w:r>
          </w:p>
        </w:tc>
        <w:tc>
          <w:tcPr>
            <w:tcW w:w="765" w:type="dxa"/>
          </w:tcPr>
          <w:p>
            <w:pPr>
              <w:pStyle w:val="TableParagraph"/>
              <w:ind w:left="51" w:right="129"/>
              <w:rPr>
                <w:sz w:val="17"/>
              </w:rPr>
            </w:pPr>
            <w:r>
              <w:rPr>
                <w:color w:val="231F20"/>
                <w:sz w:val="17"/>
              </w:rPr>
              <w:t>Años</w:t>
            </w:r>
          </w:p>
        </w:tc>
        <w:tc>
          <w:tcPr>
            <w:tcW w:w="921" w:type="dxa"/>
          </w:tcPr>
          <w:p>
            <w:pPr>
              <w:pStyle w:val="TableParagraph"/>
              <w:ind w:left="189" w:right="236"/>
              <w:jc w:val="center"/>
              <w:rPr>
                <w:sz w:val="17"/>
              </w:rPr>
            </w:pPr>
            <w:r>
              <w:rPr>
                <w:color w:val="231F20"/>
                <w:w w:val="115"/>
                <w:sz w:val="17"/>
              </w:rPr>
              <w:t>50</w:t>
            </w:r>
          </w:p>
        </w:tc>
        <w:tc>
          <w:tcPr>
            <w:tcW w:w="666" w:type="dxa"/>
          </w:tcPr>
          <w:p>
            <w:pPr>
              <w:pStyle w:val="TableParagraph"/>
              <w:ind w:right="113"/>
              <w:jc w:val="right"/>
              <w:rPr>
                <w:sz w:val="17"/>
              </w:rPr>
            </w:pPr>
            <w:r>
              <w:rPr>
                <w:color w:val="231F20"/>
                <w:w w:val="110"/>
                <w:sz w:val="17"/>
              </w:rPr>
              <w:t>11,82</w:t>
            </w:r>
          </w:p>
        </w:tc>
        <w:tc>
          <w:tcPr>
            <w:tcW w:w="921" w:type="dxa"/>
          </w:tcPr>
          <w:p>
            <w:pPr>
              <w:pStyle w:val="TableParagraph"/>
              <w:ind w:left="278"/>
              <w:rPr>
                <w:sz w:val="17"/>
              </w:rPr>
            </w:pPr>
            <w:r>
              <w:rPr>
                <w:color w:val="231F20"/>
                <w:w w:val="115"/>
                <w:sz w:val="17"/>
              </w:rPr>
              <w:t>46</w:t>
            </w:r>
          </w:p>
        </w:tc>
        <w:tc>
          <w:tcPr>
            <w:tcW w:w="539" w:type="dxa"/>
          </w:tcPr>
          <w:p>
            <w:pPr>
              <w:pStyle w:val="TableParagraph"/>
              <w:ind w:right="49"/>
              <w:jc w:val="right"/>
              <w:rPr>
                <w:sz w:val="17"/>
              </w:rPr>
            </w:pPr>
            <w:r>
              <w:rPr>
                <w:color w:val="231F20"/>
                <w:w w:val="110"/>
                <w:sz w:val="17"/>
              </w:rPr>
              <w:t>11,80</w:t>
            </w:r>
          </w:p>
        </w:tc>
        <w:tc>
          <w:tcPr>
            <w:tcW w:w="921" w:type="dxa"/>
          </w:tcPr>
          <w:p>
            <w:pPr>
              <w:pStyle w:val="TableParagraph"/>
              <w:ind w:left="221"/>
              <w:rPr>
                <w:sz w:val="17"/>
              </w:rPr>
            </w:pPr>
            <w:r>
              <w:rPr>
                <w:color w:val="231F20"/>
                <w:w w:val="115"/>
                <w:sz w:val="17"/>
              </w:rPr>
              <w:t>50</w:t>
            </w:r>
          </w:p>
        </w:tc>
        <w:tc>
          <w:tcPr>
            <w:tcW w:w="652" w:type="dxa"/>
          </w:tcPr>
          <w:p>
            <w:pPr>
              <w:pStyle w:val="TableParagraph"/>
              <w:ind w:right="108"/>
              <w:jc w:val="right"/>
              <w:rPr>
                <w:sz w:val="17"/>
              </w:rPr>
            </w:pPr>
            <w:r>
              <w:rPr>
                <w:color w:val="231F20"/>
                <w:w w:val="110"/>
                <w:sz w:val="17"/>
              </w:rPr>
              <w:t>15,30</w:t>
            </w:r>
          </w:p>
        </w:tc>
        <w:tc>
          <w:tcPr>
            <w:tcW w:w="921" w:type="dxa"/>
          </w:tcPr>
          <w:p>
            <w:pPr>
              <w:pStyle w:val="TableParagraph"/>
              <w:ind w:left="221"/>
              <w:rPr>
                <w:sz w:val="17"/>
              </w:rPr>
            </w:pPr>
            <w:r>
              <w:rPr>
                <w:color w:val="231F20"/>
                <w:w w:val="115"/>
                <w:sz w:val="17"/>
              </w:rPr>
              <w:t>56</w:t>
            </w:r>
          </w:p>
        </w:tc>
        <w:tc>
          <w:tcPr>
            <w:tcW w:w="562" w:type="dxa"/>
            <w:tcBorders>
              <w:right w:val="nil"/>
            </w:tcBorders>
          </w:tcPr>
          <w:p>
            <w:pPr>
              <w:pStyle w:val="TableParagraph"/>
              <w:ind w:left="40" w:right="44"/>
              <w:jc w:val="center"/>
              <w:rPr>
                <w:sz w:val="17"/>
              </w:rPr>
            </w:pPr>
            <w:r>
              <w:rPr>
                <w:color w:val="231F20"/>
                <w:w w:val="110"/>
                <w:sz w:val="17"/>
              </w:rPr>
              <w:t>13,24</w:t>
            </w:r>
          </w:p>
        </w:tc>
      </w:tr>
      <w:tr>
        <w:trPr>
          <w:trHeight w:val="354" w:hRule="exact"/>
        </w:trPr>
        <w:tc>
          <w:tcPr>
            <w:tcW w:w="1937" w:type="dxa"/>
            <w:tcBorders>
              <w:left w:val="nil"/>
            </w:tcBorders>
          </w:tcPr>
          <w:p>
            <w:pPr>
              <w:pStyle w:val="TableParagraph"/>
              <w:ind w:left="56"/>
              <w:rPr>
                <w:sz w:val="17"/>
              </w:rPr>
            </w:pPr>
            <w:r>
              <w:rPr>
                <w:color w:val="231F20"/>
                <w:sz w:val="17"/>
              </w:rPr>
              <w:t>Educación del productor</w:t>
            </w:r>
          </w:p>
        </w:tc>
        <w:tc>
          <w:tcPr>
            <w:tcW w:w="765" w:type="dxa"/>
          </w:tcPr>
          <w:p>
            <w:pPr>
              <w:pStyle w:val="TableParagraph"/>
              <w:ind w:left="51" w:right="129"/>
              <w:rPr>
                <w:sz w:val="17"/>
              </w:rPr>
            </w:pPr>
            <w:r>
              <w:rPr>
                <w:color w:val="231F20"/>
                <w:sz w:val="17"/>
              </w:rPr>
              <w:t>Años</w:t>
            </w:r>
          </w:p>
        </w:tc>
        <w:tc>
          <w:tcPr>
            <w:tcW w:w="921" w:type="dxa"/>
          </w:tcPr>
          <w:p>
            <w:pPr>
              <w:pStyle w:val="TableParagraph"/>
              <w:ind w:left="309" w:right="147"/>
              <w:jc w:val="center"/>
              <w:rPr>
                <w:sz w:val="17"/>
              </w:rPr>
            </w:pPr>
            <w:r>
              <w:rPr>
                <w:color w:val="231F20"/>
                <w:w w:val="110"/>
                <w:sz w:val="17"/>
              </w:rPr>
              <w:t>5,6</w:t>
            </w:r>
          </w:p>
        </w:tc>
        <w:tc>
          <w:tcPr>
            <w:tcW w:w="666" w:type="dxa"/>
          </w:tcPr>
          <w:p>
            <w:pPr>
              <w:pStyle w:val="TableParagraph"/>
              <w:ind w:right="118"/>
              <w:jc w:val="right"/>
              <w:rPr>
                <w:sz w:val="17"/>
              </w:rPr>
            </w:pPr>
            <w:r>
              <w:rPr>
                <w:color w:val="231F20"/>
                <w:w w:val="110"/>
                <w:sz w:val="17"/>
              </w:rPr>
              <w:t>3,52</w:t>
            </w:r>
          </w:p>
        </w:tc>
        <w:tc>
          <w:tcPr>
            <w:tcW w:w="921" w:type="dxa"/>
          </w:tcPr>
          <w:p>
            <w:pPr>
              <w:pStyle w:val="TableParagraph"/>
              <w:ind w:left="363"/>
              <w:rPr>
                <w:sz w:val="17"/>
              </w:rPr>
            </w:pPr>
            <w:r>
              <w:rPr>
                <w:color w:val="231F20"/>
                <w:w w:val="110"/>
                <w:sz w:val="17"/>
              </w:rPr>
              <w:t>5,05</w:t>
            </w:r>
          </w:p>
        </w:tc>
        <w:tc>
          <w:tcPr>
            <w:tcW w:w="539" w:type="dxa"/>
          </w:tcPr>
          <w:p>
            <w:pPr>
              <w:pStyle w:val="TableParagraph"/>
              <w:ind w:right="56"/>
              <w:jc w:val="right"/>
              <w:rPr>
                <w:sz w:val="17"/>
              </w:rPr>
            </w:pPr>
            <w:r>
              <w:rPr>
                <w:color w:val="231F20"/>
                <w:w w:val="110"/>
                <w:sz w:val="17"/>
              </w:rPr>
              <w:t>2,81</w:t>
            </w:r>
          </w:p>
        </w:tc>
        <w:tc>
          <w:tcPr>
            <w:tcW w:w="921" w:type="dxa"/>
          </w:tcPr>
          <w:p>
            <w:pPr>
              <w:pStyle w:val="TableParagraph"/>
              <w:ind w:left="306"/>
              <w:rPr>
                <w:sz w:val="17"/>
              </w:rPr>
            </w:pPr>
            <w:r>
              <w:rPr>
                <w:color w:val="231F20"/>
                <w:w w:val="110"/>
                <w:sz w:val="17"/>
              </w:rPr>
              <w:t>5,03</w:t>
            </w:r>
          </w:p>
        </w:tc>
        <w:tc>
          <w:tcPr>
            <w:tcW w:w="652" w:type="dxa"/>
          </w:tcPr>
          <w:p>
            <w:pPr>
              <w:pStyle w:val="TableParagraph"/>
              <w:ind w:right="111"/>
              <w:jc w:val="right"/>
              <w:rPr>
                <w:sz w:val="17"/>
              </w:rPr>
            </w:pPr>
            <w:r>
              <w:rPr>
                <w:color w:val="231F20"/>
                <w:w w:val="110"/>
                <w:sz w:val="17"/>
              </w:rPr>
              <w:t>3,33</w:t>
            </w:r>
          </w:p>
        </w:tc>
        <w:tc>
          <w:tcPr>
            <w:tcW w:w="921" w:type="dxa"/>
          </w:tcPr>
          <w:p>
            <w:pPr>
              <w:pStyle w:val="TableParagraph"/>
              <w:ind w:left="306"/>
              <w:rPr>
                <w:sz w:val="17"/>
              </w:rPr>
            </w:pPr>
            <w:r>
              <w:rPr>
                <w:color w:val="231F20"/>
                <w:w w:val="110"/>
                <w:sz w:val="17"/>
              </w:rPr>
              <w:t>7,27</w:t>
            </w:r>
          </w:p>
        </w:tc>
        <w:tc>
          <w:tcPr>
            <w:tcW w:w="562" w:type="dxa"/>
            <w:tcBorders>
              <w:right w:val="nil"/>
            </w:tcBorders>
          </w:tcPr>
          <w:p>
            <w:pPr>
              <w:pStyle w:val="TableParagraph"/>
              <w:ind w:left="119" w:right="47"/>
              <w:jc w:val="center"/>
              <w:rPr>
                <w:sz w:val="17"/>
              </w:rPr>
            </w:pPr>
            <w:r>
              <w:rPr>
                <w:color w:val="231F20"/>
                <w:w w:val="110"/>
                <w:sz w:val="17"/>
              </w:rPr>
              <w:t>4,72</w:t>
            </w:r>
          </w:p>
        </w:tc>
      </w:tr>
      <w:tr>
        <w:trPr>
          <w:trHeight w:val="354" w:hRule="exact"/>
        </w:trPr>
        <w:tc>
          <w:tcPr>
            <w:tcW w:w="1937" w:type="dxa"/>
            <w:tcBorders>
              <w:left w:val="nil"/>
            </w:tcBorders>
          </w:tcPr>
          <w:p>
            <w:pPr>
              <w:pStyle w:val="TableParagraph"/>
              <w:ind w:left="56"/>
              <w:rPr>
                <w:sz w:val="17"/>
              </w:rPr>
            </w:pPr>
            <w:r>
              <w:rPr>
                <w:color w:val="231F20"/>
                <w:sz w:val="17"/>
              </w:rPr>
              <w:t>Experiencia del productor</w:t>
            </w:r>
          </w:p>
        </w:tc>
        <w:tc>
          <w:tcPr>
            <w:tcW w:w="765" w:type="dxa"/>
          </w:tcPr>
          <w:p>
            <w:pPr>
              <w:pStyle w:val="TableParagraph"/>
              <w:ind w:left="51" w:right="129"/>
              <w:rPr>
                <w:sz w:val="17"/>
              </w:rPr>
            </w:pPr>
            <w:r>
              <w:rPr>
                <w:color w:val="231F20"/>
                <w:sz w:val="17"/>
              </w:rPr>
              <w:t>Años</w:t>
            </w:r>
          </w:p>
        </w:tc>
        <w:tc>
          <w:tcPr>
            <w:tcW w:w="921" w:type="dxa"/>
          </w:tcPr>
          <w:p>
            <w:pPr>
              <w:pStyle w:val="TableParagraph"/>
              <w:ind w:left="189" w:right="236"/>
              <w:jc w:val="center"/>
              <w:rPr>
                <w:sz w:val="17"/>
              </w:rPr>
            </w:pPr>
            <w:r>
              <w:rPr>
                <w:color w:val="231F20"/>
                <w:w w:val="115"/>
                <w:sz w:val="17"/>
              </w:rPr>
              <w:t>30</w:t>
            </w:r>
          </w:p>
        </w:tc>
        <w:tc>
          <w:tcPr>
            <w:tcW w:w="666" w:type="dxa"/>
          </w:tcPr>
          <w:p>
            <w:pPr>
              <w:pStyle w:val="TableParagraph"/>
              <w:ind w:right="124"/>
              <w:jc w:val="right"/>
              <w:rPr>
                <w:sz w:val="17"/>
              </w:rPr>
            </w:pPr>
            <w:r>
              <w:rPr>
                <w:color w:val="231F20"/>
                <w:w w:val="110"/>
                <w:sz w:val="17"/>
              </w:rPr>
              <w:t>15,11</w:t>
            </w:r>
          </w:p>
        </w:tc>
        <w:tc>
          <w:tcPr>
            <w:tcW w:w="921" w:type="dxa"/>
          </w:tcPr>
          <w:p>
            <w:pPr>
              <w:pStyle w:val="TableParagraph"/>
              <w:ind w:left="278"/>
              <w:rPr>
                <w:sz w:val="17"/>
              </w:rPr>
            </w:pPr>
            <w:r>
              <w:rPr>
                <w:color w:val="231F20"/>
                <w:w w:val="115"/>
                <w:sz w:val="17"/>
              </w:rPr>
              <w:t>20</w:t>
            </w:r>
          </w:p>
        </w:tc>
        <w:tc>
          <w:tcPr>
            <w:tcW w:w="539" w:type="dxa"/>
          </w:tcPr>
          <w:p>
            <w:pPr>
              <w:pStyle w:val="TableParagraph"/>
              <w:ind w:right="51"/>
              <w:jc w:val="right"/>
              <w:rPr>
                <w:sz w:val="17"/>
              </w:rPr>
            </w:pPr>
            <w:r>
              <w:rPr>
                <w:color w:val="231F20"/>
                <w:w w:val="110"/>
                <w:sz w:val="17"/>
              </w:rPr>
              <w:t>15,33</w:t>
            </w:r>
          </w:p>
        </w:tc>
        <w:tc>
          <w:tcPr>
            <w:tcW w:w="921" w:type="dxa"/>
          </w:tcPr>
          <w:p>
            <w:pPr>
              <w:pStyle w:val="TableParagraph"/>
              <w:ind w:left="221"/>
              <w:rPr>
                <w:sz w:val="17"/>
              </w:rPr>
            </w:pPr>
            <w:r>
              <w:rPr>
                <w:color w:val="231F20"/>
                <w:w w:val="115"/>
                <w:sz w:val="17"/>
              </w:rPr>
              <w:t>30</w:t>
            </w:r>
          </w:p>
        </w:tc>
        <w:tc>
          <w:tcPr>
            <w:tcW w:w="652" w:type="dxa"/>
          </w:tcPr>
          <w:p>
            <w:pPr>
              <w:pStyle w:val="TableParagraph"/>
              <w:ind w:right="106"/>
              <w:jc w:val="right"/>
              <w:rPr>
                <w:sz w:val="17"/>
              </w:rPr>
            </w:pPr>
            <w:r>
              <w:rPr>
                <w:color w:val="231F20"/>
                <w:w w:val="110"/>
                <w:sz w:val="17"/>
              </w:rPr>
              <w:t>12,90</w:t>
            </w:r>
          </w:p>
        </w:tc>
        <w:tc>
          <w:tcPr>
            <w:tcW w:w="921" w:type="dxa"/>
          </w:tcPr>
          <w:p>
            <w:pPr>
              <w:pStyle w:val="TableParagraph"/>
              <w:ind w:left="221"/>
              <w:rPr>
                <w:sz w:val="17"/>
              </w:rPr>
            </w:pPr>
            <w:r>
              <w:rPr>
                <w:color w:val="231F20"/>
                <w:w w:val="115"/>
                <w:sz w:val="17"/>
              </w:rPr>
              <w:t>24</w:t>
            </w:r>
          </w:p>
        </w:tc>
        <w:tc>
          <w:tcPr>
            <w:tcW w:w="562" w:type="dxa"/>
            <w:tcBorders>
              <w:right w:val="nil"/>
            </w:tcBorders>
          </w:tcPr>
          <w:p>
            <w:pPr>
              <w:pStyle w:val="TableParagraph"/>
              <w:ind w:left="37" w:right="47"/>
              <w:jc w:val="center"/>
              <w:rPr>
                <w:sz w:val="17"/>
              </w:rPr>
            </w:pPr>
            <w:r>
              <w:rPr>
                <w:color w:val="231F20"/>
                <w:w w:val="110"/>
                <w:sz w:val="17"/>
              </w:rPr>
              <w:t>14,76</w:t>
            </w:r>
          </w:p>
        </w:tc>
      </w:tr>
      <w:tr>
        <w:trPr>
          <w:trHeight w:val="354" w:hRule="exact"/>
        </w:trPr>
        <w:tc>
          <w:tcPr>
            <w:tcW w:w="1937" w:type="dxa"/>
            <w:tcBorders>
              <w:left w:val="nil"/>
            </w:tcBorders>
          </w:tcPr>
          <w:p>
            <w:pPr>
              <w:pStyle w:val="TableParagraph"/>
              <w:ind w:left="56"/>
              <w:rPr>
                <w:sz w:val="17"/>
              </w:rPr>
            </w:pPr>
            <w:r>
              <w:rPr>
                <w:color w:val="231F20"/>
                <w:sz w:val="17"/>
              </w:rPr>
              <w:t>Miembros de la familia</w:t>
            </w:r>
          </w:p>
        </w:tc>
        <w:tc>
          <w:tcPr>
            <w:tcW w:w="765" w:type="dxa"/>
          </w:tcPr>
          <w:p>
            <w:pPr>
              <w:pStyle w:val="TableParagraph"/>
              <w:ind w:left="51"/>
              <w:rPr>
                <w:sz w:val="17"/>
              </w:rPr>
            </w:pPr>
            <w:r>
              <w:rPr>
                <w:color w:val="231F20"/>
                <w:sz w:val="17"/>
              </w:rPr>
              <w:t>Personas</w:t>
            </w:r>
          </w:p>
        </w:tc>
        <w:tc>
          <w:tcPr>
            <w:tcW w:w="921" w:type="dxa"/>
          </w:tcPr>
          <w:p>
            <w:pPr>
              <w:pStyle w:val="TableParagraph"/>
              <w:ind w:left="28"/>
              <w:jc w:val="center"/>
              <w:rPr>
                <w:sz w:val="17"/>
              </w:rPr>
            </w:pPr>
            <w:r>
              <w:rPr>
                <w:color w:val="231F20"/>
                <w:w w:val="115"/>
                <w:sz w:val="17"/>
              </w:rPr>
              <w:t>7</w:t>
            </w:r>
          </w:p>
        </w:tc>
        <w:tc>
          <w:tcPr>
            <w:tcW w:w="666" w:type="dxa"/>
          </w:tcPr>
          <w:p>
            <w:pPr>
              <w:pStyle w:val="TableParagraph"/>
              <w:ind w:right="118"/>
              <w:jc w:val="right"/>
              <w:rPr>
                <w:sz w:val="17"/>
              </w:rPr>
            </w:pPr>
            <w:r>
              <w:rPr>
                <w:color w:val="231F20"/>
                <w:w w:val="110"/>
                <w:sz w:val="17"/>
              </w:rPr>
              <w:t>3,25</w:t>
            </w:r>
          </w:p>
        </w:tc>
        <w:tc>
          <w:tcPr>
            <w:tcW w:w="921" w:type="dxa"/>
          </w:tcPr>
          <w:p>
            <w:pPr>
              <w:pStyle w:val="TableParagraph"/>
              <w:ind w:right="83"/>
              <w:jc w:val="center"/>
              <w:rPr>
                <w:sz w:val="17"/>
              </w:rPr>
            </w:pPr>
            <w:r>
              <w:rPr>
                <w:color w:val="231F20"/>
                <w:w w:val="115"/>
                <w:sz w:val="17"/>
              </w:rPr>
              <w:t>9</w:t>
            </w:r>
          </w:p>
        </w:tc>
        <w:tc>
          <w:tcPr>
            <w:tcW w:w="539" w:type="dxa"/>
          </w:tcPr>
          <w:p>
            <w:pPr>
              <w:pStyle w:val="TableParagraph"/>
              <w:ind w:right="53"/>
              <w:jc w:val="right"/>
              <w:rPr>
                <w:sz w:val="17"/>
              </w:rPr>
            </w:pPr>
            <w:r>
              <w:rPr>
                <w:color w:val="231F20"/>
                <w:w w:val="110"/>
                <w:sz w:val="17"/>
              </w:rPr>
              <w:t>2,95</w:t>
            </w:r>
          </w:p>
        </w:tc>
        <w:tc>
          <w:tcPr>
            <w:tcW w:w="921" w:type="dxa"/>
          </w:tcPr>
          <w:p>
            <w:pPr>
              <w:pStyle w:val="TableParagraph"/>
              <w:ind w:right="196"/>
              <w:jc w:val="center"/>
              <w:rPr>
                <w:sz w:val="17"/>
              </w:rPr>
            </w:pPr>
            <w:r>
              <w:rPr>
                <w:color w:val="231F20"/>
                <w:w w:val="115"/>
                <w:sz w:val="17"/>
              </w:rPr>
              <w:t>5</w:t>
            </w:r>
          </w:p>
        </w:tc>
        <w:tc>
          <w:tcPr>
            <w:tcW w:w="652" w:type="dxa"/>
          </w:tcPr>
          <w:p>
            <w:pPr>
              <w:pStyle w:val="TableParagraph"/>
              <w:ind w:right="152"/>
              <w:jc w:val="right"/>
              <w:rPr>
                <w:sz w:val="17"/>
              </w:rPr>
            </w:pPr>
            <w:r>
              <w:rPr>
                <w:color w:val="231F20"/>
                <w:w w:val="110"/>
                <w:sz w:val="17"/>
              </w:rPr>
              <w:t>2,08</w:t>
            </w:r>
          </w:p>
        </w:tc>
        <w:tc>
          <w:tcPr>
            <w:tcW w:w="921" w:type="dxa"/>
          </w:tcPr>
          <w:p>
            <w:pPr>
              <w:pStyle w:val="TableParagraph"/>
              <w:ind w:right="196"/>
              <w:jc w:val="center"/>
              <w:rPr>
                <w:sz w:val="17"/>
              </w:rPr>
            </w:pPr>
            <w:r>
              <w:rPr>
                <w:color w:val="231F20"/>
                <w:w w:val="115"/>
                <w:sz w:val="17"/>
              </w:rPr>
              <w:t>6</w:t>
            </w:r>
          </w:p>
        </w:tc>
        <w:tc>
          <w:tcPr>
            <w:tcW w:w="562" w:type="dxa"/>
            <w:tcBorders>
              <w:right w:val="nil"/>
            </w:tcBorders>
          </w:tcPr>
          <w:p>
            <w:pPr>
              <w:pStyle w:val="TableParagraph"/>
              <w:ind w:left="127" w:right="47"/>
              <w:jc w:val="center"/>
              <w:rPr>
                <w:sz w:val="17"/>
              </w:rPr>
            </w:pPr>
            <w:r>
              <w:rPr>
                <w:color w:val="231F20"/>
                <w:w w:val="110"/>
                <w:sz w:val="17"/>
              </w:rPr>
              <w:t>2,93</w:t>
            </w:r>
          </w:p>
        </w:tc>
      </w:tr>
      <w:tr>
        <w:trPr>
          <w:trHeight w:val="354" w:hRule="exact"/>
        </w:trPr>
        <w:tc>
          <w:tcPr>
            <w:tcW w:w="1937" w:type="dxa"/>
            <w:tcBorders>
              <w:left w:val="nil"/>
            </w:tcBorders>
          </w:tcPr>
          <w:p>
            <w:pPr>
              <w:pStyle w:val="TableParagraph"/>
              <w:ind w:left="56"/>
              <w:rPr>
                <w:sz w:val="17"/>
              </w:rPr>
            </w:pPr>
            <w:r>
              <w:rPr>
                <w:color w:val="231F20"/>
                <w:sz w:val="17"/>
              </w:rPr>
              <w:t>Mano de obra familiar</w:t>
            </w:r>
          </w:p>
        </w:tc>
        <w:tc>
          <w:tcPr>
            <w:tcW w:w="765" w:type="dxa"/>
          </w:tcPr>
          <w:p>
            <w:pPr>
              <w:pStyle w:val="TableParagraph"/>
              <w:ind w:left="51"/>
              <w:rPr>
                <w:sz w:val="17"/>
              </w:rPr>
            </w:pPr>
            <w:r>
              <w:rPr>
                <w:color w:val="231F20"/>
                <w:sz w:val="17"/>
              </w:rPr>
              <w:t>Personas</w:t>
            </w:r>
          </w:p>
        </w:tc>
        <w:tc>
          <w:tcPr>
            <w:tcW w:w="921" w:type="dxa"/>
          </w:tcPr>
          <w:p>
            <w:pPr>
              <w:pStyle w:val="TableParagraph"/>
              <w:ind w:left="28"/>
              <w:jc w:val="center"/>
              <w:rPr>
                <w:sz w:val="17"/>
              </w:rPr>
            </w:pPr>
            <w:r>
              <w:rPr>
                <w:color w:val="231F20"/>
                <w:w w:val="115"/>
                <w:sz w:val="17"/>
              </w:rPr>
              <w:t>4</w:t>
            </w:r>
          </w:p>
        </w:tc>
        <w:tc>
          <w:tcPr>
            <w:tcW w:w="666" w:type="dxa"/>
          </w:tcPr>
          <w:p>
            <w:pPr>
              <w:pStyle w:val="TableParagraph"/>
              <w:ind w:right="118"/>
              <w:jc w:val="right"/>
              <w:rPr>
                <w:sz w:val="17"/>
              </w:rPr>
            </w:pPr>
            <w:r>
              <w:rPr>
                <w:color w:val="231F20"/>
                <w:w w:val="110"/>
                <w:sz w:val="17"/>
              </w:rPr>
              <w:t>1,53</w:t>
            </w:r>
          </w:p>
        </w:tc>
        <w:tc>
          <w:tcPr>
            <w:tcW w:w="921" w:type="dxa"/>
          </w:tcPr>
          <w:p>
            <w:pPr>
              <w:pStyle w:val="TableParagraph"/>
              <w:ind w:right="83"/>
              <w:jc w:val="center"/>
              <w:rPr>
                <w:sz w:val="17"/>
              </w:rPr>
            </w:pPr>
            <w:r>
              <w:rPr>
                <w:color w:val="231F20"/>
                <w:w w:val="115"/>
                <w:sz w:val="17"/>
              </w:rPr>
              <w:t>4</w:t>
            </w:r>
          </w:p>
        </w:tc>
        <w:tc>
          <w:tcPr>
            <w:tcW w:w="539" w:type="dxa"/>
          </w:tcPr>
          <w:p>
            <w:pPr>
              <w:pStyle w:val="TableParagraph"/>
              <w:ind w:right="56"/>
              <w:jc w:val="right"/>
              <w:rPr>
                <w:sz w:val="17"/>
              </w:rPr>
            </w:pPr>
            <w:r>
              <w:rPr>
                <w:color w:val="231F20"/>
                <w:w w:val="110"/>
                <w:sz w:val="17"/>
              </w:rPr>
              <w:t>0,91</w:t>
            </w:r>
          </w:p>
        </w:tc>
        <w:tc>
          <w:tcPr>
            <w:tcW w:w="921" w:type="dxa"/>
          </w:tcPr>
          <w:p>
            <w:pPr>
              <w:pStyle w:val="TableParagraph"/>
              <w:ind w:right="196"/>
              <w:jc w:val="center"/>
              <w:rPr>
                <w:sz w:val="17"/>
              </w:rPr>
            </w:pPr>
            <w:r>
              <w:rPr>
                <w:color w:val="231F20"/>
                <w:w w:val="115"/>
                <w:sz w:val="17"/>
              </w:rPr>
              <w:t>2</w:t>
            </w:r>
          </w:p>
        </w:tc>
        <w:tc>
          <w:tcPr>
            <w:tcW w:w="652" w:type="dxa"/>
          </w:tcPr>
          <w:p>
            <w:pPr>
              <w:pStyle w:val="TableParagraph"/>
              <w:ind w:right="152"/>
              <w:jc w:val="right"/>
              <w:rPr>
                <w:sz w:val="17"/>
              </w:rPr>
            </w:pPr>
            <w:r>
              <w:rPr>
                <w:color w:val="231F20"/>
                <w:w w:val="110"/>
                <w:sz w:val="17"/>
              </w:rPr>
              <w:t>0,98</w:t>
            </w:r>
          </w:p>
        </w:tc>
        <w:tc>
          <w:tcPr>
            <w:tcW w:w="921" w:type="dxa"/>
          </w:tcPr>
          <w:p>
            <w:pPr>
              <w:pStyle w:val="TableParagraph"/>
              <w:ind w:right="196"/>
              <w:jc w:val="center"/>
              <w:rPr>
                <w:sz w:val="17"/>
              </w:rPr>
            </w:pPr>
            <w:r>
              <w:rPr>
                <w:color w:val="231F20"/>
                <w:w w:val="115"/>
                <w:sz w:val="17"/>
              </w:rPr>
              <w:t>2</w:t>
            </w:r>
          </w:p>
        </w:tc>
        <w:tc>
          <w:tcPr>
            <w:tcW w:w="562" w:type="dxa"/>
            <w:tcBorders>
              <w:right w:val="nil"/>
            </w:tcBorders>
          </w:tcPr>
          <w:p>
            <w:pPr>
              <w:pStyle w:val="TableParagraph"/>
              <w:ind w:left="127" w:right="47"/>
              <w:jc w:val="center"/>
              <w:rPr>
                <w:sz w:val="17"/>
              </w:rPr>
            </w:pPr>
            <w:r>
              <w:rPr>
                <w:color w:val="231F20"/>
                <w:w w:val="110"/>
                <w:sz w:val="17"/>
              </w:rPr>
              <w:t>1,46</w:t>
            </w:r>
          </w:p>
        </w:tc>
      </w:tr>
    </w:tbl>
    <w:p>
      <w:pPr>
        <w:spacing w:before="79"/>
        <w:ind w:left="1610" w:right="2503" w:firstLine="0"/>
        <w:jc w:val="left"/>
        <w:rPr>
          <w:rFonts w:ascii="Cambria" w:hAnsi="Cambria"/>
          <w:i/>
          <w:sz w:val="18"/>
        </w:rPr>
      </w:pPr>
      <w:r>
        <w:rPr>
          <w:rFonts w:ascii="Cambria" w:hAnsi="Cambria"/>
          <w:i/>
          <w:color w:val="231F20"/>
          <w:w w:val="105"/>
          <w:sz w:val="18"/>
        </w:rPr>
        <w:t>Características de la unidad de   producción</w:t>
      </w:r>
    </w:p>
    <w:p>
      <w:pPr>
        <w:pStyle w:val="BodyText"/>
        <w:spacing w:before="9"/>
        <w:rPr>
          <w:rFonts w:ascii="Cambria"/>
          <w:i/>
          <w:sz w:val="5"/>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37"/>
        <w:gridCol w:w="765"/>
        <w:gridCol w:w="921"/>
        <w:gridCol w:w="666"/>
        <w:gridCol w:w="921"/>
        <w:gridCol w:w="539"/>
        <w:gridCol w:w="921"/>
        <w:gridCol w:w="652"/>
        <w:gridCol w:w="921"/>
        <w:gridCol w:w="562"/>
      </w:tblGrid>
      <w:tr>
        <w:trPr>
          <w:trHeight w:val="354" w:hRule="exact"/>
        </w:trPr>
        <w:tc>
          <w:tcPr>
            <w:tcW w:w="1937" w:type="dxa"/>
            <w:tcBorders>
              <w:left w:val="nil"/>
            </w:tcBorders>
          </w:tcPr>
          <w:p>
            <w:pPr>
              <w:pStyle w:val="TableParagraph"/>
              <w:ind w:left="56"/>
              <w:rPr>
                <w:sz w:val="17"/>
              </w:rPr>
            </w:pPr>
            <w:r>
              <w:rPr>
                <w:color w:val="231F20"/>
                <w:sz w:val="17"/>
              </w:rPr>
              <w:t>Tamaño  del hato</w:t>
            </w:r>
          </w:p>
        </w:tc>
        <w:tc>
          <w:tcPr>
            <w:tcW w:w="765" w:type="dxa"/>
          </w:tcPr>
          <w:p>
            <w:pPr>
              <w:pStyle w:val="TableParagraph"/>
              <w:ind w:left="51"/>
              <w:rPr>
                <w:sz w:val="17"/>
              </w:rPr>
            </w:pPr>
            <w:r>
              <w:rPr>
                <w:color w:val="231F20"/>
                <w:w w:val="105"/>
                <w:sz w:val="17"/>
              </w:rPr>
              <w:t>Cabezas</w:t>
            </w:r>
          </w:p>
        </w:tc>
        <w:tc>
          <w:tcPr>
            <w:tcW w:w="921" w:type="dxa"/>
          </w:tcPr>
          <w:p>
            <w:pPr>
              <w:pStyle w:val="TableParagraph"/>
              <w:ind w:left="182" w:right="236"/>
              <w:jc w:val="center"/>
              <w:rPr>
                <w:sz w:val="17"/>
              </w:rPr>
            </w:pPr>
            <w:r>
              <w:rPr>
                <w:color w:val="231F20"/>
                <w:w w:val="115"/>
                <w:sz w:val="17"/>
              </w:rPr>
              <w:t>18</w:t>
            </w:r>
          </w:p>
        </w:tc>
        <w:tc>
          <w:tcPr>
            <w:tcW w:w="666" w:type="dxa"/>
          </w:tcPr>
          <w:p>
            <w:pPr>
              <w:pStyle w:val="TableParagraph"/>
              <w:ind w:left="145" w:right="60"/>
              <w:jc w:val="center"/>
              <w:rPr>
                <w:sz w:val="17"/>
              </w:rPr>
            </w:pPr>
            <w:r>
              <w:rPr>
                <w:color w:val="231F20"/>
                <w:w w:val="110"/>
                <w:sz w:val="17"/>
              </w:rPr>
              <w:t>2,47</w:t>
            </w:r>
          </w:p>
        </w:tc>
        <w:tc>
          <w:tcPr>
            <w:tcW w:w="921" w:type="dxa"/>
          </w:tcPr>
          <w:p>
            <w:pPr>
              <w:pStyle w:val="TableParagraph"/>
              <w:ind w:right="83"/>
              <w:jc w:val="center"/>
              <w:rPr>
                <w:sz w:val="17"/>
              </w:rPr>
            </w:pPr>
            <w:r>
              <w:rPr>
                <w:color w:val="231F20"/>
                <w:w w:val="115"/>
                <w:sz w:val="17"/>
              </w:rPr>
              <w:t>8</w:t>
            </w:r>
          </w:p>
        </w:tc>
        <w:tc>
          <w:tcPr>
            <w:tcW w:w="539" w:type="dxa"/>
          </w:tcPr>
          <w:p>
            <w:pPr>
              <w:pStyle w:val="TableParagraph"/>
              <w:ind w:right="55"/>
              <w:jc w:val="right"/>
              <w:rPr>
                <w:sz w:val="17"/>
              </w:rPr>
            </w:pPr>
            <w:r>
              <w:rPr>
                <w:color w:val="231F20"/>
                <w:w w:val="110"/>
                <w:sz w:val="17"/>
              </w:rPr>
              <w:t>4,51</w:t>
            </w:r>
          </w:p>
        </w:tc>
        <w:tc>
          <w:tcPr>
            <w:tcW w:w="921" w:type="dxa"/>
          </w:tcPr>
          <w:p>
            <w:pPr>
              <w:pStyle w:val="TableParagraph"/>
              <w:ind w:right="196"/>
              <w:jc w:val="center"/>
              <w:rPr>
                <w:sz w:val="17"/>
              </w:rPr>
            </w:pPr>
            <w:r>
              <w:rPr>
                <w:color w:val="231F20"/>
                <w:w w:val="115"/>
                <w:sz w:val="17"/>
              </w:rPr>
              <w:t>9</w:t>
            </w:r>
          </w:p>
        </w:tc>
        <w:tc>
          <w:tcPr>
            <w:tcW w:w="652" w:type="dxa"/>
          </w:tcPr>
          <w:p>
            <w:pPr>
              <w:pStyle w:val="TableParagraph"/>
              <w:ind w:left="138" w:right="53"/>
              <w:jc w:val="center"/>
              <w:rPr>
                <w:sz w:val="17"/>
              </w:rPr>
            </w:pPr>
            <w:r>
              <w:rPr>
                <w:color w:val="231F20"/>
                <w:w w:val="110"/>
                <w:sz w:val="17"/>
              </w:rPr>
              <w:t>4,38</w:t>
            </w:r>
          </w:p>
        </w:tc>
        <w:tc>
          <w:tcPr>
            <w:tcW w:w="921" w:type="dxa"/>
          </w:tcPr>
          <w:p>
            <w:pPr>
              <w:pStyle w:val="TableParagraph"/>
              <w:ind w:left="306"/>
              <w:rPr>
                <w:sz w:val="17"/>
              </w:rPr>
            </w:pPr>
            <w:r>
              <w:rPr>
                <w:color w:val="231F20"/>
                <w:w w:val="115"/>
                <w:sz w:val="17"/>
              </w:rPr>
              <w:t>8</w:t>
            </w:r>
          </w:p>
        </w:tc>
        <w:tc>
          <w:tcPr>
            <w:tcW w:w="562" w:type="dxa"/>
            <w:tcBorders>
              <w:right w:val="nil"/>
            </w:tcBorders>
          </w:tcPr>
          <w:p>
            <w:pPr>
              <w:pStyle w:val="TableParagraph"/>
              <w:ind w:right="71"/>
              <w:jc w:val="right"/>
              <w:rPr>
                <w:sz w:val="17"/>
              </w:rPr>
            </w:pPr>
            <w:r>
              <w:rPr>
                <w:color w:val="231F20"/>
                <w:w w:val="110"/>
                <w:sz w:val="17"/>
              </w:rPr>
              <w:t>5,59</w:t>
            </w:r>
          </w:p>
        </w:tc>
      </w:tr>
      <w:tr>
        <w:trPr>
          <w:trHeight w:val="354" w:hRule="exact"/>
        </w:trPr>
        <w:tc>
          <w:tcPr>
            <w:tcW w:w="1937" w:type="dxa"/>
            <w:tcBorders>
              <w:left w:val="nil"/>
            </w:tcBorders>
          </w:tcPr>
          <w:p>
            <w:pPr>
              <w:pStyle w:val="TableParagraph"/>
              <w:ind w:left="56"/>
              <w:rPr>
                <w:sz w:val="17"/>
              </w:rPr>
            </w:pPr>
            <w:r>
              <w:rPr>
                <w:color w:val="231F20"/>
                <w:sz w:val="17"/>
              </w:rPr>
              <w:t>Vacas en producción</w:t>
            </w:r>
          </w:p>
        </w:tc>
        <w:tc>
          <w:tcPr>
            <w:tcW w:w="765" w:type="dxa"/>
          </w:tcPr>
          <w:p>
            <w:pPr>
              <w:pStyle w:val="TableParagraph"/>
              <w:ind w:left="51"/>
              <w:rPr>
                <w:sz w:val="17"/>
              </w:rPr>
            </w:pPr>
            <w:r>
              <w:rPr>
                <w:color w:val="231F20"/>
                <w:w w:val="105"/>
                <w:sz w:val="17"/>
              </w:rPr>
              <w:t>Cabezas</w:t>
            </w:r>
          </w:p>
        </w:tc>
        <w:tc>
          <w:tcPr>
            <w:tcW w:w="921" w:type="dxa"/>
          </w:tcPr>
          <w:p>
            <w:pPr>
              <w:pStyle w:val="TableParagraph"/>
              <w:ind w:left="28"/>
              <w:jc w:val="center"/>
              <w:rPr>
                <w:sz w:val="17"/>
              </w:rPr>
            </w:pPr>
            <w:r>
              <w:rPr>
                <w:color w:val="231F20"/>
                <w:w w:val="115"/>
                <w:sz w:val="17"/>
              </w:rPr>
              <w:t>9</w:t>
            </w:r>
          </w:p>
        </w:tc>
        <w:tc>
          <w:tcPr>
            <w:tcW w:w="666" w:type="dxa"/>
          </w:tcPr>
          <w:p>
            <w:pPr>
              <w:pStyle w:val="TableParagraph"/>
              <w:ind w:left="145" w:right="60"/>
              <w:jc w:val="center"/>
              <w:rPr>
                <w:sz w:val="17"/>
              </w:rPr>
            </w:pPr>
            <w:r>
              <w:rPr>
                <w:color w:val="231F20"/>
                <w:w w:val="110"/>
                <w:sz w:val="17"/>
              </w:rPr>
              <w:t>2,05</w:t>
            </w:r>
          </w:p>
        </w:tc>
        <w:tc>
          <w:tcPr>
            <w:tcW w:w="921" w:type="dxa"/>
          </w:tcPr>
          <w:p>
            <w:pPr>
              <w:pStyle w:val="TableParagraph"/>
              <w:ind w:right="83"/>
              <w:jc w:val="center"/>
              <w:rPr>
                <w:sz w:val="17"/>
              </w:rPr>
            </w:pPr>
            <w:r>
              <w:rPr>
                <w:color w:val="231F20"/>
                <w:w w:val="115"/>
                <w:sz w:val="17"/>
              </w:rPr>
              <w:t>3</w:t>
            </w:r>
          </w:p>
        </w:tc>
        <w:tc>
          <w:tcPr>
            <w:tcW w:w="539" w:type="dxa"/>
          </w:tcPr>
          <w:p>
            <w:pPr>
              <w:pStyle w:val="TableParagraph"/>
              <w:ind w:right="53"/>
              <w:jc w:val="right"/>
              <w:rPr>
                <w:sz w:val="17"/>
              </w:rPr>
            </w:pPr>
            <w:r>
              <w:rPr>
                <w:color w:val="231F20"/>
                <w:w w:val="110"/>
                <w:sz w:val="17"/>
              </w:rPr>
              <w:t>1,40</w:t>
            </w:r>
          </w:p>
        </w:tc>
        <w:tc>
          <w:tcPr>
            <w:tcW w:w="921" w:type="dxa"/>
          </w:tcPr>
          <w:p>
            <w:pPr>
              <w:pStyle w:val="TableParagraph"/>
              <w:ind w:right="196"/>
              <w:jc w:val="center"/>
              <w:rPr>
                <w:sz w:val="17"/>
              </w:rPr>
            </w:pPr>
            <w:r>
              <w:rPr>
                <w:color w:val="231F20"/>
                <w:w w:val="115"/>
                <w:sz w:val="17"/>
              </w:rPr>
              <w:t>5</w:t>
            </w:r>
          </w:p>
        </w:tc>
        <w:tc>
          <w:tcPr>
            <w:tcW w:w="652" w:type="dxa"/>
          </w:tcPr>
          <w:p>
            <w:pPr>
              <w:pStyle w:val="TableParagraph"/>
              <w:ind w:left="138" w:right="53"/>
              <w:jc w:val="center"/>
              <w:rPr>
                <w:sz w:val="17"/>
              </w:rPr>
            </w:pPr>
            <w:r>
              <w:rPr>
                <w:color w:val="231F20"/>
                <w:w w:val="110"/>
                <w:sz w:val="17"/>
              </w:rPr>
              <w:t>2,38</w:t>
            </w:r>
          </w:p>
        </w:tc>
        <w:tc>
          <w:tcPr>
            <w:tcW w:w="921" w:type="dxa"/>
          </w:tcPr>
          <w:p>
            <w:pPr>
              <w:pStyle w:val="TableParagraph"/>
              <w:ind w:left="306"/>
              <w:rPr>
                <w:sz w:val="17"/>
              </w:rPr>
            </w:pPr>
            <w:r>
              <w:rPr>
                <w:color w:val="231F20"/>
                <w:w w:val="115"/>
                <w:sz w:val="17"/>
              </w:rPr>
              <w:t>3</w:t>
            </w:r>
          </w:p>
        </w:tc>
        <w:tc>
          <w:tcPr>
            <w:tcW w:w="562" w:type="dxa"/>
            <w:tcBorders>
              <w:right w:val="nil"/>
            </w:tcBorders>
          </w:tcPr>
          <w:p>
            <w:pPr>
              <w:pStyle w:val="TableParagraph"/>
              <w:ind w:right="70"/>
              <w:jc w:val="right"/>
              <w:rPr>
                <w:sz w:val="17"/>
              </w:rPr>
            </w:pPr>
            <w:r>
              <w:rPr>
                <w:color w:val="231F20"/>
                <w:w w:val="110"/>
                <w:sz w:val="17"/>
              </w:rPr>
              <w:t>1,82</w:t>
            </w:r>
          </w:p>
        </w:tc>
      </w:tr>
      <w:tr>
        <w:trPr>
          <w:trHeight w:val="574" w:hRule="exact"/>
        </w:trPr>
        <w:tc>
          <w:tcPr>
            <w:tcW w:w="1937" w:type="dxa"/>
            <w:tcBorders>
              <w:left w:val="nil"/>
            </w:tcBorders>
          </w:tcPr>
          <w:p>
            <w:pPr>
              <w:pStyle w:val="TableParagraph"/>
              <w:spacing w:line="254" w:lineRule="auto"/>
              <w:ind w:left="56"/>
              <w:rPr>
                <w:sz w:val="17"/>
              </w:rPr>
            </w:pPr>
            <w:r>
              <w:rPr>
                <w:color w:val="231F20"/>
                <w:sz w:val="17"/>
              </w:rPr>
              <w:t>Producción total de leche por hato y año</w:t>
            </w:r>
          </w:p>
        </w:tc>
        <w:tc>
          <w:tcPr>
            <w:tcW w:w="765" w:type="dxa"/>
          </w:tcPr>
          <w:p>
            <w:pPr>
              <w:pStyle w:val="TableParagraph"/>
              <w:spacing w:before="7"/>
              <w:rPr>
                <w:rFonts w:ascii="Cambria"/>
                <w:i/>
                <w:sz w:val="15"/>
              </w:rPr>
            </w:pPr>
          </w:p>
          <w:p>
            <w:pPr>
              <w:pStyle w:val="TableParagraph"/>
              <w:spacing w:before="1"/>
              <w:ind w:left="51" w:right="129"/>
              <w:rPr>
                <w:sz w:val="17"/>
              </w:rPr>
            </w:pPr>
            <w:r>
              <w:rPr>
                <w:color w:val="231F20"/>
                <w:sz w:val="17"/>
              </w:rPr>
              <w:t>Litros</w:t>
            </w:r>
          </w:p>
        </w:tc>
        <w:tc>
          <w:tcPr>
            <w:tcW w:w="921" w:type="dxa"/>
          </w:tcPr>
          <w:p>
            <w:pPr>
              <w:pStyle w:val="TableParagraph"/>
              <w:spacing w:before="7"/>
              <w:rPr>
                <w:rFonts w:ascii="Cambria"/>
                <w:i/>
                <w:sz w:val="15"/>
              </w:rPr>
            </w:pPr>
          </w:p>
          <w:p>
            <w:pPr>
              <w:pStyle w:val="TableParagraph"/>
              <w:spacing w:before="1"/>
              <w:ind w:right="202"/>
              <w:jc w:val="right"/>
              <w:rPr>
                <w:sz w:val="17"/>
              </w:rPr>
            </w:pPr>
            <w:r>
              <w:rPr>
                <w:color w:val="231F20"/>
                <w:w w:val="115"/>
                <w:sz w:val="17"/>
              </w:rPr>
              <w:t>30 620</w:t>
            </w:r>
          </w:p>
        </w:tc>
        <w:tc>
          <w:tcPr>
            <w:tcW w:w="666" w:type="dxa"/>
          </w:tcPr>
          <w:p>
            <w:pPr>
              <w:pStyle w:val="TableParagraph"/>
              <w:spacing w:before="7"/>
              <w:rPr>
                <w:rFonts w:ascii="Cambria"/>
                <w:i/>
                <w:sz w:val="15"/>
              </w:rPr>
            </w:pPr>
          </w:p>
          <w:p>
            <w:pPr>
              <w:pStyle w:val="TableParagraph"/>
              <w:spacing w:before="1"/>
              <w:ind w:left="60" w:right="60"/>
              <w:jc w:val="center"/>
              <w:rPr>
                <w:sz w:val="17"/>
              </w:rPr>
            </w:pPr>
            <w:r>
              <w:rPr>
                <w:color w:val="231F20"/>
                <w:w w:val="115"/>
                <w:sz w:val="17"/>
              </w:rPr>
              <w:t>15856</w:t>
            </w:r>
          </w:p>
        </w:tc>
        <w:tc>
          <w:tcPr>
            <w:tcW w:w="921" w:type="dxa"/>
          </w:tcPr>
          <w:p>
            <w:pPr>
              <w:pStyle w:val="TableParagraph"/>
              <w:spacing w:before="7"/>
              <w:rPr>
                <w:rFonts w:ascii="Cambria"/>
                <w:i/>
                <w:sz w:val="15"/>
              </w:rPr>
            </w:pPr>
          </w:p>
          <w:p>
            <w:pPr>
              <w:pStyle w:val="TableParagraph"/>
              <w:spacing w:before="1"/>
              <w:ind w:right="257"/>
              <w:jc w:val="right"/>
              <w:rPr>
                <w:sz w:val="17"/>
              </w:rPr>
            </w:pPr>
            <w:r>
              <w:rPr>
                <w:color w:val="231F20"/>
                <w:w w:val="115"/>
                <w:sz w:val="17"/>
              </w:rPr>
              <w:t>6957</w:t>
            </w:r>
          </w:p>
        </w:tc>
        <w:tc>
          <w:tcPr>
            <w:tcW w:w="539" w:type="dxa"/>
          </w:tcPr>
          <w:p>
            <w:pPr>
              <w:pStyle w:val="TableParagraph"/>
              <w:spacing w:before="7"/>
              <w:rPr>
                <w:rFonts w:ascii="Cambria"/>
                <w:i/>
                <w:sz w:val="15"/>
              </w:rPr>
            </w:pPr>
          </w:p>
          <w:p>
            <w:pPr>
              <w:pStyle w:val="TableParagraph"/>
              <w:spacing w:before="1"/>
              <w:ind w:right="65"/>
              <w:jc w:val="right"/>
              <w:rPr>
                <w:sz w:val="17"/>
              </w:rPr>
            </w:pPr>
            <w:r>
              <w:rPr>
                <w:color w:val="231F20"/>
                <w:w w:val="115"/>
                <w:sz w:val="17"/>
              </w:rPr>
              <w:t>4620</w:t>
            </w:r>
          </w:p>
        </w:tc>
        <w:tc>
          <w:tcPr>
            <w:tcW w:w="921" w:type="dxa"/>
          </w:tcPr>
          <w:p>
            <w:pPr>
              <w:pStyle w:val="TableParagraph"/>
              <w:spacing w:before="7"/>
              <w:rPr>
                <w:rFonts w:ascii="Cambria"/>
                <w:i/>
                <w:sz w:val="15"/>
              </w:rPr>
            </w:pPr>
          </w:p>
          <w:p>
            <w:pPr>
              <w:pStyle w:val="TableParagraph"/>
              <w:spacing w:before="1"/>
              <w:ind w:left="205"/>
              <w:rPr>
                <w:sz w:val="17"/>
              </w:rPr>
            </w:pPr>
            <w:r>
              <w:rPr>
                <w:color w:val="231F20"/>
                <w:w w:val="115"/>
                <w:sz w:val="17"/>
              </w:rPr>
              <w:t>15 270</w:t>
            </w:r>
          </w:p>
        </w:tc>
        <w:tc>
          <w:tcPr>
            <w:tcW w:w="652" w:type="dxa"/>
          </w:tcPr>
          <w:p>
            <w:pPr>
              <w:pStyle w:val="TableParagraph"/>
              <w:spacing w:before="7"/>
              <w:rPr>
                <w:rFonts w:ascii="Cambria"/>
                <w:i/>
                <w:sz w:val="15"/>
              </w:rPr>
            </w:pPr>
          </w:p>
          <w:p>
            <w:pPr>
              <w:pStyle w:val="TableParagraph"/>
              <w:spacing w:before="1"/>
              <w:ind w:left="53" w:right="53"/>
              <w:jc w:val="center"/>
              <w:rPr>
                <w:sz w:val="17"/>
              </w:rPr>
            </w:pPr>
            <w:r>
              <w:rPr>
                <w:color w:val="231F20"/>
                <w:w w:val="115"/>
                <w:sz w:val="17"/>
              </w:rPr>
              <w:t>10069</w:t>
            </w:r>
          </w:p>
        </w:tc>
        <w:tc>
          <w:tcPr>
            <w:tcW w:w="921" w:type="dxa"/>
          </w:tcPr>
          <w:p>
            <w:pPr>
              <w:pStyle w:val="TableParagraph"/>
              <w:spacing w:before="7"/>
              <w:rPr>
                <w:rFonts w:ascii="Cambria"/>
                <w:i/>
                <w:sz w:val="15"/>
              </w:rPr>
            </w:pPr>
          </w:p>
          <w:p>
            <w:pPr>
              <w:pStyle w:val="TableParagraph"/>
              <w:spacing w:before="1"/>
              <w:ind w:left="266"/>
              <w:rPr>
                <w:sz w:val="17"/>
              </w:rPr>
            </w:pPr>
            <w:r>
              <w:rPr>
                <w:color w:val="231F20"/>
                <w:w w:val="115"/>
                <w:sz w:val="17"/>
              </w:rPr>
              <w:t>7317</w:t>
            </w:r>
          </w:p>
        </w:tc>
        <w:tc>
          <w:tcPr>
            <w:tcW w:w="562" w:type="dxa"/>
            <w:tcBorders>
              <w:right w:val="nil"/>
            </w:tcBorders>
          </w:tcPr>
          <w:p>
            <w:pPr>
              <w:pStyle w:val="TableParagraph"/>
              <w:spacing w:before="7"/>
              <w:rPr>
                <w:rFonts w:ascii="Cambria"/>
                <w:i/>
                <w:sz w:val="15"/>
              </w:rPr>
            </w:pPr>
          </w:p>
          <w:p>
            <w:pPr>
              <w:pStyle w:val="TableParagraph"/>
              <w:spacing w:before="1"/>
              <w:ind w:right="87"/>
              <w:jc w:val="right"/>
              <w:rPr>
                <w:sz w:val="17"/>
              </w:rPr>
            </w:pPr>
            <w:r>
              <w:rPr>
                <w:color w:val="231F20"/>
                <w:w w:val="115"/>
                <w:sz w:val="17"/>
              </w:rPr>
              <w:t>5275</w:t>
            </w:r>
          </w:p>
        </w:tc>
      </w:tr>
      <w:tr>
        <w:trPr>
          <w:trHeight w:val="354" w:hRule="exact"/>
        </w:trPr>
        <w:tc>
          <w:tcPr>
            <w:tcW w:w="1937" w:type="dxa"/>
            <w:tcBorders>
              <w:left w:val="nil"/>
            </w:tcBorders>
          </w:tcPr>
          <w:p>
            <w:pPr>
              <w:pStyle w:val="TableParagraph"/>
              <w:ind w:left="56"/>
              <w:rPr>
                <w:sz w:val="17"/>
              </w:rPr>
            </w:pPr>
            <w:r>
              <w:rPr>
                <w:color w:val="231F20"/>
                <w:sz w:val="17"/>
              </w:rPr>
              <w:t>Prácticas de manejo</w:t>
            </w:r>
          </w:p>
        </w:tc>
        <w:tc>
          <w:tcPr>
            <w:tcW w:w="765" w:type="dxa"/>
          </w:tcPr>
          <w:p>
            <w:pPr>
              <w:pStyle w:val="TableParagraph"/>
              <w:ind w:left="51"/>
              <w:rPr>
                <w:sz w:val="17"/>
              </w:rPr>
            </w:pPr>
            <w:r>
              <w:rPr>
                <w:color w:val="231F20"/>
                <w:w w:val="105"/>
                <w:sz w:val="17"/>
              </w:rPr>
              <w:t>Número</w:t>
            </w:r>
          </w:p>
        </w:tc>
        <w:tc>
          <w:tcPr>
            <w:tcW w:w="921" w:type="dxa"/>
          </w:tcPr>
          <w:p>
            <w:pPr>
              <w:pStyle w:val="TableParagraph"/>
              <w:ind w:left="28"/>
              <w:jc w:val="center"/>
              <w:rPr>
                <w:sz w:val="17"/>
              </w:rPr>
            </w:pPr>
            <w:r>
              <w:rPr>
                <w:color w:val="231F20"/>
                <w:w w:val="115"/>
                <w:sz w:val="17"/>
              </w:rPr>
              <w:t>3</w:t>
            </w:r>
          </w:p>
        </w:tc>
        <w:tc>
          <w:tcPr>
            <w:tcW w:w="666" w:type="dxa"/>
          </w:tcPr>
          <w:p>
            <w:pPr>
              <w:pStyle w:val="TableParagraph"/>
              <w:ind w:left="137" w:right="60"/>
              <w:jc w:val="center"/>
              <w:rPr>
                <w:sz w:val="17"/>
              </w:rPr>
            </w:pPr>
            <w:r>
              <w:rPr>
                <w:color w:val="231F20"/>
                <w:w w:val="110"/>
                <w:sz w:val="17"/>
              </w:rPr>
              <w:t>0,76</w:t>
            </w:r>
          </w:p>
        </w:tc>
        <w:tc>
          <w:tcPr>
            <w:tcW w:w="921" w:type="dxa"/>
          </w:tcPr>
          <w:p>
            <w:pPr>
              <w:pStyle w:val="TableParagraph"/>
              <w:ind w:right="83"/>
              <w:jc w:val="center"/>
              <w:rPr>
                <w:sz w:val="17"/>
              </w:rPr>
            </w:pPr>
            <w:r>
              <w:rPr>
                <w:color w:val="231F20"/>
                <w:w w:val="115"/>
                <w:sz w:val="17"/>
              </w:rPr>
              <w:t>3</w:t>
            </w:r>
          </w:p>
        </w:tc>
        <w:tc>
          <w:tcPr>
            <w:tcW w:w="539" w:type="dxa"/>
          </w:tcPr>
          <w:p>
            <w:pPr>
              <w:pStyle w:val="TableParagraph"/>
              <w:ind w:right="67"/>
              <w:jc w:val="right"/>
              <w:rPr>
                <w:sz w:val="17"/>
              </w:rPr>
            </w:pPr>
            <w:r>
              <w:rPr>
                <w:color w:val="231F20"/>
                <w:w w:val="110"/>
                <w:sz w:val="17"/>
              </w:rPr>
              <w:t>0,77</w:t>
            </w:r>
          </w:p>
        </w:tc>
        <w:tc>
          <w:tcPr>
            <w:tcW w:w="921" w:type="dxa"/>
          </w:tcPr>
          <w:p>
            <w:pPr>
              <w:pStyle w:val="TableParagraph"/>
              <w:ind w:right="196"/>
              <w:jc w:val="center"/>
              <w:rPr>
                <w:sz w:val="17"/>
              </w:rPr>
            </w:pPr>
            <w:r>
              <w:rPr>
                <w:color w:val="231F20"/>
                <w:w w:val="115"/>
                <w:sz w:val="17"/>
              </w:rPr>
              <w:t>3</w:t>
            </w:r>
          </w:p>
        </w:tc>
        <w:tc>
          <w:tcPr>
            <w:tcW w:w="652" w:type="dxa"/>
          </w:tcPr>
          <w:p>
            <w:pPr>
              <w:pStyle w:val="TableParagraph"/>
              <w:ind w:left="138" w:right="53"/>
              <w:jc w:val="center"/>
              <w:rPr>
                <w:sz w:val="17"/>
              </w:rPr>
            </w:pPr>
            <w:r>
              <w:rPr>
                <w:color w:val="231F20"/>
                <w:w w:val="110"/>
                <w:sz w:val="17"/>
              </w:rPr>
              <w:t>0,87</w:t>
            </w:r>
          </w:p>
        </w:tc>
        <w:tc>
          <w:tcPr>
            <w:tcW w:w="921" w:type="dxa"/>
          </w:tcPr>
          <w:p>
            <w:pPr>
              <w:pStyle w:val="TableParagraph"/>
              <w:ind w:left="306"/>
              <w:rPr>
                <w:sz w:val="17"/>
              </w:rPr>
            </w:pPr>
            <w:r>
              <w:rPr>
                <w:color w:val="231F20"/>
                <w:w w:val="115"/>
                <w:sz w:val="17"/>
              </w:rPr>
              <w:t>1</w:t>
            </w:r>
          </w:p>
        </w:tc>
        <w:tc>
          <w:tcPr>
            <w:tcW w:w="562" w:type="dxa"/>
            <w:tcBorders>
              <w:right w:val="nil"/>
            </w:tcBorders>
          </w:tcPr>
          <w:p>
            <w:pPr>
              <w:pStyle w:val="TableParagraph"/>
              <w:ind w:right="70"/>
              <w:jc w:val="right"/>
              <w:rPr>
                <w:sz w:val="17"/>
              </w:rPr>
            </w:pPr>
            <w:r>
              <w:rPr>
                <w:color w:val="231F20"/>
                <w:w w:val="110"/>
                <w:sz w:val="17"/>
              </w:rPr>
              <w:t>0,95</w:t>
            </w:r>
          </w:p>
        </w:tc>
      </w:tr>
      <w:tr>
        <w:trPr>
          <w:trHeight w:val="354" w:hRule="exact"/>
        </w:trPr>
        <w:tc>
          <w:tcPr>
            <w:tcW w:w="1937" w:type="dxa"/>
            <w:tcBorders>
              <w:left w:val="nil"/>
            </w:tcBorders>
          </w:tcPr>
          <w:p>
            <w:pPr>
              <w:pStyle w:val="TableParagraph"/>
              <w:ind w:left="56"/>
              <w:rPr>
                <w:sz w:val="17"/>
              </w:rPr>
            </w:pPr>
            <w:r>
              <w:rPr>
                <w:color w:val="231F20"/>
                <w:sz w:val="17"/>
              </w:rPr>
              <w:t>Total de hectáreas</w:t>
            </w:r>
          </w:p>
        </w:tc>
        <w:tc>
          <w:tcPr>
            <w:tcW w:w="765" w:type="dxa"/>
          </w:tcPr>
          <w:p>
            <w:pPr>
              <w:pStyle w:val="TableParagraph"/>
              <w:ind w:left="51" w:right="129"/>
              <w:rPr>
                <w:sz w:val="17"/>
              </w:rPr>
            </w:pPr>
            <w:r>
              <w:rPr>
                <w:color w:val="231F20"/>
                <w:w w:val="105"/>
                <w:sz w:val="17"/>
              </w:rPr>
              <w:t>Ha</w:t>
            </w:r>
          </w:p>
        </w:tc>
        <w:tc>
          <w:tcPr>
            <w:tcW w:w="921" w:type="dxa"/>
          </w:tcPr>
          <w:p>
            <w:pPr>
              <w:pStyle w:val="TableParagraph"/>
              <w:ind w:right="163"/>
              <w:jc w:val="right"/>
              <w:rPr>
                <w:sz w:val="17"/>
              </w:rPr>
            </w:pPr>
            <w:r>
              <w:rPr>
                <w:color w:val="231F20"/>
                <w:w w:val="110"/>
                <w:sz w:val="17"/>
              </w:rPr>
              <w:t>10,17</w:t>
            </w:r>
          </w:p>
        </w:tc>
        <w:tc>
          <w:tcPr>
            <w:tcW w:w="666" w:type="dxa"/>
          </w:tcPr>
          <w:p>
            <w:pPr>
              <w:pStyle w:val="TableParagraph"/>
              <w:ind w:left="145" w:right="60"/>
              <w:jc w:val="center"/>
              <w:rPr>
                <w:sz w:val="17"/>
              </w:rPr>
            </w:pPr>
            <w:r>
              <w:rPr>
                <w:color w:val="231F20"/>
                <w:w w:val="110"/>
                <w:sz w:val="17"/>
              </w:rPr>
              <w:t>5,95</w:t>
            </w:r>
          </w:p>
        </w:tc>
        <w:tc>
          <w:tcPr>
            <w:tcW w:w="921" w:type="dxa"/>
          </w:tcPr>
          <w:p>
            <w:pPr>
              <w:pStyle w:val="TableParagraph"/>
              <w:ind w:right="241"/>
              <w:jc w:val="right"/>
              <w:rPr>
                <w:sz w:val="17"/>
              </w:rPr>
            </w:pPr>
            <w:r>
              <w:rPr>
                <w:color w:val="231F20"/>
                <w:w w:val="110"/>
                <w:sz w:val="17"/>
              </w:rPr>
              <w:t>7,15</w:t>
            </w:r>
          </w:p>
        </w:tc>
        <w:tc>
          <w:tcPr>
            <w:tcW w:w="539" w:type="dxa"/>
          </w:tcPr>
          <w:p>
            <w:pPr>
              <w:pStyle w:val="TableParagraph"/>
              <w:ind w:right="55"/>
              <w:jc w:val="right"/>
              <w:rPr>
                <w:sz w:val="17"/>
              </w:rPr>
            </w:pPr>
            <w:r>
              <w:rPr>
                <w:color w:val="231F20"/>
                <w:w w:val="110"/>
                <w:sz w:val="17"/>
              </w:rPr>
              <w:t>6,34</w:t>
            </w:r>
          </w:p>
        </w:tc>
        <w:tc>
          <w:tcPr>
            <w:tcW w:w="921" w:type="dxa"/>
          </w:tcPr>
          <w:p>
            <w:pPr>
              <w:pStyle w:val="TableParagraph"/>
              <w:ind w:left="306"/>
              <w:rPr>
                <w:sz w:val="17"/>
              </w:rPr>
            </w:pPr>
            <w:r>
              <w:rPr>
                <w:color w:val="231F20"/>
                <w:w w:val="110"/>
                <w:sz w:val="17"/>
              </w:rPr>
              <w:t>3,84</w:t>
            </w:r>
          </w:p>
        </w:tc>
        <w:tc>
          <w:tcPr>
            <w:tcW w:w="652" w:type="dxa"/>
          </w:tcPr>
          <w:p>
            <w:pPr>
              <w:pStyle w:val="TableParagraph"/>
              <w:ind w:left="138" w:right="53"/>
              <w:jc w:val="center"/>
              <w:rPr>
                <w:sz w:val="17"/>
              </w:rPr>
            </w:pPr>
            <w:r>
              <w:rPr>
                <w:color w:val="231F20"/>
                <w:w w:val="110"/>
                <w:sz w:val="17"/>
              </w:rPr>
              <w:t>3,55</w:t>
            </w:r>
          </w:p>
        </w:tc>
        <w:tc>
          <w:tcPr>
            <w:tcW w:w="921" w:type="dxa"/>
          </w:tcPr>
          <w:p>
            <w:pPr>
              <w:pStyle w:val="TableParagraph"/>
              <w:ind w:left="306"/>
              <w:rPr>
                <w:sz w:val="17"/>
              </w:rPr>
            </w:pPr>
            <w:r>
              <w:rPr>
                <w:color w:val="231F20"/>
                <w:w w:val="110"/>
                <w:sz w:val="17"/>
              </w:rPr>
              <w:t>1,73</w:t>
            </w:r>
          </w:p>
        </w:tc>
        <w:tc>
          <w:tcPr>
            <w:tcW w:w="562" w:type="dxa"/>
            <w:tcBorders>
              <w:right w:val="nil"/>
            </w:tcBorders>
          </w:tcPr>
          <w:p>
            <w:pPr>
              <w:pStyle w:val="TableParagraph"/>
              <w:ind w:right="70"/>
              <w:jc w:val="right"/>
              <w:rPr>
                <w:sz w:val="17"/>
              </w:rPr>
            </w:pPr>
            <w:r>
              <w:rPr>
                <w:color w:val="231F20"/>
                <w:w w:val="110"/>
                <w:sz w:val="17"/>
              </w:rPr>
              <w:t>1,69</w:t>
            </w:r>
          </w:p>
        </w:tc>
      </w:tr>
      <w:tr>
        <w:trPr>
          <w:trHeight w:val="574" w:hRule="exact"/>
        </w:trPr>
        <w:tc>
          <w:tcPr>
            <w:tcW w:w="1937" w:type="dxa"/>
            <w:tcBorders>
              <w:left w:val="nil"/>
            </w:tcBorders>
          </w:tcPr>
          <w:p>
            <w:pPr>
              <w:pStyle w:val="TableParagraph"/>
              <w:spacing w:line="254" w:lineRule="auto"/>
              <w:ind w:left="56"/>
              <w:rPr>
                <w:sz w:val="17"/>
              </w:rPr>
            </w:pPr>
            <w:r>
              <w:rPr>
                <w:color w:val="231F20"/>
                <w:sz w:val="17"/>
              </w:rPr>
              <w:t>Número de tecnologías agrícolas</w:t>
            </w:r>
          </w:p>
        </w:tc>
        <w:tc>
          <w:tcPr>
            <w:tcW w:w="765" w:type="dxa"/>
          </w:tcPr>
          <w:p>
            <w:pPr>
              <w:pStyle w:val="TableParagraph"/>
              <w:spacing w:before="7"/>
              <w:rPr>
                <w:rFonts w:ascii="Cambria"/>
                <w:i/>
                <w:sz w:val="15"/>
              </w:rPr>
            </w:pPr>
          </w:p>
          <w:p>
            <w:pPr>
              <w:pStyle w:val="TableParagraph"/>
              <w:spacing w:before="1"/>
              <w:ind w:left="51"/>
              <w:rPr>
                <w:sz w:val="17"/>
              </w:rPr>
            </w:pPr>
            <w:r>
              <w:rPr>
                <w:color w:val="231F20"/>
                <w:w w:val="105"/>
                <w:sz w:val="17"/>
              </w:rPr>
              <w:t>Número</w:t>
            </w:r>
          </w:p>
        </w:tc>
        <w:tc>
          <w:tcPr>
            <w:tcW w:w="921" w:type="dxa"/>
          </w:tcPr>
          <w:p>
            <w:pPr>
              <w:pStyle w:val="TableParagraph"/>
              <w:spacing w:before="7"/>
              <w:rPr>
                <w:rFonts w:ascii="Cambria"/>
                <w:i/>
                <w:sz w:val="15"/>
              </w:rPr>
            </w:pPr>
          </w:p>
          <w:p>
            <w:pPr>
              <w:pStyle w:val="TableParagraph"/>
              <w:spacing w:before="1"/>
              <w:ind w:left="28"/>
              <w:jc w:val="center"/>
              <w:rPr>
                <w:sz w:val="17"/>
              </w:rPr>
            </w:pPr>
            <w:r>
              <w:rPr>
                <w:color w:val="231F20"/>
                <w:w w:val="115"/>
                <w:sz w:val="17"/>
              </w:rPr>
              <w:t>5</w:t>
            </w:r>
          </w:p>
        </w:tc>
        <w:tc>
          <w:tcPr>
            <w:tcW w:w="666" w:type="dxa"/>
          </w:tcPr>
          <w:p>
            <w:pPr>
              <w:pStyle w:val="TableParagraph"/>
              <w:spacing w:before="7"/>
              <w:rPr>
                <w:rFonts w:ascii="Cambria"/>
                <w:i/>
                <w:sz w:val="15"/>
              </w:rPr>
            </w:pPr>
          </w:p>
          <w:p>
            <w:pPr>
              <w:pStyle w:val="TableParagraph"/>
              <w:spacing w:before="1"/>
              <w:ind w:left="145" w:right="60"/>
              <w:jc w:val="center"/>
              <w:rPr>
                <w:sz w:val="17"/>
              </w:rPr>
            </w:pPr>
            <w:r>
              <w:rPr>
                <w:color w:val="231F20"/>
                <w:w w:val="110"/>
                <w:sz w:val="17"/>
              </w:rPr>
              <w:t>1,37</w:t>
            </w:r>
          </w:p>
        </w:tc>
        <w:tc>
          <w:tcPr>
            <w:tcW w:w="921" w:type="dxa"/>
          </w:tcPr>
          <w:p>
            <w:pPr>
              <w:pStyle w:val="TableParagraph"/>
              <w:spacing w:before="7"/>
              <w:rPr>
                <w:rFonts w:ascii="Cambria"/>
                <w:i/>
                <w:sz w:val="15"/>
              </w:rPr>
            </w:pPr>
          </w:p>
          <w:p>
            <w:pPr>
              <w:pStyle w:val="TableParagraph"/>
              <w:spacing w:before="1"/>
              <w:ind w:right="83"/>
              <w:jc w:val="center"/>
              <w:rPr>
                <w:sz w:val="17"/>
              </w:rPr>
            </w:pPr>
            <w:r>
              <w:rPr>
                <w:color w:val="231F20"/>
                <w:w w:val="115"/>
                <w:sz w:val="17"/>
              </w:rPr>
              <w:t>3</w:t>
            </w:r>
          </w:p>
        </w:tc>
        <w:tc>
          <w:tcPr>
            <w:tcW w:w="539" w:type="dxa"/>
          </w:tcPr>
          <w:p>
            <w:pPr>
              <w:pStyle w:val="TableParagraph"/>
              <w:spacing w:before="7"/>
              <w:rPr>
                <w:rFonts w:ascii="Cambria"/>
                <w:i/>
                <w:sz w:val="15"/>
              </w:rPr>
            </w:pPr>
          </w:p>
          <w:p>
            <w:pPr>
              <w:pStyle w:val="TableParagraph"/>
              <w:spacing w:before="1"/>
              <w:ind w:right="67"/>
              <w:jc w:val="right"/>
              <w:rPr>
                <w:sz w:val="17"/>
              </w:rPr>
            </w:pPr>
            <w:r>
              <w:rPr>
                <w:color w:val="231F20"/>
                <w:w w:val="110"/>
                <w:sz w:val="17"/>
              </w:rPr>
              <w:t>0,73</w:t>
            </w:r>
          </w:p>
        </w:tc>
        <w:tc>
          <w:tcPr>
            <w:tcW w:w="921" w:type="dxa"/>
          </w:tcPr>
          <w:p>
            <w:pPr>
              <w:pStyle w:val="TableParagraph"/>
              <w:spacing w:before="7"/>
              <w:rPr>
                <w:rFonts w:ascii="Cambria"/>
                <w:i/>
                <w:sz w:val="15"/>
              </w:rPr>
            </w:pPr>
          </w:p>
          <w:p>
            <w:pPr>
              <w:pStyle w:val="TableParagraph"/>
              <w:spacing w:before="1"/>
              <w:ind w:right="196"/>
              <w:jc w:val="center"/>
              <w:rPr>
                <w:sz w:val="17"/>
              </w:rPr>
            </w:pPr>
            <w:r>
              <w:rPr>
                <w:color w:val="231F20"/>
                <w:w w:val="115"/>
                <w:sz w:val="17"/>
              </w:rPr>
              <w:t>3</w:t>
            </w:r>
          </w:p>
        </w:tc>
        <w:tc>
          <w:tcPr>
            <w:tcW w:w="652" w:type="dxa"/>
          </w:tcPr>
          <w:p>
            <w:pPr>
              <w:pStyle w:val="TableParagraph"/>
              <w:spacing w:before="7"/>
              <w:rPr>
                <w:rFonts w:ascii="Cambria"/>
                <w:i/>
                <w:sz w:val="15"/>
              </w:rPr>
            </w:pPr>
          </w:p>
          <w:p>
            <w:pPr>
              <w:pStyle w:val="TableParagraph"/>
              <w:spacing w:before="1"/>
              <w:ind w:left="138" w:right="53"/>
              <w:jc w:val="center"/>
              <w:rPr>
                <w:sz w:val="17"/>
              </w:rPr>
            </w:pPr>
            <w:r>
              <w:rPr>
                <w:color w:val="231F20"/>
                <w:w w:val="110"/>
                <w:sz w:val="17"/>
              </w:rPr>
              <w:t>1,14</w:t>
            </w:r>
          </w:p>
        </w:tc>
        <w:tc>
          <w:tcPr>
            <w:tcW w:w="921" w:type="dxa"/>
          </w:tcPr>
          <w:p>
            <w:pPr>
              <w:pStyle w:val="TableParagraph"/>
              <w:spacing w:before="7"/>
              <w:rPr>
                <w:rFonts w:ascii="Cambria"/>
                <w:i/>
                <w:sz w:val="15"/>
              </w:rPr>
            </w:pPr>
          </w:p>
          <w:p>
            <w:pPr>
              <w:pStyle w:val="TableParagraph"/>
              <w:spacing w:before="1"/>
              <w:ind w:left="306"/>
              <w:rPr>
                <w:sz w:val="17"/>
              </w:rPr>
            </w:pPr>
            <w:r>
              <w:rPr>
                <w:color w:val="231F20"/>
                <w:w w:val="115"/>
                <w:sz w:val="17"/>
              </w:rPr>
              <w:t>2</w:t>
            </w:r>
          </w:p>
        </w:tc>
        <w:tc>
          <w:tcPr>
            <w:tcW w:w="562" w:type="dxa"/>
            <w:tcBorders>
              <w:right w:val="nil"/>
            </w:tcBorders>
          </w:tcPr>
          <w:p>
            <w:pPr>
              <w:pStyle w:val="TableParagraph"/>
              <w:spacing w:before="7"/>
              <w:rPr>
                <w:rFonts w:ascii="Cambria"/>
                <w:i/>
                <w:sz w:val="15"/>
              </w:rPr>
            </w:pPr>
          </w:p>
          <w:p>
            <w:pPr>
              <w:pStyle w:val="TableParagraph"/>
              <w:spacing w:before="1"/>
              <w:ind w:right="84"/>
              <w:jc w:val="right"/>
              <w:rPr>
                <w:sz w:val="17"/>
              </w:rPr>
            </w:pPr>
            <w:r>
              <w:rPr>
                <w:color w:val="231F20"/>
                <w:w w:val="110"/>
                <w:sz w:val="17"/>
              </w:rPr>
              <w:t>1,79</w:t>
            </w:r>
          </w:p>
        </w:tc>
      </w:tr>
      <w:tr>
        <w:trPr>
          <w:trHeight w:val="574" w:hRule="exact"/>
        </w:trPr>
        <w:tc>
          <w:tcPr>
            <w:tcW w:w="1937" w:type="dxa"/>
            <w:tcBorders>
              <w:left w:val="nil"/>
            </w:tcBorders>
          </w:tcPr>
          <w:p>
            <w:pPr>
              <w:pStyle w:val="TableParagraph"/>
              <w:spacing w:line="254" w:lineRule="auto"/>
              <w:ind w:left="56"/>
              <w:rPr>
                <w:sz w:val="17"/>
              </w:rPr>
            </w:pPr>
            <w:r>
              <w:rPr>
                <w:color w:val="231F20"/>
                <w:sz w:val="17"/>
              </w:rPr>
              <w:t>Número de tecnologías pecuarias</w:t>
            </w:r>
          </w:p>
        </w:tc>
        <w:tc>
          <w:tcPr>
            <w:tcW w:w="765" w:type="dxa"/>
          </w:tcPr>
          <w:p>
            <w:pPr>
              <w:pStyle w:val="TableParagraph"/>
              <w:spacing w:before="7"/>
              <w:rPr>
                <w:rFonts w:ascii="Cambria"/>
                <w:i/>
                <w:sz w:val="15"/>
              </w:rPr>
            </w:pPr>
          </w:p>
          <w:p>
            <w:pPr>
              <w:pStyle w:val="TableParagraph"/>
              <w:spacing w:before="1"/>
              <w:ind w:left="51"/>
              <w:rPr>
                <w:sz w:val="17"/>
              </w:rPr>
            </w:pPr>
            <w:r>
              <w:rPr>
                <w:color w:val="231F20"/>
                <w:w w:val="105"/>
                <w:sz w:val="17"/>
              </w:rPr>
              <w:t>Número</w:t>
            </w:r>
          </w:p>
        </w:tc>
        <w:tc>
          <w:tcPr>
            <w:tcW w:w="921" w:type="dxa"/>
          </w:tcPr>
          <w:p>
            <w:pPr>
              <w:pStyle w:val="TableParagraph"/>
              <w:spacing w:before="7"/>
              <w:rPr>
                <w:rFonts w:ascii="Cambria"/>
                <w:i/>
                <w:sz w:val="15"/>
              </w:rPr>
            </w:pPr>
          </w:p>
          <w:p>
            <w:pPr>
              <w:pStyle w:val="TableParagraph"/>
              <w:spacing w:before="1"/>
              <w:ind w:left="28"/>
              <w:jc w:val="center"/>
              <w:rPr>
                <w:sz w:val="17"/>
              </w:rPr>
            </w:pPr>
            <w:r>
              <w:rPr>
                <w:color w:val="231F20"/>
                <w:w w:val="115"/>
                <w:sz w:val="17"/>
              </w:rPr>
              <w:t>4</w:t>
            </w:r>
          </w:p>
        </w:tc>
        <w:tc>
          <w:tcPr>
            <w:tcW w:w="666" w:type="dxa"/>
          </w:tcPr>
          <w:p>
            <w:pPr>
              <w:pStyle w:val="TableParagraph"/>
              <w:spacing w:before="7"/>
              <w:rPr>
                <w:rFonts w:ascii="Cambria"/>
                <w:i/>
                <w:sz w:val="15"/>
              </w:rPr>
            </w:pPr>
          </w:p>
          <w:p>
            <w:pPr>
              <w:pStyle w:val="TableParagraph"/>
              <w:spacing w:before="1"/>
              <w:ind w:left="145" w:right="60"/>
              <w:jc w:val="center"/>
              <w:rPr>
                <w:sz w:val="17"/>
              </w:rPr>
            </w:pPr>
            <w:r>
              <w:rPr>
                <w:color w:val="231F20"/>
                <w:w w:val="110"/>
                <w:sz w:val="17"/>
              </w:rPr>
              <w:t>1,91</w:t>
            </w:r>
          </w:p>
        </w:tc>
        <w:tc>
          <w:tcPr>
            <w:tcW w:w="921" w:type="dxa"/>
          </w:tcPr>
          <w:p>
            <w:pPr>
              <w:pStyle w:val="TableParagraph"/>
              <w:spacing w:before="7"/>
              <w:rPr>
                <w:rFonts w:ascii="Cambria"/>
                <w:i/>
                <w:sz w:val="15"/>
              </w:rPr>
            </w:pPr>
          </w:p>
          <w:p>
            <w:pPr>
              <w:pStyle w:val="TableParagraph"/>
              <w:spacing w:before="1"/>
              <w:ind w:right="83"/>
              <w:jc w:val="center"/>
              <w:rPr>
                <w:sz w:val="17"/>
              </w:rPr>
            </w:pPr>
            <w:r>
              <w:rPr>
                <w:color w:val="231F20"/>
                <w:w w:val="115"/>
                <w:sz w:val="17"/>
              </w:rPr>
              <w:t>2</w:t>
            </w:r>
          </w:p>
        </w:tc>
        <w:tc>
          <w:tcPr>
            <w:tcW w:w="539" w:type="dxa"/>
          </w:tcPr>
          <w:p>
            <w:pPr>
              <w:pStyle w:val="TableParagraph"/>
              <w:spacing w:before="7"/>
              <w:rPr>
                <w:rFonts w:ascii="Cambria"/>
                <w:i/>
                <w:sz w:val="15"/>
              </w:rPr>
            </w:pPr>
          </w:p>
          <w:p>
            <w:pPr>
              <w:pStyle w:val="TableParagraph"/>
              <w:spacing w:before="1"/>
              <w:ind w:right="67"/>
              <w:jc w:val="right"/>
              <w:rPr>
                <w:sz w:val="17"/>
              </w:rPr>
            </w:pPr>
            <w:r>
              <w:rPr>
                <w:color w:val="231F20"/>
                <w:w w:val="110"/>
                <w:sz w:val="17"/>
              </w:rPr>
              <w:t>0,76</w:t>
            </w:r>
          </w:p>
        </w:tc>
        <w:tc>
          <w:tcPr>
            <w:tcW w:w="921" w:type="dxa"/>
          </w:tcPr>
          <w:p>
            <w:pPr>
              <w:pStyle w:val="TableParagraph"/>
              <w:spacing w:before="7"/>
              <w:rPr>
                <w:rFonts w:ascii="Cambria"/>
                <w:i/>
                <w:sz w:val="15"/>
              </w:rPr>
            </w:pPr>
          </w:p>
          <w:p>
            <w:pPr>
              <w:pStyle w:val="TableParagraph"/>
              <w:spacing w:before="1"/>
              <w:ind w:right="196"/>
              <w:jc w:val="center"/>
              <w:rPr>
                <w:sz w:val="17"/>
              </w:rPr>
            </w:pPr>
            <w:r>
              <w:rPr>
                <w:color w:val="231F20"/>
                <w:w w:val="115"/>
                <w:sz w:val="17"/>
              </w:rPr>
              <w:t>3</w:t>
            </w:r>
          </w:p>
        </w:tc>
        <w:tc>
          <w:tcPr>
            <w:tcW w:w="652" w:type="dxa"/>
          </w:tcPr>
          <w:p>
            <w:pPr>
              <w:pStyle w:val="TableParagraph"/>
              <w:spacing w:before="7"/>
              <w:rPr>
                <w:rFonts w:ascii="Cambria"/>
                <w:i/>
                <w:sz w:val="15"/>
              </w:rPr>
            </w:pPr>
          </w:p>
          <w:p>
            <w:pPr>
              <w:pStyle w:val="TableParagraph"/>
              <w:spacing w:before="1"/>
              <w:ind w:left="138" w:right="53"/>
              <w:jc w:val="center"/>
              <w:rPr>
                <w:sz w:val="17"/>
              </w:rPr>
            </w:pPr>
            <w:r>
              <w:rPr>
                <w:color w:val="231F20"/>
                <w:w w:val="110"/>
                <w:sz w:val="17"/>
              </w:rPr>
              <w:t>1,27</w:t>
            </w:r>
          </w:p>
        </w:tc>
        <w:tc>
          <w:tcPr>
            <w:tcW w:w="921" w:type="dxa"/>
          </w:tcPr>
          <w:p>
            <w:pPr>
              <w:pStyle w:val="TableParagraph"/>
              <w:spacing w:before="7"/>
              <w:rPr>
                <w:rFonts w:ascii="Cambria"/>
                <w:i/>
                <w:sz w:val="15"/>
              </w:rPr>
            </w:pPr>
          </w:p>
          <w:p>
            <w:pPr>
              <w:pStyle w:val="TableParagraph"/>
              <w:spacing w:before="1"/>
              <w:ind w:left="306"/>
              <w:rPr>
                <w:sz w:val="17"/>
              </w:rPr>
            </w:pPr>
            <w:r>
              <w:rPr>
                <w:color w:val="231F20"/>
                <w:w w:val="115"/>
                <w:sz w:val="17"/>
              </w:rPr>
              <w:t>1</w:t>
            </w:r>
          </w:p>
        </w:tc>
        <w:tc>
          <w:tcPr>
            <w:tcW w:w="562" w:type="dxa"/>
            <w:tcBorders>
              <w:right w:val="nil"/>
            </w:tcBorders>
          </w:tcPr>
          <w:p>
            <w:pPr>
              <w:pStyle w:val="TableParagraph"/>
              <w:spacing w:before="7"/>
              <w:rPr>
                <w:rFonts w:ascii="Cambria"/>
                <w:i/>
                <w:sz w:val="15"/>
              </w:rPr>
            </w:pPr>
          </w:p>
          <w:p>
            <w:pPr>
              <w:pStyle w:val="TableParagraph"/>
              <w:spacing w:before="1"/>
              <w:ind w:right="71"/>
              <w:jc w:val="right"/>
              <w:rPr>
                <w:sz w:val="17"/>
              </w:rPr>
            </w:pPr>
            <w:r>
              <w:rPr>
                <w:color w:val="231F20"/>
                <w:w w:val="110"/>
                <w:sz w:val="17"/>
              </w:rPr>
              <w:t>0,67</w:t>
            </w:r>
          </w:p>
        </w:tc>
      </w:tr>
    </w:tbl>
    <w:p>
      <w:pPr>
        <w:spacing w:before="50"/>
        <w:ind w:left="1610" w:right="2503" w:firstLine="0"/>
        <w:jc w:val="left"/>
        <w:rPr>
          <w:sz w:val="15"/>
        </w:rPr>
      </w:pPr>
      <w:r>
        <w:rPr>
          <w:color w:val="231F20"/>
          <w:sz w:val="15"/>
        </w:rPr>
        <w:t>DE: desviación estándar.</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5.   Factores que intervienen en la adopción de </w:t>
      </w:r>
      <w:r>
        <w:rPr>
          <w:color w:val="231F20"/>
          <w:spacing w:val="35"/>
          <w:sz w:val="18"/>
        </w:rPr>
        <w:t> </w:t>
      </w:r>
      <w:r>
        <w:rPr>
          <w:color w:val="231F20"/>
          <w:sz w:val="18"/>
        </w:rPr>
        <w:t>tecnologías</w:t>
      </w:r>
      <w:r>
        <w:rPr>
          <w:color w:val="231F20"/>
          <w:spacing w:val="11"/>
          <w:sz w:val="18"/>
        </w:rPr>
        <w:t> </w:t>
      </w:r>
      <w:r>
        <w:rPr>
          <w:color w:val="231F20"/>
          <w:sz w:val="18"/>
        </w:rPr>
        <w:t>agropecuarias...</w:t>
      </w:r>
      <w:r>
        <w:rPr>
          <w:color w:val="231F20"/>
          <w:sz w:val="22"/>
        </w:rPr>
        <w:tab/>
      </w:r>
      <w:r>
        <w:rPr>
          <w:color w:val="231F20"/>
          <w:spacing w:val="-9"/>
          <w:sz w:val="22"/>
        </w:rPr>
        <w:t>79</w:t>
      </w:r>
    </w:p>
    <w:p>
      <w:pPr>
        <w:spacing w:after="0"/>
        <w:jc w:val="left"/>
        <w:rPr>
          <w:sz w:val="22"/>
        </w:rPr>
        <w:sectPr>
          <w:pgSz w:w="11900" w:h="14450"/>
          <w:pgMar w:header="0" w:footer="222" w:top="420" w:bottom="420" w:left="0" w:right="0"/>
        </w:sectPr>
      </w:pPr>
    </w:p>
    <w:p>
      <w:pPr>
        <w:pStyle w:val="ListParagraph"/>
        <w:numPr>
          <w:ilvl w:val="1"/>
          <w:numId w:val="8"/>
        </w:numPr>
        <w:tabs>
          <w:tab w:pos="1838" w:val="left" w:leader="none"/>
        </w:tabs>
        <w:spacing w:line="259" w:lineRule="auto" w:before="345" w:after="0"/>
        <w:ind w:left="1837" w:right="0" w:hanging="284"/>
        <w:jc w:val="both"/>
        <w:rPr>
          <w:sz w:val="20"/>
        </w:rPr>
      </w:pPr>
      <w:r>
        <w:rPr>
          <w:color w:val="231F20"/>
          <w:sz w:val="20"/>
        </w:rPr>
        <w:t>Grupo 1: formado por </w:t>
      </w:r>
      <w:r>
        <w:rPr>
          <w:color w:val="231F20"/>
          <w:spacing w:val="-5"/>
          <w:sz w:val="20"/>
        </w:rPr>
        <w:t>15 </w:t>
      </w:r>
      <w:r>
        <w:rPr>
          <w:color w:val="231F20"/>
          <w:sz w:val="20"/>
        </w:rPr>
        <w:t>productores con es- tudios de primaria, se definió como “producto- res de leche en pequeña escala, grandes con alta producción de </w:t>
      </w:r>
      <w:r>
        <w:rPr>
          <w:color w:val="231F20"/>
          <w:spacing w:val="-3"/>
          <w:sz w:val="20"/>
        </w:rPr>
        <w:t>leche”, </w:t>
      </w:r>
      <w:r>
        <w:rPr>
          <w:color w:val="231F20"/>
          <w:sz w:val="20"/>
        </w:rPr>
        <w:t>ya que presentaron la mayor superficie de tierra y el mayor número de animales en el hato. </w:t>
      </w:r>
      <w:r>
        <w:rPr>
          <w:color w:val="231F20"/>
          <w:spacing w:val="-5"/>
          <w:sz w:val="20"/>
        </w:rPr>
        <w:t>Todos </w:t>
      </w:r>
      <w:r>
        <w:rPr>
          <w:color w:val="231F20"/>
          <w:sz w:val="20"/>
        </w:rPr>
        <w:t>los productores usaban concentrados comerciales como su- plemento para sus vacas en producción. Estos sistemas están orientados a la producción de leche, ya que presentaron la mayor producción por hato y año. Proporcionan trabajo de</w:t>
      </w:r>
      <w:r>
        <w:rPr>
          <w:color w:val="231F20"/>
          <w:spacing w:val="-14"/>
          <w:sz w:val="20"/>
        </w:rPr>
        <w:t> </w:t>
      </w:r>
      <w:r>
        <w:rPr>
          <w:color w:val="231F20"/>
          <w:sz w:val="20"/>
        </w:rPr>
        <w:t>tiempo completo para los miembros de la familia, y la mayoría de los productores consideró la pro- ducción de leche como su principal fuente de ingresos. Más de la mitad de la superficie de la tierra (57%) se dedica a pradera y el otro 43%   a diversos cultivos, como maíz (</w:t>
      </w:r>
      <w:r>
        <w:rPr>
          <w:i/>
          <w:color w:val="231F20"/>
          <w:sz w:val="20"/>
        </w:rPr>
        <w:t>Zea mays, </w:t>
      </w:r>
      <w:r>
        <w:rPr>
          <w:color w:val="231F20"/>
          <w:sz w:val="20"/>
        </w:rPr>
        <w:t>el cultivo principal), avena </w:t>
      </w:r>
      <w:r>
        <w:rPr>
          <w:i/>
          <w:color w:val="231F20"/>
          <w:sz w:val="20"/>
        </w:rPr>
        <w:t>(Avena sativa) </w:t>
      </w:r>
      <w:r>
        <w:rPr>
          <w:color w:val="231F20"/>
          <w:sz w:val="20"/>
        </w:rPr>
        <w:t>y alfalfa </w:t>
      </w:r>
      <w:r>
        <w:rPr>
          <w:i/>
          <w:color w:val="231F20"/>
          <w:sz w:val="20"/>
        </w:rPr>
        <w:t>(Medicago sativa)</w:t>
      </w:r>
      <w:r>
        <w:rPr>
          <w:color w:val="231F20"/>
          <w:sz w:val="20"/>
        </w:rPr>
        <w:t>. Este grupo cuenta con una alta disponibilidad de mano de obra familiar, tecnologías agrícolas y pecuarias, y además se observa un mayor uso de prácticas de  </w:t>
      </w:r>
      <w:r>
        <w:rPr>
          <w:color w:val="231F20"/>
          <w:spacing w:val="8"/>
          <w:sz w:val="20"/>
        </w:rPr>
        <w:t> </w:t>
      </w:r>
      <w:r>
        <w:rPr>
          <w:color w:val="231F20"/>
          <w:sz w:val="20"/>
        </w:rPr>
        <w:t>manejo.</w:t>
      </w:r>
    </w:p>
    <w:p>
      <w:pPr>
        <w:pStyle w:val="ListParagraph"/>
        <w:numPr>
          <w:ilvl w:val="1"/>
          <w:numId w:val="8"/>
        </w:numPr>
        <w:tabs>
          <w:tab w:pos="1838" w:val="left" w:leader="none"/>
        </w:tabs>
        <w:spacing w:line="259" w:lineRule="auto" w:before="113" w:after="0"/>
        <w:ind w:left="1837" w:right="0" w:hanging="284"/>
        <w:jc w:val="both"/>
        <w:rPr>
          <w:sz w:val="20"/>
        </w:rPr>
      </w:pPr>
      <w:r>
        <w:rPr>
          <w:color w:val="231F20"/>
          <w:sz w:val="20"/>
        </w:rPr>
        <w:t>Grupo 2: formado por </w:t>
      </w:r>
      <w:r>
        <w:rPr>
          <w:color w:val="231F20"/>
          <w:spacing w:val="-6"/>
          <w:sz w:val="20"/>
        </w:rPr>
        <w:t>41 </w:t>
      </w:r>
      <w:r>
        <w:rPr>
          <w:color w:val="231F20"/>
          <w:sz w:val="20"/>
        </w:rPr>
        <w:t>productores con el menor número de años de experiencia y el me- nor grado de educación (algunos sin estudios), se definió como “productores de leche en pe- queña escala, medianos con baja  producción de </w:t>
      </w:r>
      <w:r>
        <w:rPr>
          <w:color w:val="231F20"/>
          <w:spacing w:val="-5"/>
          <w:sz w:val="20"/>
        </w:rPr>
        <w:t>leche”. </w:t>
      </w:r>
      <w:r>
        <w:rPr>
          <w:color w:val="231F20"/>
          <w:sz w:val="20"/>
        </w:rPr>
        <w:t>Estos sistemas se clasificaron como medianos en términos de superficie de </w:t>
      </w:r>
      <w:r>
        <w:rPr>
          <w:color w:val="231F20"/>
          <w:spacing w:val="-2"/>
          <w:sz w:val="20"/>
        </w:rPr>
        <w:t>tierra   </w:t>
      </w:r>
      <w:r>
        <w:rPr>
          <w:color w:val="231F20"/>
          <w:spacing w:val="41"/>
          <w:sz w:val="20"/>
        </w:rPr>
        <w:t> </w:t>
      </w:r>
      <w:r>
        <w:rPr>
          <w:color w:val="231F20"/>
          <w:sz w:val="20"/>
        </w:rPr>
        <w:t>y de tamaño de hato. A pesar de que la ma- yoría de los productores usaba </w:t>
      </w:r>
      <w:r>
        <w:rPr>
          <w:color w:val="231F20"/>
          <w:spacing w:val="-2"/>
          <w:sz w:val="20"/>
        </w:rPr>
        <w:t>concentrados </w:t>
      </w:r>
      <w:r>
        <w:rPr>
          <w:color w:val="231F20"/>
          <w:sz w:val="20"/>
        </w:rPr>
        <w:t>comerciales (90%), este grupo tenía la menor producción de leche por hato y año, lo que</w:t>
      </w:r>
      <w:r>
        <w:rPr>
          <w:color w:val="231F20"/>
          <w:spacing w:val="-17"/>
          <w:sz w:val="20"/>
        </w:rPr>
        <w:t> </w:t>
      </w:r>
      <w:r>
        <w:rPr>
          <w:color w:val="231F20"/>
          <w:sz w:val="20"/>
        </w:rPr>
        <w:t>pue- de atribuirse a la raza utilizada (criolla y </w:t>
      </w:r>
      <w:r>
        <w:rPr>
          <w:color w:val="231F20"/>
          <w:spacing w:val="-2"/>
          <w:sz w:val="20"/>
        </w:rPr>
        <w:t>cebú). </w:t>
      </w:r>
      <w:r>
        <w:rPr>
          <w:color w:val="231F20"/>
          <w:sz w:val="20"/>
        </w:rPr>
        <w:t>La producción de leche se consideró la principal fuente de ingresos para la mayoría de los pro- ductores, pero una considerable proporción de productores </w:t>
      </w:r>
      <w:r>
        <w:rPr>
          <w:color w:val="231F20"/>
          <w:spacing w:val="-3"/>
          <w:sz w:val="20"/>
        </w:rPr>
        <w:t>(22%) </w:t>
      </w:r>
      <w:r>
        <w:rPr>
          <w:color w:val="231F20"/>
          <w:sz w:val="20"/>
        </w:rPr>
        <w:t>manifestó que la principal fuente de sus ingresos proviene de las activi- dades no agropecuarias. El </w:t>
      </w:r>
      <w:r>
        <w:rPr>
          <w:color w:val="231F20"/>
          <w:spacing w:val="-5"/>
          <w:sz w:val="20"/>
        </w:rPr>
        <w:t>70% </w:t>
      </w:r>
      <w:r>
        <w:rPr>
          <w:color w:val="231F20"/>
          <w:sz w:val="20"/>
        </w:rPr>
        <w:t>de la super- ficie de la tierra se dedica a pradera y el </w:t>
      </w:r>
      <w:r>
        <w:rPr>
          <w:color w:val="231F20"/>
          <w:spacing w:val="-4"/>
          <w:sz w:val="20"/>
        </w:rPr>
        <w:t>30% </w:t>
      </w:r>
      <w:r>
        <w:rPr>
          <w:color w:val="231F20"/>
          <w:sz w:val="20"/>
        </w:rPr>
        <w:t>restante a la siembra de maíz. La   </w:t>
      </w:r>
      <w:r>
        <w:rPr>
          <w:color w:val="231F20"/>
          <w:spacing w:val="6"/>
          <w:sz w:val="20"/>
        </w:rPr>
        <w:t> </w:t>
      </w:r>
      <w:r>
        <w:rPr>
          <w:color w:val="231F20"/>
          <w:spacing w:val="-2"/>
          <w:sz w:val="20"/>
        </w:rPr>
        <w:t>alimentación</w:t>
      </w:r>
    </w:p>
    <w:p>
      <w:pPr>
        <w:pStyle w:val="BodyText"/>
        <w:spacing w:before="3"/>
        <w:rPr>
          <w:sz w:val="28"/>
        </w:rPr>
      </w:pPr>
      <w:r>
        <w:rPr/>
        <w:br w:type="column"/>
      </w:r>
      <w:r>
        <w:rPr>
          <w:sz w:val="28"/>
        </w:rPr>
      </w:r>
    </w:p>
    <w:p>
      <w:pPr>
        <w:pStyle w:val="BodyText"/>
        <w:spacing w:line="256" w:lineRule="auto"/>
        <w:ind w:left="696" w:right="1551"/>
        <w:jc w:val="both"/>
      </w:pPr>
      <w:r>
        <w:rPr>
          <w:color w:val="231F20"/>
        </w:rPr>
        <w:t>del hato se basa principalmente en el pastoreo. Este grupo presentó la mayor disponibilidad de mano de obra </w:t>
      </w:r>
      <w:r>
        <w:rPr>
          <w:color w:val="231F20"/>
          <w:spacing w:val="-3"/>
        </w:rPr>
        <w:t>familiar, </w:t>
      </w:r>
      <w:r>
        <w:rPr>
          <w:color w:val="231F20"/>
        </w:rPr>
        <w:t>pero con poca disponibi- lidad de tecnologías agrícolas y pecuarias.</w:t>
      </w:r>
    </w:p>
    <w:p>
      <w:pPr>
        <w:pStyle w:val="ListParagraph"/>
        <w:numPr>
          <w:ilvl w:val="0"/>
          <w:numId w:val="8"/>
        </w:numPr>
        <w:tabs>
          <w:tab w:pos="697" w:val="left" w:leader="none"/>
        </w:tabs>
        <w:spacing w:line="256" w:lineRule="auto" w:before="112" w:after="0"/>
        <w:ind w:left="696" w:right="1551" w:hanging="283"/>
        <w:jc w:val="both"/>
        <w:rPr>
          <w:sz w:val="20"/>
        </w:rPr>
      </w:pPr>
      <w:r>
        <w:rPr>
          <w:color w:val="231F20"/>
          <w:w w:val="105"/>
          <w:sz w:val="20"/>
        </w:rPr>
        <w:t>Grupo 3: formado por </w:t>
      </w:r>
      <w:r>
        <w:rPr>
          <w:color w:val="231F20"/>
          <w:spacing w:val="-3"/>
          <w:w w:val="105"/>
          <w:sz w:val="20"/>
        </w:rPr>
        <w:t>37 </w:t>
      </w:r>
      <w:r>
        <w:rPr>
          <w:color w:val="231F20"/>
          <w:w w:val="105"/>
          <w:sz w:val="20"/>
        </w:rPr>
        <w:t>productores con es- tudios de primaria y con el mayor número de años</w:t>
      </w:r>
      <w:r>
        <w:rPr>
          <w:color w:val="231F20"/>
          <w:spacing w:val="-33"/>
          <w:w w:val="105"/>
          <w:sz w:val="20"/>
        </w:rPr>
        <w:t> </w:t>
      </w:r>
      <w:r>
        <w:rPr>
          <w:color w:val="231F20"/>
          <w:w w:val="105"/>
          <w:sz w:val="20"/>
        </w:rPr>
        <w:t>de</w:t>
      </w:r>
      <w:r>
        <w:rPr>
          <w:color w:val="231F20"/>
          <w:spacing w:val="-33"/>
          <w:w w:val="105"/>
          <w:sz w:val="20"/>
        </w:rPr>
        <w:t> </w:t>
      </w:r>
      <w:r>
        <w:rPr>
          <w:color w:val="231F20"/>
          <w:w w:val="105"/>
          <w:sz w:val="20"/>
        </w:rPr>
        <w:t>experiencia.</w:t>
      </w:r>
      <w:r>
        <w:rPr>
          <w:color w:val="231F20"/>
          <w:spacing w:val="-33"/>
          <w:w w:val="105"/>
          <w:sz w:val="20"/>
        </w:rPr>
        <w:t> </w:t>
      </w:r>
      <w:r>
        <w:rPr>
          <w:color w:val="231F20"/>
          <w:w w:val="105"/>
          <w:sz w:val="20"/>
        </w:rPr>
        <w:t>Este</w:t>
      </w:r>
      <w:r>
        <w:rPr>
          <w:color w:val="231F20"/>
          <w:spacing w:val="-33"/>
          <w:w w:val="105"/>
          <w:sz w:val="20"/>
        </w:rPr>
        <w:t> </w:t>
      </w:r>
      <w:r>
        <w:rPr>
          <w:color w:val="231F20"/>
          <w:w w:val="105"/>
          <w:sz w:val="20"/>
        </w:rPr>
        <w:t>grupo</w:t>
      </w:r>
      <w:r>
        <w:rPr>
          <w:color w:val="231F20"/>
          <w:spacing w:val="-33"/>
          <w:w w:val="105"/>
          <w:sz w:val="20"/>
        </w:rPr>
        <w:t> </w:t>
      </w:r>
      <w:r>
        <w:rPr>
          <w:color w:val="231F20"/>
          <w:w w:val="105"/>
          <w:sz w:val="20"/>
        </w:rPr>
        <w:t>se</w:t>
      </w:r>
      <w:r>
        <w:rPr>
          <w:color w:val="231F20"/>
          <w:spacing w:val="-33"/>
          <w:w w:val="105"/>
          <w:sz w:val="20"/>
        </w:rPr>
        <w:t> </w:t>
      </w:r>
      <w:r>
        <w:rPr>
          <w:color w:val="231F20"/>
          <w:w w:val="105"/>
          <w:sz w:val="20"/>
        </w:rPr>
        <w:t>definió</w:t>
      </w:r>
      <w:r>
        <w:rPr>
          <w:color w:val="231F20"/>
          <w:spacing w:val="-33"/>
          <w:w w:val="105"/>
          <w:sz w:val="20"/>
        </w:rPr>
        <w:t> </w:t>
      </w:r>
      <w:r>
        <w:rPr>
          <w:color w:val="231F20"/>
          <w:w w:val="105"/>
          <w:sz w:val="20"/>
        </w:rPr>
        <w:t>como “productores de leche en pequeña escala,</w:t>
      </w:r>
      <w:r>
        <w:rPr>
          <w:color w:val="231F20"/>
          <w:spacing w:val="-26"/>
          <w:w w:val="105"/>
          <w:sz w:val="20"/>
        </w:rPr>
        <w:t> </w:t>
      </w:r>
      <w:r>
        <w:rPr>
          <w:color w:val="231F20"/>
          <w:w w:val="105"/>
          <w:sz w:val="20"/>
        </w:rPr>
        <w:t>pe- queños-medios con producción de leche me- dia”</w:t>
      </w:r>
      <w:r>
        <w:rPr>
          <w:i/>
          <w:color w:val="231F20"/>
          <w:w w:val="105"/>
          <w:sz w:val="20"/>
        </w:rPr>
        <w:t>.</w:t>
      </w:r>
      <w:r>
        <w:rPr>
          <w:i/>
          <w:color w:val="231F20"/>
          <w:spacing w:val="-18"/>
          <w:w w:val="105"/>
          <w:sz w:val="20"/>
        </w:rPr>
        <w:t> </w:t>
      </w:r>
      <w:r>
        <w:rPr>
          <w:color w:val="231F20"/>
          <w:w w:val="105"/>
          <w:sz w:val="20"/>
        </w:rPr>
        <w:t>La</w:t>
      </w:r>
      <w:r>
        <w:rPr>
          <w:color w:val="231F20"/>
          <w:spacing w:val="-18"/>
          <w:w w:val="105"/>
          <w:sz w:val="20"/>
        </w:rPr>
        <w:t> </w:t>
      </w:r>
      <w:r>
        <w:rPr>
          <w:color w:val="231F20"/>
          <w:w w:val="105"/>
          <w:sz w:val="20"/>
        </w:rPr>
        <w:t>superficie</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tierra</w:t>
      </w:r>
      <w:r>
        <w:rPr>
          <w:color w:val="231F20"/>
          <w:spacing w:val="-18"/>
          <w:w w:val="105"/>
          <w:sz w:val="20"/>
        </w:rPr>
        <w:t> </w:t>
      </w:r>
      <w:r>
        <w:rPr>
          <w:color w:val="231F20"/>
          <w:w w:val="105"/>
          <w:sz w:val="20"/>
        </w:rPr>
        <w:t>es</w:t>
      </w:r>
      <w:r>
        <w:rPr>
          <w:color w:val="231F20"/>
          <w:spacing w:val="-18"/>
          <w:w w:val="105"/>
          <w:sz w:val="20"/>
        </w:rPr>
        <w:t> </w:t>
      </w:r>
      <w:r>
        <w:rPr>
          <w:color w:val="231F20"/>
          <w:w w:val="105"/>
          <w:sz w:val="20"/>
        </w:rPr>
        <w:t>pequeña,</w:t>
      </w:r>
      <w:r>
        <w:rPr>
          <w:color w:val="231F20"/>
          <w:spacing w:val="-18"/>
          <w:w w:val="105"/>
          <w:sz w:val="20"/>
        </w:rPr>
        <w:t> </w:t>
      </w:r>
      <w:r>
        <w:rPr>
          <w:color w:val="231F20"/>
          <w:w w:val="105"/>
          <w:sz w:val="20"/>
        </w:rPr>
        <w:t>pero</w:t>
      </w:r>
      <w:r>
        <w:rPr>
          <w:color w:val="231F20"/>
          <w:spacing w:val="-18"/>
          <w:w w:val="105"/>
          <w:sz w:val="20"/>
        </w:rPr>
        <w:t> </w:t>
      </w:r>
      <w:r>
        <w:rPr>
          <w:color w:val="231F20"/>
          <w:w w:val="105"/>
          <w:sz w:val="20"/>
        </w:rPr>
        <w:t>el tamaño del hato es medio. </w:t>
      </w:r>
      <w:r>
        <w:rPr>
          <w:color w:val="231F20"/>
          <w:spacing w:val="-6"/>
          <w:w w:val="105"/>
          <w:sz w:val="20"/>
        </w:rPr>
        <w:t>Todos </w:t>
      </w:r>
      <w:r>
        <w:rPr>
          <w:color w:val="231F20"/>
          <w:w w:val="105"/>
          <w:sz w:val="20"/>
        </w:rPr>
        <w:t>los produc- </w:t>
      </w:r>
      <w:r>
        <w:rPr>
          <w:color w:val="231F20"/>
          <w:sz w:val="20"/>
        </w:rPr>
        <w:t>tores utilizan concentrados comerciales. La ma- </w:t>
      </w:r>
      <w:r>
        <w:rPr>
          <w:color w:val="231F20"/>
          <w:w w:val="105"/>
          <w:sz w:val="20"/>
        </w:rPr>
        <w:t>yoría</w:t>
      </w:r>
      <w:r>
        <w:rPr>
          <w:color w:val="231F20"/>
          <w:spacing w:val="-18"/>
          <w:w w:val="105"/>
          <w:sz w:val="20"/>
        </w:rPr>
        <w:t> </w:t>
      </w:r>
      <w:r>
        <w:rPr>
          <w:color w:val="231F20"/>
          <w:w w:val="105"/>
          <w:sz w:val="20"/>
        </w:rPr>
        <w:t>consideró</w:t>
      </w:r>
      <w:r>
        <w:rPr>
          <w:color w:val="231F20"/>
          <w:spacing w:val="-18"/>
          <w:w w:val="105"/>
          <w:sz w:val="20"/>
        </w:rPr>
        <w:t> </w:t>
      </w:r>
      <w:r>
        <w:rPr>
          <w:color w:val="231F20"/>
          <w:w w:val="105"/>
          <w:sz w:val="20"/>
        </w:rPr>
        <w:t>la</w:t>
      </w:r>
      <w:r>
        <w:rPr>
          <w:color w:val="231F20"/>
          <w:spacing w:val="-18"/>
          <w:w w:val="105"/>
          <w:sz w:val="20"/>
        </w:rPr>
        <w:t> </w:t>
      </w:r>
      <w:r>
        <w:rPr>
          <w:color w:val="231F20"/>
          <w:w w:val="105"/>
          <w:sz w:val="20"/>
        </w:rPr>
        <w:t>producción</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leche</w:t>
      </w:r>
      <w:r>
        <w:rPr>
          <w:color w:val="231F20"/>
          <w:spacing w:val="-18"/>
          <w:w w:val="105"/>
          <w:sz w:val="20"/>
        </w:rPr>
        <w:t> </w:t>
      </w:r>
      <w:r>
        <w:rPr>
          <w:color w:val="231F20"/>
          <w:w w:val="105"/>
          <w:sz w:val="20"/>
        </w:rPr>
        <w:t>como</w:t>
      </w:r>
      <w:r>
        <w:rPr>
          <w:color w:val="231F20"/>
          <w:spacing w:val="-18"/>
          <w:w w:val="105"/>
          <w:sz w:val="20"/>
        </w:rPr>
        <w:t> </w:t>
      </w:r>
      <w:r>
        <w:rPr>
          <w:color w:val="231F20"/>
          <w:w w:val="105"/>
          <w:sz w:val="20"/>
        </w:rPr>
        <w:t>la principal fuente de ingresos. Casi la mitad de la</w:t>
      </w:r>
      <w:r>
        <w:rPr>
          <w:color w:val="231F20"/>
          <w:spacing w:val="-11"/>
          <w:w w:val="105"/>
          <w:sz w:val="20"/>
        </w:rPr>
        <w:t> </w:t>
      </w:r>
      <w:r>
        <w:rPr>
          <w:color w:val="231F20"/>
          <w:w w:val="105"/>
          <w:sz w:val="20"/>
        </w:rPr>
        <w:t>superficie</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tierra</w:t>
      </w:r>
      <w:r>
        <w:rPr>
          <w:color w:val="231F20"/>
          <w:spacing w:val="-11"/>
          <w:w w:val="105"/>
          <w:sz w:val="20"/>
        </w:rPr>
        <w:t> </w:t>
      </w:r>
      <w:r>
        <w:rPr>
          <w:color w:val="231F20"/>
          <w:w w:val="105"/>
          <w:sz w:val="20"/>
        </w:rPr>
        <w:t>(46%)</w:t>
      </w:r>
      <w:r>
        <w:rPr>
          <w:color w:val="231F20"/>
          <w:spacing w:val="-11"/>
          <w:w w:val="105"/>
          <w:sz w:val="20"/>
        </w:rPr>
        <w:t> </w:t>
      </w:r>
      <w:r>
        <w:rPr>
          <w:color w:val="231F20"/>
          <w:w w:val="105"/>
          <w:sz w:val="20"/>
        </w:rPr>
        <w:t>se</w:t>
      </w:r>
      <w:r>
        <w:rPr>
          <w:color w:val="231F20"/>
          <w:spacing w:val="-11"/>
          <w:w w:val="105"/>
          <w:sz w:val="20"/>
        </w:rPr>
        <w:t> </w:t>
      </w:r>
      <w:r>
        <w:rPr>
          <w:color w:val="231F20"/>
          <w:w w:val="105"/>
          <w:sz w:val="20"/>
        </w:rPr>
        <w:t>utiliza</w:t>
      </w:r>
      <w:r>
        <w:rPr>
          <w:color w:val="231F20"/>
          <w:spacing w:val="-11"/>
          <w:w w:val="105"/>
          <w:sz w:val="20"/>
        </w:rPr>
        <w:t> </w:t>
      </w:r>
      <w:r>
        <w:rPr>
          <w:color w:val="231F20"/>
          <w:w w:val="105"/>
          <w:sz w:val="20"/>
        </w:rPr>
        <w:t>para</w:t>
      </w:r>
      <w:r>
        <w:rPr>
          <w:color w:val="231F20"/>
          <w:spacing w:val="-11"/>
          <w:w w:val="105"/>
          <w:sz w:val="20"/>
        </w:rPr>
        <w:t> </w:t>
      </w:r>
      <w:r>
        <w:rPr>
          <w:color w:val="231F20"/>
          <w:w w:val="105"/>
          <w:sz w:val="20"/>
        </w:rPr>
        <w:t>pra- dera</w:t>
      </w:r>
      <w:r>
        <w:rPr>
          <w:color w:val="231F20"/>
          <w:spacing w:val="-18"/>
          <w:w w:val="105"/>
          <w:sz w:val="20"/>
        </w:rPr>
        <w:t> </w:t>
      </w:r>
      <w:r>
        <w:rPr>
          <w:color w:val="231F20"/>
          <w:w w:val="105"/>
          <w:sz w:val="20"/>
        </w:rPr>
        <w:t>y</w:t>
      </w:r>
      <w:r>
        <w:rPr>
          <w:color w:val="231F20"/>
          <w:spacing w:val="-18"/>
          <w:w w:val="105"/>
          <w:sz w:val="20"/>
        </w:rPr>
        <w:t> </w:t>
      </w:r>
      <w:r>
        <w:rPr>
          <w:color w:val="231F20"/>
          <w:w w:val="105"/>
          <w:sz w:val="20"/>
        </w:rPr>
        <w:t>el</w:t>
      </w:r>
      <w:r>
        <w:rPr>
          <w:color w:val="231F20"/>
          <w:spacing w:val="-18"/>
          <w:w w:val="105"/>
          <w:sz w:val="20"/>
        </w:rPr>
        <w:t> </w:t>
      </w:r>
      <w:r>
        <w:rPr>
          <w:color w:val="231F20"/>
          <w:w w:val="105"/>
          <w:sz w:val="20"/>
        </w:rPr>
        <w:t>resto</w:t>
      </w:r>
      <w:r>
        <w:rPr>
          <w:color w:val="231F20"/>
          <w:spacing w:val="-18"/>
          <w:w w:val="105"/>
          <w:sz w:val="20"/>
        </w:rPr>
        <w:t> </w:t>
      </w:r>
      <w:r>
        <w:rPr>
          <w:color w:val="231F20"/>
          <w:spacing w:val="-3"/>
          <w:w w:val="105"/>
          <w:sz w:val="20"/>
        </w:rPr>
        <w:t>(54%)</w:t>
      </w:r>
      <w:r>
        <w:rPr>
          <w:color w:val="231F20"/>
          <w:spacing w:val="-18"/>
          <w:w w:val="105"/>
          <w:sz w:val="20"/>
        </w:rPr>
        <w:t> </w:t>
      </w:r>
      <w:r>
        <w:rPr>
          <w:color w:val="231F20"/>
          <w:w w:val="105"/>
          <w:sz w:val="20"/>
        </w:rPr>
        <w:t>para</w:t>
      </w:r>
      <w:r>
        <w:rPr>
          <w:color w:val="231F20"/>
          <w:spacing w:val="-18"/>
          <w:w w:val="105"/>
          <w:sz w:val="20"/>
        </w:rPr>
        <w:t> </w:t>
      </w:r>
      <w:r>
        <w:rPr>
          <w:color w:val="231F20"/>
          <w:w w:val="105"/>
          <w:sz w:val="20"/>
        </w:rPr>
        <w:t>cultivar</w:t>
      </w:r>
      <w:r>
        <w:rPr>
          <w:color w:val="231F20"/>
          <w:spacing w:val="-18"/>
          <w:w w:val="105"/>
          <w:sz w:val="20"/>
        </w:rPr>
        <w:t> </w:t>
      </w:r>
      <w:r>
        <w:rPr>
          <w:color w:val="231F20"/>
          <w:w w:val="105"/>
          <w:sz w:val="20"/>
        </w:rPr>
        <w:t>maíz</w:t>
      </w:r>
      <w:r>
        <w:rPr>
          <w:color w:val="231F20"/>
          <w:spacing w:val="-18"/>
          <w:w w:val="105"/>
          <w:sz w:val="20"/>
        </w:rPr>
        <w:t> </w:t>
      </w:r>
      <w:r>
        <w:rPr>
          <w:color w:val="231F20"/>
          <w:w w:val="105"/>
          <w:sz w:val="20"/>
        </w:rPr>
        <w:t>y</w:t>
      </w:r>
      <w:r>
        <w:rPr>
          <w:color w:val="231F20"/>
          <w:spacing w:val="-18"/>
          <w:w w:val="105"/>
          <w:sz w:val="20"/>
        </w:rPr>
        <w:t> </w:t>
      </w:r>
      <w:r>
        <w:rPr>
          <w:color w:val="231F20"/>
          <w:spacing w:val="-2"/>
          <w:w w:val="105"/>
          <w:sz w:val="20"/>
        </w:rPr>
        <w:t>avena. </w:t>
      </w:r>
      <w:r>
        <w:rPr>
          <w:color w:val="231F20"/>
          <w:w w:val="105"/>
          <w:sz w:val="20"/>
        </w:rPr>
        <w:t>Este</w:t>
      </w:r>
      <w:r>
        <w:rPr>
          <w:color w:val="231F20"/>
          <w:spacing w:val="-26"/>
          <w:w w:val="105"/>
          <w:sz w:val="20"/>
        </w:rPr>
        <w:t> </w:t>
      </w:r>
      <w:r>
        <w:rPr>
          <w:color w:val="231F20"/>
          <w:w w:val="105"/>
          <w:sz w:val="20"/>
        </w:rPr>
        <w:t>grupo</w:t>
      </w:r>
      <w:r>
        <w:rPr>
          <w:color w:val="231F20"/>
          <w:spacing w:val="-26"/>
          <w:w w:val="105"/>
          <w:sz w:val="20"/>
        </w:rPr>
        <w:t> </w:t>
      </w:r>
      <w:r>
        <w:rPr>
          <w:color w:val="231F20"/>
          <w:w w:val="105"/>
          <w:sz w:val="20"/>
        </w:rPr>
        <w:t>presentó</w:t>
      </w:r>
      <w:r>
        <w:rPr>
          <w:color w:val="231F20"/>
          <w:spacing w:val="-26"/>
          <w:w w:val="105"/>
          <w:sz w:val="20"/>
        </w:rPr>
        <w:t> </w:t>
      </w:r>
      <w:r>
        <w:rPr>
          <w:color w:val="231F20"/>
          <w:w w:val="105"/>
          <w:sz w:val="20"/>
        </w:rPr>
        <w:t>el</w:t>
      </w:r>
      <w:r>
        <w:rPr>
          <w:color w:val="231F20"/>
          <w:spacing w:val="-26"/>
          <w:w w:val="105"/>
          <w:sz w:val="20"/>
        </w:rPr>
        <w:t> </w:t>
      </w:r>
      <w:r>
        <w:rPr>
          <w:color w:val="231F20"/>
          <w:w w:val="105"/>
          <w:sz w:val="20"/>
        </w:rPr>
        <w:t>menor</w:t>
      </w:r>
      <w:r>
        <w:rPr>
          <w:color w:val="231F20"/>
          <w:spacing w:val="-26"/>
          <w:w w:val="105"/>
          <w:sz w:val="20"/>
        </w:rPr>
        <w:t> </w:t>
      </w:r>
      <w:r>
        <w:rPr>
          <w:color w:val="231F20"/>
          <w:w w:val="105"/>
          <w:sz w:val="20"/>
        </w:rPr>
        <w:t>número</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mano de</w:t>
      </w:r>
      <w:r>
        <w:rPr>
          <w:color w:val="231F20"/>
          <w:spacing w:val="-30"/>
          <w:w w:val="105"/>
          <w:sz w:val="20"/>
        </w:rPr>
        <w:t> </w:t>
      </w:r>
      <w:r>
        <w:rPr>
          <w:color w:val="231F20"/>
          <w:w w:val="105"/>
          <w:sz w:val="20"/>
        </w:rPr>
        <w:t>obra</w:t>
      </w:r>
      <w:r>
        <w:rPr>
          <w:color w:val="231F20"/>
          <w:spacing w:val="-30"/>
          <w:w w:val="105"/>
          <w:sz w:val="20"/>
        </w:rPr>
        <w:t> </w:t>
      </w:r>
      <w:r>
        <w:rPr>
          <w:color w:val="231F20"/>
          <w:spacing w:val="-3"/>
          <w:w w:val="105"/>
          <w:sz w:val="20"/>
        </w:rPr>
        <w:t>familiar.</w:t>
      </w:r>
      <w:r>
        <w:rPr>
          <w:color w:val="231F20"/>
          <w:spacing w:val="-30"/>
          <w:w w:val="105"/>
          <w:sz w:val="20"/>
        </w:rPr>
        <w:t> </w:t>
      </w:r>
      <w:r>
        <w:rPr>
          <w:color w:val="231F20"/>
          <w:w w:val="105"/>
          <w:sz w:val="20"/>
        </w:rPr>
        <w:t>Las</w:t>
      </w:r>
      <w:r>
        <w:rPr>
          <w:color w:val="231F20"/>
          <w:spacing w:val="-30"/>
          <w:w w:val="105"/>
          <w:sz w:val="20"/>
        </w:rPr>
        <w:t> </w:t>
      </w:r>
      <w:r>
        <w:rPr>
          <w:color w:val="231F20"/>
          <w:w w:val="105"/>
          <w:sz w:val="20"/>
        </w:rPr>
        <w:t>prácticas</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manejo</w:t>
      </w:r>
      <w:r>
        <w:rPr>
          <w:color w:val="231F20"/>
          <w:spacing w:val="-30"/>
          <w:w w:val="105"/>
          <w:sz w:val="20"/>
        </w:rPr>
        <w:t> </w:t>
      </w:r>
      <w:r>
        <w:rPr>
          <w:color w:val="231F20"/>
          <w:w w:val="105"/>
          <w:sz w:val="20"/>
        </w:rPr>
        <w:t>y</w:t>
      </w:r>
      <w:r>
        <w:rPr>
          <w:color w:val="231F20"/>
          <w:spacing w:val="-30"/>
          <w:w w:val="105"/>
          <w:sz w:val="20"/>
        </w:rPr>
        <w:t> </w:t>
      </w:r>
      <w:r>
        <w:rPr>
          <w:color w:val="231F20"/>
          <w:w w:val="105"/>
          <w:sz w:val="20"/>
        </w:rPr>
        <w:t>la</w:t>
      </w:r>
      <w:r>
        <w:rPr>
          <w:color w:val="231F20"/>
          <w:spacing w:val="-30"/>
          <w:w w:val="105"/>
          <w:sz w:val="20"/>
        </w:rPr>
        <w:t> </w:t>
      </w:r>
      <w:r>
        <w:rPr>
          <w:color w:val="231F20"/>
          <w:w w:val="105"/>
          <w:sz w:val="20"/>
        </w:rPr>
        <w:t>dis- </w:t>
      </w:r>
      <w:r>
        <w:rPr>
          <w:color w:val="231F20"/>
          <w:sz w:val="20"/>
        </w:rPr>
        <w:t>ponibilidad de tecnologías tanto agrícolas como </w:t>
      </w:r>
      <w:r>
        <w:rPr>
          <w:color w:val="231F20"/>
          <w:w w:val="105"/>
          <w:sz w:val="20"/>
        </w:rPr>
        <w:t>pecuarias</w:t>
      </w:r>
      <w:r>
        <w:rPr>
          <w:color w:val="231F20"/>
          <w:spacing w:val="-25"/>
          <w:w w:val="105"/>
          <w:sz w:val="20"/>
        </w:rPr>
        <w:t> </w:t>
      </w:r>
      <w:r>
        <w:rPr>
          <w:color w:val="231F20"/>
          <w:w w:val="105"/>
          <w:sz w:val="20"/>
        </w:rPr>
        <w:t>fue</w:t>
      </w:r>
      <w:r>
        <w:rPr>
          <w:color w:val="231F20"/>
          <w:spacing w:val="-25"/>
          <w:w w:val="105"/>
          <w:sz w:val="20"/>
        </w:rPr>
        <w:t> </w:t>
      </w:r>
      <w:r>
        <w:rPr>
          <w:color w:val="231F20"/>
          <w:w w:val="105"/>
          <w:sz w:val="20"/>
        </w:rPr>
        <w:t>nula</w:t>
      </w:r>
      <w:r>
        <w:rPr>
          <w:color w:val="231F20"/>
          <w:spacing w:val="-25"/>
          <w:w w:val="105"/>
          <w:sz w:val="20"/>
        </w:rPr>
        <w:t> </w:t>
      </w:r>
      <w:r>
        <w:rPr>
          <w:color w:val="231F20"/>
          <w:w w:val="105"/>
          <w:sz w:val="20"/>
        </w:rPr>
        <w:t>en</w:t>
      </w:r>
      <w:r>
        <w:rPr>
          <w:color w:val="231F20"/>
          <w:spacing w:val="-25"/>
          <w:w w:val="105"/>
          <w:sz w:val="20"/>
        </w:rPr>
        <w:t> </w:t>
      </w:r>
      <w:r>
        <w:rPr>
          <w:color w:val="231F20"/>
          <w:w w:val="105"/>
          <w:sz w:val="20"/>
        </w:rPr>
        <w:t>algunos</w:t>
      </w:r>
      <w:r>
        <w:rPr>
          <w:color w:val="231F20"/>
          <w:spacing w:val="-25"/>
          <w:w w:val="105"/>
          <w:sz w:val="20"/>
        </w:rPr>
        <w:t> </w:t>
      </w:r>
      <w:r>
        <w:rPr>
          <w:color w:val="231F20"/>
          <w:w w:val="105"/>
          <w:sz w:val="20"/>
        </w:rPr>
        <w:t>casos;</w:t>
      </w:r>
      <w:r>
        <w:rPr>
          <w:color w:val="231F20"/>
          <w:spacing w:val="-25"/>
          <w:w w:val="105"/>
          <w:sz w:val="20"/>
        </w:rPr>
        <w:t> </w:t>
      </w:r>
      <w:r>
        <w:rPr>
          <w:color w:val="231F20"/>
          <w:w w:val="105"/>
          <w:sz w:val="20"/>
        </w:rPr>
        <w:t>sin</w:t>
      </w:r>
      <w:r>
        <w:rPr>
          <w:color w:val="231F20"/>
          <w:spacing w:val="-25"/>
          <w:w w:val="105"/>
          <w:sz w:val="20"/>
        </w:rPr>
        <w:t> </w:t>
      </w:r>
      <w:r>
        <w:rPr>
          <w:color w:val="231F20"/>
          <w:w w:val="105"/>
          <w:sz w:val="20"/>
        </w:rPr>
        <w:t>embar- go,</w:t>
      </w:r>
      <w:r>
        <w:rPr>
          <w:color w:val="231F20"/>
          <w:spacing w:val="-28"/>
          <w:w w:val="105"/>
          <w:sz w:val="20"/>
        </w:rPr>
        <w:t> </w:t>
      </w:r>
      <w:r>
        <w:rPr>
          <w:color w:val="231F20"/>
          <w:w w:val="105"/>
          <w:sz w:val="20"/>
        </w:rPr>
        <w:t>este</w:t>
      </w:r>
      <w:r>
        <w:rPr>
          <w:color w:val="231F20"/>
          <w:spacing w:val="-28"/>
          <w:w w:val="105"/>
          <w:sz w:val="20"/>
        </w:rPr>
        <w:t> </w:t>
      </w:r>
      <w:r>
        <w:rPr>
          <w:color w:val="231F20"/>
          <w:w w:val="105"/>
          <w:sz w:val="20"/>
        </w:rPr>
        <w:t>grupo</w:t>
      </w:r>
      <w:r>
        <w:rPr>
          <w:color w:val="231F20"/>
          <w:spacing w:val="-28"/>
          <w:w w:val="105"/>
          <w:sz w:val="20"/>
        </w:rPr>
        <w:t> </w:t>
      </w:r>
      <w:r>
        <w:rPr>
          <w:color w:val="231F20"/>
          <w:w w:val="105"/>
          <w:sz w:val="20"/>
        </w:rPr>
        <w:t>presentó</w:t>
      </w:r>
      <w:r>
        <w:rPr>
          <w:color w:val="231F20"/>
          <w:spacing w:val="-28"/>
          <w:w w:val="105"/>
          <w:sz w:val="20"/>
        </w:rPr>
        <w:t> </w:t>
      </w:r>
      <w:r>
        <w:rPr>
          <w:color w:val="231F20"/>
          <w:w w:val="105"/>
          <w:sz w:val="20"/>
        </w:rPr>
        <w:t>la</w:t>
      </w:r>
      <w:r>
        <w:rPr>
          <w:color w:val="231F20"/>
          <w:spacing w:val="-28"/>
          <w:w w:val="105"/>
          <w:sz w:val="20"/>
        </w:rPr>
        <w:t> </w:t>
      </w:r>
      <w:r>
        <w:rPr>
          <w:color w:val="231F20"/>
          <w:w w:val="105"/>
          <w:sz w:val="20"/>
        </w:rPr>
        <w:t>mayor</w:t>
      </w:r>
      <w:r>
        <w:rPr>
          <w:color w:val="231F20"/>
          <w:spacing w:val="-28"/>
          <w:w w:val="105"/>
          <w:sz w:val="20"/>
        </w:rPr>
        <w:t> </w:t>
      </w:r>
      <w:r>
        <w:rPr>
          <w:color w:val="231F20"/>
          <w:w w:val="105"/>
          <w:sz w:val="20"/>
        </w:rPr>
        <w:t>proporción</w:t>
      </w:r>
      <w:r>
        <w:rPr>
          <w:color w:val="231F20"/>
          <w:spacing w:val="-28"/>
          <w:w w:val="105"/>
          <w:sz w:val="20"/>
        </w:rPr>
        <w:t> </w:t>
      </w:r>
      <w:r>
        <w:rPr>
          <w:color w:val="231F20"/>
          <w:w w:val="105"/>
          <w:sz w:val="20"/>
        </w:rPr>
        <w:t>de </w:t>
      </w:r>
      <w:r>
        <w:rPr>
          <w:color w:val="231F20"/>
          <w:sz w:val="20"/>
        </w:rPr>
        <w:t>uso de la inseminación</w:t>
      </w:r>
      <w:r>
        <w:rPr>
          <w:color w:val="231F20"/>
          <w:spacing w:val="-25"/>
          <w:sz w:val="20"/>
        </w:rPr>
        <w:t> </w:t>
      </w:r>
      <w:r>
        <w:rPr>
          <w:color w:val="231F20"/>
          <w:sz w:val="20"/>
        </w:rPr>
        <w:t>artificial.</w:t>
      </w:r>
    </w:p>
    <w:p>
      <w:pPr>
        <w:pStyle w:val="ListParagraph"/>
        <w:numPr>
          <w:ilvl w:val="0"/>
          <w:numId w:val="8"/>
        </w:numPr>
        <w:tabs>
          <w:tab w:pos="697" w:val="left" w:leader="none"/>
        </w:tabs>
        <w:spacing w:line="256" w:lineRule="auto" w:before="112" w:after="0"/>
        <w:ind w:left="696" w:right="1551" w:hanging="283"/>
        <w:jc w:val="both"/>
        <w:rPr>
          <w:sz w:val="20"/>
        </w:rPr>
      </w:pPr>
      <w:r>
        <w:rPr>
          <w:color w:val="231F20"/>
          <w:w w:val="105"/>
          <w:sz w:val="20"/>
        </w:rPr>
        <w:t>Grupo 4: formado por los 22 productores con mayor escolaridad (algunos de ellos con estu- dios de preparatoria y universitarios), se defi- nió como “productores de leche en pequeña escala mixtos, pequeños-medianos con baja producción de </w:t>
      </w:r>
      <w:r>
        <w:rPr>
          <w:color w:val="231F20"/>
          <w:spacing w:val="-3"/>
          <w:w w:val="105"/>
          <w:sz w:val="20"/>
        </w:rPr>
        <w:t>leche”. </w:t>
      </w:r>
      <w:r>
        <w:rPr>
          <w:color w:val="231F20"/>
          <w:w w:val="105"/>
          <w:sz w:val="20"/>
        </w:rPr>
        <w:t>Este grupo presentó la menor</w:t>
      </w:r>
      <w:r>
        <w:rPr>
          <w:color w:val="231F20"/>
          <w:spacing w:val="-11"/>
          <w:w w:val="105"/>
          <w:sz w:val="20"/>
        </w:rPr>
        <w:t> </w:t>
      </w:r>
      <w:r>
        <w:rPr>
          <w:color w:val="231F20"/>
          <w:w w:val="105"/>
          <w:sz w:val="20"/>
        </w:rPr>
        <w:t>superficie</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tierra,</w:t>
      </w:r>
      <w:r>
        <w:rPr>
          <w:color w:val="231F20"/>
          <w:spacing w:val="-11"/>
          <w:w w:val="105"/>
          <w:sz w:val="20"/>
        </w:rPr>
        <w:t> </w:t>
      </w:r>
      <w:r>
        <w:rPr>
          <w:color w:val="231F20"/>
          <w:w w:val="105"/>
          <w:sz w:val="20"/>
        </w:rPr>
        <w:t>un</w:t>
      </w:r>
      <w:r>
        <w:rPr>
          <w:color w:val="231F20"/>
          <w:spacing w:val="-11"/>
          <w:w w:val="105"/>
          <w:sz w:val="20"/>
        </w:rPr>
        <w:t> </w:t>
      </w:r>
      <w:r>
        <w:rPr>
          <w:color w:val="231F20"/>
          <w:w w:val="105"/>
          <w:sz w:val="20"/>
        </w:rPr>
        <w:t>tamaño</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hato medio y el menor uso de concentrados co- merciales.</w:t>
      </w:r>
      <w:r>
        <w:rPr>
          <w:color w:val="231F20"/>
          <w:spacing w:val="-6"/>
          <w:w w:val="105"/>
          <w:sz w:val="20"/>
        </w:rPr>
        <w:t> </w:t>
      </w:r>
      <w:r>
        <w:rPr>
          <w:color w:val="231F20"/>
          <w:w w:val="105"/>
          <w:sz w:val="20"/>
        </w:rPr>
        <w:t>Más</w:t>
      </w:r>
      <w:r>
        <w:rPr>
          <w:color w:val="231F20"/>
          <w:spacing w:val="-6"/>
          <w:w w:val="105"/>
          <w:sz w:val="20"/>
        </w:rPr>
        <w:t> </w:t>
      </w:r>
      <w:r>
        <w:rPr>
          <w:color w:val="231F20"/>
          <w:w w:val="105"/>
          <w:sz w:val="20"/>
        </w:rPr>
        <w:t>de</w:t>
      </w:r>
      <w:r>
        <w:rPr>
          <w:color w:val="231F20"/>
          <w:spacing w:val="-6"/>
          <w:w w:val="105"/>
          <w:sz w:val="20"/>
        </w:rPr>
        <w:t> </w:t>
      </w:r>
      <w:r>
        <w:rPr>
          <w:color w:val="231F20"/>
          <w:w w:val="105"/>
          <w:sz w:val="20"/>
        </w:rPr>
        <w:t>la</w:t>
      </w:r>
      <w:r>
        <w:rPr>
          <w:color w:val="231F20"/>
          <w:spacing w:val="-6"/>
          <w:w w:val="105"/>
          <w:sz w:val="20"/>
        </w:rPr>
        <w:t> </w:t>
      </w:r>
      <w:r>
        <w:rPr>
          <w:color w:val="231F20"/>
          <w:w w:val="105"/>
          <w:sz w:val="20"/>
        </w:rPr>
        <w:t>mitad</w:t>
      </w:r>
      <w:r>
        <w:rPr>
          <w:color w:val="231F20"/>
          <w:spacing w:val="-6"/>
          <w:w w:val="105"/>
          <w:sz w:val="20"/>
        </w:rPr>
        <w:t> </w:t>
      </w:r>
      <w:r>
        <w:rPr>
          <w:color w:val="231F20"/>
          <w:w w:val="105"/>
          <w:sz w:val="20"/>
        </w:rPr>
        <w:t>de</w:t>
      </w:r>
      <w:r>
        <w:rPr>
          <w:color w:val="231F20"/>
          <w:spacing w:val="-6"/>
          <w:w w:val="105"/>
          <w:sz w:val="20"/>
        </w:rPr>
        <w:t> </w:t>
      </w:r>
      <w:r>
        <w:rPr>
          <w:color w:val="231F20"/>
          <w:w w:val="105"/>
          <w:sz w:val="20"/>
        </w:rPr>
        <w:t>los</w:t>
      </w:r>
      <w:r>
        <w:rPr>
          <w:color w:val="231F20"/>
          <w:spacing w:val="-6"/>
          <w:w w:val="105"/>
          <w:sz w:val="20"/>
        </w:rPr>
        <w:t> </w:t>
      </w:r>
      <w:r>
        <w:rPr>
          <w:color w:val="231F20"/>
          <w:w w:val="105"/>
          <w:sz w:val="20"/>
        </w:rPr>
        <w:t>productores (64%) consideró la producción de leche como fuente de ahorro, y manifestaron que su</w:t>
      </w:r>
      <w:r>
        <w:rPr>
          <w:color w:val="231F20"/>
          <w:spacing w:val="-22"/>
          <w:w w:val="105"/>
          <w:sz w:val="20"/>
        </w:rPr>
        <w:t> </w:t>
      </w:r>
      <w:r>
        <w:rPr>
          <w:color w:val="231F20"/>
          <w:w w:val="105"/>
          <w:sz w:val="20"/>
        </w:rPr>
        <w:t>prin- cipal fuente de ingresos eran las actividades no agropecuarias. El uso de la tierra se</w:t>
      </w:r>
      <w:r>
        <w:rPr>
          <w:color w:val="231F20"/>
          <w:spacing w:val="-19"/>
          <w:w w:val="105"/>
          <w:sz w:val="20"/>
        </w:rPr>
        <w:t> </w:t>
      </w:r>
      <w:r>
        <w:rPr>
          <w:color w:val="231F20"/>
          <w:w w:val="105"/>
          <w:sz w:val="20"/>
        </w:rPr>
        <w:t>dividió en tres partes: 1) el </w:t>
      </w:r>
      <w:r>
        <w:rPr>
          <w:color w:val="231F20"/>
          <w:spacing w:val="-3"/>
          <w:w w:val="105"/>
          <w:sz w:val="20"/>
        </w:rPr>
        <w:t>16% </w:t>
      </w:r>
      <w:r>
        <w:rPr>
          <w:color w:val="231F20"/>
          <w:w w:val="105"/>
          <w:sz w:val="20"/>
        </w:rPr>
        <w:t>pradera, 2) el </w:t>
      </w:r>
      <w:r>
        <w:rPr>
          <w:color w:val="231F20"/>
          <w:spacing w:val="-3"/>
          <w:w w:val="105"/>
          <w:sz w:val="20"/>
        </w:rPr>
        <w:t>13% </w:t>
      </w:r>
      <w:r>
        <w:rPr>
          <w:color w:val="231F20"/>
          <w:w w:val="105"/>
          <w:sz w:val="20"/>
        </w:rPr>
        <w:t>para sembrar hortalizas (lechugas y habas)  </w:t>
      </w:r>
      <w:r>
        <w:rPr>
          <w:color w:val="231F20"/>
          <w:spacing w:val="13"/>
          <w:w w:val="105"/>
          <w:sz w:val="20"/>
        </w:rPr>
        <w:t> </w:t>
      </w:r>
      <w:r>
        <w:rPr>
          <w:color w:val="231F20"/>
          <w:w w:val="105"/>
          <w:sz w:val="20"/>
        </w:rPr>
        <w:t>y</w:t>
      </w:r>
    </w:p>
    <w:p>
      <w:pPr>
        <w:pStyle w:val="BodyText"/>
        <w:spacing w:line="256" w:lineRule="auto"/>
        <w:ind w:left="696" w:right="1551"/>
        <w:jc w:val="both"/>
      </w:pPr>
      <w:r>
        <w:rPr>
          <w:color w:val="231F20"/>
        </w:rPr>
        <w:t>3) el 71% restante para sembrar maíz y avena. Este grupo presentó una baja disponibilidad de mano de obra familiar y el nivel más bajo en términos de disponibilidad y uso tecnológico, así como de prácticas de manejo en el   hato.</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80</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spacing w:line="273" w:lineRule="auto" w:before="76"/>
        <w:ind w:left="1553" w:right="471" w:firstLine="0"/>
        <w:jc w:val="left"/>
        <w:rPr>
          <w:rFonts w:ascii="Cambria" w:hAnsi="Cambria"/>
          <w:i/>
          <w:sz w:val="20"/>
        </w:rPr>
      </w:pPr>
      <w:r>
        <w:rPr>
          <w:rFonts w:ascii="Cambria" w:hAnsi="Cambria"/>
          <w:i/>
          <w:color w:val="231F20"/>
          <w:w w:val="110"/>
          <w:sz w:val="20"/>
        </w:rPr>
        <w:t>Razones para la adopción o el rechazo </w:t>
      </w:r>
      <w:r>
        <w:rPr>
          <w:rFonts w:ascii="Cambria" w:hAnsi="Cambria"/>
          <w:i/>
          <w:color w:val="231F20"/>
          <w:w w:val="110"/>
          <w:sz w:val="20"/>
        </w:rPr>
        <w:t>de las tecnologías agrícolas</w:t>
      </w:r>
    </w:p>
    <w:p>
      <w:pPr>
        <w:pStyle w:val="BodyText"/>
        <w:spacing w:line="264" w:lineRule="auto" w:before="113"/>
        <w:ind w:left="1553"/>
        <w:jc w:val="both"/>
      </w:pPr>
      <w:r>
        <w:rPr>
          <w:color w:val="231F20"/>
        </w:rPr>
        <w:t>La adopción de las tecnologías agrícolas, por gru- po, se muestra en la Figura 1. La pradera mostró   el mayor índice de adopción, seguida de los fertili- zantes y los</w:t>
      </w:r>
      <w:r>
        <w:rPr>
          <w:color w:val="231F20"/>
          <w:spacing w:val="38"/>
        </w:rPr>
        <w:t> </w:t>
      </w:r>
      <w:r>
        <w:rPr>
          <w:color w:val="231F20"/>
        </w:rPr>
        <w:t>herbicidas.</w:t>
      </w:r>
    </w:p>
    <w:p>
      <w:pPr>
        <w:pStyle w:val="BodyText"/>
        <w:spacing w:line="264" w:lineRule="auto" w:before="112"/>
        <w:ind w:left="1553"/>
        <w:jc w:val="both"/>
      </w:pPr>
      <w:r>
        <w:rPr>
          <w:color w:val="231F20"/>
        </w:rPr>
        <w:t>La pradera presentó una alta adopción por los productores de los grupos 1, 2 y 3; el grupo 4 presentó la menor adopción. Los productores han usado esta innovación por </w:t>
      </w:r>
      <w:r>
        <w:rPr>
          <w:color w:val="231F20"/>
          <w:spacing w:val="-4"/>
        </w:rPr>
        <w:t>12-16 </w:t>
      </w:r>
      <w:r>
        <w:rPr>
          <w:color w:val="231F20"/>
        </w:rPr>
        <w:t>años. La pradera se consideró muy importante por los productores que la han adoptado. Las razones de los cuatro grupos para adoptarla fueron que incrementa la disponibilidad de forraje y la producción de leche,  y que disminuye los costos de alimentación del hato. El grupo 4 también consideró que la pradera es el principal forraje para alimentar a su ganado. Las razones de los productores de los grupos 2,      3 y 4 para no adoptar el uso de la pradera fueron que requiere inversión, falta de dinero, falta de </w:t>
      </w:r>
      <w:r>
        <w:rPr>
          <w:color w:val="231F20"/>
          <w:spacing w:val="6"/>
        </w:rPr>
        <w:t> </w:t>
      </w:r>
      <w:r>
        <w:rPr>
          <w:color w:val="231F20"/>
        </w:rPr>
        <w:t>te-</w:t>
      </w:r>
    </w:p>
    <w:p>
      <w:pPr>
        <w:pStyle w:val="BodyText"/>
        <w:spacing w:line="256" w:lineRule="auto" w:before="67"/>
        <w:ind w:left="412" w:right="1551"/>
        <w:jc w:val="both"/>
      </w:pPr>
      <w:r>
        <w:rPr/>
        <w:br w:type="column"/>
      </w:r>
      <w:r>
        <w:rPr>
          <w:color w:val="231F20"/>
        </w:rPr>
        <w:t>rrenos y que usan los pastos nativos de terrenos comunales y de besanas para alimentar a su ga- nado. El grupo 4 añadió la falta de experiencia, el tipo de ganado que tiene (razas criollas) y que no se dedican a la producción de leche a un cien por ciento.</w:t>
      </w:r>
    </w:p>
    <w:p>
      <w:pPr>
        <w:pStyle w:val="BodyText"/>
        <w:spacing w:line="256" w:lineRule="auto" w:before="112"/>
        <w:ind w:left="412" w:right="1551"/>
        <w:jc w:val="both"/>
      </w:pPr>
      <w:r>
        <w:rPr>
          <w:color w:val="231F20"/>
        </w:rPr>
        <w:t>Los fertilizantes también presentaron una alta adopción en los grupos 1, 2 y 3, mientras que el grupo 4 presentó la menor adopción. Los produc- tores han usado esta innovación por </w:t>
      </w:r>
      <w:r>
        <w:rPr>
          <w:color w:val="231F20"/>
          <w:spacing w:val="-4"/>
        </w:rPr>
        <w:t>14-18 </w:t>
      </w:r>
      <w:r>
        <w:rPr>
          <w:color w:val="231F20"/>
        </w:rPr>
        <w:t>años. Los fertilizantes fueron considerados de importan- cia por los productores que los han adoptado. Las razones de los cuatro grupos fueron: mejoran la calidad de la tierra e incrementan la producción   de forraje y del cultivo de maíz. Sin embargo, las razones asociadas con la no adopción por los pro- ductores de los cuatro grupos fueron económicas, ya que los fertilizantes químicos son muy costosos y ellos no cuentan con el dinero suficiente para comprarlos; además, los productores usan el es- tiércol que se produce en la misma finca para   </w:t>
      </w:r>
      <w:r>
        <w:rPr>
          <w:color w:val="231F20"/>
          <w:spacing w:val="4"/>
        </w:rPr>
        <w:t> </w:t>
      </w:r>
      <w:r>
        <w:rPr>
          <w:color w:val="231F20"/>
        </w:rPr>
        <w:t>fer-</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8"/>
        <w:rPr>
          <w:sz w:val="22"/>
        </w:rPr>
      </w:pPr>
    </w:p>
    <w:p>
      <w:pPr>
        <w:spacing w:before="69"/>
        <w:ind w:left="1966" w:right="2503" w:firstLine="0"/>
        <w:jc w:val="left"/>
        <w:rPr>
          <w:sz w:val="16"/>
        </w:rPr>
      </w:pPr>
      <w:r>
        <w:rPr/>
        <w:pict>
          <v:group style="position:absolute;margin-left:119.347pt;margin-top:7.91189pt;width:336.15pt;height:198.4pt;mso-position-horizontal-relative:page;mso-position-vertical-relative:paragraph;z-index:-494464" coordorigin="2387,158" coordsize="6723,3968">
            <v:rect style="position:absolute;left:2634;top:166;width:235;height:3890" filled="true" fillcolor="#231f20" stroked="false">
              <v:fill type="solid"/>
            </v:rect>
            <v:rect style="position:absolute;left:2870;top:545;width:235;height:3511" filled="true" fillcolor="#939598" stroked="false">
              <v:fill type="solid"/>
            </v:rect>
            <v:rect style="position:absolute;left:3105;top:269;width:235;height:3787" filled="true" fillcolor="#77787b" stroked="false">
              <v:fill type="solid"/>
            </v:rect>
            <v:rect style="position:absolute;left:3340;top:3173;width:235;height:883" filled="true" fillcolor="#dcddde" stroked="false">
              <v:fill type="solid"/>
            </v:rect>
            <v:rect style="position:absolute;left:3928;top:425;width:235;height:3631" filled="true" fillcolor="#231f20" stroked="false">
              <v:fill type="solid"/>
            </v:rect>
            <v:rect style="position:absolute;left:4163;top:545;width:235;height:3511" filled="true" fillcolor="#939598" stroked="false">
              <v:fill type="solid"/>
            </v:rect>
            <v:rect style="position:absolute;left:4398;top:689;width:235;height:3367" filled="true" fillcolor="#77787b" stroked="false">
              <v:fill type="solid"/>
            </v:rect>
            <v:rect style="position:absolute;left:4634;top:2993;width:235;height:1063" filled="true" fillcolor="#dcddde" stroked="false">
              <v:fill type="solid"/>
            </v:rect>
            <v:rect style="position:absolute;left:5222;top:943;width:233;height:3113" filled="true" fillcolor="#231f20" stroked="false">
              <v:fill type="solid"/>
            </v:rect>
            <v:rect style="position:absolute;left:5454;top:1589;width:235;height:2467" filled="true" fillcolor="#939598" stroked="false">
              <v:fill type="solid"/>
            </v:rect>
            <v:rect style="position:absolute;left:5690;top:1006;width:235;height:3050" filled="true" fillcolor="#77787b" stroked="false">
              <v:fill type="solid"/>
            </v:rect>
            <v:rect style="position:absolute;left:5925;top:2110;width:235;height:1946" filled="true" fillcolor="#dcddde" stroked="false">
              <v:fill type="solid"/>
            </v:rect>
            <v:rect style="position:absolute;left:6513;top:1203;width:235;height:2854" filled="true" fillcolor="#231f20" stroked="false">
              <v:fill type="solid"/>
            </v:rect>
            <v:rect style="position:absolute;left:6748;top:3675;width:235;height:382" filled="true" fillcolor="#939598" stroked="false">
              <v:fill type="solid"/>
            </v:rect>
            <v:rect style="position:absolute;left:6983;top:3742;width:235;height:314" filled="true" fillcolor="#77787b" stroked="false">
              <v:fill type="solid"/>
            </v:rect>
            <v:rect style="position:absolute;left:7218;top:2285;width:235;height:1771" filled="true" fillcolor="#dcddde" stroked="false">
              <v:fill type="solid"/>
            </v:rect>
            <v:rect style="position:absolute;left:7806;top:2227;width:235;height:1829" filled="true" fillcolor="#231f20" stroked="false">
              <v:fill type="solid"/>
            </v:rect>
            <v:rect style="position:absolute;left:8277;top:3317;width:235;height:739" filled="true" fillcolor="#77787b" stroked="false">
              <v:fill type="solid"/>
            </v:rect>
            <v:rect style="position:absolute;left:8512;top:3526;width:235;height:530" filled="true" fillcolor="#dcddde" stroked="false">
              <v:fill type="solid"/>
            </v:rect>
            <v:shape style="position:absolute;left:-62;top:2649;width:6531;height:3953" coordorigin="-62,2649" coordsize="6531,3953" path="m2457,4056l2457,166m2394,4056l2457,4056m2394,3667l2457,3667m2394,3279l2457,3279m2394,2890l2457,2890m2394,2499l2457,2499m2394,2110l2457,2110m2394,1721l2457,1721m2394,1332l2457,1332m2394,943l2457,943m2394,555l2457,555m2394,166l2457,166m2457,4056l8925,4056m2457,4056l2457,4119m3750,4056l3750,4119m5044,4056l5044,4119m6338,4056l6338,4119m7631,4056l7631,4119m8925,4056l8925,4119e" filled="false" stroked="true" strokeweight=".72pt" strokecolor="#989a9d">
              <v:path arrowok="t"/>
            </v:shape>
            <v:rect style="position:absolute;left:8997;top:1606;width:113;height:110" filled="true" fillcolor="#231f20" stroked="false">
              <v:fill type="solid"/>
            </v:rect>
            <v:rect style="position:absolute;left:8997;top:1935;width:113;height:113" filled="true" fillcolor="#939598" stroked="false">
              <v:fill type="solid"/>
            </v:rect>
            <v:rect style="position:absolute;left:8997;top:2263;width:113;height:113" filled="true" fillcolor="#77787b" stroked="false">
              <v:fill type="solid"/>
            </v:rect>
            <v:rect style="position:absolute;left:8997;top:2592;width:113;height:113" filled="true" fillcolor="#dcddde" stroked="false">
              <v:fill type="solid"/>
            </v:rect>
            <w10:wrap type="none"/>
          </v:group>
        </w:pict>
      </w:r>
      <w:r>
        <w:rPr>
          <w:color w:val="231F20"/>
          <w:sz w:val="16"/>
        </w:rPr>
        <w:t>100</w:t>
      </w:r>
    </w:p>
    <w:p>
      <w:pPr>
        <w:pStyle w:val="BodyText"/>
        <w:spacing w:before="2"/>
        <w:rPr>
          <w:sz w:val="10"/>
        </w:rPr>
      </w:pPr>
    </w:p>
    <w:p>
      <w:pPr>
        <w:spacing w:before="69"/>
        <w:ind w:left="2067" w:right="2503" w:firstLine="0"/>
        <w:jc w:val="left"/>
        <w:rPr>
          <w:sz w:val="16"/>
        </w:rPr>
      </w:pPr>
      <w:r>
        <w:rPr>
          <w:color w:val="231F20"/>
          <w:sz w:val="16"/>
        </w:rPr>
        <w:t>90</w:t>
      </w:r>
    </w:p>
    <w:p>
      <w:pPr>
        <w:pStyle w:val="BodyText"/>
        <w:spacing w:before="3"/>
        <w:rPr>
          <w:sz w:val="10"/>
        </w:rPr>
      </w:pPr>
    </w:p>
    <w:p>
      <w:pPr>
        <w:spacing w:before="69"/>
        <w:ind w:left="2067" w:right="2503" w:firstLine="0"/>
        <w:jc w:val="left"/>
        <w:rPr>
          <w:sz w:val="16"/>
        </w:rPr>
      </w:pPr>
      <w:r>
        <w:rPr>
          <w:color w:val="231F20"/>
          <w:sz w:val="16"/>
        </w:rPr>
        <w:t>80</w:t>
      </w:r>
    </w:p>
    <w:p>
      <w:pPr>
        <w:pStyle w:val="BodyText"/>
        <w:spacing w:before="2"/>
        <w:rPr>
          <w:sz w:val="10"/>
        </w:rPr>
      </w:pPr>
    </w:p>
    <w:p>
      <w:pPr>
        <w:spacing w:before="69"/>
        <w:ind w:left="2067" w:right="2503" w:firstLine="0"/>
        <w:jc w:val="left"/>
        <w:rPr>
          <w:sz w:val="16"/>
        </w:rPr>
      </w:pPr>
      <w:r>
        <w:rPr>
          <w:color w:val="231F20"/>
          <w:sz w:val="16"/>
        </w:rPr>
        <w:t>70</w:t>
      </w:r>
    </w:p>
    <w:p>
      <w:pPr>
        <w:tabs>
          <w:tab w:pos="7085" w:val="left" w:leader="none"/>
        </w:tabs>
        <w:spacing w:before="132"/>
        <w:ind w:left="0" w:right="2214" w:firstLine="0"/>
        <w:jc w:val="right"/>
        <w:rPr>
          <w:sz w:val="16"/>
        </w:rPr>
      </w:pPr>
      <w:r>
        <w:rPr>
          <w:color w:val="231F20"/>
          <w:position w:val="-5"/>
          <w:sz w:val="16"/>
        </w:rPr>
        <w:t>60</w:t>
        <w:tab/>
      </w:r>
      <w:r>
        <w:rPr>
          <w:color w:val="231F20"/>
          <w:sz w:val="16"/>
        </w:rPr>
        <w:t>Grupo</w:t>
      </w:r>
      <w:r>
        <w:rPr>
          <w:color w:val="231F20"/>
          <w:spacing w:val="-3"/>
          <w:sz w:val="16"/>
        </w:rPr>
        <w:t> </w:t>
      </w:r>
      <w:r>
        <w:rPr>
          <w:color w:val="231F20"/>
          <w:sz w:val="16"/>
        </w:rPr>
        <w:t>1</w:t>
      </w:r>
    </w:p>
    <w:p>
      <w:pPr>
        <w:spacing w:line="158" w:lineRule="exact" w:before="74"/>
        <w:ind w:left="0" w:right="2214" w:firstLine="0"/>
        <w:jc w:val="right"/>
        <w:rPr>
          <w:sz w:val="16"/>
        </w:rPr>
      </w:pPr>
      <w:r>
        <w:rPr>
          <w:color w:val="231F20"/>
          <w:sz w:val="16"/>
        </w:rPr>
        <w:t>Grupo 2</w:t>
      </w:r>
    </w:p>
    <w:p>
      <w:pPr>
        <w:spacing w:line="158" w:lineRule="exact" w:before="0"/>
        <w:ind w:left="2067" w:right="2503" w:firstLine="0"/>
        <w:jc w:val="left"/>
        <w:rPr>
          <w:sz w:val="16"/>
        </w:rPr>
      </w:pPr>
      <w:r>
        <w:rPr>
          <w:color w:val="231F20"/>
          <w:sz w:val="16"/>
        </w:rPr>
        <w:t>50</w:t>
      </w:r>
    </w:p>
    <w:p>
      <w:pPr>
        <w:spacing w:line="188" w:lineRule="exact" w:before="12"/>
        <w:ind w:left="0" w:right="2214" w:firstLine="0"/>
        <w:jc w:val="right"/>
        <w:rPr>
          <w:sz w:val="16"/>
        </w:rPr>
      </w:pPr>
      <w:r>
        <w:rPr>
          <w:color w:val="231F20"/>
          <w:sz w:val="16"/>
        </w:rPr>
        <w:t>Grupo 3</w:t>
      </w:r>
    </w:p>
    <w:p>
      <w:pPr>
        <w:spacing w:line="164" w:lineRule="exact" w:before="0"/>
        <w:ind w:left="2067" w:right="2503" w:firstLine="0"/>
        <w:jc w:val="left"/>
        <w:rPr>
          <w:sz w:val="16"/>
        </w:rPr>
      </w:pPr>
      <w:r>
        <w:rPr>
          <w:color w:val="231F20"/>
          <w:sz w:val="16"/>
        </w:rPr>
        <w:t>40</w:t>
      </w:r>
    </w:p>
    <w:p>
      <w:pPr>
        <w:spacing w:line="171" w:lineRule="exact" w:before="0"/>
        <w:ind w:left="0" w:right="2214" w:firstLine="0"/>
        <w:jc w:val="right"/>
        <w:rPr>
          <w:sz w:val="16"/>
        </w:rPr>
      </w:pPr>
      <w:r>
        <w:rPr>
          <w:color w:val="231F20"/>
          <w:sz w:val="16"/>
        </w:rPr>
        <w:t>Grupo 4</w:t>
      </w:r>
    </w:p>
    <w:p>
      <w:pPr>
        <w:spacing w:before="46"/>
        <w:ind w:left="2067" w:right="2503" w:firstLine="0"/>
        <w:jc w:val="left"/>
        <w:rPr>
          <w:sz w:val="16"/>
        </w:rPr>
      </w:pPr>
      <w:r>
        <w:rPr>
          <w:color w:val="231F20"/>
          <w:sz w:val="16"/>
        </w:rPr>
        <w:t>30</w:t>
      </w:r>
    </w:p>
    <w:p>
      <w:pPr>
        <w:pStyle w:val="BodyText"/>
        <w:spacing w:before="3"/>
        <w:rPr>
          <w:sz w:val="10"/>
        </w:rPr>
      </w:pPr>
    </w:p>
    <w:p>
      <w:pPr>
        <w:spacing w:before="69"/>
        <w:ind w:left="2067" w:right="2503" w:firstLine="0"/>
        <w:jc w:val="left"/>
        <w:rPr>
          <w:sz w:val="16"/>
        </w:rPr>
      </w:pPr>
      <w:r>
        <w:rPr>
          <w:color w:val="231F20"/>
          <w:sz w:val="16"/>
        </w:rPr>
        <w:t>20</w:t>
      </w:r>
    </w:p>
    <w:p>
      <w:pPr>
        <w:pStyle w:val="BodyText"/>
        <w:spacing w:before="2"/>
        <w:rPr>
          <w:sz w:val="10"/>
        </w:rPr>
      </w:pPr>
    </w:p>
    <w:p>
      <w:pPr>
        <w:spacing w:before="70"/>
        <w:ind w:left="2067" w:right="2503" w:firstLine="0"/>
        <w:jc w:val="left"/>
        <w:rPr>
          <w:sz w:val="16"/>
        </w:rPr>
      </w:pPr>
      <w:r>
        <w:rPr>
          <w:color w:val="231F20"/>
          <w:sz w:val="16"/>
        </w:rPr>
        <w:t>10</w:t>
      </w:r>
    </w:p>
    <w:p>
      <w:pPr>
        <w:pStyle w:val="BodyText"/>
        <w:spacing w:before="3"/>
        <w:rPr>
          <w:sz w:val="10"/>
        </w:rPr>
      </w:pPr>
    </w:p>
    <w:p>
      <w:pPr>
        <w:spacing w:after="0"/>
        <w:rPr>
          <w:sz w:val="10"/>
        </w:rPr>
        <w:sectPr>
          <w:type w:val="continuous"/>
          <w:pgSz w:w="11900" w:h="14450"/>
          <w:pgMar w:top="420" w:bottom="420" w:left="0" w:right="0"/>
        </w:sectPr>
      </w:pPr>
    </w:p>
    <w:p>
      <w:pPr>
        <w:spacing w:before="69"/>
        <w:ind w:left="2168" w:right="0" w:firstLine="0"/>
        <w:jc w:val="left"/>
        <w:rPr>
          <w:sz w:val="16"/>
        </w:rPr>
      </w:pPr>
      <w:r>
        <w:rPr>
          <w:color w:val="231F20"/>
          <w:w w:val="100"/>
          <w:sz w:val="16"/>
        </w:rPr>
        <w:t>0</w:t>
      </w:r>
    </w:p>
    <w:p>
      <w:pPr>
        <w:tabs>
          <w:tab w:pos="1120" w:val="left" w:leader="none"/>
          <w:tab w:pos="2481" w:val="left" w:leader="none"/>
          <w:tab w:pos="3871" w:val="left" w:leader="none"/>
        </w:tabs>
        <w:spacing w:line="190" w:lineRule="exact" w:before="64"/>
        <w:ind w:left="0" w:right="54" w:firstLine="0"/>
        <w:jc w:val="right"/>
        <w:rPr>
          <w:sz w:val="16"/>
        </w:rPr>
      </w:pPr>
      <w:r>
        <w:rPr>
          <w:color w:val="231F20"/>
          <w:sz w:val="16"/>
        </w:rPr>
        <w:t>Pradera</w:t>
        <w:tab/>
        <w:t>Fertilizantes</w:t>
        <w:tab/>
        <w:t>Herbicidas</w:t>
        <w:tab/>
      </w:r>
      <w:r>
        <w:rPr>
          <w:color w:val="231F20"/>
          <w:w w:val="95"/>
          <w:sz w:val="16"/>
        </w:rPr>
        <w:t>Semillas</w:t>
      </w:r>
    </w:p>
    <w:p>
      <w:pPr>
        <w:spacing w:line="190" w:lineRule="exact" w:before="0"/>
        <w:ind w:left="0" w:right="0" w:firstLine="0"/>
        <w:jc w:val="right"/>
        <w:rPr>
          <w:sz w:val="16"/>
        </w:rPr>
      </w:pPr>
      <w:r>
        <w:rPr>
          <w:color w:val="231F20"/>
          <w:sz w:val="16"/>
        </w:rPr>
        <w:t>mejoradas</w:t>
      </w:r>
    </w:p>
    <w:p>
      <w:pPr>
        <w:pStyle w:val="BodyText"/>
        <w:rPr>
          <w:sz w:val="16"/>
        </w:rPr>
      </w:pPr>
      <w:r>
        <w:rPr/>
        <w:br w:type="column"/>
      </w:r>
      <w:r>
        <w:rPr>
          <w:sz w:val="16"/>
        </w:rPr>
      </w:r>
    </w:p>
    <w:p>
      <w:pPr>
        <w:spacing w:before="133"/>
        <w:ind w:left="701" w:right="0" w:firstLine="0"/>
        <w:jc w:val="left"/>
        <w:rPr>
          <w:sz w:val="16"/>
        </w:rPr>
      </w:pPr>
      <w:r>
        <w:rPr>
          <w:color w:val="231F20"/>
          <w:sz w:val="16"/>
        </w:rPr>
        <w:t>Tractor</w:t>
      </w:r>
    </w:p>
    <w:p>
      <w:pPr>
        <w:spacing w:after="0"/>
        <w:jc w:val="left"/>
        <w:rPr>
          <w:sz w:val="16"/>
        </w:rPr>
        <w:sectPr>
          <w:type w:val="continuous"/>
          <w:pgSz w:w="11900" w:h="14450"/>
          <w:pgMar w:top="420" w:bottom="420" w:left="0" w:right="0"/>
          <w:cols w:num="2" w:equalWidth="0">
            <w:col w:w="7242" w:space="40"/>
            <w:col w:w="4618"/>
          </w:cols>
        </w:sectPr>
      </w:pPr>
    </w:p>
    <w:p>
      <w:pPr>
        <w:pStyle w:val="BodyText"/>
        <w:spacing w:before="5"/>
        <w:rPr>
          <w:sz w:val="11"/>
        </w:rPr>
      </w:pPr>
    </w:p>
    <w:p>
      <w:pPr>
        <w:spacing w:before="72"/>
        <w:ind w:left="3877" w:right="2503" w:firstLine="0"/>
        <w:jc w:val="left"/>
        <w:rPr>
          <w:sz w:val="18"/>
        </w:rPr>
      </w:pPr>
      <w:r>
        <w:rPr>
          <w:color w:val="231F20"/>
          <w:sz w:val="18"/>
        </w:rPr>
        <w:t>Figura 1.   Adopción de tecnologías agrícolas por   grupo.</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5.   Factores que intervienen en la adopción de </w:t>
      </w:r>
      <w:r>
        <w:rPr>
          <w:color w:val="231F20"/>
          <w:spacing w:val="35"/>
          <w:sz w:val="18"/>
        </w:rPr>
        <w:t> </w:t>
      </w:r>
      <w:r>
        <w:rPr>
          <w:color w:val="231F20"/>
          <w:sz w:val="18"/>
        </w:rPr>
        <w:t>tecnologías</w:t>
      </w:r>
      <w:r>
        <w:rPr>
          <w:color w:val="231F20"/>
          <w:spacing w:val="11"/>
          <w:sz w:val="18"/>
        </w:rPr>
        <w:t> </w:t>
      </w:r>
      <w:r>
        <w:rPr>
          <w:color w:val="231F20"/>
          <w:sz w:val="18"/>
        </w:rPr>
        <w:t>agropecuarias...</w:t>
      </w:r>
      <w:r>
        <w:rPr>
          <w:color w:val="231F20"/>
          <w:sz w:val="22"/>
        </w:rPr>
        <w:tab/>
      </w:r>
      <w:r>
        <w:rPr>
          <w:color w:val="231F20"/>
          <w:spacing w:val="-9"/>
          <w:sz w:val="22"/>
        </w:rPr>
        <w:t>81</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tilizar sus cultivos. Los grupos 3 y 4 manifestaron que no usan fertilizantes químicos por falta de tie- rra para sembrar.</w:t>
      </w:r>
    </w:p>
    <w:p>
      <w:pPr>
        <w:pStyle w:val="BodyText"/>
        <w:spacing w:line="256" w:lineRule="auto" w:before="112"/>
        <w:ind w:left="1553"/>
        <w:jc w:val="both"/>
      </w:pPr>
      <w:r>
        <w:rPr>
          <w:color w:val="231F20"/>
        </w:rPr>
        <w:t>En cuanto  a  los  herbicidas,  se  observó  una  alta y similar adopción en los grupos 1 y 3, seguidos   por los grupos 2 y 4. Los productores han usado herbicidas por </w:t>
      </w:r>
      <w:r>
        <w:rPr>
          <w:color w:val="231F20"/>
          <w:spacing w:val="-3"/>
        </w:rPr>
        <w:t>8-14 </w:t>
      </w:r>
      <w:r>
        <w:rPr>
          <w:color w:val="231F20"/>
        </w:rPr>
        <w:t>años. Esta innovación fue con- siderada de importancia por los  productores  de los cuatro grupos que la han adoptado, ya que los herbicidas mejoran la producción de sus cultivos, evitan el crecimiento de malezas y los producto- res tienen menos carga de trabajo en sus cultivos. Sin embargo, los productores de los cuatro grupos que no los han adoptado los consideran sin im- portancia para el sistema, que son caros y dañan   la tierra; además, los productores utilizan las ar- venses para alimentar a su ganado. Por otra parte, los productores de los grupos 3 y 4 manifestaron que la no adopción se debe a la falta de terrenos para</w:t>
      </w:r>
      <w:r>
        <w:rPr>
          <w:color w:val="231F20"/>
          <w:spacing w:val="-12"/>
        </w:rPr>
        <w:t> </w:t>
      </w:r>
      <w:r>
        <w:rPr>
          <w:color w:val="231F20"/>
        </w:rPr>
        <w:t>sembrar.</w:t>
      </w:r>
    </w:p>
    <w:p>
      <w:pPr>
        <w:pStyle w:val="BodyText"/>
        <w:spacing w:line="256" w:lineRule="auto" w:before="112"/>
        <w:ind w:left="1553"/>
        <w:jc w:val="both"/>
      </w:pPr>
      <w:r>
        <w:rPr>
          <w:color w:val="231F20"/>
        </w:rPr>
        <w:t>La más alta adopción de semillas mejoradas se ob- servó en el grupo 1, seguido del 4, mientras que  los grupos 2 y 3 presentaron una baja adopción. Las semillas mejoradas han sido usadas por 3-6 años. Esta innovación fue considerada de impor- tancia por los productores que la han adoptado. Las razones de los cuatro grupos para adoptarla fueron principalmente productivas, ya que estas semillas incrementan la producción de forraje y leche. Los productores de los grupos 1 y 2 con- sideraron que la calidad de sus terrenos era apro- piada para el uso de semillas mejoradas, mientras que los productores del grupo 4 manifestaron que las empezaron a usar sólo para experimentar la producción de las semillas. Por otro lado, las razo- nes de los productores de los cuatro grupos para no adoptar esta innovación fueron principalmen- te económicas: que son caras y en el momento    de cultivarlas demandan mucha inversión, y ade- más las consideran de poca importancia para su sistema. Los productores de los grupos 2, 3 y 4 indicaron  que  no  las  han  adoptado  por  falta</w:t>
      </w:r>
      <w:r>
        <w:rPr>
          <w:color w:val="231F20"/>
          <w:spacing w:val="40"/>
        </w:rPr>
        <w:t> </w:t>
      </w:r>
      <w:r>
        <w:rPr>
          <w:color w:val="231F20"/>
        </w:rPr>
        <w:t>de</w:t>
      </w:r>
    </w:p>
    <w:p>
      <w:pPr>
        <w:pStyle w:val="BodyText"/>
        <w:spacing w:before="3"/>
        <w:rPr>
          <w:sz w:val="28"/>
        </w:rPr>
      </w:pPr>
      <w:r>
        <w:rPr/>
        <w:br w:type="column"/>
      </w:r>
      <w:r>
        <w:rPr>
          <w:sz w:val="28"/>
        </w:rPr>
      </w:r>
    </w:p>
    <w:p>
      <w:pPr>
        <w:pStyle w:val="BodyText"/>
        <w:spacing w:line="261" w:lineRule="auto"/>
        <w:ind w:left="412" w:right="1551"/>
        <w:jc w:val="both"/>
      </w:pPr>
      <w:r>
        <w:rPr>
          <w:color w:val="231F20"/>
        </w:rPr>
        <w:t>conocimientos para cultivarlas y por no disponer de</w:t>
      </w:r>
      <w:r>
        <w:rPr>
          <w:color w:val="231F20"/>
          <w:spacing w:val="-3"/>
        </w:rPr>
        <w:t> </w:t>
      </w:r>
      <w:r>
        <w:rPr>
          <w:color w:val="231F20"/>
        </w:rPr>
        <w:t>terrenos.</w:t>
      </w:r>
    </w:p>
    <w:p>
      <w:pPr>
        <w:pStyle w:val="BodyText"/>
        <w:spacing w:line="261" w:lineRule="auto" w:before="112"/>
        <w:ind w:left="412" w:right="1551"/>
        <w:jc w:val="both"/>
      </w:pPr>
      <w:r>
        <w:rPr>
          <w:color w:val="231F20"/>
        </w:rPr>
        <w:t>En cuanto a los tractores, la más alta adopción se encontró en el grupo 1, mientras que en los gru- pos 3 y 4 hubo una baja adopción y en el grupo       2 fue nula. Los tractores han sido usados por los productores por </w:t>
      </w:r>
      <w:r>
        <w:rPr>
          <w:color w:val="231F20"/>
          <w:spacing w:val="-4"/>
        </w:rPr>
        <w:t>7-9 </w:t>
      </w:r>
      <w:r>
        <w:rPr>
          <w:color w:val="231F20"/>
        </w:rPr>
        <w:t>años. Esta innovación fue con- siderada muy importante por los productores de los grupos 1, 3 y 4 que la han adoptado, ya que    los</w:t>
      </w:r>
      <w:r>
        <w:rPr>
          <w:color w:val="231F20"/>
          <w:spacing w:val="-7"/>
        </w:rPr>
        <w:t> </w:t>
      </w:r>
      <w:r>
        <w:rPr>
          <w:color w:val="231F20"/>
        </w:rPr>
        <w:t>tractores</w:t>
      </w:r>
      <w:r>
        <w:rPr>
          <w:color w:val="231F20"/>
          <w:spacing w:val="-7"/>
        </w:rPr>
        <w:t> </w:t>
      </w:r>
      <w:r>
        <w:rPr>
          <w:color w:val="231F20"/>
        </w:rPr>
        <w:t>son</w:t>
      </w:r>
      <w:r>
        <w:rPr>
          <w:color w:val="231F20"/>
          <w:spacing w:val="-7"/>
        </w:rPr>
        <w:t> </w:t>
      </w:r>
      <w:r>
        <w:rPr>
          <w:color w:val="231F20"/>
        </w:rPr>
        <w:t>de</w:t>
      </w:r>
      <w:r>
        <w:rPr>
          <w:color w:val="231F20"/>
          <w:spacing w:val="-7"/>
        </w:rPr>
        <w:t> </w:t>
      </w:r>
      <w:r>
        <w:rPr>
          <w:color w:val="231F20"/>
        </w:rPr>
        <w:t>mucha</w:t>
      </w:r>
      <w:r>
        <w:rPr>
          <w:color w:val="231F20"/>
          <w:spacing w:val="-7"/>
        </w:rPr>
        <w:t> </w:t>
      </w:r>
      <w:r>
        <w:rPr>
          <w:color w:val="231F20"/>
        </w:rPr>
        <w:t>utilidad</w:t>
      </w:r>
      <w:r>
        <w:rPr>
          <w:color w:val="231F20"/>
          <w:spacing w:val="-7"/>
        </w:rPr>
        <w:t> </w:t>
      </w:r>
      <w:r>
        <w:rPr>
          <w:color w:val="231F20"/>
        </w:rPr>
        <w:t>para</w:t>
      </w:r>
      <w:r>
        <w:rPr>
          <w:color w:val="231F20"/>
          <w:spacing w:val="-7"/>
        </w:rPr>
        <w:t> </w:t>
      </w:r>
      <w:r>
        <w:rPr>
          <w:color w:val="231F20"/>
        </w:rPr>
        <w:t>cultivar</w:t>
      </w:r>
      <w:r>
        <w:rPr>
          <w:color w:val="231F20"/>
          <w:spacing w:val="-7"/>
        </w:rPr>
        <w:t> </w:t>
      </w:r>
      <w:r>
        <w:rPr>
          <w:color w:val="231F20"/>
        </w:rPr>
        <w:t>sus terrenos y además son una fuente de ingreso extra para la familia, pues los propietarios pueden ren- tar el servicio a otros miembros de la comunidad.  A pesar de que los tractores fueron considerados de importancia por los productores que no los han adoptado, la principal restricción fue la falta de di- nero para poder adquirirlos. Los productores del grupo 4 añadieron la falta de información de los programas del gobierno y la falta de servicios de crédito, y además manifestaron que las organiza- ciones gubernamentales piden muchos requisitos   a la hora de solicitar el apoyo y que el proceso toma demasiado</w:t>
      </w:r>
      <w:r>
        <w:rPr>
          <w:color w:val="231F20"/>
          <w:spacing w:val="27"/>
        </w:rPr>
        <w:t> </w:t>
      </w:r>
      <w:r>
        <w:rPr>
          <w:color w:val="231F20"/>
        </w:rPr>
        <w:t>tiempo.</w:t>
      </w:r>
    </w:p>
    <w:p>
      <w:pPr>
        <w:pStyle w:val="BodyText"/>
        <w:spacing w:before="6"/>
        <w:rPr>
          <w:sz w:val="18"/>
        </w:rPr>
      </w:pPr>
    </w:p>
    <w:p>
      <w:pPr>
        <w:spacing w:line="271" w:lineRule="auto" w:before="0"/>
        <w:ind w:left="412" w:right="2204" w:firstLine="0"/>
        <w:jc w:val="left"/>
        <w:rPr>
          <w:rFonts w:ascii="Cambria" w:hAnsi="Cambria"/>
          <w:i/>
          <w:sz w:val="20"/>
        </w:rPr>
      </w:pPr>
      <w:r>
        <w:rPr>
          <w:rFonts w:ascii="Cambria" w:hAnsi="Cambria"/>
          <w:i/>
          <w:color w:val="231F20"/>
          <w:w w:val="110"/>
          <w:sz w:val="20"/>
        </w:rPr>
        <w:t>Razones para la adopción o el rechazo </w:t>
      </w:r>
      <w:r>
        <w:rPr>
          <w:rFonts w:ascii="Cambria" w:hAnsi="Cambria"/>
          <w:i/>
          <w:color w:val="231F20"/>
          <w:w w:val="110"/>
          <w:sz w:val="20"/>
        </w:rPr>
        <w:t>de las tecnologías pecuarias</w:t>
      </w:r>
    </w:p>
    <w:p>
      <w:pPr>
        <w:pStyle w:val="BodyText"/>
        <w:spacing w:line="261" w:lineRule="auto" w:before="113"/>
        <w:ind w:left="412" w:right="1551"/>
        <w:jc w:val="both"/>
      </w:pPr>
      <w:r>
        <w:rPr>
          <w:color w:val="231F20"/>
        </w:rPr>
        <w:t>La adopción de las tecnologías pecuarias por grupo se muestra en la Figura 2. El uso de desparasita- ción mostró un mayor índice de adopción, seguido de las vacunas y de la inseminación  artificial.</w:t>
      </w:r>
    </w:p>
    <w:p>
      <w:pPr>
        <w:pStyle w:val="BodyText"/>
        <w:spacing w:line="261" w:lineRule="auto" w:before="112"/>
        <w:ind w:left="412" w:right="1551"/>
        <w:jc w:val="both"/>
      </w:pPr>
      <w:r>
        <w:rPr>
          <w:color w:val="231F20"/>
        </w:rPr>
        <w:t>La desparasitación presentó la más alta proporción de adopción por los productores de los cuatro gru- pos, aunque el grupo 4 fue el que mostró la menor adopción. Los productores de los cuatro grupos re- portaron que han usado la tecnología por 4-9 años en promedio. La desparasitación fue considerada como muy importante por los cuatro grupos para preservar la salud  del  hato.  Los  no  adoptadores la consideraron como importante, pero la falta de conocimiento para su uso, la falta de interés por su uso debido a un reducido tamaño de hato y la   fal-</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82</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2"/>
        <w:rPr>
          <w:sz w:val="24"/>
        </w:rPr>
      </w:pPr>
    </w:p>
    <w:p>
      <w:pPr>
        <w:spacing w:before="69"/>
        <w:ind w:left="1635" w:right="2503" w:firstLine="0"/>
        <w:jc w:val="left"/>
        <w:rPr>
          <w:sz w:val="16"/>
        </w:rPr>
      </w:pPr>
      <w:r>
        <w:rPr/>
        <w:pict>
          <v:group style="position:absolute;margin-left:102.811302pt;margin-top:7.862296pt;width:410.45pt;height:197.7pt;mso-position-horizontal-relative:page;mso-position-vertical-relative:paragraph;z-index:2488" coordorigin="2056,157" coordsize="8209,3954">
            <v:rect style="position:absolute;left:2311;top:165;width:247;height:3874" filled="true" fillcolor="#231f20" stroked="false">
              <v:fill type="solid"/>
            </v:rect>
            <v:rect style="position:absolute;left:2558;top:340;width:245;height:3698" filled="true" fillcolor="#c6c8ca" stroked="false">
              <v:fill type="solid"/>
            </v:rect>
            <v:rect style="position:absolute;left:2803;top:374;width:247;height:3665" filled="true" fillcolor="#77787b" stroked="false">
              <v:fill type="solid"/>
            </v:rect>
            <v:rect style="position:absolute;left:3050;top:2450;width:247;height:1589" filled="true" fillcolor="#939598" stroked="false">
              <v:fill type="solid"/>
            </v:rect>
            <v:rect style="position:absolute;left:3667;top:681;width:245;height:3358" filled="true" fillcolor="#231f20" stroked="false">
              <v:fill type="solid"/>
            </v:rect>
            <v:rect style="position:absolute;left:3912;top:544;width:247;height:3494" filled="true" fillcolor="#c6c8ca" stroked="false">
              <v:fill type="solid"/>
            </v:rect>
            <v:rect style="position:absolute;left:4159;top:474;width:247;height:3564" filled="true" fillcolor="#77787b" stroked="false">
              <v:fill type="solid"/>
            </v:rect>
            <v:rect style="position:absolute;left:4406;top:3513;width:245;height:526" filled="true" fillcolor="#939598" stroked="false">
              <v:fill type="solid"/>
            </v:rect>
            <v:rect style="position:absolute;left:5021;top:1444;width:247;height:2594" filled="true" fillcolor="#231f20" stroked="false">
              <v:fill type="solid"/>
            </v:rect>
            <v:rect style="position:absolute;left:5268;top:3458;width:247;height:581" filled="true" fillcolor="#c6c8ca" stroked="false">
              <v:fill type="solid"/>
            </v:rect>
            <v:rect style="position:absolute;left:5515;top:1326;width:245;height:2712" filled="true" fillcolor="#77787b" stroked="false">
              <v:fill type="solid"/>
            </v:rect>
            <v:rect style="position:absolute;left:5760;top:2800;width:247;height:1238" filled="true" fillcolor="#939598" stroked="false">
              <v:fill type="solid"/>
            </v:rect>
            <v:rect style="position:absolute;left:6377;top:1974;width:247;height:2064" filled="true" fillcolor="#231f20" stroked="false">
              <v:fill type="solid"/>
            </v:rect>
            <v:rect style="position:absolute;left:6624;top:3758;width:247;height:281" filled="true" fillcolor="#c6c8ca" stroked="false">
              <v:fill type="solid"/>
            </v:rect>
            <v:rect style="position:absolute;left:6871;top:3304;width:245;height:734" filled="true" fillcolor="#77787b" stroked="false">
              <v:fill type="solid"/>
            </v:rect>
            <v:rect style="position:absolute;left:7116;top:3335;width:247;height:703" filled="true" fillcolor="#939598" stroked="false">
              <v:fill type="solid"/>
            </v:rect>
            <v:shape style="position:absolute;left:7733;top:2992;width:1601;height:1047" coordorigin="7733,2992" coordsize="1601,1047" path="m7980,2992l7733,2992,7733,4038,7980,4038,7980,2992m9333,3004l9089,3004,9089,4038,9333,4038,9333,3004e" filled="true" fillcolor="#231f20" stroked="false">
              <v:path arrowok="t"/>
              <v:fill type="solid"/>
            </v:shape>
            <v:rect style="position:absolute;left:8225;top:3935;width:247;height:103" filled="true" fillcolor="#77787b" stroked="false">
              <v:fill type="solid"/>
            </v:rect>
            <v:rect style="position:absolute;left:8472;top:3866;width:247;height:173" filled="true" fillcolor="#939598" stroked="false">
              <v:fill type="solid"/>
            </v:rect>
            <v:rect style="position:absolute;left:9581;top:3098;width:247;height:941" filled="true" fillcolor="#77787b" stroked="false">
              <v:fill type="solid"/>
            </v:rect>
            <v:shape style="position:absolute;left:-62;top:8826;width:8194;height:3939" coordorigin="-62,8826" coordsize="8194,3939" path="m2126,4038l2126,165m2064,4038l2126,4038m2064,3652l2126,3652m2064,3263l2126,3263m2064,2877l2126,2877m2064,2490l2126,2490m2064,2102l2126,2102m2064,1715l2126,1715m2064,1326l2126,1326m2064,940l2126,940m2064,551l2126,551m2064,165l2126,165m2126,4038l10257,4038m2126,4038l2126,4103m3482,4038l3482,4103m4836,4038l4836,4103m6192,4038l6192,4103m7548,4038l7548,4103m8904,4038l8904,4103m10257,4038l10257,4103e" filled="false" stroked="true" strokeweight=".72pt" strokecolor="#989a9d">
              <v:path arrowok="t"/>
            </v:shape>
            <v:rect style="position:absolute;left:8789;top:933;width:113;height:113" filled="true" fillcolor="#231f20" stroked="false">
              <v:fill type="solid"/>
            </v:rect>
            <v:rect style="position:absolute;left:8789;top:1262;width:113;height:113" filled="true" fillcolor="#c6c8ca" stroked="false">
              <v:fill type="solid"/>
            </v:rect>
            <v:rect style="position:absolute;left:8789;top:1590;width:113;height:113" filled="true" fillcolor="#77787b" stroked="false">
              <v:fill type="solid"/>
            </v:rect>
            <v:rect style="position:absolute;left:8789;top:1919;width:113;height:113" filled="true" fillcolor="#939598" stroked="false">
              <v:fill type="solid"/>
            </v:rect>
            <v:shape style="position:absolute;left:8947;top:923;width:564;height:1148" type="#_x0000_t202" filled="false" stroked="false">
              <v:textbox inset="0,0,0,0">
                <w:txbxContent>
                  <w:p>
                    <w:pPr>
                      <w:spacing w:line="164" w:lineRule="exact" w:before="0"/>
                      <w:ind w:left="0" w:right="0" w:firstLine="0"/>
                      <w:jc w:val="left"/>
                      <w:rPr>
                        <w:sz w:val="16"/>
                      </w:rPr>
                    </w:pPr>
                    <w:r>
                      <w:rPr>
                        <w:color w:val="231F20"/>
                        <w:sz w:val="16"/>
                      </w:rPr>
                      <w:t>Grupo 1</w:t>
                    </w:r>
                  </w:p>
                  <w:p>
                    <w:pPr>
                      <w:spacing w:before="134"/>
                      <w:ind w:left="0" w:right="0" w:firstLine="0"/>
                      <w:jc w:val="left"/>
                      <w:rPr>
                        <w:sz w:val="16"/>
                      </w:rPr>
                    </w:pPr>
                    <w:r>
                      <w:rPr>
                        <w:color w:val="231F20"/>
                        <w:sz w:val="16"/>
                      </w:rPr>
                      <w:t>Grupo 2</w:t>
                    </w:r>
                  </w:p>
                  <w:p>
                    <w:pPr>
                      <w:spacing w:before="134"/>
                      <w:ind w:left="0" w:right="0" w:firstLine="0"/>
                      <w:jc w:val="left"/>
                      <w:rPr>
                        <w:sz w:val="16"/>
                      </w:rPr>
                    </w:pPr>
                    <w:r>
                      <w:rPr>
                        <w:color w:val="231F20"/>
                        <w:sz w:val="16"/>
                      </w:rPr>
                      <w:t>Grupo 3</w:t>
                    </w:r>
                  </w:p>
                  <w:p>
                    <w:pPr>
                      <w:spacing w:line="191" w:lineRule="exact" w:before="134"/>
                      <w:ind w:left="0" w:right="0" w:firstLine="0"/>
                      <w:jc w:val="left"/>
                      <w:rPr>
                        <w:sz w:val="16"/>
                      </w:rPr>
                    </w:pPr>
                    <w:r>
                      <w:rPr>
                        <w:color w:val="231F20"/>
                        <w:sz w:val="16"/>
                      </w:rPr>
                      <w:t>Grupo 4</w:t>
                    </w:r>
                  </w:p>
                </w:txbxContent>
              </v:textbox>
              <w10:wrap type="none"/>
            </v:shape>
            <w10:wrap type="none"/>
          </v:group>
        </w:pict>
      </w:r>
      <w:r>
        <w:rPr>
          <w:color w:val="231F20"/>
          <w:sz w:val="16"/>
        </w:rPr>
        <w:t>100</w:t>
      </w:r>
    </w:p>
    <w:p>
      <w:pPr>
        <w:pStyle w:val="BodyText"/>
        <w:spacing w:before="1"/>
        <w:rPr>
          <w:sz w:val="10"/>
        </w:rPr>
      </w:pPr>
    </w:p>
    <w:p>
      <w:pPr>
        <w:spacing w:before="69"/>
        <w:ind w:left="1736" w:right="2503" w:firstLine="0"/>
        <w:jc w:val="left"/>
        <w:rPr>
          <w:sz w:val="16"/>
        </w:rPr>
      </w:pPr>
      <w:r>
        <w:rPr>
          <w:color w:val="231F20"/>
          <w:sz w:val="16"/>
        </w:rPr>
        <w:t>90</w:t>
      </w:r>
    </w:p>
    <w:p>
      <w:pPr>
        <w:pStyle w:val="BodyText"/>
        <w:rPr>
          <w:sz w:val="10"/>
        </w:rPr>
      </w:pPr>
    </w:p>
    <w:p>
      <w:pPr>
        <w:spacing w:before="70"/>
        <w:ind w:left="1736" w:right="2503" w:firstLine="0"/>
        <w:jc w:val="left"/>
        <w:rPr>
          <w:sz w:val="16"/>
        </w:rPr>
      </w:pPr>
      <w:r>
        <w:rPr>
          <w:color w:val="231F20"/>
          <w:sz w:val="16"/>
        </w:rPr>
        <w:t>80</w:t>
      </w:r>
    </w:p>
    <w:p>
      <w:pPr>
        <w:pStyle w:val="BodyText"/>
        <w:spacing w:before="9"/>
        <w:rPr>
          <w:sz w:val="15"/>
        </w:rPr>
      </w:pPr>
    </w:p>
    <w:p>
      <w:pPr>
        <w:spacing w:before="0"/>
        <w:ind w:left="1736" w:right="2503" w:firstLine="0"/>
        <w:jc w:val="left"/>
        <w:rPr>
          <w:sz w:val="16"/>
        </w:rPr>
      </w:pPr>
      <w:r>
        <w:rPr>
          <w:color w:val="231F20"/>
          <w:sz w:val="16"/>
        </w:rPr>
        <w:t>70</w:t>
      </w:r>
    </w:p>
    <w:p>
      <w:pPr>
        <w:pStyle w:val="BodyText"/>
        <w:spacing w:before="8"/>
        <w:rPr>
          <w:sz w:val="15"/>
        </w:rPr>
      </w:pPr>
    </w:p>
    <w:p>
      <w:pPr>
        <w:spacing w:before="1"/>
        <w:ind w:left="1736" w:right="2503" w:firstLine="0"/>
        <w:jc w:val="left"/>
        <w:rPr>
          <w:sz w:val="16"/>
        </w:rPr>
      </w:pPr>
      <w:r>
        <w:rPr>
          <w:color w:val="231F20"/>
          <w:sz w:val="16"/>
        </w:rPr>
        <w:t>60</w:t>
      </w:r>
    </w:p>
    <w:p>
      <w:pPr>
        <w:pStyle w:val="BodyText"/>
        <w:rPr>
          <w:sz w:val="10"/>
        </w:rPr>
      </w:pPr>
    </w:p>
    <w:p>
      <w:pPr>
        <w:spacing w:before="70"/>
        <w:ind w:left="1736" w:right="2503" w:firstLine="0"/>
        <w:jc w:val="left"/>
        <w:rPr>
          <w:sz w:val="16"/>
        </w:rPr>
      </w:pPr>
      <w:r>
        <w:rPr>
          <w:color w:val="231F20"/>
          <w:sz w:val="16"/>
        </w:rPr>
        <w:t>50</w:t>
      </w:r>
    </w:p>
    <w:p>
      <w:pPr>
        <w:pStyle w:val="BodyText"/>
        <w:spacing w:before="1"/>
        <w:rPr>
          <w:sz w:val="10"/>
        </w:rPr>
      </w:pPr>
    </w:p>
    <w:p>
      <w:pPr>
        <w:spacing w:before="69"/>
        <w:ind w:left="1736" w:right="2503" w:firstLine="0"/>
        <w:jc w:val="left"/>
        <w:rPr>
          <w:sz w:val="16"/>
        </w:rPr>
      </w:pPr>
      <w:r>
        <w:rPr>
          <w:color w:val="231F20"/>
          <w:sz w:val="16"/>
        </w:rPr>
        <w:t>40</w:t>
      </w:r>
    </w:p>
    <w:p>
      <w:pPr>
        <w:pStyle w:val="BodyText"/>
        <w:rPr>
          <w:sz w:val="10"/>
        </w:rPr>
      </w:pPr>
    </w:p>
    <w:p>
      <w:pPr>
        <w:spacing w:before="70"/>
        <w:ind w:left="1736" w:right="2503" w:firstLine="0"/>
        <w:jc w:val="left"/>
        <w:rPr>
          <w:sz w:val="16"/>
        </w:rPr>
      </w:pPr>
      <w:r>
        <w:rPr>
          <w:color w:val="231F20"/>
          <w:sz w:val="16"/>
        </w:rPr>
        <w:t>30</w:t>
      </w:r>
    </w:p>
    <w:p>
      <w:pPr>
        <w:pStyle w:val="BodyText"/>
        <w:spacing w:before="1"/>
        <w:rPr>
          <w:sz w:val="10"/>
        </w:rPr>
      </w:pPr>
    </w:p>
    <w:p>
      <w:pPr>
        <w:spacing w:before="69"/>
        <w:ind w:left="1736" w:right="2503" w:firstLine="0"/>
        <w:jc w:val="left"/>
        <w:rPr>
          <w:sz w:val="16"/>
        </w:rPr>
      </w:pPr>
      <w:r>
        <w:rPr>
          <w:color w:val="231F20"/>
          <w:sz w:val="16"/>
        </w:rPr>
        <w:t>20</w:t>
      </w:r>
    </w:p>
    <w:p>
      <w:pPr>
        <w:pStyle w:val="BodyText"/>
        <w:rPr>
          <w:sz w:val="10"/>
        </w:rPr>
      </w:pPr>
    </w:p>
    <w:p>
      <w:pPr>
        <w:spacing w:before="70"/>
        <w:ind w:left="1736" w:right="2503" w:firstLine="0"/>
        <w:jc w:val="left"/>
        <w:rPr>
          <w:sz w:val="16"/>
        </w:rPr>
      </w:pPr>
      <w:r>
        <w:rPr>
          <w:color w:val="231F20"/>
          <w:sz w:val="16"/>
        </w:rPr>
        <w:t>10</w:t>
      </w:r>
    </w:p>
    <w:p>
      <w:pPr>
        <w:pStyle w:val="BodyText"/>
        <w:rPr>
          <w:sz w:val="10"/>
        </w:rPr>
      </w:pPr>
    </w:p>
    <w:p>
      <w:pPr>
        <w:spacing w:after="0"/>
        <w:rPr>
          <w:sz w:val="10"/>
        </w:rPr>
        <w:sectPr>
          <w:pgSz w:w="11900" w:h="14450"/>
          <w:pgMar w:header="0" w:footer="222" w:top="420" w:bottom="420" w:left="0" w:right="0"/>
        </w:sectPr>
      </w:pPr>
    </w:p>
    <w:p>
      <w:pPr>
        <w:spacing w:before="70"/>
        <w:ind w:left="1837" w:right="0" w:firstLine="0"/>
        <w:jc w:val="left"/>
        <w:rPr>
          <w:sz w:val="16"/>
        </w:rPr>
      </w:pPr>
      <w:r>
        <w:rPr>
          <w:color w:val="231F20"/>
          <w:w w:val="100"/>
          <w:sz w:val="16"/>
        </w:rPr>
        <w:t>0</w:t>
      </w:r>
    </w:p>
    <w:p>
      <w:pPr>
        <w:tabs>
          <w:tab w:pos="3818" w:val="left" w:leader="none"/>
          <w:tab w:pos="4952" w:val="left" w:leader="none"/>
        </w:tabs>
        <w:spacing w:line="190" w:lineRule="exact" w:before="65"/>
        <w:ind w:left="2156" w:right="0" w:firstLine="0"/>
        <w:jc w:val="left"/>
        <w:rPr>
          <w:sz w:val="16"/>
        </w:rPr>
      </w:pPr>
      <w:r>
        <w:rPr>
          <w:color w:val="231F20"/>
          <w:sz w:val="16"/>
        </w:rPr>
        <w:t>Desparasitación</w:t>
        <w:tab/>
        <w:t>Vacunas</w:t>
        <w:tab/>
        <w:t>Inseminación</w:t>
      </w:r>
    </w:p>
    <w:p>
      <w:pPr>
        <w:spacing w:line="190" w:lineRule="exact" w:before="0"/>
        <w:ind w:left="0" w:right="128" w:firstLine="0"/>
        <w:jc w:val="right"/>
        <w:rPr>
          <w:sz w:val="16"/>
        </w:rPr>
      </w:pPr>
      <w:r>
        <w:rPr>
          <w:color w:val="231F20"/>
          <w:w w:val="95"/>
          <w:sz w:val="16"/>
        </w:rPr>
        <w:t>artificial</w:t>
      </w:r>
    </w:p>
    <w:p>
      <w:pPr>
        <w:pStyle w:val="BodyText"/>
        <w:rPr>
          <w:sz w:val="16"/>
        </w:rPr>
      </w:pPr>
      <w:r>
        <w:rPr/>
        <w:br w:type="column"/>
      </w:r>
      <w:r>
        <w:rPr>
          <w:sz w:val="16"/>
        </w:rPr>
      </w:r>
    </w:p>
    <w:p>
      <w:pPr>
        <w:spacing w:line="184" w:lineRule="exact" w:before="140"/>
        <w:ind w:left="654" w:right="-19" w:hanging="58"/>
        <w:jc w:val="left"/>
        <w:rPr>
          <w:sz w:val="16"/>
        </w:rPr>
      </w:pPr>
      <w:r>
        <w:rPr>
          <w:color w:val="231F20"/>
          <w:sz w:val="16"/>
        </w:rPr>
        <w:t>Molino de martillos</w:t>
      </w:r>
    </w:p>
    <w:p>
      <w:pPr>
        <w:pStyle w:val="BodyText"/>
        <w:rPr>
          <w:sz w:val="16"/>
        </w:rPr>
      </w:pPr>
      <w:r>
        <w:rPr/>
        <w:br w:type="column"/>
      </w:r>
      <w:r>
        <w:rPr>
          <w:sz w:val="16"/>
        </w:rPr>
      </w:r>
    </w:p>
    <w:p>
      <w:pPr>
        <w:tabs>
          <w:tab w:pos="2052" w:val="left" w:leader="none"/>
        </w:tabs>
        <w:spacing w:before="134"/>
        <w:ind w:left="535" w:right="0" w:firstLine="0"/>
        <w:jc w:val="left"/>
        <w:rPr>
          <w:sz w:val="16"/>
        </w:rPr>
      </w:pPr>
      <w:r>
        <w:rPr>
          <w:color w:val="231F20"/>
          <w:sz w:val="16"/>
        </w:rPr>
        <w:t>Ordeñadoras</w:t>
        <w:tab/>
        <w:t>Registros</w:t>
      </w:r>
    </w:p>
    <w:p>
      <w:pPr>
        <w:spacing w:after="0"/>
        <w:jc w:val="left"/>
        <w:rPr>
          <w:sz w:val="16"/>
        </w:rPr>
        <w:sectPr>
          <w:type w:val="continuous"/>
          <w:pgSz w:w="11900" w:h="14450"/>
          <w:pgMar w:top="420" w:bottom="420" w:left="0" w:right="0"/>
          <w:cols w:num="3" w:equalWidth="0">
            <w:col w:w="5819" w:space="40"/>
            <w:col w:w="1260" w:space="40"/>
            <w:col w:w="4741"/>
          </w:cols>
        </w:sectPr>
      </w:pPr>
    </w:p>
    <w:p>
      <w:pPr>
        <w:spacing w:before="151"/>
        <w:ind w:left="3845" w:right="2503" w:firstLine="0"/>
        <w:jc w:val="left"/>
        <w:rPr>
          <w:sz w:val="18"/>
        </w:rPr>
      </w:pPr>
      <w:r>
        <w:rPr>
          <w:color w:val="231F20"/>
          <w:sz w:val="18"/>
        </w:rPr>
        <w:t>Figura 2.   Adopción de tecnologías pecuarias por   grupo.</w:t>
      </w:r>
    </w:p>
    <w:p>
      <w:pPr>
        <w:pStyle w:val="BodyText"/>
      </w:pPr>
    </w:p>
    <w:p>
      <w:pPr>
        <w:spacing w:after="0"/>
        <w:sectPr>
          <w:type w:val="continuous"/>
          <w:pgSz w:w="11900" w:h="14450"/>
          <w:pgMar w:top="420" w:bottom="420" w:left="0" w:right="0"/>
        </w:sectPr>
      </w:pPr>
    </w:p>
    <w:p>
      <w:pPr>
        <w:pStyle w:val="BodyText"/>
        <w:spacing w:before="6"/>
      </w:pPr>
    </w:p>
    <w:p>
      <w:pPr>
        <w:pStyle w:val="BodyText"/>
        <w:spacing w:line="268" w:lineRule="auto"/>
        <w:ind w:left="1553"/>
        <w:jc w:val="both"/>
      </w:pPr>
      <w:r>
        <w:rPr>
          <w:color w:val="231F20"/>
        </w:rPr>
        <w:t>ta de servicios de extensión fueron los principales factores para su rechazo.</w:t>
      </w:r>
    </w:p>
    <w:p>
      <w:pPr>
        <w:pStyle w:val="BodyText"/>
        <w:spacing w:line="268" w:lineRule="auto" w:before="114"/>
        <w:ind w:left="1553"/>
        <w:jc w:val="both"/>
      </w:pPr>
      <w:r>
        <w:rPr>
          <w:color w:val="231F20"/>
        </w:rPr>
        <w:t>Las vacunas presentaron una mayor adopción en los grupos 1, 2 y 3; el grupo 4 presentó el menor índice de adopción. Los productores de los cuatro grupos reportan que han usado la tecnología por 4-6 años. Las vacunas fueron consideradas muy importantes por los adoptadores de los cuatro grupos, ya que ayudan a prevenir y evitar enfer- medades en el hato, como la brucelosis y la lep- tospirosis. Los no adoptadores de los grupos 1 y 2 las consideraron como importantes, mientras que en los grupos 3 y 4 fueron consideradas como importantes y poco importantes, respectivamente. Sin embargo, la falta de conocimiento para su uso, la falta de capital, la falta de interés por usarlas debido a un reducido tamaño de hato y la falta     de servicios de extensión fueron factores para su rechazo.</w:t>
      </w:r>
    </w:p>
    <w:p>
      <w:pPr>
        <w:pStyle w:val="BodyText"/>
        <w:spacing w:before="1"/>
        <w:rPr>
          <w:sz w:val="19"/>
        </w:rPr>
      </w:pPr>
      <w:r>
        <w:rPr/>
        <w:br w:type="column"/>
      </w:r>
      <w:r>
        <w:rPr>
          <w:sz w:val="19"/>
        </w:rPr>
      </w:r>
    </w:p>
    <w:p>
      <w:pPr>
        <w:pStyle w:val="BodyText"/>
        <w:spacing w:line="256" w:lineRule="auto"/>
        <w:ind w:left="412" w:right="1550"/>
        <w:jc w:val="both"/>
      </w:pPr>
      <w:r>
        <w:rPr>
          <w:color w:val="231F20"/>
        </w:rPr>
        <w:t>La inseminación artificial tuvo una alta adopción  en los grupos 1 y 3, pero baja en los grupos 2 y 4. Los productores de los cuatro grupos han usado     la inseminación artificial por 3-5 años. Los pro- ductores de los grupos 1 y 3 que han adoptado      la tecnología la consideran de mucha  importan- cia, mientras que en los grupos 2 y 4 sólo fue considerada como importante. Las  razones  para su adopción fueron principalmente para mejorar   la raza del hato y para evitar alimentar a un se- mental. Los no adoptadores consideraron la inse- minación artificial como poco importante, ya que debido a la baja fertilidad de las vacas el veterina- rio tiene que repetir el procedimiento una o más veces, lo que representa un costo extra para el productor; por lo tanto, prefieren usar el semental de algún otro</w:t>
      </w:r>
      <w:r>
        <w:rPr>
          <w:color w:val="231F20"/>
          <w:spacing w:val="21"/>
        </w:rPr>
        <w:t> </w:t>
      </w:r>
      <w:r>
        <w:rPr>
          <w:color w:val="231F20"/>
        </w:rPr>
        <w:t>productor.</w:t>
      </w:r>
    </w:p>
    <w:p>
      <w:pPr>
        <w:pStyle w:val="BodyText"/>
        <w:spacing w:line="256" w:lineRule="auto" w:before="113"/>
        <w:ind w:left="412" w:right="1551"/>
        <w:jc w:val="both"/>
      </w:pPr>
      <w:r>
        <w:rPr>
          <w:color w:val="231F20"/>
        </w:rPr>
        <w:t>Respecto a los molinos de martillos, en el grupo 1 más de la mitad de los productores  (53,3%)  los usa.  Los  productores  han  usado  esta  tecnología</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5.   Factores que intervienen en la adopción de </w:t>
      </w:r>
      <w:r>
        <w:rPr>
          <w:color w:val="231F20"/>
          <w:spacing w:val="35"/>
          <w:sz w:val="18"/>
        </w:rPr>
        <w:t> </w:t>
      </w:r>
      <w:r>
        <w:rPr>
          <w:color w:val="231F20"/>
          <w:sz w:val="18"/>
        </w:rPr>
        <w:t>tecnologías</w:t>
      </w:r>
      <w:r>
        <w:rPr>
          <w:color w:val="231F20"/>
          <w:spacing w:val="11"/>
          <w:sz w:val="18"/>
        </w:rPr>
        <w:t> </w:t>
      </w:r>
      <w:r>
        <w:rPr>
          <w:color w:val="231F20"/>
          <w:sz w:val="18"/>
        </w:rPr>
        <w:t>agropecuarias...</w:t>
      </w:r>
      <w:r>
        <w:rPr>
          <w:color w:val="231F20"/>
          <w:sz w:val="22"/>
        </w:rPr>
        <w:tab/>
        <w:t>83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por 4,5-9 años. Los molinos de martillo fueron considerados muy importantes para los adoptado- res en los cuatro grupos, ya que son de utilidad para moler forrajes, lo que permite a los produc- tores mejorar la disponibilidad de los forrajes y evitar el desperdicio. Los no adoptadores de los cuatro grupos consideraron a los molinos de mar- tillos como importantes en el sistema, pero la falta de dinero y que es una tecnología costosa fueron las principales razones para su rechazo. Específi- camente, los productores de los grupos 2, 3 y 4 indicaron que la falta de créditos y de información de los programas del gobierno fueron  razones  para limitar su adopción. Los productores de los grupos 1 y 3 consideraron que los programas del gobierno demandan muchos requisitos, además  de que los trámites toman mucho tiempo, por lo que también fueron considerados como limitantes para su</w:t>
      </w:r>
      <w:r>
        <w:rPr>
          <w:color w:val="231F20"/>
          <w:spacing w:val="32"/>
        </w:rPr>
        <w:t> </w:t>
      </w:r>
      <w:r>
        <w:rPr>
          <w:color w:val="231F20"/>
        </w:rPr>
        <w:t>adopción.</w:t>
      </w:r>
    </w:p>
    <w:p>
      <w:pPr>
        <w:pStyle w:val="BodyText"/>
        <w:spacing w:line="256" w:lineRule="auto" w:before="114"/>
        <w:ind w:left="1553"/>
        <w:jc w:val="both"/>
      </w:pPr>
      <w:r>
        <w:rPr>
          <w:color w:val="231F20"/>
        </w:rPr>
        <w:t>Se observó una baja adopción de  las  ordeñado- ras en los grupos 1, 3 y 4; en el grupo 2 no se encontró adopción. Los productores han usado ordeñadoras por 2-10 años. Fueron consideradas importantes para los adoptadores, ya que el or- deño es más fácil, los productores tienen menos carga de trabajo y el proceso del ordeño es más higiénico. Los no adoptadores consideraron a las ordeñadoras poco importantes, por ser una tecno- logía costosa, por tener pocos animales y porque dañan los pezones de las vacas. En particular, los productores del grupo 1 reportaron una falta de conocimientos del manejo y uso de la ordeñadora. Los productores del grupo 3 mencionaron la falta de créditos y de información de los programas de gobierno, y que éstos demandan muchos requi- sitos, además de que los trámites toman mucho tiempo, como limitantes para su  adopción.</w:t>
      </w:r>
    </w:p>
    <w:p>
      <w:pPr>
        <w:pStyle w:val="BodyText"/>
        <w:spacing w:line="256" w:lineRule="auto" w:before="114"/>
        <w:ind w:left="1553"/>
        <w:jc w:val="both"/>
      </w:pPr>
      <w:r>
        <w:rPr>
          <w:color w:val="231F20"/>
        </w:rPr>
        <w:t>Los registros mostraron el menor porcentaje de adopción y sólo fueron adoptados por los pro- ductores de los grupos 1 y 3. Esta tecnología ha</w:t>
      </w:r>
    </w:p>
    <w:p>
      <w:pPr>
        <w:pStyle w:val="BodyText"/>
        <w:spacing w:before="3"/>
        <w:rPr>
          <w:sz w:val="28"/>
        </w:rPr>
      </w:pPr>
      <w:r>
        <w:rPr/>
        <w:br w:type="column"/>
      </w:r>
      <w:r>
        <w:rPr>
          <w:sz w:val="28"/>
        </w:rPr>
      </w:r>
    </w:p>
    <w:p>
      <w:pPr>
        <w:pStyle w:val="BodyText"/>
        <w:spacing w:line="268" w:lineRule="auto"/>
        <w:ind w:left="413" w:right="1551"/>
        <w:jc w:val="both"/>
      </w:pPr>
      <w:r>
        <w:rPr>
          <w:color w:val="231F20"/>
        </w:rPr>
        <w:t>sido usada por 10 y 6 años, respectivamente. Sin embargo, fueron considerados como muy impor- tantes para mantener el control del hato. Los no adoptadores consideraron los registros como im- portantes, pero la falta de interés por su uso de- bido a un reducido tamaño del hato y la falta de conocimientos sobre cómo usarlos, que se debe principalmente a la falta de servicios de extensión, fueron los principales factores para su  rechazo.</w:t>
      </w:r>
    </w:p>
    <w:p>
      <w:pPr>
        <w:pStyle w:val="BodyText"/>
        <w:spacing w:before="7"/>
        <w:rPr>
          <w:sz w:val="18"/>
        </w:rPr>
      </w:pPr>
    </w:p>
    <w:p>
      <w:pPr>
        <w:spacing w:line="280" w:lineRule="auto" w:before="0"/>
        <w:ind w:left="413" w:right="1565" w:firstLine="0"/>
        <w:jc w:val="both"/>
        <w:rPr>
          <w:rFonts w:ascii="Cambria" w:hAnsi="Cambria"/>
          <w:i/>
          <w:sz w:val="20"/>
        </w:rPr>
      </w:pPr>
      <w:r>
        <w:rPr>
          <w:rFonts w:ascii="Cambria" w:hAnsi="Cambria"/>
          <w:i/>
          <w:color w:val="231F20"/>
          <w:w w:val="105"/>
          <w:sz w:val="20"/>
        </w:rPr>
        <w:t>Adopción de tecnologías agrícolas y pecuarias </w:t>
      </w:r>
      <w:r>
        <w:rPr>
          <w:rFonts w:ascii="Cambria" w:hAnsi="Cambria"/>
          <w:i/>
          <w:color w:val="231F20"/>
          <w:w w:val="105"/>
          <w:sz w:val="20"/>
        </w:rPr>
        <w:t>por grupo</w:t>
      </w:r>
    </w:p>
    <w:p>
      <w:pPr>
        <w:pStyle w:val="BodyText"/>
        <w:spacing w:line="268" w:lineRule="auto" w:before="112"/>
        <w:ind w:left="413" w:right="1551"/>
        <w:jc w:val="both"/>
      </w:pPr>
      <w:r>
        <w:rPr>
          <w:color w:val="231F20"/>
        </w:rPr>
        <w:t>El análisis de la información por grupo permitió identificar tecnologías agrícolas y pecuarias apro- piadas para  cada  grupo  de  productores  (Cua-  dro 2). El grupo 1 mostró una mayor preferencia por la adopción de cuatro tecnologías agrícolas: semillas mejoradas, praderas, fertilizantes y herbi- cidas. Además, estas tecnologías fueron considera- das como importantes y muy importantes dentro de sus sistemas. Con respecto a las tecnologías pecuarias, los productores mostraron  preferen-  cia por cuatro de las seis tecnologías analizadas: desparasitación, vacunas, inseminación artificial y molinos de martillos, que son consideradas como muy importantes para el sistema. Los grupos 2 y     3 mostraron la misma preferencia para tres tec- nologías agrícolas: praderas, fertilizantes y herbici- das, consideradas importantes y muy importantes para el sistema. Los grupos 2 y 3 mostraron pre- ferencias tecnológicas pecuarias similares, y las consideraban como bastante importantes y muy importantes. La excepción fue la inseminación artificial, que tuvo una mayor preferencia en el grupo 3. Los productores del grupo 4 mostraron preferencias por dos tecnologías agrícolas y dos pecuarias: semillas mejoradas, herbicidas, despa- rasitación e inseminación artificial, consideradas como importantes y bastante</w:t>
      </w:r>
      <w:r>
        <w:rPr>
          <w:color w:val="231F20"/>
          <w:spacing w:val="37"/>
        </w:rPr>
        <w:t> </w:t>
      </w:r>
      <w:r>
        <w:rPr>
          <w:color w:val="231F20"/>
        </w:rPr>
        <w:t>importantes.</w:t>
      </w:r>
    </w:p>
    <w:p>
      <w:pPr>
        <w:spacing w:after="0" w:line="268"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84</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7"/>
        <w:rPr>
          <w:sz w:val="28"/>
        </w:rPr>
      </w:pPr>
    </w:p>
    <w:p>
      <w:pPr>
        <w:spacing w:before="0"/>
        <w:ind w:left="1553" w:right="2503" w:firstLine="0"/>
        <w:jc w:val="left"/>
        <w:rPr>
          <w:sz w:val="18"/>
        </w:rPr>
      </w:pPr>
      <w:r>
        <w:rPr>
          <w:color w:val="231F20"/>
          <w:sz w:val="18"/>
        </w:rPr>
        <w:t>Cuadro 2.   Tecnologías agrícolas y pecuarias apropiadas para cada   grupo.</w:t>
      </w:r>
    </w:p>
    <w:p>
      <w:pPr>
        <w:pStyle w:val="BodyText"/>
        <w:spacing w:before="7"/>
        <w:rPr>
          <w:sz w:val="12"/>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73"/>
        <w:gridCol w:w="1415"/>
        <w:gridCol w:w="1415"/>
        <w:gridCol w:w="1492"/>
        <w:gridCol w:w="1510"/>
      </w:tblGrid>
      <w:tr>
        <w:trPr>
          <w:trHeight w:val="369" w:hRule="exact"/>
        </w:trPr>
        <w:tc>
          <w:tcPr>
            <w:tcW w:w="2673" w:type="dxa"/>
            <w:vMerge w:val="restart"/>
            <w:tcBorders>
              <w:left w:val="nil"/>
            </w:tcBorders>
          </w:tcPr>
          <w:p>
            <w:pPr/>
          </w:p>
        </w:tc>
        <w:tc>
          <w:tcPr>
            <w:tcW w:w="5832" w:type="dxa"/>
            <w:gridSpan w:val="4"/>
            <w:tcBorders>
              <w:right w:val="nil"/>
            </w:tcBorders>
          </w:tcPr>
          <w:p>
            <w:pPr>
              <w:pStyle w:val="TableParagraph"/>
              <w:spacing w:before="79"/>
              <w:ind w:left="2600" w:right="2604"/>
              <w:jc w:val="center"/>
              <w:rPr>
                <w:rFonts w:ascii="Cambria"/>
                <w:i/>
                <w:sz w:val="18"/>
              </w:rPr>
            </w:pPr>
            <w:r>
              <w:rPr>
                <w:rFonts w:ascii="Cambria"/>
                <w:i/>
                <w:color w:val="231F20"/>
                <w:w w:val="110"/>
                <w:sz w:val="18"/>
              </w:rPr>
              <w:t>Grupos</w:t>
            </w:r>
          </w:p>
        </w:tc>
      </w:tr>
      <w:tr>
        <w:trPr>
          <w:trHeight w:val="629" w:hRule="exact"/>
        </w:trPr>
        <w:tc>
          <w:tcPr>
            <w:tcW w:w="2673" w:type="dxa"/>
            <w:vMerge/>
            <w:tcBorders>
              <w:left w:val="nil"/>
            </w:tcBorders>
          </w:tcPr>
          <w:p>
            <w:pPr/>
          </w:p>
        </w:tc>
        <w:tc>
          <w:tcPr>
            <w:tcW w:w="1415" w:type="dxa"/>
          </w:tcPr>
          <w:p>
            <w:pPr>
              <w:pStyle w:val="TableParagraph"/>
              <w:spacing w:before="79"/>
              <w:jc w:val="center"/>
              <w:rPr>
                <w:rFonts w:ascii="Cambria"/>
                <w:i/>
                <w:sz w:val="18"/>
              </w:rPr>
            </w:pPr>
            <w:r>
              <w:rPr>
                <w:rFonts w:ascii="Cambria"/>
                <w:i/>
                <w:color w:val="231F20"/>
                <w:w w:val="110"/>
                <w:sz w:val="18"/>
              </w:rPr>
              <w:t>1</w:t>
            </w:r>
          </w:p>
          <w:p>
            <w:pPr>
              <w:pStyle w:val="TableParagraph"/>
              <w:spacing w:before="49"/>
              <w:ind w:left="340" w:right="340"/>
              <w:jc w:val="center"/>
              <w:rPr>
                <w:rFonts w:ascii="Cambria"/>
                <w:i/>
                <w:sz w:val="18"/>
              </w:rPr>
            </w:pPr>
            <w:r>
              <w:rPr>
                <w:rFonts w:ascii="Cambria"/>
                <w:i/>
                <w:color w:val="231F20"/>
                <w:w w:val="115"/>
                <w:sz w:val="18"/>
              </w:rPr>
              <w:t>(n = 15)</w:t>
            </w:r>
          </w:p>
        </w:tc>
        <w:tc>
          <w:tcPr>
            <w:tcW w:w="1415" w:type="dxa"/>
          </w:tcPr>
          <w:p>
            <w:pPr>
              <w:pStyle w:val="TableParagraph"/>
              <w:spacing w:before="79"/>
              <w:jc w:val="center"/>
              <w:rPr>
                <w:rFonts w:ascii="Cambria"/>
                <w:i/>
                <w:sz w:val="18"/>
              </w:rPr>
            </w:pPr>
            <w:r>
              <w:rPr>
                <w:rFonts w:ascii="Cambria"/>
                <w:i/>
                <w:color w:val="231F20"/>
                <w:w w:val="110"/>
                <w:sz w:val="18"/>
              </w:rPr>
              <w:t>2</w:t>
            </w:r>
          </w:p>
          <w:p>
            <w:pPr>
              <w:pStyle w:val="TableParagraph"/>
              <w:spacing w:before="49"/>
              <w:ind w:left="340" w:right="340"/>
              <w:jc w:val="center"/>
              <w:rPr>
                <w:rFonts w:ascii="Cambria"/>
                <w:i/>
                <w:sz w:val="18"/>
              </w:rPr>
            </w:pPr>
            <w:r>
              <w:rPr>
                <w:rFonts w:ascii="Cambria"/>
                <w:i/>
                <w:color w:val="231F20"/>
                <w:w w:val="115"/>
                <w:sz w:val="18"/>
              </w:rPr>
              <w:t>(n = 41)</w:t>
            </w:r>
          </w:p>
        </w:tc>
        <w:tc>
          <w:tcPr>
            <w:tcW w:w="1492" w:type="dxa"/>
          </w:tcPr>
          <w:p>
            <w:pPr>
              <w:pStyle w:val="TableParagraph"/>
              <w:spacing w:before="79"/>
              <w:jc w:val="center"/>
              <w:rPr>
                <w:rFonts w:ascii="Cambria"/>
                <w:i/>
                <w:sz w:val="18"/>
              </w:rPr>
            </w:pPr>
            <w:r>
              <w:rPr>
                <w:rFonts w:ascii="Cambria"/>
                <w:i/>
                <w:color w:val="231F20"/>
                <w:w w:val="110"/>
                <w:sz w:val="18"/>
              </w:rPr>
              <w:t>3</w:t>
            </w:r>
          </w:p>
          <w:p>
            <w:pPr>
              <w:pStyle w:val="TableParagraph"/>
              <w:spacing w:before="49"/>
              <w:ind w:left="379" w:right="379"/>
              <w:jc w:val="center"/>
              <w:rPr>
                <w:rFonts w:ascii="Cambria"/>
                <w:i/>
                <w:sz w:val="18"/>
              </w:rPr>
            </w:pPr>
            <w:r>
              <w:rPr>
                <w:rFonts w:ascii="Cambria"/>
                <w:i/>
                <w:color w:val="231F20"/>
                <w:w w:val="115"/>
                <w:sz w:val="18"/>
              </w:rPr>
              <w:t>(n = 37)</w:t>
            </w:r>
          </w:p>
        </w:tc>
        <w:tc>
          <w:tcPr>
            <w:tcW w:w="1510" w:type="dxa"/>
            <w:tcBorders>
              <w:right w:val="nil"/>
            </w:tcBorders>
          </w:tcPr>
          <w:p>
            <w:pPr>
              <w:pStyle w:val="TableParagraph"/>
              <w:spacing w:before="79"/>
              <w:ind w:right="4"/>
              <w:jc w:val="center"/>
              <w:rPr>
                <w:rFonts w:ascii="Cambria"/>
                <w:i/>
                <w:sz w:val="18"/>
              </w:rPr>
            </w:pPr>
            <w:r>
              <w:rPr>
                <w:rFonts w:ascii="Cambria"/>
                <w:i/>
                <w:color w:val="231F20"/>
                <w:w w:val="110"/>
                <w:sz w:val="18"/>
              </w:rPr>
              <w:t>4</w:t>
            </w:r>
          </w:p>
          <w:p>
            <w:pPr>
              <w:pStyle w:val="TableParagraph"/>
              <w:spacing w:before="49"/>
              <w:ind w:left="388" w:right="392"/>
              <w:jc w:val="center"/>
              <w:rPr>
                <w:rFonts w:ascii="Cambria"/>
                <w:i/>
                <w:sz w:val="18"/>
              </w:rPr>
            </w:pPr>
            <w:r>
              <w:rPr>
                <w:rFonts w:ascii="Cambria"/>
                <w:i/>
                <w:color w:val="231F20"/>
                <w:w w:val="115"/>
                <w:sz w:val="18"/>
              </w:rPr>
              <w:t>(n = 22)</w:t>
            </w:r>
          </w:p>
        </w:tc>
      </w:tr>
    </w:tbl>
    <w:p>
      <w:pPr>
        <w:spacing w:before="79"/>
        <w:ind w:left="1667" w:right="2503" w:firstLine="0"/>
        <w:jc w:val="left"/>
        <w:rPr>
          <w:rFonts w:ascii="Cambria" w:hAnsi="Cambria"/>
          <w:i/>
          <w:sz w:val="18"/>
        </w:rPr>
      </w:pPr>
      <w:r>
        <w:rPr>
          <w:rFonts w:ascii="Cambria" w:hAnsi="Cambria"/>
          <w:i/>
          <w:color w:val="231F20"/>
          <w:w w:val="105"/>
          <w:sz w:val="18"/>
        </w:rPr>
        <w:t>Tecnologías agrícolas</w:t>
      </w:r>
    </w:p>
    <w:p>
      <w:pPr>
        <w:pStyle w:val="BodyText"/>
        <w:spacing w:before="9"/>
        <w:rPr>
          <w:rFonts w:ascii="Cambria"/>
          <w:i/>
          <w:sz w:val="5"/>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73"/>
        <w:gridCol w:w="1415"/>
        <w:gridCol w:w="1415"/>
        <w:gridCol w:w="1492"/>
        <w:gridCol w:w="1510"/>
      </w:tblGrid>
      <w:tr>
        <w:trPr>
          <w:trHeight w:val="354" w:hRule="exact"/>
        </w:trPr>
        <w:tc>
          <w:tcPr>
            <w:tcW w:w="2673" w:type="dxa"/>
            <w:tcBorders>
              <w:left w:val="nil"/>
            </w:tcBorders>
          </w:tcPr>
          <w:p>
            <w:pPr>
              <w:pStyle w:val="TableParagraph"/>
              <w:ind w:left="113"/>
              <w:rPr>
                <w:sz w:val="17"/>
              </w:rPr>
            </w:pPr>
            <w:r>
              <w:rPr>
                <w:color w:val="231F20"/>
                <w:sz w:val="17"/>
              </w:rPr>
              <w:t>Semillas mejoradas</w:t>
            </w:r>
          </w:p>
        </w:tc>
        <w:tc>
          <w:tcPr>
            <w:tcW w:w="1415" w:type="dxa"/>
          </w:tcPr>
          <w:p>
            <w:pPr>
              <w:pStyle w:val="TableParagraph"/>
              <w:spacing w:before="64"/>
              <w:ind w:left="655"/>
              <w:rPr>
                <w:rFonts w:ascii="Symbol" w:hAnsi="Symbol"/>
                <w:sz w:val="17"/>
              </w:rPr>
            </w:pPr>
            <w:r>
              <w:rPr>
                <w:rFonts w:ascii="Symbol" w:hAnsi="Symbol"/>
                <w:color w:val="231F20"/>
                <w:sz w:val="17"/>
              </w:rPr>
              <w:t></w:t>
            </w:r>
          </w:p>
        </w:tc>
        <w:tc>
          <w:tcPr>
            <w:tcW w:w="1415" w:type="dxa"/>
          </w:tcPr>
          <w:p>
            <w:pPr>
              <w:pStyle w:val="TableParagraph"/>
              <w:jc w:val="center"/>
              <w:rPr>
                <w:sz w:val="17"/>
              </w:rPr>
            </w:pPr>
            <w:r>
              <w:rPr>
                <w:color w:val="231F20"/>
                <w:w w:val="96"/>
                <w:sz w:val="17"/>
              </w:rPr>
              <w:t>X</w:t>
            </w:r>
          </w:p>
        </w:tc>
        <w:tc>
          <w:tcPr>
            <w:tcW w:w="1492" w:type="dxa"/>
          </w:tcPr>
          <w:p>
            <w:pPr>
              <w:pStyle w:val="TableParagraph"/>
              <w:jc w:val="center"/>
              <w:rPr>
                <w:sz w:val="17"/>
              </w:rPr>
            </w:pPr>
            <w:r>
              <w:rPr>
                <w:color w:val="231F20"/>
                <w:w w:val="96"/>
                <w:sz w:val="17"/>
              </w:rPr>
              <w:t>X</w:t>
            </w:r>
          </w:p>
        </w:tc>
        <w:tc>
          <w:tcPr>
            <w:tcW w:w="1510" w:type="dxa"/>
            <w:tcBorders>
              <w:right w:val="nil"/>
            </w:tcBorders>
          </w:tcPr>
          <w:p>
            <w:pPr>
              <w:pStyle w:val="TableParagraph"/>
              <w:spacing w:before="64"/>
              <w:ind w:right="4"/>
              <w:jc w:val="center"/>
              <w:rPr>
                <w:rFonts w:ascii="Symbol" w:hAnsi="Symbol"/>
                <w:sz w:val="17"/>
              </w:rPr>
            </w:pPr>
            <w:r>
              <w:rPr>
                <w:rFonts w:ascii="Symbol" w:hAnsi="Symbol"/>
                <w:color w:val="231F20"/>
                <w:sz w:val="17"/>
              </w:rPr>
              <w:t></w:t>
            </w:r>
          </w:p>
        </w:tc>
      </w:tr>
      <w:tr>
        <w:trPr>
          <w:trHeight w:val="354" w:hRule="exact"/>
        </w:trPr>
        <w:tc>
          <w:tcPr>
            <w:tcW w:w="2673" w:type="dxa"/>
            <w:tcBorders>
              <w:left w:val="nil"/>
            </w:tcBorders>
          </w:tcPr>
          <w:p>
            <w:pPr>
              <w:pStyle w:val="TableParagraph"/>
              <w:ind w:left="113"/>
              <w:rPr>
                <w:sz w:val="17"/>
              </w:rPr>
            </w:pPr>
            <w:r>
              <w:rPr>
                <w:color w:val="231F20"/>
                <w:sz w:val="17"/>
              </w:rPr>
              <w:t>Praderas</w:t>
            </w:r>
          </w:p>
        </w:tc>
        <w:tc>
          <w:tcPr>
            <w:tcW w:w="1415" w:type="dxa"/>
          </w:tcPr>
          <w:p>
            <w:pPr>
              <w:pStyle w:val="TableParagraph"/>
              <w:spacing w:before="64"/>
              <w:ind w:left="655"/>
              <w:rPr>
                <w:rFonts w:ascii="Symbol" w:hAnsi="Symbol"/>
                <w:sz w:val="17"/>
              </w:rPr>
            </w:pPr>
            <w:r>
              <w:rPr>
                <w:rFonts w:ascii="Symbol" w:hAnsi="Symbol"/>
                <w:color w:val="231F20"/>
                <w:sz w:val="17"/>
              </w:rPr>
              <w:t></w:t>
            </w:r>
          </w:p>
        </w:tc>
        <w:tc>
          <w:tcPr>
            <w:tcW w:w="1415" w:type="dxa"/>
          </w:tcPr>
          <w:p>
            <w:pPr>
              <w:pStyle w:val="TableParagraph"/>
              <w:spacing w:before="64"/>
              <w:jc w:val="center"/>
              <w:rPr>
                <w:rFonts w:ascii="Symbol" w:hAnsi="Symbol"/>
                <w:sz w:val="17"/>
              </w:rPr>
            </w:pPr>
            <w:r>
              <w:rPr>
                <w:rFonts w:ascii="Symbol" w:hAnsi="Symbol"/>
                <w:color w:val="231F20"/>
                <w:sz w:val="17"/>
              </w:rPr>
              <w:t></w:t>
            </w:r>
          </w:p>
        </w:tc>
        <w:tc>
          <w:tcPr>
            <w:tcW w:w="1492" w:type="dxa"/>
          </w:tcPr>
          <w:p>
            <w:pPr>
              <w:pStyle w:val="TableParagraph"/>
              <w:spacing w:before="64"/>
              <w:jc w:val="center"/>
              <w:rPr>
                <w:rFonts w:ascii="Symbol" w:hAnsi="Symbol"/>
                <w:sz w:val="17"/>
              </w:rPr>
            </w:pPr>
            <w:r>
              <w:rPr>
                <w:rFonts w:ascii="Symbol" w:hAnsi="Symbol"/>
                <w:color w:val="231F20"/>
                <w:sz w:val="17"/>
              </w:rPr>
              <w:t></w:t>
            </w:r>
          </w:p>
        </w:tc>
        <w:tc>
          <w:tcPr>
            <w:tcW w:w="1510" w:type="dxa"/>
            <w:tcBorders>
              <w:right w:val="nil"/>
            </w:tcBorders>
          </w:tcPr>
          <w:p>
            <w:pPr>
              <w:pStyle w:val="TableParagraph"/>
              <w:ind w:right="4"/>
              <w:jc w:val="center"/>
              <w:rPr>
                <w:sz w:val="17"/>
              </w:rPr>
            </w:pPr>
            <w:r>
              <w:rPr>
                <w:color w:val="231F20"/>
                <w:w w:val="96"/>
                <w:sz w:val="17"/>
              </w:rPr>
              <w:t>X</w:t>
            </w:r>
          </w:p>
        </w:tc>
      </w:tr>
      <w:tr>
        <w:trPr>
          <w:trHeight w:val="354" w:hRule="exact"/>
        </w:trPr>
        <w:tc>
          <w:tcPr>
            <w:tcW w:w="2673" w:type="dxa"/>
            <w:tcBorders>
              <w:left w:val="nil"/>
            </w:tcBorders>
          </w:tcPr>
          <w:p>
            <w:pPr>
              <w:pStyle w:val="TableParagraph"/>
              <w:ind w:left="113"/>
              <w:rPr>
                <w:sz w:val="17"/>
              </w:rPr>
            </w:pPr>
            <w:r>
              <w:rPr>
                <w:color w:val="231F20"/>
                <w:sz w:val="17"/>
              </w:rPr>
              <w:t>Fertilizantes</w:t>
            </w:r>
          </w:p>
        </w:tc>
        <w:tc>
          <w:tcPr>
            <w:tcW w:w="1415" w:type="dxa"/>
          </w:tcPr>
          <w:p>
            <w:pPr>
              <w:pStyle w:val="TableParagraph"/>
              <w:spacing w:before="64"/>
              <w:ind w:left="655"/>
              <w:rPr>
                <w:rFonts w:ascii="Symbol" w:hAnsi="Symbol"/>
                <w:sz w:val="17"/>
              </w:rPr>
            </w:pPr>
            <w:r>
              <w:rPr>
                <w:rFonts w:ascii="Symbol" w:hAnsi="Symbol"/>
                <w:color w:val="231F20"/>
                <w:sz w:val="17"/>
              </w:rPr>
              <w:t></w:t>
            </w:r>
          </w:p>
        </w:tc>
        <w:tc>
          <w:tcPr>
            <w:tcW w:w="1415" w:type="dxa"/>
          </w:tcPr>
          <w:p>
            <w:pPr>
              <w:pStyle w:val="TableParagraph"/>
              <w:spacing w:before="64"/>
              <w:jc w:val="center"/>
              <w:rPr>
                <w:rFonts w:ascii="Symbol" w:hAnsi="Symbol"/>
                <w:sz w:val="17"/>
              </w:rPr>
            </w:pPr>
            <w:r>
              <w:rPr>
                <w:rFonts w:ascii="Symbol" w:hAnsi="Symbol"/>
                <w:color w:val="231F20"/>
                <w:sz w:val="17"/>
              </w:rPr>
              <w:t></w:t>
            </w:r>
          </w:p>
        </w:tc>
        <w:tc>
          <w:tcPr>
            <w:tcW w:w="1492" w:type="dxa"/>
          </w:tcPr>
          <w:p>
            <w:pPr>
              <w:pStyle w:val="TableParagraph"/>
              <w:spacing w:before="64"/>
              <w:jc w:val="center"/>
              <w:rPr>
                <w:rFonts w:ascii="Symbol" w:hAnsi="Symbol"/>
                <w:sz w:val="17"/>
              </w:rPr>
            </w:pPr>
            <w:r>
              <w:rPr>
                <w:rFonts w:ascii="Symbol" w:hAnsi="Symbol"/>
                <w:color w:val="231F20"/>
                <w:sz w:val="17"/>
              </w:rPr>
              <w:t></w:t>
            </w:r>
          </w:p>
        </w:tc>
        <w:tc>
          <w:tcPr>
            <w:tcW w:w="1510" w:type="dxa"/>
            <w:tcBorders>
              <w:right w:val="nil"/>
            </w:tcBorders>
          </w:tcPr>
          <w:p>
            <w:pPr>
              <w:pStyle w:val="TableParagraph"/>
              <w:ind w:right="4"/>
              <w:jc w:val="center"/>
              <w:rPr>
                <w:sz w:val="17"/>
              </w:rPr>
            </w:pPr>
            <w:r>
              <w:rPr>
                <w:color w:val="231F20"/>
                <w:w w:val="96"/>
                <w:sz w:val="17"/>
              </w:rPr>
              <w:t>X</w:t>
            </w:r>
          </w:p>
        </w:tc>
      </w:tr>
      <w:tr>
        <w:trPr>
          <w:trHeight w:val="354" w:hRule="exact"/>
        </w:trPr>
        <w:tc>
          <w:tcPr>
            <w:tcW w:w="2673" w:type="dxa"/>
            <w:tcBorders>
              <w:left w:val="nil"/>
            </w:tcBorders>
          </w:tcPr>
          <w:p>
            <w:pPr>
              <w:pStyle w:val="TableParagraph"/>
              <w:ind w:left="113"/>
              <w:rPr>
                <w:sz w:val="17"/>
              </w:rPr>
            </w:pPr>
            <w:r>
              <w:rPr>
                <w:color w:val="231F20"/>
                <w:sz w:val="17"/>
              </w:rPr>
              <w:t>Herbicidas</w:t>
            </w:r>
          </w:p>
        </w:tc>
        <w:tc>
          <w:tcPr>
            <w:tcW w:w="1415" w:type="dxa"/>
          </w:tcPr>
          <w:p>
            <w:pPr>
              <w:pStyle w:val="TableParagraph"/>
              <w:spacing w:before="64"/>
              <w:ind w:left="655"/>
              <w:rPr>
                <w:rFonts w:ascii="Symbol" w:hAnsi="Symbol"/>
                <w:sz w:val="17"/>
              </w:rPr>
            </w:pPr>
            <w:r>
              <w:rPr>
                <w:rFonts w:ascii="Symbol" w:hAnsi="Symbol"/>
                <w:color w:val="231F20"/>
                <w:sz w:val="17"/>
              </w:rPr>
              <w:t></w:t>
            </w:r>
          </w:p>
        </w:tc>
        <w:tc>
          <w:tcPr>
            <w:tcW w:w="1415" w:type="dxa"/>
          </w:tcPr>
          <w:p>
            <w:pPr>
              <w:pStyle w:val="TableParagraph"/>
              <w:spacing w:before="64"/>
              <w:jc w:val="center"/>
              <w:rPr>
                <w:rFonts w:ascii="Symbol" w:hAnsi="Symbol"/>
                <w:sz w:val="17"/>
              </w:rPr>
            </w:pPr>
            <w:r>
              <w:rPr>
                <w:rFonts w:ascii="Symbol" w:hAnsi="Symbol"/>
                <w:color w:val="231F20"/>
                <w:sz w:val="17"/>
              </w:rPr>
              <w:t></w:t>
            </w:r>
          </w:p>
        </w:tc>
        <w:tc>
          <w:tcPr>
            <w:tcW w:w="1492" w:type="dxa"/>
          </w:tcPr>
          <w:p>
            <w:pPr>
              <w:pStyle w:val="TableParagraph"/>
              <w:spacing w:before="64"/>
              <w:jc w:val="center"/>
              <w:rPr>
                <w:rFonts w:ascii="Symbol" w:hAnsi="Symbol"/>
                <w:sz w:val="17"/>
              </w:rPr>
            </w:pPr>
            <w:r>
              <w:rPr>
                <w:rFonts w:ascii="Symbol" w:hAnsi="Symbol"/>
                <w:color w:val="231F20"/>
                <w:sz w:val="17"/>
              </w:rPr>
              <w:t></w:t>
            </w:r>
          </w:p>
        </w:tc>
        <w:tc>
          <w:tcPr>
            <w:tcW w:w="1510" w:type="dxa"/>
            <w:tcBorders>
              <w:right w:val="nil"/>
            </w:tcBorders>
          </w:tcPr>
          <w:p>
            <w:pPr>
              <w:pStyle w:val="TableParagraph"/>
              <w:spacing w:before="64"/>
              <w:ind w:right="4"/>
              <w:jc w:val="center"/>
              <w:rPr>
                <w:rFonts w:ascii="Symbol" w:hAnsi="Symbol"/>
                <w:sz w:val="17"/>
              </w:rPr>
            </w:pPr>
            <w:r>
              <w:rPr>
                <w:rFonts w:ascii="Symbol" w:hAnsi="Symbol"/>
                <w:color w:val="231F20"/>
                <w:sz w:val="17"/>
              </w:rPr>
              <w:t></w:t>
            </w:r>
          </w:p>
        </w:tc>
      </w:tr>
      <w:tr>
        <w:trPr>
          <w:trHeight w:val="354" w:hRule="exact"/>
        </w:trPr>
        <w:tc>
          <w:tcPr>
            <w:tcW w:w="2673" w:type="dxa"/>
            <w:tcBorders>
              <w:left w:val="nil"/>
            </w:tcBorders>
          </w:tcPr>
          <w:p>
            <w:pPr>
              <w:pStyle w:val="TableParagraph"/>
              <w:ind w:left="113"/>
              <w:rPr>
                <w:sz w:val="17"/>
              </w:rPr>
            </w:pPr>
            <w:r>
              <w:rPr>
                <w:color w:val="231F20"/>
                <w:sz w:val="17"/>
              </w:rPr>
              <w:t>Tractores</w:t>
            </w:r>
          </w:p>
        </w:tc>
        <w:tc>
          <w:tcPr>
            <w:tcW w:w="1415" w:type="dxa"/>
          </w:tcPr>
          <w:p>
            <w:pPr>
              <w:pStyle w:val="TableParagraph"/>
              <w:ind w:left="660"/>
              <w:rPr>
                <w:sz w:val="17"/>
              </w:rPr>
            </w:pPr>
            <w:r>
              <w:rPr>
                <w:color w:val="231F20"/>
                <w:w w:val="96"/>
                <w:sz w:val="17"/>
              </w:rPr>
              <w:t>X</w:t>
            </w:r>
          </w:p>
        </w:tc>
        <w:tc>
          <w:tcPr>
            <w:tcW w:w="1415" w:type="dxa"/>
          </w:tcPr>
          <w:p>
            <w:pPr>
              <w:pStyle w:val="TableParagraph"/>
              <w:jc w:val="center"/>
              <w:rPr>
                <w:sz w:val="17"/>
              </w:rPr>
            </w:pPr>
            <w:r>
              <w:rPr>
                <w:color w:val="231F20"/>
                <w:w w:val="96"/>
                <w:sz w:val="17"/>
              </w:rPr>
              <w:t>X</w:t>
            </w:r>
          </w:p>
        </w:tc>
        <w:tc>
          <w:tcPr>
            <w:tcW w:w="1492" w:type="dxa"/>
          </w:tcPr>
          <w:p>
            <w:pPr>
              <w:pStyle w:val="TableParagraph"/>
              <w:jc w:val="center"/>
              <w:rPr>
                <w:sz w:val="17"/>
              </w:rPr>
            </w:pPr>
            <w:r>
              <w:rPr>
                <w:color w:val="231F20"/>
                <w:w w:val="96"/>
                <w:sz w:val="17"/>
              </w:rPr>
              <w:t>X</w:t>
            </w:r>
          </w:p>
        </w:tc>
        <w:tc>
          <w:tcPr>
            <w:tcW w:w="1510" w:type="dxa"/>
            <w:tcBorders>
              <w:right w:val="nil"/>
            </w:tcBorders>
          </w:tcPr>
          <w:p>
            <w:pPr>
              <w:pStyle w:val="TableParagraph"/>
              <w:ind w:right="4"/>
              <w:jc w:val="center"/>
              <w:rPr>
                <w:sz w:val="17"/>
              </w:rPr>
            </w:pPr>
            <w:r>
              <w:rPr>
                <w:color w:val="231F20"/>
                <w:w w:val="96"/>
                <w:sz w:val="17"/>
              </w:rPr>
              <w:t>X</w:t>
            </w:r>
          </w:p>
        </w:tc>
      </w:tr>
    </w:tbl>
    <w:p>
      <w:pPr>
        <w:spacing w:before="80"/>
        <w:ind w:left="1667" w:right="2503" w:firstLine="0"/>
        <w:jc w:val="left"/>
        <w:rPr>
          <w:rFonts w:ascii="Cambria" w:hAnsi="Cambria"/>
          <w:i/>
          <w:sz w:val="18"/>
        </w:rPr>
      </w:pPr>
      <w:r>
        <w:rPr>
          <w:rFonts w:ascii="Cambria" w:hAnsi="Cambria"/>
          <w:i/>
          <w:color w:val="231F20"/>
          <w:w w:val="105"/>
          <w:sz w:val="18"/>
        </w:rPr>
        <w:t>Tecnologías pecuarias</w:t>
      </w:r>
    </w:p>
    <w:p>
      <w:pPr>
        <w:pStyle w:val="BodyText"/>
        <w:spacing w:before="9"/>
        <w:rPr>
          <w:rFonts w:ascii="Cambria"/>
          <w:i/>
          <w:sz w:val="5"/>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73"/>
        <w:gridCol w:w="1415"/>
        <w:gridCol w:w="1415"/>
        <w:gridCol w:w="1492"/>
        <w:gridCol w:w="1510"/>
      </w:tblGrid>
      <w:tr>
        <w:trPr>
          <w:trHeight w:val="354" w:hRule="exact"/>
        </w:trPr>
        <w:tc>
          <w:tcPr>
            <w:tcW w:w="2673" w:type="dxa"/>
            <w:tcBorders>
              <w:left w:val="nil"/>
            </w:tcBorders>
          </w:tcPr>
          <w:p>
            <w:pPr>
              <w:pStyle w:val="TableParagraph"/>
              <w:ind w:left="113"/>
              <w:rPr>
                <w:sz w:val="17"/>
              </w:rPr>
            </w:pPr>
            <w:r>
              <w:rPr>
                <w:color w:val="231F20"/>
                <w:sz w:val="17"/>
              </w:rPr>
              <w:t>Desparasitación</w:t>
            </w:r>
          </w:p>
        </w:tc>
        <w:tc>
          <w:tcPr>
            <w:tcW w:w="1415" w:type="dxa"/>
          </w:tcPr>
          <w:p>
            <w:pPr>
              <w:pStyle w:val="TableParagraph"/>
              <w:spacing w:before="64"/>
              <w:ind w:left="655"/>
              <w:rPr>
                <w:rFonts w:ascii="Symbol" w:hAnsi="Symbol"/>
                <w:sz w:val="17"/>
              </w:rPr>
            </w:pPr>
            <w:r>
              <w:rPr>
                <w:rFonts w:ascii="Symbol" w:hAnsi="Symbol"/>
                <w:color w:val="231F20"/>
                <w:sz w:val="17"/>
              </w:rPr>
              <w:t></w:t>
            </w:r>
          </w:p>
        </w:tc>
        <w:tc>
          <w:tcPr>
            <w:tcW w:w="1415" w:type="dxa"/>
          </w:tcPr>
          <w:p>
            <w:pPr>
              <w:pStyle w:val="TableParagraph"/>
              <w:spacing w:before="64"/>
              <w:jc w:val="center"/>
              <w:rPr>
                <w:rFonts w:ascii="Symbol" w:hAnsi="Symbol"/>
                <w:sz w:val="17"/>
              </w:rPr>
            </w:pPr>
            <w:r>
              <w:rPr>
                <w:rFonts w:ascii="Symbol" w:hAnsi="Symbol"/>
                <w:color w:val="231F20"/>
                <w:sz w:val="17"/>
              </w:rPr>
              <w:t></w:t>
            </w:r>
          </w:p>
        </w:tc>
        <w:tc>
          <w:tcPr>
            <w:tcW w:w="1492" w:type="dxa"/>
          </w:tcPr>
          <w:p>
            <w:pPr>
              <w:pStyle w:val="TableParagraph"/>
              <w:spacing w:before="64"/>
              <w:jc w:val="center"/>
              <w:rPr>
                <w:rFonts w:ascii="Symbol" w:hAnsi="Symbol"/>
                <w:sz w:val="17"/>
              </w:rPr>
            </w:pPr>
            <w:r>
              <w:rPr>
                <w:rFonts w:ascii="Symbol" w:hAnsi="Symbol"/>
                <w:color w:val="231F20"/>
                <w:sz w:val="17"/>
              </w:rPr>
              <w:t></w:t>
            </w:r>
          </w:p>
        </w:tc>
        <w:tc>
          <w:tcPr>
            <w:tcW w:w="1510" w:type="dxa"/>
            <w:tcBorders>
              <w:right w:val="nil"/>
            </w:tcBorders>
          </w:tcPr>
          <w:p>
            <w:pPr>
              <w:pStyle w:val="TableParagraph"/>
              <w:spacing w:before="64"/>
              <w:ind w:right="4"/>
              <w:jc w:val="center"/>
              <w:rPr>
                <w:rFonts w:ascii="Symbol" w:hAnsi="Symbol"/>
                <w:sz w:val="17"/>
              </w:rPr>
            </w:pPr>
            <w:r>
              <w:rPr>
                <w:rFonts w:ascii="Symbol" w:hAnsi="Symbol"/>
                <w:color w:val="231F20"/>
                <w:sz w:val="17"/>
              </w:rPr>
              <w:t></w:t>
            </w:r>
          </w:p>
        </w:tc>
      </w:tr>
      <w:tr>
        <w:trPr>
          <w:trHeight w:val="354" w:hRule="exact"/>
        </w:trPr>
        <w:tc>
          <w:tcPr>
            <w:tcW w:w="2673" w:type="dxa"/>
            <w:tcBorders>
              <w:left w:val="nil"/>
            </w:tcBorders>
          </w:tcPr>
          <w:p>
            <w:pPr>
              <w:pStyle w:val="TableParagraph"/>
              <w:ind w:left="113"/>
              <w:rPr>
                <w:sz w:val="17"/>
              </w:rPr>
            </w:pPr>
            <w:r>
              <w:rPr>
                <w:color w:val="231F20"/>
                <w:sz w:val="17"/>
              </w:rPr>
              <w:t>Vacunas</w:t>
            </w:r>
          </w:p>
        </w:tc>
        <w:tc>
          <w:tcPr>
            <w:tcW w:w="1415" w:type="dxa"/>
          </w:tcPr>
          <w:p>
            <w:pPr>
              <w:pStyle w:val="TableParagraph"/>
              <w:spacing w:before="64"/>
              <w:ind w:left="655"/>
              <w:rPr>
                <w:rFonts w:ascii="Symbol" w:hAnsi="Symbol"/>
                <w:sz w:val="17"/>
              </w:rPr>
            </w:pPr>
            <w:r>
              <w:rPr>
                <w:rFonts w:ascii="Symbol" w:hAnsi="Symbol"/>
                <w:color w:val="231F20"/>
                <w:sz w:val="17"/>
              </w:rPr>
              <w:t></w:t>
            </w:r>
          </w:p>
        </w:tc>
        <w:tc>
          <w:tcPr>
            <w:tcW w:w="1415" w:type="dxa"/>
          </w:tcPr>
          <w:p>
            <w:pPr>
              <w:pStyle w:val="TableParagraph"/>
              <w:spacing w:before="64"/>
              <w:jc w:val="center"/>
              <w:rPr>
                <w:rFonts w:ascii="Symbol" w:hAnsi="Symbol"/>
                <w:sz w:val="17"/>
              </w:rPr>
            </w:pPr>
            <w:r>
              <w:rPr>
                <w:rFonts w:ascii="Symbol" w:hAnsi="Symbol"/>
                <w:color w:val="231F20"/>
                <w:sz w:val="17"/>
              </w:rPr>
              <w:t></w:t>
            </w:r>
          </w:p>
        </w:tc>
        <w:tc>
          <w:tcPr>
            <w:tcW w:w="1492" w:type="dxa"/>
          </w:tcPr>
          <w:p>
            <w:pPr>
              <w:pStyle w:val="TableParagraph"/>
              <w:spacing w:before="64"/>
              <w:jc w:val="center"/>
              <w:rPr>
                <w:rFonts w:ascii="Symbol" w:hAnsi="Symbol"/>
                <w:sz w:val="17"/>
              </w:rPr>
            </w:pPr>
            <w:r>
              <w:rPr>
                <w:rFonts w:ascii="Symbol" w:hAnsi="Symbol"/>
                <w:color w:val="231F20"/>
                <w:sz w:val="17"/>
              </w:rPr>
              <w:t></w:t>
            </w:r>
          </w:p>
        </w:tc>
        <w:tc>
          <w:tcPr>
            <w:tcW w:w="1510" w:type="dxa"/>
            <w:tcBorders>
              <w:right w:val="nil"/>
            </w:tcBorders>
          </w:tcPr>
          <w:p>
            <w:pPr>
              <w:pStyle w:val="TableParagraph"/>
              <w:ind w:right="4"/>
              <w:jc w:val="center"/>
              <w:rPr>
                <w:sz w:val="17"/>
              </w:rPr>
            </w:pPr>
            <w:r>
              <w:rPr>
                <w:color w:val="231F20"/>
                <w:w w:val="96"/>
                <w:sz w:val="17"/>
              </w:rPr>
              <w:t>X</w:t>
            </w:r>
          </w:p>
        </w:tc>
      </w:tr>
      <w:tr>
        <w:trPr>
          <w:trHeight w:val="354" w:hRule="exact"/>
        </w:trPr>
        <w:tc>
          <w:tcPr>
            <w:tcW w:w="2673" w:type="dxa"/>
            <w:tcBorders>
              <w:left w:val="nil"/>
            </w:tcBorders>
          </w:tcPr>
          <w:p>
            <w:pPr>
              <w:pStyle w:val="TableParagraph"/>
              <w:ind w:left="113"/>
              <w:rPr>
                <w:sz w:val="17"/>
              </w:rPr>
            </w:pPr>
            <w:r>
              <w:rPr>
                <w:color w:val="231F20"/>
                <w:sz w:val="17"/>
              </w:rPr>
              <w:t>Inseminación artificial</w:t>
            </w:r>
          </w:p>
        </w:tc>
        <w:tc>
          <w:tcPr>
            <w:tcW w:w="1415" w:type="dxa"/>
          </w:tcPr>
          <w:p>
            <w:pPr>
              <w:pStyle w:val="TableParagraph"/>
              <w:spacing w:before="64"/>
              <w:ind w:left="655"/>
              <w:rPr>
                <w:rFonts w:ascii="Symbol" w:hAnsi="Symbol"/>
                <w:sz w:val="17"/>
              </w:rPr>
            </w:pPr>
            <w:r>
              <w:rPr>
                <w:rFonts w:ascii="Symbol" w:hAnsi="Symbol"/>
                <w:color w:val="231F20"/>
                <w:sz w:val="17"/>
              </w:rPr>
              <w:t></w:t>
            </w:r>
          </w:p>
        </w:tc>
        <w:tc>
          <w:tcPr>
            <w:tcW w:w="1415" w:type="dxa"/>
          </w:tcPr>
          <w:p>
            <w:pPr>
              <w:pStyle w:val="TableParagraph"/>
              <w:jc w:val="center"/>
              <w:rPr>
                <w:sz w:val="17"/>
              </w:rPr>
            </w:pPr>
            <w:r>
              <w:rPr>
                <w:color w:val="231F20"/>
                <w:w w:val="96"/>
                <w:sz w:val="17"/>
              </w:rPr>
              <w:t>X</w:t>
            </w:r>
          </w:p>
        </w:tc>
        <w:tc>
          <w:tcPr>
            <w:tcW w:w="1492" w:type="dxa"/>
          </w:tcPr>
          <w:p>
            <w:pPr>
              <w:pStyle w:val="TableParagraph"/>
              <w:spacing w:before="64"/>
              <w:jc w:val="center"/>
              <w:rPr>
                <w:rFonts w:ascii="Symbol" w:hAnsi="Symbol"/>
                <w:sz w:val="17"/>
              </w:rPr>
            </w:pPr>
            <w:r>
              <w:rPr>
                <w:rFonts w:ascii="Symbol" w:hAnsi="Symbol"/>
                <w:color w:val="231F20"/>
                <w:sz w:val="17"/>
              </w:rPr>
              <w:t></w:t>
            </w:r>
          </w:p>
        </w:tc>
        <w:tc>
          <w:tcPr>
            <w:tcW w:w="1510" w:type="dxa"/>
            <w:tcBorders>
              <w:right w:val="nil"/>
            </w:tcBorders>
          </w:tcPr>
          <w:p>
            <w:pPr>
              <w:pStyle w:val="TableParagraph"/>
              <w:spacing w:before="64"/>
              <w:ind w:right="4"/>
              <w:jc w:val="center"/>
              <w:rPr>
                <w:rFonts w:ascii="Symbol" w:hAnsi="Symbol"/>
                <w:sz w:val="17"/>
              </w:rPr>
            </w:pPr>
            <w:r>
              <w:rPr>
                <w:rFonts w:ascii="Symbol" w:hAnsi="Symbol"/>
                <w:color w:val="231F20"/>
                <w:sz w:val="17"/>
              </w:rPr>
              <w:t></w:t>
            </w:r>
          </w:p>
        </w:tc>
      </w:tr>
      <w:tr>
        <w:trPr>
          <w:trHeight w:val="354" w:hRule="exact"/>
        </w:trPr>
        <w:tc>
          <w:tcPr>
            <w:tcW w:w="2673" w:type="dxa"/>
            <w:tcBorders>
              <w:left w:val="nil"/>
            </w:tcBorders>
          </w:tcPr>
          <w:p>
            <w:pPr>
              <w:pStyle w:val="TableParagraph"/>
              <w:ind w:left="113"/>
              <w:rPr>
                <w:sz w:val="17"/>
              </w:rPr>
            </w:pPr>
            <w:r>
              <w:rPr>
                <w:color w:val="231F20"/>
                <w:sz w:val="17"/>
              </w:rPr>
              <w:t>Molinos de martillos</w:t>
            </w:r>
          </w:p>
        </w:tc>
        <w:tc>
          <w:tcPr>
            <w:tcW w:w="1415" w:type="dxa"/>
          </w:tcPr>
          <w:p>
            <w:pPr>
              <w:pStyle w:val="TableParagraph"/>
              <w:spacing w:before="64"/>
              <w:ind w:left="655"/>
              <w:rPr>
                <w:rFonts w:ascii="Symbol" w:hAnsi="Symbol"/>
                <w:sz w:val="17"/>
              </w:rPr>
            </w:pPr>
            <w:r>
              <w:rPr>
                <w:rFonts w:ascii="Symbol" w:hAnsi="Symbol"/>
                <w:color w:val="231F20"/>
                <w:sz w:val="17"/>
              </w:rPr>
              <w:t></w:t>
            </w:r>
          </w:p>
        </w:tc>
        <w:tc>
          <w:tcPr>
            <w:tcW w:w="1415" w:type="dxa"/>
          </w:tcPr>
          <w:p>
            <w:pPr>
              <w:pStyle w:val="TableParagraph"/>
              <w:jc w:val="center"/>
              <w:rPr>
                <w:sz w:val="17"/>
              </w:rPr>
            </w:pPr>
            <w:r>
              <w:rPr>
                <w:color w:val="231F20"/>
                <w:w w:val="96"/>
                <w:sz w:val="17"/>
              </w:rPr>
              <w:t>X</w:t>
            </w:r>
          </w:p>
        </w:tc>
        <w:tc>
          <w:tcPr>
            <w:tcW w:w="1492" w:type="dxa"/>
          </w:tcPr>
          <w:p>
            <w:pPr>
              <w:pStyle w:val="TableParagraph"/>
              <w:jc w:val="center"/>
              <w:rPr>
                <w:sz w:val="17"/>
              </w:rPr>
            </w:pPr>
            <w:r>
              <w:rPr>
                <w:color w:val="231F20"/>
                <w:w w:val="96"/>
                <w:sz w:val="17"/>
              </w:rPr>
              <w:t>X</w:t>
            </w:r>
          </w:p>
        </w:tc>
        <w:tc>
          <w:tcPr>
            <w:tcW w:w="1510" w:type="dxa"/>
            <w:tcBorders>
              <w:right w:val="nil"/>
            </w:tcBorders>
          </w:tcPr>
          <w:p>
            <w:pPr>
              <w:pStyle w:val="TableParagraph"/>
              <w:ind w:right="4"/>
              <w:jc w:val="center"/>
              <w:rPr>
                <w:sz w:val="17"/>
              </w:rPr>
            </w:pPr>
            <w:r>
              <w:rPr>
                <w:color w:val="231F20"/>
                <w:w w:val="96"/>
                <w:sz w:val="17"/>
              </w:rPr>
              <w:t>X</w:t>
            </w:r>
          </w:p>
        </w:tc>
      </w:tr>
      <w:tr>
        <w:trPr>
          <w:trHeight w:val="354" w:hRule="exact"/>
        </w:trPr>
        <w:tc>
          <w:tcPr>
            <w:tcW w:w="2673" w:type="dxa"/>
            <w:tcBorders>
              <w:left w:val="nil"/>
            </w:tcBorders>
          </w:tcPr>
          <w:p>
            <w:pPr>
              <w:pStyle w:val="TableParagraph"/>
              <w:ind w:left="113"/>
              <w:rPr>
                <w:sz w:val="17"/>
              </w:rPr>
            </w:pPr>
            <w:r>
              <w:rPr>
                <w:color w:val="231F20"/>
                <w:sz w:val="17"/>
              </w:rPr>
              <w:t>Registros</w:t>
            </w:r>
          </w:p>
        </w:tc>
        <w:tc>
          <w:tcPr>
            <w:tcW w:w="1415" w:type="dxa"/>
          </w:tcPr>
          <w:p>
            <w:pPr>
              <w:pStyle w:val="TableParagraph"/>
              <w:ind w:left="660"/>
              <w:rPr>
                <w:sz w:val="17"/>
              </w:rPr>
            </w:pPr>
            <w:r>
              <w:rPr>
                <w:color w:val="231F20"/>
                <w:w w:val="96"/>
                <w:sz w:val="17"/>
              </w:rPr>
              <w:t>X</w:t>
            </w:r>
          </w:p>
        </w:tc>
        <w:tc>
          <w:tcPr>
            <w:tcW w:w="1415" w:type="dxa"/>
          </w:tcPr>
          <w:p>
            <w:pPr>
              <w:pStyle w:val="TableParagraph"/>
              <w:jc w:val="center"/>
              <w:rPr>
                <w:sz w:val="17"/>
              </w:rPr>
            </w:pPr>
            <w:r>
              <w:rPr>
                <w:color w:val="231F20"/>
                <w:w w:val="96"/>
                <w:sz w:val="17"/>
              </w:rPr>
              <w:t>X</w:t>
            </w:r>
          </w:p>
        </w:tc>
        <w:tc>
          <w:tcPr>
            <w:tcW w:w="1492" w:type="dxa"/>
          </w:tcPr>
          <w:p>
            <w:pPr>
              <w:pStyle w:val="TableParagraph"/>
              <w:jc w:val="center"/>
              <w:rPr>
                <w:sz w:val="17"/>
              </w:rPr>
            </w:pPr>
            <w:r>
              <w:rPr>
                <w:color w:val="231F20"/>
                <w:w w:val="96"/>
                <w:sz w:val="17"/>
              </w:rPr>
              <w:t>X</w:t>
            </w:r>
          </w:p>
        </w:tc>
        <w:tc>
          <w:tcPr>
            <w:tcW w:w="1510" w:type="dxa"/>
            <w:tcBorders>
              <w:right w:val="nil"/>
            </w:tcBorders>
          </w:tcPr>
          <w:p>
            <w:pPr>
              <w:pStyle w:val="TableParagraph"/>
              <w:ind w:right="4"/>
              <w:jc w:val="center"/>
              <w:rPr>
                <w:sz w:val="17"/>
              </w:rPr>
            </w:pPr>
            <w:r>
              <w:rPr>
                <w:color w:val="231F20"/>
                <w:w w:val="96"/>
                <w:sz w:val="17"/>
              </w:rPr>
              <w:t>X</w:t>
            </w:r>
          </w:p>
        </w:tc>
      </w:tr>
      <w:tr>
        <w:trPr>
          <w:trHeight w:val="354" w:hRule="exact"/>
        </w:trPr>
        <w:tc>
          <w:tcPr>
            <w:tcW w:w="2673" w:type="dxa"/>
            <w:tcBorders>
              <w:left w:val="nil"/>
            </w:tcBorders>
          </w:tcPr>
          <w:p>
            <w:pPr>
              <w:pStyle w:val="TableParagraph"/>
              <w:ind w:left="113"/>
              <w:rPr>
                <w:sz w:val="17"/>
              </w:rPr>
            </w:pPr>
            <w:r>
              <w:rPr>
                <w:color w:val="231F20"/>
                <w:sz w:val="17"/>
              </w:rPr>
              <w:t>Ordeñadoras</w:t>
            </w:r>
          </w:p>
        </w:tc>
        <w:tc>
          <w:tcPr>
            <w:tcW w:w="1415" w:type="dxa"/>
          </w:tcPr>
          <w:p>
            <w:pPr>
              <w:pStyle w:val="TableParagraph"/>
              <w:ind w:left="660"/>
              <w:rPr>
                <w:sz w:val="17"/>
              </w:rPr>
            </w:pPr>
            <w:r>
              <w:rPr>
                <w:color w:val="231F20"/>
                <w:w w:val="96"/>
                <w:sz w:val="17"/>
              </w:rPr>
              <w:t>X</w:t>
            </w:r>
          </w:p>
        </w:tc>
        <w:tc>
          <w:tcPr>
            <w:tcW w:w="1415" w:type="dxa"/>
          </w:tcPr>
          <w:p>
            <w:pPr>
              <w:pStyle w:val="TableParagraph"/>
              <w:jc w:val="center"/>
              <w:rPr>
                <w:sz w:val="17"/>
              </w:rPr>
            </w:pPr>
            <w:r>
              <w:rPr>
                <w:color w:val="231F20"/>
                <w:w w:val="96"/>
                <w:sz w:val="17"/>
              </w:rPr>
              <w:t>X</w:t>
            </w:r>
          </w:p>
        </w:tc>
        <w:tc>
          <w:tcPr>
            <w:tcW w:w="1492" w:type="dxa"/>
          </w:tcPr>
          <w:p>
            <w:pPr>
              <w:pStyle w:val="TableParagraph"/>
              <w:jc w:val="center"/>
              <w:rPr>
                <w:sz w:val="17"/>
              </w:rPr>
            </w:pPr>
            <w:r>
              <w:rPr>
                <w:color w:val="231F20"/>
                <w:w w:val="96"/>
                <w:sz w:val="17"/>
              </w:rPr>
              <w:t>X</w:t>
            </w:r>
          </w:p>
        </w:tc>
        <w:tc>
          <w:tcPr>
            <w:tcW w:w="1510" w:type="dxa"/>
            <w:tcBorders>
              <w:right w:val="nil"/>
            </w:tcBorders>
          </w:tcPr>
          <w:p>
            <w:pPr>
              <w:pStyle w:val="TableParagraph"/>
              <w:ind w:right="4"/>
              <w:jc w:val="center"/>
              <w:rPr>
                <w:sz w:val="17"/>
              </w:rPr>
            </w:pPr>
            <w:r>
              <w:rPr>
                <w:color w:val="231F20"/>
                <w:w w:val="96"/>
                <w:sz w:val="17"/>
              </w:rPr>
              <w:t>X</w:t>
            </w:r>
          </w:p>
        </w:tc>
      </w:tr>
    </w:tbl>
    <w:p>
      <w:pPr>
        <w:spacing w:before="70"/>
        <w:ind w:left="1667" w:right="2503" w:firstLine="0"/>
        <w:jc w:val="left"/>
        <w:rPr>
          <w:sz w:val="15"/>
        </w:rPr>
      </w:pPr>
      <w:r>
        <w:rPr>
          <w:rFonts w:ascii="Symbol" w:hAnsi="Symbol"/>
          <w:color w:val="231F20"/>
          <w:sz w:val="15"/>
        </w:rPr>
        <w:t></w:t>
      </w:r>
      <w:r>
        <w:rPr>
          <w:rFonts w:ascii="Times New Roman" w:hAnsi="Times New Roman"/>
          <w:color w:val="231F20"/>
          <w:sz w:val="15"/>
        </w:rPr>
        <w:t> </w:t>
      </w:r>
      <w:r>
        <w:rPr>
          <w:color w:val="231F20"/>
          <w:sz w:val="15"/>
        </w:rPr>
        <w:t>: tecnología apropiada; X: tecnología no  apropiada.</w:t>
      </w:r>
    </w:p>
    <w:p>
      <w:pPr>
        <w:pStyle w:val="BodyText"/>
      </w:pPr>
    </w:p>
    <w:p>
      <w:pPr>
        <w:spacing w:after="0"/>
        <w:sectPr>
          <w:pgSz w:w="11900" w:h="14450"/>
          <w:pgMar w:header="0" w:footer="222" w:top="420" w:bottom="420" w:left="0" w:right="0"/>
        </w:sectPr>
      </w:pPr>
    </w:p>
    <w:p>
      <w:pPr>
        <w:pStyle w:val="BodyText"/>
        <w:spacing w:before="4"/>
        <w:rPr>
          <w:sz w:val="18"/>
        </w:rPr>
      </w:pPr>
    </w:p>
    <w:p>
      <w:pPr>
        <w:pStyle w:val="BodyText"/>
        <w:spacing w:before="1"/>
        <w:ind w:left="1553"/>
        <w:jc w:val="both"/>
      </w:pPr>
      <w:r>
        <w:rPr>
          <w:color w:val="231F20"/>
          <w:w w:val="115"/>
        </w:rPr>
        <w:t>DISCUSIÓN</w:t>
      </w:r>
    </w:p>
    <w:p>
      <w:pPr>
        <w:pStyle w:val="BodyText"/>
        <w:spacing w:line="264" w:lineRule="auto" w:before="138"/>
        <w:ind w:left="1553"/>
        <w:jc w:val="both"/>
      </w:pPr>
      <w:r>
        <w:rPr>
          <w:color w:val="231F20"/>
        </w:rPr>
        <w:t>Los resultados muestran una alta adopción y cier- ta preferencia por algunas tecnologías </w:t>
      </w:r>
      <w:r>
        <w:rPr>
          <w:color w:val="231F20"/>
          <w:spacing w:val="2"/>
        </w:rPr>
        <w:t>agrícolas </w:t>
      </w:r>
      <w:r>
        <w:rPr>
          <w:color w:val="231F20"/>
        </w:rPr>
        <w:t>y pecuarias en los </w:t>
      </w:r>
      <w:r>
        <w:rPr>
          <w:color w:val="231F20"/>
          <w:spacing w:val="2"/>
        </w:rPr>
        <w:t>grupos </w:t>
      </w:r>
      <w:r>
        <w:rPr>
          <w:color w:val="231F20"/>
        </w:rPr>
        <w:t>1, 2 y 3, y en menor me- dida en el </w:t>
      </w:r>
      <w:r>
        <w:rPr>
          <w:color w:val="231F20"/>
          <w:spacing w:val="2"/>
        </w:rPr>
        <w:t>grupo </w:t>
      </w:r>
      <w:r>
        <w:rPr>
          <w:color w:val="231F20"/>
        </w:rPr>
        <w:t>4, al contrario de lo observado  por Espinosa-Solares </w:t>
      </w:r>
      <w:r>
        <w:rPr>
          <w:i/>
          <w:color w:val="231F20"/>
        </w:rPr>
        <w:t>et al. </w:t>
      </w:r>
      <w:r>
        <w:rPr>
          <w:color w:val="231F20"/>
        </w:rPr>
        <w:t>(2006) y Cervantes </w:t>
      </w:r>
      <w:r>
        <w:rPr>
          <w:i/>
          <w:color w:val="231F20"/>
        </w:rPr>
        <w:t>et  </w:t>
      </w:r>
      <w:r>
        <w:rPr>
          <w:i/>
          <w:color w:val="231F20"/>
        </w:rPr>
        <w:t>al. </w:t>
      </w:r>
      <w:r>
        <w:rPr>
          <w:color w:val="231F20"/>
        </w:rPr>
        <w:t>(2007). La adopción de las tecnologías tanto </w:t>
      </w:r>
      <w:r>
        <w:rPr>
          <w:color w:val="231F20"/>
          <w:spacing w:val="2"/>
        </w:rPr>
        <w:t>agrícolas </w:t>
      </w:r>
      <w:r>
        <w:rPr>
          <w:color w:val="231F20"/>
        </w:rPr>
        <w:t>como pecuarias  en  los  cuatro  </w:t>
      </w:r>
      <w:r>
        <w:rPr>
          <w:color w:val="231F20"/>
          <w:spacing w:val="2"/>
        </w:rPr>
        <w:t>grupos  </w:t>
      </w:r>
      <w:r>
        <w:rPr>
          <w:color w:val="231F20"/>
        </w:rPr>
        <w:t>se basa en su </w:t>
      </w:r>
      <w:r>
        <w:rPr>
          <w:color w:val="231F20"/>
          <w:spacing w:val="2"/>
        </w:rPr>
        <w:t>importancia </w:t>
      </w:r>
      <w:r>
        <w:rPr>
          <w:color w:val="231F20"/>
        </w:rPr>
        <w:t>para los </w:t>
      </w:r>
      <w:r>
        <w:rPr>
          <w:color w:val="231F20"/>
          <w:spacing w:val="2"/>
        </w:rPr>
        <w:t>productores,  </w:t>
      </w:r>
      <w:r>
        <w:rPr>
          <w:color w:val="231F20"/>
        </w:rPr>
        <w:t>en la utilidad, la productividad y los  beneficios  para la </w:t>
      </w:r>
      <w:r>
        <w:rPr>
          <w:color w:val="231F20"/>
          <w:spacing w:val="2"/>
        </w:rPr>
        <w:t>granja. </w:t>
      </w:r>
      <w:r>
        <w:rPr>
          <w:color w:val="231F20"/>
        </w:rPr>
        <w:t>Batz </w:t>
      </w:r>
      <w:r>
        <w:rPr>
          <w:i/>
          <w:color w:val="231F20"/>
        </w:rPr>
        <w:t>et al</w:t>
      </w:r>
      <w:r>
        <w:rPr>
          <w:color w:val="231F20"/>
        </w:rPr>
        <w:t>. (1999) mencionan </w:t>
      </w:r>
      <w:r>
        <w:rPr>
          <w:color w:val="231F20"/>
          <w:spacing w:val="2"/>
        </w:rPr>
        <w:t>que    </w:t>
      </w:r>
      <w:r>
        <w:rPr>
          <w:color w:val="231F20"/>
        </w:rPr>
        <w:t>la utilidad, la productividad y  la  rentabilidad  de las tecnologías son factores </w:t>
      </w:r>
      <w:r>
        <w:rPr>
          <w:color w:val="231F20"/>
          <w:spacing w:val="2"/>
        </w:rPr>
        <w:t>importantes </w:t>
      </w:r>
      <w:r>
        <w:rPr>
          <w:color w:val="231F20"/>
        </w:rPr>
        <w:t>en la decisión de los productores para su adopción o rechazo. Así mismo, la preferencia y la adopción  de  las  tecnologías  en  los  cuatro  </w:t>
      </w:r>
      <w:r>
        <w:rPr>
          <w:color w:val="231F20"/>
          <w:spacing w:val="2"/>
        </w:rPr>
        <w:t>grupos  </w:t>
      </w:r>
      <w:r>
        <w:rPr>
          <w:color w:val="231F20"/>
          <w:spacing w:val="43"/>
        </w:rPr>
        <w:t> </w:t>
      </w:r>
      <w:r>
        <w:rPr>
          <w:color w:val="231F20"/>
          <w:spacing w:val="2"/>
        </w:rPr>
        <w:t>estuvo</w:t>
      </w:r>
    </w:p>
    <w:p>
      <w:pPr>
        <w:pStyle w:val="BodyText"/>
        <w:spacing w:before="4"/>
        <w:rPr>
          <w:sz w:val="18"/>
        </w:rPr>
      </w:pPr>
      <w:r>
        <w:rPr/>
        <w:br w:type="column"/>
      </w:r>
      <w:r>
        <w:rPr>
          <w:sz w:val="18"/>
        </w:rPr>
      </w:r>
    </w:p>
    <w:p>
      <w:pPr>
        <w:pStyle w:val="BodyText"/>
        <w:spacing w:line="264" w:lineRule="auto" w:before="1"/>
        <w:ind w:left="411" w:right="1549"/>
        <w:jc w:val="both"/>
      </w:pPr>
      <w:r>
        <w:rPr>
          <w:color w:val="231F20"/>
        </w:rPr>
        <w:t>relacionada con la facilidad de uso dentro de sus sistemas. Kiptot </w:t>
      </w:r>
      <w:r>
        <w:rPr>
          <w:i/>
          <w:color w:val="231F20"/>
        </w:rPr>
        <w:t>et al</w:t>
      </w:r>
      <w:r>
        <w:rPr>
          <w:color w:val="231F20"/>
        </w:rPr>
        <w:t>. (2006) mencionan que los productores se inclinan más por la adopción de tecnologías que  presentan  beneficios  inmediatos y que son más fáciles de implementar en sus sistemas.</w:t>
      </w:r>
    </w:p>
    <w:p>
      <w:pPr>
        <w:pStyle w:val="BodyText"/>
        <w:spacing w:line="264" w:lineRule="auto" w:before="114"/>
        <w:ind w:left="411" w:right="1551"/>
        <w:jc w:val="both"/>
      </w:pPr>
      <w:r>
        <w:rPr>
          <w:color w:val="231F20"/>
        </w:rPr>
        <w:t>El rechazo de las tecnologías agrícolas estuvo prin- cipalmente asociado con restricciones económi- cas, falta de conocimientos para su uso y falta de terrenos; además, las tecnologías fueron conside- radas por los productores como poco  importan- tes o nada importantes. La falta de conocimientos puede atribuirse a la falta de servicios de exten- sión y a la ignorancia de la participación de las organizaciones gubernamentales en la promoción tecnológica. Sinja </w:t>
      </w:r>
      <w:r>
        <w:rPr>
          <w:i/>
          <w:color w:val="231F20"/>
        </w:rPr>
        <w:t>et al</w:t>
      </w:r>
      <w:r>
        <w:rPr>
          <w:color w:val="231F20"/>
        </w:rPr>
        <w:t>. (2004) señalan que en    los</w:t>
      </w:r>
    </w:p>
    <w:p>
      <w:pPr>
        <w:spacing w:after="0" w:line="264"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5.   Factores que intervienen en la adopción de </w:t>
      </w:r>
      <w:r>
        <w:rPr>
          <w:color w:val="231F20"/>
          <w:spacing w:val="35"/>
          <w:sz w:val="18"/>
        </w:rPr>
        <w:t> </w:t>
      </w:r>
      <w:r>
        <w:rPr>
          <w:color w:val="231F20"/>
          <w:sz w:val="18"/>
        </w:rPr>
        <w:t>tecnologías</w:t>
      </w:r>
      <w:r>
        <w:rPr>
          <w:color w:val="231F20"/>
          <w:spacing w:val="11"/>
          <w:sz w:val="18"/>
        </w:rPr>
        <w:t> </w:t>
      </w:r>
      <w:r>
        <w:rPr>
          <w:color w:val="231F20"/>
          <w:sz w:val="18"/>
        </w:rPr>
        <w:t>agropecuarias...</w:t>
      </w:r>
      <w:r>
        <w:rPr>
          <w:color w:val="231F20"/>
          <w:sz w:val="22"/>
        </w:rPr>
        <w:tab/>
        <w:t>85</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76" w:lineRule="auto"/>
        <w:ind w:left="1553"/>
        <w:jc w:val="both"/>
      </w:pPr>
      <w:r>
        <w:rPr>
          <w:color w:val="231F20"/>
        </w:rPr>
        <w:t>últimos años el enfoque de extensión “productor   a productor” ha tomado una gran relevancia y es considerado como uno de los métodos más via- bles para la diseminación de las tecnologías. Kip- tot </w:t>
      </w:r>
      <w:r>
        <w:rPr>
          <w:i/>
          <w:color w:val="231F20"/>
        </w:rPr>
        <w:t>et al</w:t>
      </w:r>
      <w:r>
        <w:rPr>
          <w:color w:val="231F20"/>
        </w:rPr>
        <w:t>. (2006) afirman que las redes sociales entre familiares, amigos y grupos de productores son importantes avenidas para la distribución de las</w:t>
      </w:r>
      <w:r>
        <w:rPr>
          <w:color w:val="231F20"/>
          <w:spacing w:val="7"/>
        </w:rPr>
        <w:t> </w:t>
      </w:r>
      <w:r>
        <w:rPr>
          <w:color w:val="231F20"/>
        </w:rPr>
        <w:t>tecnologías.</w:t>
      </w:r>
    </w:p>
    <w:p>
      <w:pPr>
        <w:pStyle w:val="BodyText"/>
        <w:spacing w:line="276" w:lineRule="auto" w:before="113"/>
        <w:ind w:left="1553"/>
        <w:jc w:val="both"/>
      </w:pPr>
      <w:r>
        <w:rPr>
          <w:color w:val="231F20"/>
        </w:rPr>
        <w:t>El rechazo de las tecnologías pecuarias (maqui- naria) se relaciona principalmente con la falta de capital, de créditos y de información de los pro- gramas del gobierno, y con el hecho de que son varios los requisitos que demandan los programas  y el proceso toma bastante tiempo. Estos resulta- dos coinciden con los de Espinoza-Ortega </w:t>
      </w:r>
      <w:r>
        <w:rPr>
          <w:i/>
          <w:color w:val="231F20"/>
        </w:rPr>
        <w:t>et al. </w:t>
      </w:r>
      <w:r>
        <w:rPr>
          <w:color w:val="231F20"/>
        </w:rPr>
        <w:t>(2007). Por lo tanto, las organizaciones guber- namentales necesitan desarrollar protocolos de aplicación que sean amigables y flexibles para los productores.</w:t>
      </w:r>
    </w:p>
    <w:p>
      <w:pPr>
        <w:pStyle w:val="BodyText"/>
        <w:spacing w:line="276" w:lineRule="auto" w:before="113"/>
        <w:ind w:left="1553"/>
        <w:jc w:val="both"/>
      </w:pPr>
      <w:r>
        <w:rPr>
          <w:color w:val="231F20"/>
        </w:rPr>
        <w:t>Por otro lado, cuatro tecnologías pecuarias (in- seminación artificial, vacunas, desparasitación y registros) fueron consideradas como  importan-  tes por productores de los cuatro grupos que no  las han adoptado; sin embargo, debido a la falta  de conocimientos para su uso, estas tecnologías son rechazadas. Esto puede deberse a la falta de servicios de extensión por parte de las organiza- ciones gubernamentales. Así, los servicios de ex- tensión tienen que ser reforzados para aumentar  la adopción de estas cuatro tecnologías, tomando en consideración el apoyo de veterinarios, quie- nes son importantes medios de comunicación y capacitación para las tecnologías pecuarias, como puntualizan Martínez-García </w:t>
      </w:r>
      <w:r>
        <w:rPr>
          <w:i/>
          <w:color w:val="231F20"/>
        </w:rPr>
        <w:t>et al</w:t>
      </w:r>
      <w:r>
        <w:rPr>
          <w:color w:val="231F20"/>
        </w:rPr>
        <w:t>. </w:t>
      </w:r>
      <w:r>
        <w:rPr>
          <w:color w:val="231F20"/>
          <w:spacing w:val="-4"/>
        </w:rPr>
        <w:t>(2012). </w:t>
      </w:r>
      <w:r>
        <w:rPr>
          <w:color w:val="231F20"/>
        </w:rPr>
        <w:t>Así, la inseminación artificial, las vacunas, la desparasita- ción y el uso de registros pueden ser tecnologías apropiadas y disponibles que contribuyan al desa- rrollo rural de los productores que aún no las han adoptado.</w:t>
      </w:r>
    </w:p>
    <w:p>
      <w:pPr>
        <w:pStyle w:val="BodyText"/>
        <w:rPr>
          <w:sz w:val="29"/>
        </w:rPr>
      </w:pPr>
      <w:r>
        <w:rPr/>
        <w:br w:type="column"/>
      </w:r>
      <w:r>
        <w:rPr>
          <w:sz w:val="29"/>
        </w:rPr>
      </w:r>
    </w:p>
    <w:p>
      <w:pPr>
        <w:pStyle w:val="BodyText"/>
        <w:ind w:left="413"/>
        <w:jc w:val="both"/>
      </w:pPr>
      <w:r>
        <w:rPr>
          <w:color w:val="231F20"/>
          <w:w w:val="115"/>
        </w:rPr>
        <w:t>CONCLUSIONES</w:t>
      </w:r>
    </w:p>
    <w:p>
      <w:pPr>
        <w:pStyle w:val="BodyText"/>
        <w:spacing w:line="256" w:lineRule="auto" w:before="129"/>
        <w:ind w:left="413" w:right="1551"/>
        <w:jc w:val="both"/>
      </w:pPr>
      <w:r>
        <w:rPr>
          <w:color w:val="231F20"/>
        </w:rPr>
        <w:t>Los resultados muestran evidencias de la gran di- versidad de los pequeños productores  de  leche  en pequeña escala del Estado de México, desde el punto de vista socioeconómico, de las característi- cas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unidad</w:t>
      </w:r>
      <w:r>
        <w:rPr>
          <w:color w:val="231F20"/>
          <w:spacing w:val="-7"/>
        </w:rPr>
        <w:t> </w:t>
      </w:r>
      <w:r>
        <w:rPr>
          <w:color w:val="231F20"/>
        </w:rPr>
        <w:t>de</w:t>
      </w:r>
      <w:r>
        <w:rPr>
          <w:color w:val="231F20"/>
          <w:spacing w:val="-7"/>
        </w:rPr>
        <w:t> </w:t>
      </w:r>
      <w:r>
        <w:rPr>
          <w:color w:val="231F20"/>
        </w:rPr>
        <w:t>producción,</w:t>
      </w:r>
      <w:r>
        <w:rPr>
          <w:color w:val="231F20"/>
          <w:spacing w:val="-7"/>
        </w:rPr>
        <w:t> </w:t>
      </w:r>
      <w:r>
        <w:rPr>
          <w:color w:val="231F20"/>
        </w:rPr>
        <w:t>del</w:t>
      </w:r>
      <w:r>
        <w:rPr>
          <w:color w:val="231F20"/>
          <w:spacing w:val="-7"/>
        </w:rPr>
        <w:t> </w:t>
      </w:r>
      <w:r>
        <w:rPr>
          <w:color w:val="231F20"/>
        </w:rPr>
        <w:t>nivel</w:t>
      </w:r>
      <w:r>
        <w:rPr>
          <w:color w:val="231F20"/>
          <w:spacing w:val="-7"/>
        </w:rPr>
        <w:t> </w:t>
      </w:r>
      <w:r>
        <w:rPr>
          <w:color w:val="231F20"/>
        </w:rPr>
        <w:t>productivo y de las preferencias tecnológicas. Los productores que dependen en menor medida de la produc-  ción de leche como ingreso principal (como se ob- servó en el grupo 4) muestran menos intenciones de adoptar y usar nuevas tecnologías promovidas por organizaciones gubernamentales. Por lo tan- to, deben implementarse diferentes estrategias de comunicación de innovaciones basadas en su uti- lidad, productividad, beneficios y preferencias para los diferentes sistemas de producción de leche en pequeña</w:t>
      </w:r>
      <w:r>
        <w:rPr>
          <w:color w:val="231F20"/>
          <w:spacing w:val="35"/>
        </w:rPr>
        <w:t> </w:t>
      </w:r>
      <w:r>
        <w:rPr>
          <w:color w:val="231F20"/>
        </w:rPr>
        <w:t>escala.</w:t>
      </w:r>
    </w:p>
    <w:p>
      <w:pPr>
        <w:pStyle w:val="BodyText"/>
        <w:spacing w:line="256" w:lineRule="auto" w:before="112"/>
        <w:ind w:left="413" w:right="1551"/>
        <w:jc w:val="both"/>
      </w:pPr>
      <w:r>
        <w:rPr>
          <w:color w:val="231F20"/>
        </w:rPr>
        <w:t>Se ha observado que los mecanismos  de  solici-  tud de apoyos gubernamentales dirigidos a la promoción de tecnologías limitan su acceso a los productores con educación básica o sin estudios. Los protocolos de solicitud de apoyos  deberían  ser más flexibles y amigables, lo que permitiría un mayor acceso a los subsidios promovidos por las instituciones.</w:t>
      </w:r>
    </w:p>
    <w:p>
      <w:pPr>
        <w:pStyle w:val="BodyText"/>
        <w:spacing w:line="256" w:lineRule="auto" w:before="112"/>
        <w:ind w:left="413" w:right="1551"/>
        <w:jc w:val="both"/>
      </w:pPr>
      <w:r>
        <w:rPr>
          <w:color w:val="231F20"/>
        </w:rPr>
        <w:t>Las tecnologías agrícolas y pecuarias con mayor índice de adopción e importancia para los produc- tores de los cuatro grupos pueden ser viables para su promoción en sistemas de producción de leche en pequeña escala por parte de las instituciones gubernamentales; sin embargo, es de suma im- portancia reforzar su adopción y comunicación a través de servicios de extensión y capacitación,  que contribuyan al desarrollo de estos </w:t>
      </w:r>
      <w:r>
        <w:rPr>
          <w:color w:val="231F20"/>
          <w:spacing w:val="33"/>
        </w:rPr>
        <w:t> </w:t>
      </w:r>
      <w:r>
        <w:rPr>
          <w:color w:val="231F20"/>
        </w:rPr>
        <w:t>sistemas.</w:t>
      </w:r>
    </w:p>
    <w:p>
      <w:pPr>
        <w:pStyle w:val="BodyText"/>
      </w:pPr>
    </w:p>
    <w:p>
      <w:pPr>
        <w:pStyle w:val="BodyText"/>
        <w:spacing w:before="151"/>
        <w:ind w:left="413"/>
        <w:jc w:val="both"/>
      </w:pPr>
      <w:r>
        <w:rPr>
          <w:color w:val="231F20"/>
          <w:w w:val="110"/>
        </w:rPr>
        <w:t>BIBLIOGRAFÍA</w:t>
      </w:r>
    </w:p>
    <w:p>
      <w:pPr>
        <w:spacing w:line="261" w:lineRule="auto" w:before="128"/>
        <w:ind w:left="696" w:right="1446" w:hanging="284"/>
        <w:jc w:val="left"/>
        <w:rPr>
          <w:sz w:val="18"/>
        </w:rPr>
      </w:pPr>
      <w:r>
        <w:rPr>
          <w:color w:val="231F20"/>
          <w:sz w:val="18"/>
        </w:rPr>
        <w:t>Arriaga-Jordán C., Espinoza-Ortega A., Rojo-Guadarrama H.,  Valdés-Martínez  J.L.,  Sánchez-Vera  E.,   Wiggins</w:t>
      </w:r>
    </w:p>
    <w:p>
      <w:pPr>
        <w:spacing w:line="261" w:lineRule="auto" w:before="0"/>
        <w:ind w:left="696" w:right="1551" w:firstLine="0"/>
        <w:jc w:val="both"/>
        <w:rPr>
          <w:sz w:val="18"/>
        </w:rPr>
      </w:pPr>
      <w:r>
        <w:rPr>
          <w:color w:val="231F20"/>
          <w:w w:val="105"/>
          <w:sz w:val="18"/>
        </w:rPr>
        <w:t>S. (1999). Socioeconomic aspects of small holder (peasant)</w:t>
      </w:r>
      <w:r>
        <w:rPr>
          <w:color w:val="231F20"/>
          <w:spacing w:val="-11"/>
          <w:w w:val="105"/>
          <w:sz w:val="18"/>
        </w:rPr>
        <w:t> </w:t>
      </w:r>
      <w:r>
        <w:rPr>
          <w:color w:val="231F20"/>
          <w:w w:val="105"/>
          <w:sz w:val="18"/>
        </w:rPr>
        <w:t>dairy</w:t>
      </w:r>
      <w:r>
        <w:rPr>
          <w:color w:val="231F20"/>
          <w:spacing w:val="-11"/>
          <w:w w:val="105"/>
          <w:sz w:val="18"/>
        </w:rPr>
        <w:t> </w:t>
      </w:r>
      <w:r>
        <w:rPr>
          <w:color w:val="231F20"/>
          <w:w w:val="105"/>
          <w:sz w:val="18"/>
        </w:rPr>
        <w:t>farming</w:t>
      </w:r>
      <w:r>
        <w:rPr>
          <w:color w:val="231F20"/>
          <w:spacing w:val="-11"/>
          <w:w w:val="105"/>
          <w:sz w:val="18"/>
        </w:rPr>
        <w:t> </w:t>
      </w:r>
      <w:r>
        <w:rPr>
          <w:color w:val="231F20"/>
          <w:w w:val="105"/>
          <w:sz w:val="18"/>
        </w:rPr>
        <w:t>in</w:t>
      </w:r>
      <w:r>
        <w:rPr>
          <w:color w:val="231F20"/>
          <w:spacing w:val="-11"/>
          <w:w w:val="105"/>
          <w:sz w:val="18"/>
        </w:rPr>
        <w:t> </w:t>
      </w:r>
      <w:r>
        <w:rPr>
          <w:color w:val="231F20"/>
          <w:w w:val="105"/>
          <w:sz w:val="18"/>
        </w:rPr>
        <w:t>the</w:t>
      </w:r>
      <w:r>
        <w:rPr>
          <w:color w:val="231F20"/>
          <w:spacing w:val="-11"/>
          <w:w w:val="105"/>
          <w:sz w:val="18"/>
        </w:rPr>
        <w:t> </w:t>
      </w:r>
      <w:r>
        <w:rPr>
          <w:color w:val="231F20"/>
          <w:spacing w:val="-4"/>
          <w:w w:val="105"/>
          <w:sz w:val="18"/>
        </w:rPr>
        <w:t>Toluca</w:t>
      </w:r>
      <w:r>
        <w:rPr>
          <w:color w:val="231F20"/>
          <w:spacing w:val="-11"/>
          <w:w w:val="105"/>
          <w:sz w:val="18"/>
        </w:rPr>
        <w:t> </w:t>
      </w:r>
      <w:r>
        <w:rPr>
          <w:color w:val="231F20"/>
          <w:w w:val="105"/>
          <w:sz w:val="18"/>
        </w:rPr>
        <w:t>Valley:</w:t>
      </w:r>
      <w:r>
        <w:rPr>
          <w:color w:val="231F20"/>
          <w:spacing w:val="-11"/>
          <w:w w:val="105"/>
          <w:sz w:val="18"/>
        </w:rPr>
        <w:t> </w:t>
      </w:r>
      <w:r>
        <w:rPr>
          <w:color w:val="231F20"/>
          <w:w w:val="105"/>
          <w:sz w:val="18"/>
        </w:rPr>
        <w:t>I.</w:t>
      </w:r>
      <w:r>
        <w:rPr>
          <w:color w:val="231F20"/>
          <w:spacing w:val="-11"/>
          <w:w w:val="105"/>
          <w:sz w:val="18"/>
        </w:rPr>
        <w:t> </w:t>
      </w:r>
      <w:r>
        <w:rPr>
          <w:color w:val="231F20"/>
          <w:w w:val="105"/>
          <w:sz w:val="18"/>
        </w:rPr>
        <w:t>Initial economic analysis. </w:t>
      </w:r>
      <w:r>
        <w:rPr>
          <w:i/>
          <w:color w:val="231F20"/>
          <w:w w:val="105"/>
          <w:sz w:val="18"/>
        </w:rPr>
        <w:t>Agrociencia, </w:t>
      </w:r>
      <w:r>
        <w:rPr>
          <w:color w:val="231F20"/>
          <w:w w:val="105"/>
          <w:sz w:val="18"/>
        </w:rPr>
        <w:t>33:</w:t>
      </w:r>
      <w:r>
        <w:rPr>
          <w:color w:val="231F20"/>
          <w:spacing w:val="-6"/>
          <w:w w:val="105"/>
          <w:sz w:val="18"/>
        </w:rPr>
        <w:t> </w:t>
      </w:r>
      <w:r>
        <w:rPr>
          <w:color w:val="231F20"/>
          <w:w w:val="105"/>
          <w:sz w:val="18"/>
        </w:rPr>
        <w:t>483-491.</w:t>
      </w:r>
    </w:p>
    <w:p>
      <w:pPr>
        <w:spacing w:after="0" w:line="261"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86</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10"/>
        <w:rPr>
          <w:sz w:val="22"/>
        </w:rPr>
      </w:pPr>
    </w:p>
    <w:p>
      <w:pPr>
        <w:spacing w:after="0"/>
        <w:rPr>
          <w:sz w:val="22"/>
        </w:rPr>
        <w:sectPr>
          <w:footerReference w:type="default" r:id="rId87"/>
          <w:pgSz w:w="11900" w:h="14450"/>
          <w:pgMar w:footer="222" w:header="0" w:top="420" w:bottom="420" w:left="0" w:right="0"/>
        </w:sectPr>
      </w:pPr>
    </w:p>
    <w:p>
      <w:pPr>
        <w:spacing w:line="266" w:lineRule="auto" w:before="70"/>
        <w:ind w:left="1839" w:right="0" w:hanging="284"/>
        <w:jc w:val="both"/>
        <w:rPr>
          <w:sz w:val="18"/>
        </w:rPr>
      </w:pPr>
      <w:r>
        <w:rPr>
          <w:color w:val="231F20"/>
          <w:sz w:val="18"/>
        </w:rPr>
        <w:t>Arriaga-Jordán C., Albarrán-Portillo B., Espinoza-Ortega A., García-Martínez A., Castelán-Ortega O. (2002). On-farm comparison feeding strategies based on forages for small-scale dairy production systems in the highlands of central Mexico. </w:t>
      </w:r>
      <w:r>
        <w:rPr>
          <w:i/>
          <w:color w:val="231F20"/>
          <w:sz w:val="18"/>
        </w:rPr>
        <w:t>Experimental Agri- </w:t>
      </w:r>
      <w:r>
        <w:rPr>
          <w:i/>
          <w:color w:val="231F20"/>
          <w:sz w:val="18"/>
        </w:rPr>
        <w:t>culture,  </w:t>
      </w:r>
      <w:r>
        <w:rPr>
          <w:color w:val="231F20"/>
          <w:sz w:val="18"/>
        </w:rPr>
        <w:t>38:  375-388.</w:t>
      </w:r>
    </w:p>
    <w:p>
      <w:pPr>
        <w:spacing w:line="266" w:lineRule="auto" w:before="56"/>
        <w:ind w:left="1839" w:right="0" w:hanging="284"/>
        <w:jc w:val="both"/>
        <w:rPr>
          <w:sz w:val="18"/>
        </w:rPr>
      </w:pPr>
      <w:r>
        <w:rPr>
          <w:color w:val="231F20"/>
          <w:sz w:val="18"/>
        </w:rPr>
        <w:t>Batz </w:t>
      </w:r>
      <w:r>
        <w:rPr>
          <w:color w:val="231F20"/>
          <w:spacing w:val="-3"/>
          <w:sz w:val="18"/>
        </w:rPr>
        <w:t>F.J.,  </w:t>
      </w:r>
      <w:r>
        <w:rPr>
          <w:color w:val="231F20"/>
          <w:sz w:val="18"/>
        </w:rPr>
        <w:t>Peters K.J., Janssen </w:t>
      </w:r>
      <w:r>
        <w:rPr>
          <w:color w:val="231F20"/>
          <w:spacing w:val="-8"/>
          <w:sz w:val="18"/>
        </w:rPr>
        <w:t>W.  </w:t>
      </w:r>
      <w:r>
        <w:rPr>
          <w:color w:val="231F20"/>
          <w:sz w:val="18"/>
        </w:rPr>
        <w:t>(1999). The influence   of technology characteristics on the rate and speed of  adoption.  </w:t>
      </w:r>
      <w:r>
        <w:rPr>
          <w:i/>
          <w:color w:val="231F20"/>
          <w:sz w:val="18"/>
        </w:rPr>
        <w:t>Agricultural  Economics,  </w:t>
      </w:r>
      <w:r>
        <w:rPr>
          <w:color w:val="231F20"/>
          <w:sz w:val="18"/>
        </w:rPr>
        <w:t>21:</w:t>
      </w:r>
      <w:r>
        <w:rPr>
          <w:color w:val="231F20"/>
          <w:spacing w:val="-8"/>
          <w:sz w:val="18"/>
        </w:rPr>
        <w:t> </w:t>
      </w:r>
      <w:r>
        <w:rPr>
          <w:color w:val="231F20"/>
          <w:spacing w:val="-4"/>
          <w:sz w:val="18"/>
        </w:rPr>
        <w:t>121-130.</w:t>
      </w:r>
    </w:p>
    <w:p>
      <w:pPr>
        <w:spacing w:line="266" w:lineRule="auto" w:before="56"/>
        <w:ind w:left="1839" w:right="0" w:hanging="284"/>
        <w:jc w:val="both"/>
        <w:rPr>
          <w:sz w:val="18"/>
        </w:rPr>
      </w:pPr>
      <w:r>
        <w:rPr>
          <w:color w:val="231F20"/>
          <w:sz w:val="18"/>
        </w:rPr>
        <w:t>Bernués A., Herrero M. (2008). Farm intensification and drivers of technology adoption in mixed dairy-crop systems in Santa Cruz, Bolivia. </w:t>
      </w:r>
      <w:r>
        <w:rPr>
          <w:i/>
          <w:color w:val="231F20"/>
          <w:sz w:val="18"/>
        </w:rPr>
        <w:t>Spanish Journal of </w:t>
      </w:r>
      <w:r>
        <w:rPr>
          <w:i/>
          <w:color w:val="231F20"/>
          <w:sz w:val="18"/>
        </w:rPr>
        <w:t>Agricultural  Research,  </w:t>
      </w:r>
      <w:r>
        <w:rPr>
          <w:color w:val="231F20"/>
          <w:sz w:val="18"/>
        </w:rPr>
        <w:t>6: 279-293.</w:t>
      </w:r>
    </w:p>
    <w:p>
      <w:pPr>
        <w:spacing w:line="266" w:lineRule="auto" w:before="56"/>
        <w:ind w:left="1839" w:right="0" w:hanging="284"/>
        <w:jc w:val="both"/>
        <w:rPr>
          <w:sz w:val="18"/>
        </w:rPr>
      </w:pPr>
      <w:r>
        <w:rPr>
          <w:color w:val="231F20"/>
          <w:sz w:val="18"/>
        </w:rPr>
        <w:t>Cervantes </w:t>
      </w:r>
      <w:r>
        <w:rPr>
          <w:color w:val="231F20"/>
          <w:spacing w:val="-3"/>
          <w:sz w:val="18"/>
        </w:rPr>
        <w:t>E.F., </w:t>
      </w:r>
      <w:r>
        <w:rPr>
          <w:color w:val="231F20"/>
          <w:sz w:val="18"/>
        </w:rPr>
        <w:t>Cesín </w:t>
      </w:r>
      <w:r>
        <w:rPr>
          <w:color w:val="231F20"/>
          <w:spacing w:val="-3"/>
          <w:sz w:val="18"/>
        </w:rPr>
        <w:t>V.A., </w:t>
      </w:r>
      <w:r>
        <w:rPr>
          <w:color w:val="231F20"/>
          <w:sz w:val="18"/>
        </w:rPr>
        <w:t>Pérez S.L. (2007). Disappear- ance of dairy farms reproductive reconversion, in Chipilo, Puebla, Mexico. </w:t>
      </w:r>
      <w:r>
        <w:rPr>
          <w:i/>
          <w:color w:val="231F20"/>
          <w:sz w:val="18"/>
        </w:rPr>
        <w:t>Técnica Pecuaria México,  </w:t>
      </w:r>
      <w:r>
        <w:rPr>
          <w:color w:val="231F20"/>
          <w:sz w:val="18"/>
        </w:rPr>
        <w:t>45:  </w:t>
      </w:r>
      <w:r>
        <w:rPr>
          <w:color w:val="231F20"/>
          <w:spacing w:val="13"/>
          <w:sz w:val="18"/>
        </w:rPr>
        <w:t> </w:t>
      </w:r>
      <w:r>
        <w:rPr>
          <w:color w:val="231F20"/>
          <w:sz w:val="18"/>
        </w:rPr>
        <w:t>195-208.</w:t>
      </w:r>
    </w:p>
    <w:p>
      <w:pPr>
        <w:spacing w:line="266" w:lineRule="auto" w:before="56"/>
        <w:ind w:left="1839" w:right="0" w:hanging="284"/>
        <w:jc w:val="both"/>
        <w:rPr>
          <w:sz w:val="18"/>
        </w:rPr>
      </w:pPr>
      <w:r>
        <w:rPr>
          <w:color w:val="231F20"/>
          <w:sz w:val="18"/>
        </w:rPr>
        <w:t>Espinosa-Solares </w:t>
      </w:r>
      <w:r>
        <w:rPr>
          <w:color w:val="231F20"/>
          <w:spacing w:val="-5"/>
          <w:sz w:val="18"/>
        </w:rPr>
        <w:t>T., </w:t>
      </w:r>
      <w:r>
        <w:rPr>
          <w:color w:val="231F20"/>
          <w:sz w:val="18"/>
        </w:rPr>
        <w:t>Villegas de Gante A., Gómez-Ra- mírez G., Cruz-Castillo J.G., Hernández-Montes A. (2006). The milk industry in the Valley of Mexico,       a grading approach. </w:t>
      </w:r>
      <w:r>
        <w:rPr>
          <w:i/>
          <w:color w:val="231F20"/>
          <w:sz w:val="18"/>
        </w:rPr>
        <w:t>Técnica Pecuaria México, </w:t>
      </w:r>
      <w:r>
        <w:rPr>
          <w:color w:val="231F20"/>
          <w:sz w:val="18"/>
        </w:rPr>
        <w:t>44: </w:t>
      </w:r>
      <w:r>
        <w:rPr>
          <w:color w:val="231F20"/>
          <w:spacing w:val="-4"/>
          <w:sz w:val="18"/>
        </w:rPr>
        <w:t>181-192.</w:t>
      </w:r>
    </w:p>
    <w:p>
      <w:pPr>
        <w:spacing w:line="266" w:lineRule="auto" w:before="56"/>
        <w:ind w:left="1839" w:right="0" w:hanging="284"/>
        <w:jc w:val="both"/>
        <w:rPr>
          <w:sz w:val="18"/>
        </w:rPr>
      </w:pPr>
      <w:r>
        <w:rPr>
          <w:color w:val="231F20"/>
          <w:sz w:val="18"/>
        </w:rPr>
        <w:t>Espinoza-Ortega A., Álvarez-Macías A., Del Valle M.C., Chauvete M.  (2005).  Small-holder  (Campesino)  milk production systems in the highlands</w:t>
      </w:r>
      <w:r>
        <w:rPr>
          <w:color w:val="231F20"/>
          <w:spacing w:val="31"/>
          <w:sz w:val="18"/>
        </w:rPr>
        <w:t> </w:t>
      </w:r>
      <w:r>
        <w:rPr>
          <w:color w:val="231F20"/>
          <w:sz w:val="18"/>
        </w:rPr>
        <w:t>of</w:t>
      </w:r>
      <w:r>
        <w:rPr>
          <w:color w:val="231F20"/>
          <w:spacing w:val="11"/>
          <w:sz w:val="18"/>
        </w:rPr>
        <w:t> </w:t>
      </w:r>
      <w:r>
        <w:rPr>
          <w:color w:val="231F20"/>
          <w:sz w:val="18"/>
        </w:rPr>
        <w:t>Mexico.</w:t>
      </w:r>
      <w:r>
        <w:rPr>
          <w:color w:val="231F20"/>
          <w:w w:val="97"/>
          <w:sz w:val="18"/>
        </w:rPr>
        <w:t> </w:t>
      </w:r>
      <w:r>
        <w:rPr>
          <w:i/>
          <w:color w:val="231F20"/>
          <w:sz w:val="18"/>
        </w:rPr>
        <w:t>Técnica  Pecuaria  México,  </w:t>
      </w:r>
      <w:r>
        <w:rPr>
          <w:color w:val="231F20"/>
          <w:sz w:val="18"/>
        </w:rPr>
        <w:t>43:</w:t>
      </w:r>
      <w:r>
        <w:rPr>
          <w:color w:val="231F20"/>
          <w:spacing w:val="15"/>
          <w:sz w:val="18"/>
        </w:rPr>
        <w:t> </w:t>
      </w:r>
      <w:r>
        <w:rPr>
          <w:color w:val="231F20"/>
          <w:sz w:val="18"/>
        </w:rPr>
        <w:t>39-56.</w:t>
      </w:r>
    </w:p>
    <w:p>
      <w:pPr>
        <w:spacing w:line="266" w:lineRule="auto" w:before="56"/>
        <w:ind w:left="1839" w:right="0" w:hanging="284"/>
        <w:jc w:val="both"/>
        <w:rPr>
          <w:sz w:val="18"/>
        </w:rPr>
      </w:pPr>
      <w:r>
        <w:rPr>
          <w:color w:val="231F20"/>
          <w:sz w:val="18"/>
        </w:rPr>
        <w:t>Espinoza-Ortega A., Espinosa-Ayala E., Bastida-López J., Castañeda- Martínez T., Arriaga- Jordán C.M. (2007). Small-scale dairy farming in the highlands of central Mexico: technical, economic and social aspects    and</w:t>
      </w:r>
    </w:p>
    <w:p>
      <w:pPr>
        <w:spacing w:before="70"/>
        <w:ind w:left="696" w:right="1501" w:firstLine="0"/>
        <w:jc w:val="left"/>
        <w:rPr>
          <w:i/>
          <w:sz w:val="18"/>
        </w:rPr>
      </w:pPr>
      <w:r>
        <w:rPr/>
        <w:br w:type="column"/>
      </w:r>
      <w:r>
        <w:rPr>
          <w:color w:val="231F20"/>
          <w:sz w:val="18"/>
        </w:rPr>
        <w:t>their  impact  on  poverty.  </w:t>
      </w:r>
      <w:r>
        <w:rPr>
          <w:i/>
          <w:color w:val="231F20"/>
          <w:sz w:val="18"/>
        </w:rPr>
        <w:t>Experimental  Agriculture,</w:t>
      </w:r>
    </w:p>
    <w:p>
      <w:pPr>
        <w:spacing w:before="24"/>
        <w:ind w:left="696" w:right="1906" w:firstLine="0"/>
        <w:jc w:val="left"/>
        <w:rPr>
          <w:sz w:val="18"/>
        </w:rPr>
      </w:pPr>
      <w:r>
        <w:rPr>
          <w:color w:val="231F20"/>
          <w:w w:val="110"/>
          <w:sz w:val="18"/>
        </w:rPr>
        <w:t>43: 241-256.</w:t>
      </w:r>
    </w:p>
    <w:p>
      <w:pPr>
        <w:spacing w:line="266" w:lineRule="auto" w:before="80"/>
        <w:ind w:left="696" w:right="1549" w:hanging="284"/>
        <w:jc w:val="both"/>
        <w:rPr>
          <w:sz w:val="18"/>
        </w:rPr>
      </w:pPr>
      <w:r>
        <w:rPr>
          <w:color w:val="231F20"/>
          <w:sz w:val="18"/>
        </w:rPr>
        <w:t>Kiptot E., Franzel S., Hebinck P., Richards P. (2006). Sharing seeds and knowledge: farmer to farmer dis- semination of agroforestry technologies in western Kenya.  </w:t>
      </w:r>
      <w:r>
        <w:rPr>
          <w:i/>
          <w:color w:val="231F20"/>
          <w:sz w:val="18"/>
        </w:rPr>
        <w:t>Agroforest  Systems,  </w:t>
      </w:r>
      <w:r>
        <w:rPr>
          <w:color w:val="231F20"/>
          <w:sz w:val="18"/>
        </w:rPr>
        <w:t>68: 167-179.</w:t>
      </w:r>
    </w:p>
    <w:p>
      <w:pPr>
        <w:spacing w:line="266" w:lineRule="auto" w:before="56"/>
        <w:ind w:left="696" w:right="1549" w:hanging="284"/>
        <w:jc w:val="both"/>
        <w:rPr>
          <w:sz w:val="18"/>
        </w:rPr>
      </w:pPr>
      <w:r>
        <w:rPr>
          <w:color w:val="231F20"/>
          <w:sz w:val="18"/>
        </w:rPr>
        <w:t>Mafimisebi T.E., Onyeka U.P., Ayinde I.A., Ashaolu E.F. (2006). Analysis of farmers-specific socio-economic determinants of adoption of modern livestock ma- nagement technologies by farmers in Southwest Ni- geria. </w:t>
      </w:r>
      <w:r>
        <w:rPr>
          <w:i/>
          <w:color w:val="231F20"/>
          <w:sz w:val="18"/>
        </w:rPr>
        <w:t>Journal of Food, Agriculture and Environment, </w:t>
      </w:r>
      <w:r>
        <w:rPr>
          <w:color w:val="231F20"/>
          <w:sz w:val="18"/>
        </w:rPr>
        <w:t>4:  183-186.</w:t>
      </w:r>
    </w:p>
    <w:p>
      <w:pPr>
        <w:spacing w:line="266" w:lineRule="auto" w:before="56"/>
        <w:ind w:left="696" w:right="1549" w:hanging="284"/>
        <w:jc w:val="both"/>
        <w:rPr>
          <w:sz w:val="18"/>
        </w:rPr>
      </w:pPr>
      <w:r>
        <w:rPr>
          <w:color w:val="231F20"/>
          <w:sz w:val="18"/>
        </w:rPr>
        <w:t>Martínez-García C.G., Dorward P., Tahir R. (2012). Farm and socioeconomic characteristics of small-holder milk producers and their influence on the techno- logy adoption in Central Mexico. </w:t>
      </w:r>
      <w:r>
        <w:rPr>
          <w:i/>
          <w:color w:val="231F20"/>
          <w:sz w:val="18"/>
        </w:rPr>
        <w:t>Tropical Animal </w:t>
      </w:r>
      <w:r>
        <w:rPr>
          <w:i/>
          <w:color w:val="231F20"/>
          <w:sz w:val="18"/>
        </w:rPr>
        <w:t>Health and Production, </w:t>
      </w:r>
      <w:r>
        <w:rPr>
          <w:color w:val="231F20"/>
          <w:sz w:val="18"/>
        </w:rPr>
        <w:t>(Published on line); doi: 10.1007/s11250-011-0058-0.</w:t>
      </w:r>
    </w:p>
    <w:p>
      <w:pPr>
        <w:spacing w:line="266" w:lineRule="auto" w:before="56"/>
        <w:ind w:left="696" w:right="1548" w:hanging="284"/>
        <w:jc w:val="both"/>
        <w:rPr>
          <w:sz w:val="18"/>
        </w:rPr>
      </w:pPr>
      <w:r>
        <w:rPr>
          <w:color w:val="231F20"/>
          <w:sz w:val="18"/>
        </w:rPr>
        <w:t>Sinja J., Karugia J., Waithaka M., Miano D., Baltenweck I., Franzel S., Nyikal R., Romney D. (2004). Adoption of fodder legumes technology trough farmer-to-farmer extension approach. </w:t>
      </w:r>
      <w:r>
        <w:rPr>
          <w:i/>
          <w:color w:val="231F20"/>
          <w:sz w:val="18"/>
        </w:rPr>
        <w:t>Uganda Journal of Agricultural </w:t>
      </w:r>
      <w:r>
        <w:rPr>
          <w:i/>
          <w:color w:val="231F20"/>
          <w:sz w:val="18"/>
        </w:rPr>
        <w:t>Sciences,   </w:t>
      </w:r>
      <w:r>
        <w:rPr>
          <w:color w:val="231F20"/>
          <w:sz w:val="18"/>
        </w:rPr>
        <w:t>9:  222-226.</w:t>
      </w:r>
    </w:p>
    <w:p>
      <w:pPr>
        <w:spacing w:line="266" w:lineRule="auto" w:before="56"/>
        <w:ind w:left="696" w:right="1549" w:hanging="284"/>
        <w:jc w:val="both"/>
        <w:rPr>
          <w:sz w:val="18"/>
        </w:rPr>
      </w:pPr>
      <w:r>
        <w:rPr>
          <w:color w:val="231F20"/>
          <w:sz w:val="18"/>
        </w:rPr>
        <w:t>Somda J., Kamuanga M., Tollens E. (2005). Characteris- tics and economic viability of milk production in the smallholder farming systems in The Gambia. </w:t>
      </w:r>
      <w:r>
        <w:rPr>
          <w:i/>
          <w:color w:val="231F20"/>
          <w:sz w:val="18"/>
        </w:rPr>
        <w:t>Agricul- </w:t>
      </w:r>
      <w:r>
        <w:rPr>
          <w:i/>
          <w:color w:val="231F20"/>
          <w:sz w:val="18"/>
        </w:rPr>
        <w:t>tural  Systems,  </w:t>
      </w:r>
      <w:r>
        <w:rPr>
          <w:color w:val="231F20"/>
          <w:sz w:val="18"/>
        </w:rPr>
        <w:t>85: 42-58.</w:t>
      </w:r>
    </w:p>
    <w:p>
      <w:pPr>
        <w:spacing w:line="266" w:lineRule="auto" w:before="56"/>
        <w:ind w:left="696" w:right="1549" w:hanging="284"/>
        <w:jc w:val="both"/>
        <w:rPr>
          <w:sz w:val="18"/>
        </w:rPr>
      </w:pPr>
      <w:r>
        <w:rPr>
          <w:color w:val="231F20"/>
          <w:sz w:val="18"/>
        </w:rPr>
        <w:t>Vogt W.P. (2005). Dictionary of statistics and methodo- logy: a non-technical guide for the social sciences. 3rd ed. Sage Publications. Thousand Oaks, CA,   USA.</w:t>
      </w:r>
    </w:p>
    <w:p>
      <w:pPr>
        <w:spacing w:after="0" w:line="266" w:lineRule="auto"/>
        <w:jc w:val="both"/>
        <w:rPr>
          <w:sz w:val="18"/>
        </w:rPr>
        <w:sectPr>
          <w:type w:val="continuous"/>
          <w:pgSz w:w="11900" w:h="14450"/>
          <w:pgMar w:top="420" w:bottom="420" w:left="0" w:right="0"/>
          <w:cols w:num="2" w:equalWidth="0">
            <w:col w:w="5724" w:space="40"/>
            <w:col w:w="6136"/>
          </w:cols>
        </w:sectPr>
      </w:pPr>
    </w:p>
    <w:p>
      <w:pPr>
        <w:pStyle w:val="BodyText"/>
      </w:pPr>
    </w:p>
    <w:p>
      <w:pPr>
        <w:pStyle w:val="BodyText"/>
      </w:pPr>
    </w:p>
    <w:p>
      <w:pPr>
        <w:pStyle w:val="BodyText"/>
      </w:pPr>
    </w:p>
    <w:p>
      <w:pPr>
        <w:pStyle w:val="BodyText"/>
      </w:pPr>
    </w:p>
    <w:p>
      <w:pPr>
        <w:pStyle w:val="BodyText"/>
        <w:spacing w:before="11"/>
        <w:rPr>
          <w:sz w:val="25"/>
        </w:rPr>
      </w:pPr>
    </w:p>
    <w:p>
      <w:pPr>
        <w:pStyle w:val="ListParagraph"/>
        <w:numPr>
          <w:ilvl w:val="0"/>
          <w:numId w:val="11"/>
        </w:numPr>
        <w:tabs>
          <w:tab w:pos="2087" w:val="left" w:leader="none"/>
        </w:tabs>
        <w:spacing w:line="240" w:lineRule="auto" w:before="12" w:after="0"/>
        <w:ind w:left="2086" w:right="0" w:hanging="533"/>
        <w:jc w:val="both"/>
        <w:rPr>
          <w:sz w:val="28"/>
        </w:rPr>
      </w:pPr>
      <w:r>
        <w:rPr>
          <w:color w:val="6D6E71"/>
          <w:w w:val="120"/>
          <w:sz w:val="40"/>
        </w:rPr>
        <w:t>S</w:t>
      </w:r>
      <w:r>
        <w:rPr>
          <w:color w:val="6D6E71"/>
          <w:w w:val="120"/>
          <w:sz w:val="28"/>
        </w:rPr>
        <w:t>iStemAS  de  producción  de</w:t>
      </w:r>
      <w:r>
        <w:rPr>
          <w:color w:val="6D6E71"/>
          <w:spacing w:val="12"/>
          <w:w w:val="120"/>
          <w:sz w:val="28"/>
        </w:rPr>
        <w:t> </w:t>
      </w:r>
      <w:r>
        <w:rPr>
          <w:color w:val="6D6E71"/>
          <w:w w:val="120"/>
          <w:sz w:val="28"/>
        </w:rPr>
        <w:t>leche</w:t>
      </w:r>
    </w:p>
    <w:p>
      <w:pPr>
        <w:pStyle w:val="Heading3"/>
        <w:spacing w:before="290"/>
        <w:rPr>
          <w:sz w:val="60"/>
        </w:rPr>
      </w:pPr>
      <w:bookmarkStart w:name="_TOC_250009" w:id="3"/>
      <w:r>
        <w:rPr>
          <w:color w:val="231F20"/>
          <w:w w:val="110"/>
        </w:rPr>
        <w:t>CAPÍTULO </w:t>
      </w:r>
      <w:bookmarkEnd w:id="3"/>
      <w:r>
        <w:rPr>
          <w:color w:val="231F20"/>
          <w:w w:val="110"/>
          <w:sz w:val="60"/>
        </w:rPr>
        <w:t>6</w:t>
      </w:r>
    </w:p>
    <w:p>
      <w:pPr>
        <w:spacing w:before="219"/>
        <w:ind w:left="1553" w:right="0" w:firstLine="0"/>
        <w:jc w:val="both"/>
        <w:rPr>
          <w:sz w:val="36"/>
        </w:rPr>
      </w:pPr>
      <w:r>
        <w:rPr>
          <w:color w:val="231F20"/>
          <w:w w:val="105"/>
          <w:sz w:val="36"/>
        </w:rPr>
        <w:t>INNOVACIÓN EN EL PROCESO DE   CONVERSIÓN</w:t>
      </w:r>
    </w:p>
    <w:p>
      <w:pPr>
        <w:spacing w:before="0"/>
        <w:ind w:left="1553" w:right="2503" w:firstLine="0"/>
        <w:jc w:val="left"/>
        <w:rPr>
          <w:sz w:val="36"/>
        </w:rPr>
      </w:pPr>
      <w:r>
        <w:rPr>
          <w:color w:val="231F20"/>
          <w:w w:val="105"/>
          <w:sz w:val="36"/>
        </w:rPr>
        <w:t>Y CERTIFICACIÓN ORGÁNICA DE </w:t>
      </w:r>
      <w:r>
        <w:rPr>
          <w:color w:val="231F20"/>
          <w:spacing w:val="3"/>
          <w:w w:val="105"/>
          <w:sz w:val="36"/>
        </w:rPr>
        <w:t>LA </w:t>
      </w:r>
      <w:r>
        <w:rPr>
          <w:color w:val="231F20"/>
          <w:w w:val="105"/>
          <w:sz w:val="36"/>
        </w:rPr>
        <w:t>LECHE BOVINA </w:t>
      </w:r>
      <w:r>
        <w:rPr>
          <w:color w:val="231F20"/>
          <w:spacing w:val="-3"/>
          <w:w w:val="105"/>
          <w:sz w:val="36"/>
        </w:rPr>
        <w:t>CON </w:t>
      </w:r>
      <w:r>
        <w:rPr>
          <w:color w:val="231F20"/>
          <w:w w:val="105"/>
          <w:sz w:val="36"/>
        </w:rPr>
        <w:t>PRODUCTORES DE </w:t>
      </w:r>
      <w:r>
        <w:rPr>
          <w:color w:val="231F20"/>
          <w:spacing w:val="-8"/>
          <w:w w:val="105"/>
          <w:sz w:val="36"/>
        </w:rPr>
        <w:t>TECPATÁN </w:t>
      </w:r>
      <w:r>
        <w:rPr>
          <w:color w:val="231F20"/>
          <w:spacing w:val="55"/>
          <w:w w:val="105"/>
          <w:sz w:val="36"/>
        </w:rPr>
        <w:t> </w:t>
      </w:r>
      <w:r>
        <w:rPr>
          <w:color w:val="231F20"/>
          <w:w w:val="105"/>
          <w:sz w:val="36"/>
        </w:rPr>
        <w:t>CHIAPAS:</w:t>
      </w:r>
    </w:p>
    <w:p>
      <w:pPr>
        <w:spacing w:before="0"/>
        <w:ind w:left="1553" w:right="0" w:firstLine="0"/>
        <w:jc w:val="both"/>
        <w:rPr>
          <w:sz w:val="36"/>
        </w:rPr>
      </w:pPr>
      <w:r>
        <w:rPr>
          <w:color w:val="231F20"/>
          <w:spacing w:val="3"/>
          <w:w w:val="105"/>
          <w:sz w:val="36"/>
        </w:rPr>
        <w:t>UN </w:t>
      </w:r>
      <w:r>
        <w:rPr>
          <w:color w:val="231F20"/>
          <w:spacing w:val="4"/>
          <w:w w:val="105"/>
          <w:sz w:val="36"/>
        </w:rPr>
        <w:t>PILAR </w:t>
      </w:r>
      <w:r>
        <w:rPr>
          <w:color w:val="231F20"/>
          <w:w w:val="105"/>
          <w:sz w:val="36"/>
        </w:rPr>
        <w:t>DEL DESARROLLO </w:t>
      </w:r>
      <w:r>
        <w:rPr>
          <w:color w:val="231F20"/>
          <w:spacing w:val="4"/>
          <w:w w:val="105"/>
          <w:sz w:val="36"/>
        </w:rPr>
        <w:t>RURAL  </w:t>
      </w:r>
      <w:r>
        <w:rPr>
          <w:color w:val="231F20"/>
          <w:spacing w:val="-3"/>
          <w:w w:val="105"/>
          <w:sz w:val="36"/>
        </w:rPr>
        <w:t>SUSTENTABLE</w:t>
      </w:r>
    </w:p>
    <w:p>
      <w:pPr>
        <w:pStyle w:val="Heading4"/>
        <w:spacing w:before="307"/>
        <w:ind w:right="1521"/>
        <w:jc w:val="left"/>
      </w:pPr>
      <w:r>
        <w:rPr>
          <w:i/>
          <w:color w:val="231F20"/>
          <w:spacing w:val="-5"/>
          <w:w w:val="105"/>
        </w:rPr>
        <w:t>José Nahed </w:t>
      </w:r>
      <w:r>
        <w:rPr>
          <w:i/>
          <w:color w:val="231F20"/>
          <w:spacing w:val="-8"/>
          <w:w w:val="105"/>
        </w:rPr>
        <w:t>Toral</w:t>
      </w:r>
      <w:r>
        <w:rPr>
          <w:i/>
          <w:color w:val="231F20"/>
          <w:spacing w:val="-8"/>
          <w:w w:val="105"/>
          <w:position w:val="9"/>
          <w:sz w:val="16"/>
        </w:rPr>
        <w:t>a,*</w:t>
      </w:r>
      <w:r>
        <w:rPr>
          <w:i/>
          <w:color w:val="231F20"/>
          <w:spacing w:val="-8"/>
          <w:w w:val="105"/>
        </w:rPr>
        <w:t>, </w:t>
      </w:r>
      <w:r>
        <w:rPr>
          <w:i/>
          <w:color w:val="231F20"/>
          <w:spacing w:val="-6"/>
          <w:w w:val="105"/>
        </w:rPr>
        <w:t>Francisco Guevara Hernández</w:t>
      </w:r>
      <w:r>
        <w:rPr>
          <w:i/>
          <w:color w:val="231F20"/>
          <w:spacing w:val="-6"/>
          <w:w w:val="105"/>
          <w:position w:val="9"/>
          <w:sz w:val="16"/>
        </w:rPr>
        <w:t>b</w:t>
      </w:r>
      <w:r>
        <w:rPr>
          <w:i/>
          <w:color w:val="231F20"/>
          <w:spacing w:val="-6"/>
          <w:w w:val="105"/>
        </w:rPr>
        <w:t>, Bernardo Sánchez </w:t>
      </w:r>
      <w:r>
        <w:rPr>
          <w:color w:val="231F20"/>
          <w:spacing w:val="-5"/>
          <w:w w:val="105"/>
        </w:rPr>
        <w:t>Muñoz</w:t>
      </w:r>
      <w:r>
        <w:rPr>
          <w:color w:val="231F20"/>
          <w:spacing w:val="-5"/>
          <w:w w:val="105"/>
          <w:position w:val="9"/>
          <w:sz w:val="16"/>
        </w:rPr>
        <w:t>a</w:t>
      </w:r>
      <w:r>
        <w:rPr>
          <w:color w:val="231F20"/>
          <w:spacing w:val="-5"/>
          <w:w w:val="105"/>
        </w:rPr>
        <w:t>, Jorge </w:t>
      </w:r>
      <w:r>
        <w:rPr>
          <w:color w:val="231F20"/>
          <w:spacing w:val="-3"/>
          <w:w w:val="105"/>
        </w:rPr>
        <w:t>L. </w:t>
      </w:r>
      <w:r>
        <w:rPr>
          <w:color w:val="231F20"/>
          <w:spacing w:val="-5"/>
          <w:w w:val="105"/>
        </w:rPr>
        <w:t>Ruiz Rojas</w:t>
      </w:r>
      <w:r>
        <w:rPr>
          <w:color w:val="231F20"/>
          <w:spacing w:val="-5"/>
          <w:w w:val="105"/>
          <w:position w:val="9"/>
          <w:sz w:val="16"/>
        </w:rPr>
        <w:t>a</w:t>
      </w:r>
      <w:r>
        <w:rPr>
          <w:color w:val="231F20"/>
          <w:spacing w:val="-5"/>
          <w:w w:val="105"/>
        </w:rPr>
        <w:t>, </w:t>
      </w:r>
      <w:r>
        <w:rPr>
          <w:color w:val="231F20"/>
          <w:spacing w:val="-6"/>
          <w:w w:val="105"/>
        </w:rPr>
        <w:t>Claudia </w:t>
      </w:r>
      <w:r>
        <w:rPr>
          <w:color w:val="231F20"/>
          <w:spacing w:val="-5"/>
          <w:w w:val="105"/>
        </w:rPr>
        <w:t>Delgadillo Puga</w:t>
      </w:r>
      <w:r>
        <w:rPr>
          <w:color w:val="231F20"/>
          <w:spacing w:val="-5"/>
          <w:w w:val="105"/>
          <w:position w:val="9"/>
          <w:sz w:val="16"/>
        </w:rPr>
        <w:t>c</w:t>
      </w:r>
      <w:r>
        <w:rPr>
          <w:color w:val="231F20"/>
          <w:spacing w:val="-5"/>
          <w:w w:val="105"/>
        </w:rPr>
        <w:t>, </w:t>
      </w:r>
      <w:r>
        <w:rPr>
          <w:color w:val="231F20"/>
          <w:spacing w:val="-6"/>
          <w:w w:val="105"/>
        </w:rPr>
        <w:t>Pascual Escobar </w:t>
      </w:r>
      <w:r>
        <w:rPr>
          <w:color w:val="231F20"/>
          <w:spacing w:val="-5"/>
          <w:w w:val="105"/>
        </w:rPr>
        <w:t>Solar</w:t>
      </w:r>
      <w:r>
        <w:rPr>
          <w:color w:val="231F20"/>
          <w:spacing w:val="-5"/>
          <w:w w:val="105"/>
          <w:position w:val="9"/>
          <w:sz w:val="16"/>
        </w:rPr>
        <w:t>d</w:t>
      </w:r>
      <w:r>
        <w:rPr>
          <w:color w:val="231F20"/>
          <w:spacing w:val="-5"/>
          <w:w w:val="105"/>
        </w:rPr>
        <w:t>,</w:t>
      </w:r>
    </w:p>
    <w:p>
      <w:pPr>
        <w:spacing w:line="331" w:lineRule="exact" w:before="0"/>
        <w:ind w:left="1553" w:right="0" w:firstLine="0"/>
        <w:jc w:val="both"/>
        <w:rPr>
          <w:i/>
          <w:sz w:val="16"/>
        </w:rPr>
      </w:pPr>
      <w:r>
        <w:rPr>
          <w:i/>
          <w:color w:val="231F20"/>
          <w:w w:val="105"/>
          <w:sz w:val="28"/>
        </w:rPr>
        <w:t>Miguel A. Orantes Zebadúa</w:t>
      </w:r>
      <w:r>
        <w:rPr>
          <w:i/>
          <w:color w:val="231F20"/>
          <w:w w:val="105"/>
          <w:position w:val="9"/>
          <w:sz w:val="16"/>
        </w:rPr>
        <w:t>b</w:t>
      </w:r>
      <w:r>
        <w:rPr>
          <w:i/>
          <w:color w:val="231F20"/>
          <w:w w:val="105"/>
          <w:sz w:val="28"/>
        </w:rPr>
        <w:t>, Alberto Manzur Cruz</w:t>
      </w:r>
      <w:r>
        <w:rPr>
          <w:i/>
          <w:color w:val="231F20"/>
          <w:w w:val="105"/>
          <w:position w:val="9"/>
          <w:sz w:val="16"/>
        </w:rPr>
        <w:t>b </w:t>
      </w:r>
      <w:r>
        <w:rPr>
          <w:i/>
          <w:color w:val="231F20"/>
          <w:w w:val="105"/>
          <w:sz w:val="28"/>
        </w:rPr>
        <w:t>y José L. Cruz López</w:t>
      </w:r>
      <w:r>
        <w:rPr>
          <w:i/>
          <w:color w:val="231F20"/>
          <w:w w:val="105"/>
          <w:position w:val="9"/>
          <w:sz w:val="16"/>
        </w:rPr>
        <w:t>b</w:t>
      </w:r>
    </w:p>
    <w:p>
      <w:pPr>
        <w:pStyle w:val="BodyText"/>
        <w:spacing w:line="254" w:lineRule="auto" w:before="164"/>
        <w:ind w:left="1553" w:right="1521"/>
      </w:pPr>
      <w:r>
        <w:rPr>
          <w:color w:val="231F20"/>
          <w:position w:val="7"/>
          <w:sz w:val="11"/>
        </w:rPr>
        <w:t>a</w:t>
      </w:r>
      <w:r>
        <w:rPr>
          <w:color w:val="231F20"/>
        </w:rPr>
        <w:t>El Colegio de la Frontera Sur, Carretera Panamericana y Periférico Sur s/n, Barrio María Auxiliadora, San Cristóbal de Las Casas, Chiapas, CP 29290, México. </w:t>
      </w:r>
      <w:r>
        <w:rPr>
          <w:color w:val="231F20"/>
          <w:position w:val="7"/>
          <w:sz w:val="11"/>
        </w:rPr>
        <w:t>b</w:t>
      </w:r>
      <w:r>
        <w:rPr>
          <w:color w:val="231F20"/>
        </w:rPr>
        <w:t>Universidad Autónoma de Chiapas, 28 de Agosto 250, Jardines de Tuxtla Gutiérrez, Tuxtla Gutiérrez, Chiapas, CP 29050, México. </w:t>
      </w:r>
      <w:r>
        <w:rPr>
          <w:color w:val="231F20"/>
          <w:position w:val="7"/>
          <w:sz w:val="11"/>
        </w:rPr>
        <w:t>c</w:t>
      </w:r>
      <w:r>
        <w:rPr>
          <w:color w:val="231F20"/>
        </w:rPr>
        <w:t>Instituto Nacional de Ciencias Médicas y Nutrición Salvador Zubirán, Vasco De Quiroga 15, Tlalpan, Sección XVI, Ciudad de México, Distrito Federal, CP 14000, México. </w:t>
      </w:r>
      <w:r>
        <w:rPr>
          <w:color w:val="231F20"/>
          <w:position w:val="7"/>
          <w:sz w:val="11"/>
        </w:rPr>
        <w:t>d</w:t>
      </w:r>
      <w:r>
        <w:rPr>
          <w:color w:val="231F20"/>
        </w:rPr>
        <w:t>Centro de Capacitación para el Trabajo Industrial No. 133, Av. Olimpo s/n esq. Icaro, Fracc. Vista Hermosa, Olimpo, San Cristóbal de Las Casas, Chiapas, CP 29000, México.</w:t>
      </w:r>
    </w:p>
    <w:p>
      <w:pPr>
        <w:pStyle w:val="BodyText"/>
      </w:pPr>
    </w:p>
    <w:p>
      <w:pPr>
        <w:pStyle w:val="BodyText"/>
        <w:spacing w:before="4"/>
        <w:rPr>
          <w:sz w:val="13"/>
        </w:rPr>
      </w:pPr>
      <w:r>
        <w:rPr/>
        <w:pict>
          <v:line style="position:absolute;mso-position-horizontal-relative:page;mso-position-vertical-relative:paragraph;z-index:2512;mso-wrap-distance-left:0;mso-wrap-distance-right:0" from="77.692902pt,10.354214pt" to="517.062902pt,10.354214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0"/>
        <w:jc w:val="both"/>
      </w:pPr>
      <w:r>
        <w:rPr>
          <w:color w:val="231F20"/>
        </w:rPr>
        <w:t>Se presenta una conceptualización teórica de la innovación socioambiental y cómo ésta contribuye al de- sarrollo rural, entendido como un proceso de largo plazo y planeado a partir de acciones de investigación y desarrollo acorde al contexto y los problemas sobre los cuales se desea actuar. En este sentido, este capí- tulo aborda una experiencia a partir de un proceso de investigación orientado a la acción que ha buscado    la transición de la ganadería convencional de </w:t>
      </w:r>
      <w:r>
        <w:rPr>
          <w:color w:val="231F20"/>
          <w:spacing w:val="-3"/>
        </w:rPr>
        <w:t>Tecpatán, </w:t>
      </w:r>
      <w:r>
        <w:rPr>
          <w:color w:val="231F20"/>
        </w:rPr>
        <w:t>Chiapas, hacia la producción orgánica. Se </w:t>
      </w:r>
      <w:r>
        <w:rPr>
          <w:color w:val="231F20"/>
          <w:spacing w:val="16"/>
        </w:rPr>
        <w:t> </w:t>
      </w:r>
      <w:r>
        <w:rPr>
          <w:color w:val="231F20"/>
        </w:rPr>
        <w:t>muestran:</w:t>
      </w:r>
    </w:p>
    <w:p>
      <w:pPr>
        <w:pStyle w:val="BodyText"/>
        <w:spacing w:line="254" w:lineRule="auto" w:before="1"/>
        <w:ind w:left="1553" w:right="1551"/>
        <w:jc w:val="both"/>
      </w:pPr>
      <w:r>
        <w:rPr>
          <w:color w:val="231F20"/>
        </w:rPr>
        <w:t>1) las características de la ganadería con algunos indicadores tecnológicos, económicos y sociales de la producción; 2) una aproximación de las unidades ganaderas al modelo de producción orgánica en tres sociedades de producción rural; y 3) una experiencia de certificación orgánica de la producción de leche    en la sociedad de producción rural “La </w:t>
      </w:r>
      <w:r>
        <w:rPr>
          <w:color w:val="231F20"/>
          <w:spacing w:val="-3"/>
        </w:rPr>
        <w:t>Pomarroza”, </w:t>
      </w:r>
      <w:r>
        <w:rPr>
          <w:color w:val="231F20"/>
        </w:rPr>
        <w:t>del Ejido Emiliano   </w:t>
      </w:r>
      <w:r>
        <w:rPr>
          <w:color w:val="231F20"/>
          <w:spacing w:val="12"/>
        </w:rPr>
        <w:t> </w:t>
      </w:r>
      <w:r>
        <w:rPr>
          <w:color w:val="231F20"/>
        </w:rPr>
        <w:t>Zapata.</w:t>
      </w:r>
    </w:p>
    <w:p>
      <w:pPr>
        <w:pStyle w:val="BodyText"/>
        <w:spacing w:before="114"/>
        <w:ind w:left="1553"/>
        <w:jc w:val="both"/>
      </w:pPr>
      <w:r>
        <w:rPr>
          <w:color w:val="231F20"/>
        </w:rPr>
        <w:t>Palabras clave: Ganado bovino - Producción orgánica - Leche - Calidad - Sociedad de producción rural.</w:t>
      </w:r>
    </w:p>
    <w:p>
      <w:pPr>
        <w:pStyle w:val="BodyText"/>
        <w:spacing w:before="3"/>
      </w:pPr>
      <w:r>
        <w:rPr/>
        <w:pict>
          <v:line style="position:absolute;mso-position-horizontal-relative:page;mso-position-vertical-relative:paragraph;z-index:2536;mso-wrap-distance-left:0;mso-wrap-distance-right:0" from="77.692902pt,14.572355pt" to="517.062902pt,14.572355pt" stroked="true" strokeweight=".5pt" strokecolor="#231f20">
            <w10:wrap type="topAndBottom"/>
          </v:line>
        </w:pict>
      </w:r>
      <w:r>
        <w:rPr/>
        <w:pict>
          <v:group style="position:absolute;margin-left:77.693001pt;margin-top:22.513355pt;width:70.9pt;height:.5pt;mso-position-horizontal-relative:page;mso-position-vertical-relative:paragraph;z-index:2560;mso-wrap-distance-left:0;mso-wrap-distance-right:0" coordorigin="1554,450" coordsize="1418,10">
            <v:line style="position:absolute" from="1589,455" to="2951,455" stroked="true" strokeweight=".5pt" strokecolor="#231f20">
              <v:stroke dashstyle="dash"/>
            </v:line>
            <v:line style="position:absolute" from="1559,455" to="1559,455" stroked="true" strokeweight=".5pt" strokecolor="#231f20"/>
            <v:line style="position:absolute" from="2966,455" to="2966,455" stroked="true" strokeweight=".5pt" strokecolor="#231f20"/>
            <w10:wrap type="topAndBottom"/>
          </v:group>
        </w:pict>
      </w:r>
    </w:p>
    <w:p>
      <w:pPr>
        <w:pStyle w:val="BodyText"/>
        <w:rPr>
          <w:sz w:val="7"/>
        </w:rPr>
      </w:pPr>
    </w:p>
    <w:p>
      <w:pPr>
        <w:spacing w:before="70"/>
        <w:ind w:left="1553" w:right="2503" w:firstLine="0"/>
        <w:jc w:val="left"/>
        <w:rPr>
          <w:sz w:val="16"/>
        </w:rPr>
      </w:pPr>
      <w:r>
        <w:rPr>
          <w:color w:val="231F20"/>
          <w:sz w:val="16"/>
        </w:rPr>
        <w:t>* Para correspondencia: </w:t>
      </w:r>
      <w:hyperlink r:id="rId88">
        <w:r>
          <w:rPr>
            <w:color w:val="231F20"/>
            <w:sz w:val="16"/>
          </w:rPr>
          <w:t>jnahed@ecosur.mx</w:t>
        </w:r>
      </w:hyperlink>
    </w:p>
    <w:p>
      <w:pPr>
        <w:pStyle w:val="Heading5"/>
        <w:spacing w:before="129"/>
      </w:pPr>
      <w:r>
        <w:rPr>
          <w:color w:val="231F20"/>
          <w:w w:val="115"/>
        </w:rPr>
        <w:t>87</w:t>
      </w:r>
    </w:p>
    <w:p>
      <w:pPr>
        <w:spacing w:after="0"/>
        <w:sectPr>
          <w:pgSz w:w="11900" w:h="14450"/>
          <w:pgMar w:header="0" w:footer="222" w:top="420" w:bottom="420" w:left="0" w:right="0"/>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88</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9" w:lineRule="auto" w:before="133"/>
        <w:ind w:left="1553"/>
        <w:jc w:val="both"/>
      </w:pPr>
      <w:r>
        <w:rPr>
          <w:color w:val="231F20"/>
        </w:rPr>
        <w:t>Existen dos puntos de partida, a manera de bino- mio conceptual, que definen el mensaje principal de este capítulo. El primero es la conceptualización teórica de la innovación socioambiental y cómo ésta contribuye al desarrollo rural a partir de un proceso de investigación sobre un contexto pro- ductivo rápidamente cambiante, y el segundo se basa en la perspectiva práctica de un proceso de investigación-acción (aplicada) que ha buscado la transición hacia la ganadería orgánica en el norte de Chiapas.</w:t>
      </w:r>
    </w:p>
    <w:p>
      <w:pPr>
        <w:pStyle w:val="BodyText"/>
        <w:spacing w:line="259" w:lineRule="auto" w:before="113"/>
        <w:ind w:left="1553"/>
        <w:jc w:val="both"/>
      </w:pPr>
      <w:r>
        <w:rPr>
          <w:color w:val="231F20"/>
        </w:rPr>
        <w:t>El primer punto de partida se basa en el libro de Everett Rogers titulado </w:t>
      </w:r>
      <w:r>
        <w:rPr>
          <w:i/>
          <w:color w:val="231F20"/>
        </w:rPr>
        <w:t>Diffusion of  innovations  </w:t>
      </w:r>
      <w:r>
        <w:rPr>
          <w:color w:val="231F20"/>
        </w:rPr>
        <w:t>(La difusión de innovaciones), el cual se ha con- vertido en un clásico y referente de todo proceso de vinculación tecnológica con la sociedad, y vi- ceversa. Sin embargo, es importante señalar que  el concepto de innovación actualmente</w:t>
      </w:r>
      <w:r>
        <w:rPr>
          <w:color w:val="231F20"/>
          <w:spacing w:val="23"/>
        </w:rPr>
        <w:t> </w:t>
      </w:r>
      <w:r>
        <w:rPr>
          <w:color w:val="231F20"/>
        </w:rPr>
        <w:t>retoma</w:t>
      </w:r>
      <w:r>
        <w:rPr>
          <w:color w:val="231F20"/>
          <w:spacing w:val="22"/>
        </w:rPr>
        <w:t> </w:t>
      </w:r>
      <w:r>
        <w:rPr>
          <w:color w:val="231F20"/>
        </w:rPr>
        <w:t>la</w:t>
      </w:r>
      <w:r>
        <w:rPr>
          <w:color w:val="231F20"/>
          <w:w w:val="96"/>
        </w:rPr>
        <w:t> </w:t>
      </w:r>
      <w:r>
        <w:rPr>
          <w:color w:val="231F20"/>
        </w:rPr>
        <w:t>importancia que había perdido en la década de </w:t>
      </w:r>
      <w:r>
        <w:rPr>
          <w:color w:val="231F20"/>
          <w:spacing w:val="-3"/>
        </w:rPr>
        <w:t>1980 </w:t>
      </w:r>
      <w:r>
        <w:rPr>
          <w:color w:val="231F20"/>
        </w:rPr>
        <w:t>(Waitley y </w:t>
      </w:r>
      <w:r>
        <w:rPr>
          <w:color w:val="231F20"/>
          <w:spacing w:val="-5"/>
        </w:rPr>
        <w:t>Tucker, </w:t>
      </w:r>
      <w:r>
        <w:rPr>
          <w:color w:val="231F20"/>
        </w:rPr>
        <w:t>1989), y ciertamente ha sido “revitalizado” y está en constante análisis, dis- cusión y reconstrucción desde un punto de vista tanto filosófico como tecnológico, debido a su uti- lidad en el quehacer cotidiano de los seres hu- manos. En algunas ocasiones resulta polémico; en otras, se plantea como un medio para concretar puentes entre la ciencia y el desarrollo, y en otras más, pareciera ser una forma operativa de enmar- car acciones individuales con impactos colectivos (Guevara  y  Rodríguez,</w:t>
      </w:r>
      <w:r>
        <w:rPr>
          <w:color w:val="231F20"/>
          <w:spacing w:val="38"/>
        </w:rPr>
        <w:t> </w:t>
      </w:r>
      <w:r>
        <w:rPr>
          <w:color w:val="231F20"/>
          <w:spacing w:val="-4"/>
        </w:rPr>
        <w:t>2011).</w:t>
      </w:r>
    </w:p>
    <w:p>
      <w:pPr>
        <w:pStyle w:val="BodyText"/>
        <w:spacing w:line="259" w:lineRule="auto" w:before="113"/>
        <w:ind w:left="1553"/>
        <w:jc w:val="both"/>
      </w:pPr>
      <w:r>
        <w:rPr>
          <w:color w:val="231F20"/>
        </w:rPr>
        <w:t>Desde la revolución industrial, el concepto de “innovación” ha estado relacionado con los gran- des cambios sociales y los avances del desarrollo económico y tecnológico, aunque en la actuali- dad, para definirlo, es importante considerar tres aspectos: aplicación, novedad y contexto. Desde esa perspectiva, una invención o idea creativa no representa una innovación hasta que atiende una necesidad en particular para un contexto social o ambiental  determinado  (Waitley  y  </w:t>
      </w:r>
      <w:r>
        <w:rPr>
          <w:color w:val="231F20"/>
          <w:spacing w:val="-5"/>
        </w:rPr>
        <w:t>Tucker, </w:t>
      </w:r>
      <w:r>
        <w:rPr>
          <w:color w:val="231F20"/>
        </w:rPr>
        <w:t>1989).</w:t>
      </w:r>
    </w:p>
    <w:p>
      <w:pPr>
        <w:pStyle w:val="BodyText"/>
        <w:spacing w:line="259" w:lineRule="auto" w:before="67"/>
        <w:ind w:left="413" w:right="1551"/>
        <w:jc w:val="both"/>
      </w:pPr>
      <w:r>
        <w:rPr/>
        <w:br w:type="column"/>
      </w:r>
      <w:r>
        <w:rPr>
          <w:color w:val="231F20"/>
        </w:rPr>
        <w:t>Es decir, una alternativa tecnológica no necesa- riamente es una innovación y no se convierte de manera automática en ella hasta que sea única en un tiempo y espacio determinados, y sobre todo hasta que aporte soluciones a algún problema, ge- nere cambios y consecuencias sociales positivas o negativas (Guevara y Rodríguez, 2011),  en  nues- tro caso en el desarrollo rural a partir de acciones concretas de atención de un problema local desde una perspectiva científica, conocida como “ciencia de impacto”.</w:t>
      </w:r>
    </w:p>
    <w:p>
      <w:pPr>
        <w:pStyle w:val="BodyText"/>
        <w:spacing w:line="259" w:lineRule="auto" w:before="114"/>
        <w:ind w:left="413" w:right="1551"/>
        <w:jc w:val="both"/>
      </w:pPr>
      <w:r>
        <w:rPr>
          <w:color w:val="231F20"/>
        </w:rPr>
        <w:t>Rogers </w:t>
      </w:r>
      <w:r>
        <w:rPr>
          <w:color w:val="231F20"/>
          <w:spacing w:val="-3"/>
        </w:rPr>
        <w:t>(1983) </w:t>
      </w:r>
      <w:r>
        <w:rPr>
          <w:color w:val="231F20"/>
        </w:rPr>
        <w:t>señala que el proceso de innova- ción</w:t>
      </w:r>
      <w:r>
        <w:rPr>
          <w:color w:val="231F20"/>
          <w:spacing w:val="-8"/>
        </w:rPr>
        <w:t> </w:t>
      </w:r>
      <w:r>
        <w:rPr>
          <w:color w:val="231F20"/>
        </w:rPr>
        <w:t>tiene</w:t>
      </w:r>
      <w:r>
        <w:rPr>
          <w:color w:val="231F20"/>
          <w:spacing w:val="-8"/>
        </w:rPr>
        <w:t> </w:t>
      </w:r>
      <w:r>
        <w:rPr>
          <w:color w:val="231F20"/>
        </w:rPr>
        <w:t>tres</w:t>
      </w:r>
      <w:r>
        <w:rPr>
          <w:color w:val="231F20"/>
          <w:spacing w:val="-8"/>
        </w:rPr>
        <w:t> </w:t>
      </w:r>
      <w:r>
        <w:rPr>
          <w:color w:val="231F20"/>
        </w:rPr>
        <w:t>facetas:</w:t>
      </w:r>
      <w:r>
        <w:rPr>
          <w:color w:val="231F20"/>
          <w:spacing w:val="-8"/>
        </w:rPr>
        <w:t> </w:t>
      </w:r>
      <w:r>
        <w:rPr>
          <w:color w:val="231F20"/>
        </w:rPr>
        <w:t>invención,</w:t>
      </w:r>
      <w:r>
        <w:rPr>
          <w:color w:val="231F20"/>
          <w:spacing w:val="-8"/>
        </w:rPr>
        <w:t> </w:t>
      </w:r>
      <w:r>
        <w:rPr>
          <w:color w:val="231F20"/>
        </w:rPr>
        <w:t>innovación</w:t>
      </w:r>
      <w:r>
        <w:rPr>
          <w:color w:val="231F20"/>
          <w:spacing w:val="-8"/>
        </w:rPr>
        <w:t> </w:t>
      </w:r>
      <w:r>
        <w:rPr>
          <w:color w:val="231F20"/>
        </w:rPr>
        <w:t>y</w:t>
      </w:r>
      <w:r>
        <w:rPr>
          <w:color w:val="231F20"/>
          <w:spacing w:val="-8"/>
        </w:rPr>
        <w:t> </w:t>
      </w:r>
      <w:r>
        <w:rPr>
          <w:color w:val="231F20"/>
        </w:rPr>
        <w:t>difu- sión. En este sentido, la innovación se ubica como resultante de un proceso individual o colectivo  para la generación o la validación de conocimien- tos y tecnologías. Supone un proceso dialéctico y constructivo compuesto de una o varias ideas que se llevan a la práctica para generar un cambio, sa- tisfacer una necesidad o acelerar alguna actividad o proceso social determinado, con miras a contri- buir al desarrollo rural (Chambers, </w:t>
      </w:r>
      <w:r>
        <w:rPr>
          <w:color w:val="231F20"/>
          <w:spacing w:val="-3"/>
        </w:rPr>
        <w:t>1999; </w:t>
      </w:r>
      <w:r>
        <w:rPr>
          <w:color w:val="231F20"/>
        </w:rPr>
        <w:t>Mosse, 2005). En ese tenor proponemos el concepto de “innovación </w:t>
      </w:r>
      <w:r>
        <w:rPr>
          <w:color w:val="231F20"/>
          <w:spacing w:val="-3"/>
        </w:rPr>
        <w:t>socioambiental”, </w:t>
      </w:r>
      <w:r>
        <w:rPr>
          <w:color w:val="231F20"/>
        </w:rPr>
        <w:t>el cual considera en- tre otras cosas el fortalecimiento de las capacida- des humanas para la búsqueda de instrumentos, técnicas y procedimientos con el fin de mejorar los procesos socioambientales y materializar las ideas surgidas de las necesidades humanas en los pro- cesos productivos.</w:t>
      </w:r>
    </w:p>
    <w:p>
      <w:pPr>
        <w:pStyle w:val="BodyText"/>
        <w:spacing w:line="259" w:lineRule="auto" w:before="114"/>
        <w:ind w:left="413" w:right="1551"/>
        <w:jc w:val="both"/>
      </w:pPr>
      <w:r>
        <w:rPr>
          <w:color w:val="231F20"/>
        </w:rPr>
        <w:t>La innovación socioambiental se presenta o im- plementa en los diferentes eslabones de las cade- nas productivas de  bienes  y  servicios.  Considera la introducción de cambios técnicos para hacer más eficiente la cadena de producción, mejorar la organización de los productores y la cooperación,   y fortalecer la capacidad de gestión y de adminis- tración  (Hobbs  </w:t>
      </w:r>
      <w:r>
        <w:rPr>
          <w:i/>
          <w:color w:val="231F20"/>
        </w:rPr>
        <w:t>et  al</w:t>
      </w:r>
      <w:r>
        <w:rPr>
          <w:color w:val="231F20"/>
        </w:rPr>
        <w:t>.,</w:t>
      </w:r>
      <w:r>
        <w:rPr>
          <w:color w:val="231F20"/>
          <w:spacing w:val="-10"/>
        </w:rPr>
        <w:t> </w:t>
      </w:r>
      <w:r>
        <w:rPr>
          <w:color w:val="231F20"/>
        </w:rPr>
        <w:t>2000).</w:t>
      </w:r>
    </w:p>
    <w:p>
      <w:pPr>
        <w:pStyle w:val="BodyText"/>
        <w:spacing w:line="259" w:lineRule="auto" w:before="114"/>
        <w:ind w:left="413" w:right="1551"/>
        <w:jc w:val="both"/>
      </w:pPr>
      <w:r>
        <w:rPr>
          <w:color w:val="231F20"/>
        </w:rPr>
        <w:t>Con este enfoque teórico, pasamos al segundo punto de partida planteado inicialmente: la pers- pectiva  práctica  de  una  experiencia  de investiga-</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6.   Innovación en el proceso de conversión y certificación orgánica de la   </w:t>
      </w:r>
      <w:r>
        <w:rPr>
          <w:color w:val="231F20"/>
          <w:spacing w:val="7"/>
          <w:sz w:val="18"/>
        </w:rPr>
        <w:t> </w:t>
      </w:r>
      <w:r>
        <w:rPr>
          <w:color w:val="231F20"/>
          <w:sz w:val="18"/>
        </w:rPr>
        <w:t>leche</w:t>
      </w:r>
      <w:r>
        <w:rPr>
          <w:color w:val="231F20"/>
          <w:spacing w:val="12"/>
          <w:sz w:val="18"/>
        </w:rPr>
        <w:t> </w:t>
      </w:r>
      <w:r>
        <w:rPr>
          <w:color w:val="231F20"/>
          <w:sz w:val="18"/>
        </w:rPr>
        <w:t>bovina...</w:t>
      </w:r>
      <w:r>
        <w:rPr>
          <w:color w:val="231F20"/>
          <w:sz w:val="22"/>
        </w:rPr>
        <w:tab/>
        <w:t>89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ción basada  en  un  proceso  de  innovación  para  la transición  de  la  ganadería  convencional  ha-  cia la orgánica en el municipio de </w:t>
      </w:r>
      <w:r>
        <w:rPr>
          <w:color w:val="231F20"/>
          <w:spacing w:val="-3"/>
        </w:rPr>
        <w:t>Tecpatán, </w:t>
      </w:r>
      <w:r>
        <w:rPr>
          <w:color w:val="231F20"/>
        </w:rPr>
        <w:t>Chia- pas. Dicho proceso ha sido abordado desde una perspectiva de investigación orientada a la acción para el desarrollo rural, como plantean Chambers (1999),    Guevara-Hernández    </w:t>
      </w:r>
      <w:r>
        <w:rPr>
          <w:color w:val="231F20"/>
          <w:spacing w:val="-3"/>
        </w:rPr>
        <w:t>(2007)    </w:t>
      </w:r>
      <w:r>
        <w:rPr>
          <w:color w:val="231F20"/>
        </w:rPr>
        <w:t>y  </w:t>
      </w:r>
      <w:r>
        <w:rPr>
          <w:color w:val="231F20"/>
          <w:spacing w:val="10"/>
        </w:rPr>
        <w:t> </w:t>
      </w:r>
      <w:r>
        <w:rPr>
          <w:color w:val="231F20"/>
        </w:rPr>
        <w:t>Guevara</w:t>
      </w:r>
    </w:p>
    <w:p>
      <w:pPr>
        <w:spacing w:line="243" w:lineRule="exact" w:before="0"/>
        <w:ind w:left="1553" w:right="0" w:firstLine="0"/>
        <w:jc w:val="both"/>
        <w:rPr>
          <w:sz w:val="20"/>
        </w:rPr>
      </w:pPr>
      <w:r>
        <w:rPr>
          <w:i/>
          <w:color w:val="231F20"/>
          <w:w w:val="105"/>
          <w:sz w:val="20"/>
        </w:rPr>
        <w:t>et  al</w:t>
      </w:r>
      <w:r>
        <w:rPr>
          <w:color w:val="231F20"/>
          <w:w w:val="105"/>
          <w:sz w:val="20"/>
        </w:rPr>
        <w:t>. (2009).</w:t>
      </w:r>
    </w:p>
    <w:p>
      <w:pPr>
        <w:pStyle w:val="BodyText"/>
        <w:spacing w:line="256" w:lineRule="auto" w:before="129"/>
        <w:ind w:left="1553"/>
        <w:jc w:val="both"/>
      </w:pPr>
      <w:r>
        <w:rPr>
          <w:color w:val="231F20"/>
        </w:rPr>
        <w:t>En este sentido, es importante señalar que la pro- ducción de alimentos de origen animal y vegetal     a corto plazo ha mostrado paulatinamente eviden- cias claras de insostenibilidad por los enfoques productivos y de investigación utilizados previa- mente, por lo que se han observado efectos direc- tos e indirectos no previstos, como el agotamiento de la fertilidad y la erosión de los suelos, la conta- minación de recursos naturales como el agua y el suelo, el alto riesgo de intoxicación aguda o cróni- ca por el uso de agrotóxicos, la pérdida de la agro- biodiversidad, la polarización socioeconómica, el abandono de la actividad y la migración, así como la reducción de la producción a mediano y largo plazo (Pinstrup-Andersen y Pandya-Lorch, 1994; Pingali y Raney, 2005; Guevara </w:t>
      </w:r>
      <w:r>
        <w:rPr>
          <w:i/>
          <w:color w:val="231F20"/>
        </w:rPr>
        <w:t>et al., </w:t>
      </w:r>
      <w:r>
        <w:rPr>
          <w:color w:val="231F20"/>
          <w:spacing w:val="-4"/>
        </w:rPr>
        <w:t>2011a). </w:t>
      </w:r>
      <w:r>
        <w:rPr>
          <w:color w:val="231F20"/>
        </w:rPr>
        <w:t>Esta situación crítica ha hecho que resurja lentamente el interés por la agricultura y la ganadería</w:t>
      </w:r>
      <w:r>
        <w:rPr>
          <w:color w:val="231F20"/>
          <w:spacing w:val="-25"/>
        </w:rPr>
        <w:t> </w:t>
      </w:r>
      <w:r>
        <w:rPr>
          <w:color w:val="231F20"/>
        </w:rPr>
        <w:t>orgánicas (ecológicas o biológicas) que practicaban algunos de nuestros antepasados, y actualmente la norma- tiva de dichas actividades establece sus principios fundamentales en la agroforestería, la agroecolo- gía, el bienestar animal, la salud de los consumi- dores y la equidad, como señalan MAFF (2001), USDA   (2003),   DAKKS   (2005),   IFOAM   (2008)  </w:t>
      </w:r>
      <w:r>
        <w:rPr>
          <w:color w:val="231F20"/>
          <w:spacing w:val="14"/>
        </w:rPr>
        <w:t> </w:t>
      </w:r>
      <w:r>
        <w:rPr>
          <w:color w:val="231F20"/>
        </w:rPr>
        <w:t>y</w:t>
      </w:r>
    </w:p>
    <w:p>
      <w:pPr>
        <w:pStyle w:val="BodyText"/>
        <w:spacing w:line="243" w:lineRule="exact"/>
        <w:ind w:left="1553"/>
        <w:jc w:val="both"/>
      </w:pPr>
      <w:r>
        <w:rPr>
          <w:color w:val="231F20"/>
          <w:w w:val="110"/>
        </w:rPr>
        <w:t>CERTIMEX (2009).</w:t>
      </w:r>
    </w:p>
    <w:p>
      <w:pPr>
        <w:pStyle w:val="BodyText"/>
        <w:spacing w:line="256" w:lineRule="auto" w:before="129"/>
        <w:ind w:left="1553"/>
        <w:jc w:val="both"/>
      </w:pPr>
      <w:r>
        <w:rPr>
          <w:color w:val="231F20"/>
        </w:rPr>
        <w:t>Así, la ganadería orgánica se concibe como aque-  lla que se desarrolla en sistemas de producción animal basados en el pastoreo, cerrando de forma natural e integrada el ciclo suelo-planta-animal, conserva el entorno ambiental y la biodiversidad, favorece el bienestar animal, evita el empleo de sustancias de síntesis química y ofrece a los con- sumidores  alimentos  de  origen  animal  de   </w:t>
      </w:r>
      <w:r>
        <w:rPr>
          <w:color w:val="231F20"/>
          <w:spacing w:val="41"/>
        </w:rPr>
        <w:t> </w:t>
      </w:r>
      <w:r>
        <w:rPr>
          <w:color w:val="231F20"/>
        </w:rPr>
        <w:t>gran</w:t>
      </w:r>
    </w:p>
    <w:p>
      <w:pPr>
        <w:pStyle w:val="BodyText"/>
        <w:spacing w:before="3"/>
        <w:rPr>
          <w:sz w:val="28"/>
        </w:rPr>
      </w:pPr>
      <w:r>
        <w:rPr/>
        <w:br w:type="column"/>
      </w:r>
      <w:r>
        <w:rPr>
          <w:sz w:val="28"/>
        </w:rPr>
      </w:r>
    </w:p>
    <w:p>
      <w:pPr>
        <w:pStyle w:val="BodyText"/>
        <w:spacing w:line="256" w:lineRule="auto"/>
        <w:ind w:left="413" w:right="1551"/>
        <w:jc w:val="both"/>
      </w:pPr>
      <w:r>
        <w:rPr>
          <w:color w:val="231F20"/>
        </w:rPr>
        <w:t>calidad</w:t>
      </w:r>
      <w:r>
        <w:rPr>
          <w:color w:val="231F20"/>
          <w:spacing w:val="-12"/>
        </w:rPr>
        <w:t> </w:t>
      </w:r>
      <w:r>
        <w:rPr>
          <w:color w:val="231F20"/>
        </w:rPr>
        <w:t>organoléptica,</w:t>
      </w:r>
      <w:r>
        <w:rPr>
          <w:color w:val="231F20"/>
          <w:spacing w:val="-12"/>
        </w:rPr>
        <w:t> </w:t>
      </w:r>
      <w:r>
        <w:rPr>
          <w:color w:val="231F20"/>
        </w:rPr>
        <w:t>nutritiva</w:t>
      </w:r>
      <w:r>
        <w:rPr>
          <w:color w:val="231F20"/>
          <w:spacing w:val="-12"/>
        </w:rPr>
        <w:t> </w:t>
      </w:r>
      <w:r>
        <w:rPr>
          <w:color w:val="231F20"/>
        </w:rPr>
        <w:t>e</w:t>
      </w:r>
      <w:r>
        <w:rPr>
          <w:color w:val="231F20"/>
          <w:spacing w:val="-12"/>
        </w:rPr>
        <w:t> </w:t>
      </w:r>
      <w:r>
        <w:rPr>
          <w:color w:val="231F20"/>
        </w:rPr>
        <w:t>higiénico-sanitaria (IFOAM, </w:t>
      </w:r>
      <w:r>
        <w:rPr>
          <w:color w:val="231F20"/>
          <w:spacing w:val="36"/>
        </w:rPr>
        <w:t> </w:t>
      </w:r>
      <w:r>
        <w:rPr>
          <w:color w:val="231F20"/>
        </w:rPr>
        <w:t>2005).</w:t>
      </w:r>
    </w:p>
    <w:p>
      <w:pPr>
        <w:pStyle w:val="BodyText"/>
        <w:spacing w:line="256" w:lineRule="auto" w:before="113"/>
        <w:ind w:left="413" w:right="1551"/>
        <w:jc w:val="both"/>
      </w:pPr>
      <w:r>
        <w:rPr>
          <w:color w:val="231F20"/>
        </w:rPr>
        <w:t>Actualmente, la producción orgánica se encuentra en fase de introducción en distintos países, debido a que la competitividad por calidad se ha conver- tido en la clave para producir y comercializar pro- ductos. Ello ha conducido a que tanto los países desarrollados como aquellos en vías de desarrollo estén cada vez más interesados en evaluar com- parativamente sus tecnologías productivas y la calidad de sus productos agropecuarios. El objeti- vo radica entonces en identificar los problemas e implementar las medidas correctivas para obtener productos de calidad, y de esta manera tener la oportunidad de competir en mercados regionales, nacionales e internacionales. Es decir, la importan- cia de conocer el grado de aproximación de los sistemas ganaderos convencionales actuales al modelo de producción orgánica radica en que per- mite identificar sus limitaciones, potencialidades y oportunidades para impulsar su conversión y certi- ficación orgánica (Guzmán y Alonso, </w:t>
      </w:r>
      <w:r>
        <w:rPr>
          <w:color w:val="231F20"/>
          <w:spacing w:val="-3"/>
        </w:rPr>
        <w:t>2001; </w:t>
      </w:r>
      <w:r>
        <w:rPr>
          <w:color w:val="231F20"/>
        </w:rPr>
        <w:t>Nahed </w:t>
      </w:r>
      <w:r>
        <w:rPr>
          <w:i/>
          <w:color w:val="231F20"/>
        </w:rPr>
        <w:t>et al</w:t>
      </w:r>
      <w:r>
        <w:rPr>
          <w:color w:val="231F20"/>
        </w:rPr>
        <w:t>., 2008; Cruz </w:t>
      </w:r>
      <w:r>
        <w:rPr>
          <w:i/>
          <w:color w:val="231F20"/>
        </w:rPr>
        <w:t>et al.,   </w:t>
      </w:r>
      <w:r>
        <w:rPr>
          <w:i/>
          <w:color w:val="231F20"/>
          <w:spacing w:val="37"/>
        </w:rPr>
        <w:t> </w:t>
      </w:r>
      <w:r>
        <w:rPr>
          <w:color w:val="231F20"/>
          <w:spacing w:val="-4"/>
        </w:rPr>
        <w:t>2011).</w:t>
      </w:r>
    </w:p>
    <w:p>
      <w:pPr>
        <w:pStyle w:val="BodyText"/>
      </w:pPr>
    </w:p>
    <w:p>
      <w:pPr>
        <w:pStyle w:val="BodyText"/>
        <w:spacing w:before="152"/>
        <w:ind w:left="413"/>
        <w:jc w:val="both"/>
      </w:pPr>
      <w:r>
        <w:rPr>
          <w:color w:val="231F20"/>
          <w:w w:val="110"/>
        </w:rPr>
        <w:t>ANTECEDENTES</w:t>
      </w:r>
    </w:p>
    <w:p>
      <w:pPr>
        <w:spacing w:before="130"/>
        <w:ind w:left="413" w:right="0" w:firstLine="0"/>
        <w:jc w:val="both"/>
        <w:rPr>
          <w:rFonts w:ascii="Cambria" w:hAnsi="Cambria"/>
          <w:i/>
          <w:sz w:val="20"/>
        </w:rPr>
      </w:pPr>
      <w:r>
        <w:rPr>
          <w:rFonts w:ascii="Cambria" w:hAnsi="Cambria"/>
          <w:i/>
          <w:color w:val="231F20"/>
          <w:w w:val="110"/>
          <w:sz w:val="20"/>
        </w:rPr>
        <w:t>Contexto de la ganadería en Chiapas</w:t>
      </w:r>
    </w:p>
    <w:p>
      <w:pPr>
        <w:pStyle w:val="BodyText"/>
        <w:spacing w:line="256" w:lineRule="auto" w:before="139"/>
        <w:ind w:left="413" w:right="1551"/>
        <w:jc w:val="both"/>
      </w:pPr>
      <w:r>
        <w:rPr>
          <w:color w:val="231F20"/>
        </w:rPr>
        <w:t>En el Estado de Chiapas casi toda la ganadería bo- vina se desarrolla en condiciones de pastoreo ex- tensivo, característica principal por la cual se busca transitar</w:t>
      </w:r>
      <w:r>
        <w:rPr>
          <w:color w:val="231F20"/>
          <w:spacing w:val="-21"/>
        </w:rPr>
        <w:t> </w:t>
      </w:r>
      <w:r>
        <w:rPr>
          <w:color w:val="231F20"/>
        </w:rPr>
        <w:t>hacia</w:t>
      </w:r>
      <w:r>
        <w:rPr>
          <w:color w:val="231F20"/>
          <w:spacing w:val="-21"/>
        </w:rPr>
        <w:t> </w:t>
      </w:r>
      <w:r>
        <w:rPr>
          <w:color w:val="231F20"/>
        </w:rPr>
        <w:t>la</w:t>
      </w:r>
      <w:r>
        <w:rPr>
          <w:color w:val="231F20"/>
          <w:spacing w:val="-21"/>
        </w:rPr>
        <w:t> </w:t>
      </w:r>
      <w:r>
        <w:rPr>
          <w:color w:val="231F20"/>
        </w:rPr>
        <w:t>ganadería</w:t>
      </w:r>
      <w:r>
        <w:rPr>
          <w:color w:val="231F20"/>
          <w:spacing w:val="-21"/>
        </w:rPr>
        <w:t> </w:t>
      </w:r>
      <w:r>
        <w:rPr>
          <w:color w:val="231F20"/>
        </w:rPr>
        <w:t>orgánica.</w:t>
      </w:r>
      <w:r>
        <w:rPr>
          <w:color w:val="231F20"/>
          <w:spacing w:val="-21"/>
        </w:rPr>
        <w:t> </w:t>
      </w:r>
      <w:r>
        <w:rPr>
          <w:color w:val="231F20"/>
        </w:rPr>
        <w:t>De</w:t>
      </w:r>
      <w:r>
        <w:rPr>
          <w:color w:val="231F20"/>
          <w:spacing w:val="-21"/>
        </w:rPr>
        <w:t> </w:t>
      </w:r>
      <w:r>
        <w:rPr>
          <w:color w:val="231F20"/>
        </w:rPr>
        <w:t>acuerdo</w:t>
      </w:r>
      <w:r>
        <w:rPr>
          <w:color w:val="231F20"/>
          <w:spacing w:val="-21"/>
        </w:rPr>
        <w:t> </w:t>
      </w:r>
      <w:r>
        <w:rPr>
          <w:color w:val="231F20"/>
          <w:spacing w:val="-2"/>
        </w:rPr>
        <w:t>con </w:t>
      </w:r>
      <w:r>
        <w:rPr>
          <w:color w:val="231F20"/>
        </w:rPr>
        <w:t>INEGI </w:t>
      </w:r>
      <w:r>
        <w:rPr>
          <w:color w:val="231F20"/>
          <w:spacing w:val="-4"/>
        </w:rPr>
        <w:t>(2007),  </w:t>
      </w:r>
      <w:r>
        <w:rPr>
          <w:color w:val="231F20"/>
        </w:rPr>
        <w:t>en el año </w:t>
      </w:r>
      <w:r>
        <w:rPr>
          <w:color w:val="231F20"/>
          <w:spacing w:val="-5"/>
        </w:rPr>
        <w:t>2007  </w:t>
      </w:r>
      <w:r>
        <w:rPr>
          <w:color w:val="231F20"/>
        </w:rPr>
        <w:t>había en el </w:t>
      </w:r>
      <w:r>
        <w:rPr>
          <w:color w:val="231F20"/>
          <w:spacing w:val="-2"/>
        </w:rPr>
        <w:t>Estado  </w:t>
      </w:r>
      <w:r>
        <w:rPr>
          <w:color w:val="231F20"/>
          <w:spacing w:val="41"/>
        </w:rPr>
        <w:t> </w:t>
      </w:r>
      <w:r>
        <w:rPr>
          <w:color w:val="231F20"/>
        </w:rPr>
        <w:t>de Chiapas 1 406 000 </w:t>
      </w:r>
      <w:r>
        <w:rPr>
          <w:color w:val="231F20"/>
          <w:spacing w:val="-3"/>
        </w:rPr>
        <w:t>cabezas </w:t>
      </w:r>
      <w:r>
        <w:rPr>
          <w:color w:val="231F20"/>
        </w:rPr>
        <w:t>de ganado bovino, destinadas</w:t>
      </w:r>
      <w:r>
        <w:rPr>
          <w:color w:val="231F20"/>
          <w:spacing w:val="-9"/>
        </w:rPr>
        <w:t> </w:t>
      </w:r>
      <w:r>
        <w:rPr>
          <w:color w:val="231F20"/>
        </w:rPr>
        <w:t>principalmente</w:t>
      </w:r>
      <w:r>
        <w:rPr>
          <w:color w:val="231F20"/>
          <w:spacing w:val="-9"/>
        </w:rPr>
        <w:t> </w:t>
      </w:r>
      <w:r>
        <w:rPr>
          <w:color w:val="231F20"/>
        </w:rPr>
        <w:t>al</w:t>
      </w:r>
      <w:r>
        <w:rPr>
          <w:color w:val="231F20"/>
          <w:spacing w:val="-9"/>
        </w:rPr>
        <w:t> </w:t>
      </w:r>
      <w:r>
        <w:rPr>
          <w:color w:val="231F20"/>
        </w:rPr>
        <w:t>desarrollo</w:t>
      </w:r>
      <w:r>
        <w:rPr>
          <w:color w:val="231F20"/>
          <w:spacing w:val="-9"/>
        </w:rPr>
        <w:t> </w:t>
      </w:r>
      <w:r>
        <w:rPr>
          <w:color w:val="231F20"/>
        </w:rPr>
        <w:t>o</w:t>
      </w:r>
      <w:r>
        <w:rPr>
          <w:color w:val="231F20"/>
          <w:spacing w:val="-9"/>
        </w:rPr>
        <w:t> </w:t>
      </w:r>
      <w:r>
        <w:rPr>
          <w:color w:val="231F20"/>
        </w:rPr>
        <w:t>engorde</w:t>
      </w:r>
      <w:r>
        <w:rPr>
          <w:color w:val="231F20"/>
          <w:spacing w:val="-9"/>
        </w:rPr>
        <w:t> </w:t>
      </w:r>
      <w:r>
        <w:rPr>
          <w:color w:val="231F20"/>
        </w:rPr>
        <w:t>y a la producción de leche. La ganadería ocupó en el mismo año una superficie de 1 </w:t>
      </w:r>
      <w:r>
        <w:rPr>
          <w:color w:val="231F20"/>
          <w:spacing w:val="-3"/>
        </w:rPr>
        <w:t>427 </w:t>
      </w:r>
      <w:r>
        <w:rPr>
          <w:color w:val="231F20"/>
        </w:rPr>
        <w:t>000 hectáreas, correspondientes a pastos naturales, agostaderos</w:t>
      </w:r>
      <w:r>
        <w:rPr>
          <w:color w:val="231F20"/>
          <w:spacing w:val="-20"/>
        </w:rPr>
        <w:t> </w:t>
      </w:r>
      <w:r>
        <w:rPr>
          <w:color w:val="231F20"/>
        </w:rPr>
        <w:t>o tierras enmontadas, con predominio de los siste- mas extensivos de producción bovina y ovina. </w:t>
      </w:r>
      <w:r>
        <w:rPr>
          <w:color w:val="231F20"/>
          <w:spacing w:val="-2"/>
        </w:rPr>
        <w:t>Sin </w:t>
      </w:r>
      <w:r>
        <w:rPr>
          <w:color w:val="231F20"/>
        </w:rPr>
        <w:t>embargo, las fincas ganaderas muestran distintos grados</w:t>
      </w:r>
      <w:r>
        <w:rPr>
          <w:color w:val="231F20"/>
          <w:spacing w:val="-7"/>
        </w:rPr>
        <w:t> </w:t>
      </w:r>
      <w:r>
        <w:rPr>
          <w:color w:val="231F20"/>
        </w:rPr>
        <w:t>de</w:t>
      </w:r>
      <w:r>
        <w:rPr>
          <w:color w:val="231F20"/>
          <w:spacing w:val="-7"/>
        </w:rPr>
        <w:t> </w:t>
      </w:r>
      <w:r>
        <w:rPr>
          <w:color w:val="231F20"/>
        </w:rPr>
        <w:t>tecnificación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procesos</w:t>
      </w:r>
      <w:r>
        <w:rPr>
          <w:color w:val="231F20"/>
          <w:spacing w:val="-7"/>
        </w:rPr>
        <w:t> </w:t>
      </w:r>
      <w:r>
        <w:rPr>
          <w:color w:val="231F20"/>
          <w:spacing w:val="-2"/>
        </w:rPr>
        <w:t>productivos. </w:t>
      </w:r>
      <w:r>
        <w:rPr>
          <w:color w:val="231F20"/>
        </w:rPr>
        <w:t>Estos sistemas ganaderos contribuyen con  </w:t>
      </w:r>
      <w:r>
        <w:rPr>
          <w:color w:val="231F20"/>
          <w:spacing w:val="44"/>
        </w:rPr>
        <w:t> </w:t>
      </w:r>
      <w:r>
        <w:rPr>
          <w:color w:val="231F20"/>
        </w:rPr>
        <w:t>impor-</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90</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tantes</w:t>
      </w:r>
      <w:r>
        <w:rPr>
          <w:color w:val="231F20"/>
          <w:spacing w:val="-5"/>
        </w:rPr>
        <w:t> </w:t>
      </w:r>
      <w:r>
        <w:rPr>
          <w:color w:val="231F20"/>
        </w:rPr>
        <w:t>niveles</w:t>
      </w:r>
      <w:r>
        <w:rPr>
          <w:color w:val="231F20"/>
          <w:spacing w:val="-5"/>
        </w:rPr>
        <w:t> </w:t>
      </w:r>
      <w:r>
        <w:rPr>
          <w:color w:val="231F20"/>
        </w:rPr>
        <w:t>de</w:t>
      </w:r>
      <w:r>
        <w:rPr>
          <w:color w:val="231F20"/>
          <w:spacing w:val="-5"/>
        </w:rPr>
        <w:t> </w:t>
      </w:r>
      <w:r>
        <w:rPr>
          <w:color w:val="231F20"/>
        </w:rPr>
        <w:t>producción</w:t>
      </w:r>
      <w:r>
        <w:rPr>
          <w:color w:val="231F20"/>
          <w:spacing w:val="-5"/>
        </w:rPr>
        <w:t> </w:t>
      </w:r>
      <w:r>
        <w:rPr>
          <w:color w:val="231F20"/>
        </w:rPr>
        <w:t>de</w:t>
      </w:r>
      <w:r>
        <w:rPr>
          <w:color w:val="231F20"/>
          <w:spacing w:val="-5"/>
        </w:rPr>
        <w:t> </w:t>
      </w:r>
      <w:r>
        <w:rPr>
          <w:color w:val="231F20"/>
        </w:rPr>
        <w:t>animales</w:t>
      </w:r>
      <w:r>
        <w:rPr>
          <w:color w:val="231F20"/>
          <w:spacing w:val="-5"/>
        </w:rPr>
        <w:t> </w:t>
      </w:r>
      <w:r>
        <w:rPr>
          <w:color w:val="231F20"/>
        </w:rPr>
        <w:t>en</w:t>
      </w:r>
      <w:r>
        <w:rPr>
          <w:color w:val="231F20"/>
          <w:spacing w:val="-5"/>
        </w:rPr>
        <w:t> </w:t>
      </w:r>
      <w:r>
        <w:rPr>
          <w:color w:val="231F20"/>
        </w:rPr>
        <w:t>pie.</w:t>
      </w:r>
      <w:r>
        <w:rPr>
          <w:color w:val="231F20"/>
          <w:spacing w:val="-5"/>
        </w:rPr>
        <w:t> </w:t>
      </w:r>
      <w:r>
        <w:rPr>
          <w:color w:val="231F20"/>
        </w:rPr>
        <w:t>En el año </w:t>
      </w:r>
      <w:r>
        <w:rPr>
          <w:color w:val="231F20"/>
          <w:spacing w:val="-3"/>
        </w:rPr>
        <w:t>2008 </w:t>
      </w:r>
      <w:r>
        <w:rPr>
          <w:color w:val="231F20"/>
        </w:rPr>
        <w:t>produjeron poco más de </w:t>
      </w:r>
      <w:r>
        <w:rPr>
          <w:color w:val="231F20"/>
          <w:spacing w:val="-5"/>
        </w:rPr>
        <w:t>196 </w:t>
      </w:r>
      <w:r>
        <w:rPr>
          <w:color w:val="231F20"/>
        </w:rPr>
        <w:t>000 to- neladas de bovinos en pie, y la producción de leche rebasó los </w:t>
      </w:r>
      <w:r>
        <w:rPr>
          <w:color w:val="231F20"/>
          <w:spacing w:val="-6"/>
        </w:rPr>
        <w:t>372 </w:t>
      </w:r>
      <w:r>
        <w:rPr>
          <w:color w:val="231F20"/>
        </w:rPr>
        <w:t>millones de litros para abastecer principalmente la demanda local y nacional </w:t>
      </w:r>
      <w:r>
        <w:rPr>
          <w:color w:val="231F20"/>
          <w:spacing w:val="-5"/>
        </w:rPr>
        <w:t>(SIAP, </w:t>
      </w:r>
      <w:r>
        <w:rPr>
          <w:color w:val="231F20"/>
          <w:spacing w:val="-3"/>
        </w:rPr>
        <w:t>2008).</w:t>
      </w:r>
    </w:p>
    <w:p>
      <w:pPr>
        <w:pStyle w:val="BodyText"/>
        <w:spacing w:line="256" w:lineRule="auto" w:before="112"/>
        <w:ind w:left="1553"/>
        <w:jc w:val="both"/>
      </w:pPr>
      <w:r>
        <w:rPr>
          <w:color w:val="231F20"/>
        </w:rPr>
        <w:t>En muchas de las comunidades del Corredor Bio- lógico Mesoamericano, en Chiapas, se practica la ganadería bajo un esquema de manejo silvopas- toril tradicional, ya que la alimentación del ganado se realiza en unidades de pastoreo con un gra- diente de arborización amplio (Gómez-Castro  </w:t>
      </w:r>
      <w:r>
        <w:rPr>
          <w:i/>
          <w:color w:val="231F20"/>
        </w:rPr>
        <w:t>et </w:t>
      </w:r>
      <w:r>
        <w:rPr>
          <w:i/>
          <w:color w:val="231F20"/>
        </w:rPr>
        <w:t>al.</w:t>
      </w:r>
      <w:r>
        <w:rPr>
          <w:color w:val="231F20"/>
        </w:rPr>
        <w:t>, </w:t>
      </w:r>
      <w:r>
        <w:rPr>
          <w:color w:val="231F20"/>
          <w:spacing w:val="-5"/>
        </w:rPr>
        <w:t>2010, 2012; </w:t>
      </w:r>
      <w:r>
        <w:rPr>
          <w:color w:val="231F20"/>
        </w:rPr>
        <w:t>Nahed </w:t>
      </w:r>
      <w:r>
        <w:rPr>
          <w:i/>
          <w:color w:val="231F20"/>
        </w:rPr>
        <w:t>et al., </w:t>
      </w:r>
      <w:r>
        <w:rPr>
          <w:color w:val="231F20"/>
          <w:spacing w:val="-4"/>
        </w:rPr>
        <w:t>2010).  </w:t>
      </w:r>
      <w:r>
        <w:rPr>
          <w:color w:val="231F20"/>
        </w:rPr>
        <w:t>No obstante,  es necesario identificar las limitaciones, las poten- cialidades y las oportunidades de estos sistemas tradicionales, con el objetivo de conducirlos hacia la certificación orgánica. Con estas ideas, se han realizado esfuerzos de investigación orientada a la acción (como el presente) para contribuir al desa- rrollo</w:t>
      </w:r>
      <w:r>
        <w:rPr>
          <w:color w:val="231F20"/>
          <w:spacing w:val="-9"/>
        </w:rPr>
        <w:t> </w:t>
      </w:r>
      <w:r>
        <w:rPr>
          <w:color w:val="231F20"/>
        </w:rPr>
        <w:t>rural</w:t>
      </w:r>
      <w:r>
        <w:rPr>
          <w:color w:val="231F20"/>
          <w:spacing w:val="-9"/>
        </w:rPr>
        <w:t> </w:t>
      </w:r>
      <w:r>
        <w:rPr>
          <w:color w:val="231F20"/>
        </w:rPr>
        <w:t>desde</w:t>
      </w:r>
      <w:r>
        <w:rPr>
          <w:color w:val="231F20"/>
          <w:spacing w:val="-9"/>
        </w:rPr>
        <w:t> </w:t>
      </w:r>
      <w:r>
        <w:rPr>
          <w:color w:val="231F20"/>
        </w:rPr>
        <w:t>una</w:t>
      </w:r>
      <w:r>
        <w:rPr>
          <w:color w:val="231F20"/>
          <w:spacing w:val="-9"/>
        </w:rPr>
        <w:t> </w:t>
      </w:r>
      <w:r>
        <w:rPr>
          <w:color w:val="231F20"/>
        </w:rPr>
        <w:t>perspectiva</w:t>
      </w:r>
      <w:r>
        <w:rPr>
          <w:color w:val="231F20"/>
          <w:spacing w:val="-9"/>
        </w:rPr>
        <w:t> </w:t>
      </w:r>
      <w:r>
        <w:rPr>
          <w:color w:val="231F20"/>
        </w:rPr>
        <w:t>multiinstitucional</w:t>
      </w:r>
      <w:r>
        <w:rPr>
          <w:color w:val="231F20"/>
          <w:w w:val="97"/>
        </w:rPr>
        <w:t> </w:t>
      </w:r>
      <w:r>
        <w:rPr>
          <w:color w:val="231F20"/>
        </w:rPr>
        <w:t>y para conocer el potencial de conversión de los sistemas agrosilvopastoriles tradicionales de pro- ducción de leche bovina al modelo  </w:t>
      </w:r>
      <w:r>
        <w:rPr>
          <w:color w:val="231F20"/>
          <w:spacing w:val="29"/>
        </w:rPr>
        <w:t> </w:t>
      </w:r>
      <w:r>
        <w:rPr>
          <w:color w:val="231F20"/>
        </w:rPr>
        <w:t>orgánico.</w:t>
      </w:r>
    </w:p>
    <w:p>
      <w:pPr>
        <w:pStyle w:val="BodyText"/>
        <w:spacing w:line="256" w:lineRule="auto" w:before="112"/>
        <w:ind w:left="1553"/>
        <w:jc w:val="both"/>
      </w:pPr>
      <w:r>
        <w:rPr>
          <w:color w:val="231F20"/>
        </w:rPr>
        <w:t>En particular, la ganadería del municipio de </w:t>
      </w:r>
      <w:r>
        <w:rPr>
          <w:color w:val="231F20"/>
          <w:spacing w:val="-4"/>
        </w:rPr>
        <w:t>Tecpa- </w:t>
      </w:r>
      <w:r>
        <w:rPr>
          <w:color w:val="231F20"/>
        </w:rPr>
        <w:t>tán tiene un importante grado de aproximación al modelo de producción orgánica (Calderón, 2008; Nahed </w:t>
      </w:r>
      <w:r>
        <w:rPr>
          <w:i/>
          <w:color w:val="231F20"/>
        </w:rPr>
        <w:t>et al</w:t>
      </w:r>
      <w:r>
        <w:rPr>
          <w:color w:val="231F20"/>
        </w:rPr>
        <w:t>., 2009), y actualmente se está promo- viendo su certificación. Sin embargo, en algunas regiones de Chiapas la producción ganadera se encuentra limitada por el escaso control de calidad de la leche, los quesos y la carne que producen. Esto imposibilita su comercialización en el merca- do formal y hace que los precios sean significati- vamente menores que los esperados (Nahed  </w:t>
      </w:r>
      <w:r>
        <w:rPr>
          <w:i/>
          <w:color w:val="231F20"/>
        </w:rPr>
        <w:t>et  </w:t>
      </w:r>
      <w:r>
        <w:rPr>
          <w:i/>
          <w:color w:val="231F20"/>
        </w:rPr>
        <w:t>al.</w:t>
      </w:r>
      <w:r>
        <w:rPr>
          <w:color w:val="231F20"/>
        </w:rPr>
        <w:t>, 2008). En estas circunstancias, la información estadística de SIAP (2008) muestra que los pro- ductores de ganado de </w:t>
      </w:r>
      <w:r>
        <w:rPr>
          <w:color w:val="231F20"/>
          <w:spacing w:val="-3"/>
        </w:rPr>
        <w:t>Tecpatán </w:t>
      </w:r>
      <w:r>
        <w:rPr>
          <w:color w:val="231F20"/>
        </w:rPr>
        <w:t>vendieron con acopiadores externos </w:t>
      </w:r>
      <w:r>
        <w:rPr>
          <w:color w:val="231F20"/>
          <w:spacing w:val="-5"/>
        </w:rPr>
        <w:t>4765 </w:t>
      </w:r>
      <w:r>
        <w:rPr>
          <w:color w:val="231F20"/>
        </w:rPr>
        <w:t>toneladas de ganado bovino en pie, principalmente becerros para en- gorde y animales de desecho. Se vendieron tam- bién más de 40 millones de litros de leche a las empresas  PRADEL  y  Nestlé  y  a  queseros </w:t>
      </w:r>
      <w:r>
        <w:rPr>
          <w:color w:val="231F20"/>
          <w:spacing w:val="6"/>
        </w:rPr>
        <w:t> </w:t>
      </w:r>
      <w:r>
        <w:rPr>
          <w:color w:val="231F20"/>
        </w:rPr>
        <w:t>artesa-</w:t>
      </w:r>
    </w:p>
    <w:p>
      <w:pPr>
        <w:pStyle w:val="BodyText"/>
        <w:spacing w:line="266" w:lineRule="auto" w:before="67"/>
        <w:ind w:left="412" w:right="1551"/>
        <w:jc w:val="both"/>
      </w:pPr>
      <w:r>
        <w:rPr/>
        <w:br w:type="column"/>
      </w:r>
      <w:r>
        <w:rPr>
          <w:color w:val="231F20"/>
        </w:rPr>
        <w:t>nales y microindustriales. Aunque los sistemas de producción ganadera de doble propósito de </w:t>
      </w:r>
      <w:r>
        <w:rPr>
          <w:color w:val="231F20"/>
          <w:spacing w:val="-6"/>
        </w:rPr>
        <w:t>Tec- </w:t>
      </w:r>
      <w:r>
        <w:rPr>
          <w:color w:val="231F20"/>
        </w:rPr>
        <w:t>patán, Chiapas, tienen un alto grado de aproxima- ción al modelo de producción orgánica, se conoce poco sobre las limitaciones, las potencialidades y las oportunidades de las cadenas productivas de  los productos agroalimentarios</w:t>
      </w:r>
      <w:r>
        <w:rPr>
          <w:color w:val="231F20"/>
          <w:spacing w:val="30"/>
        </w:rPr>
        <w:t> </w:t>
      </w:r>
      <w:r>
        <w:rPr>
          <w:color w:val="231F20"/>
        </w:rPr>
        <w:t>ganaderos.</w:t>
      </w:r>
    </w:p>
    <w:p>
      <w:pPr>
        <w:pStyle w:val="BodyText"/>
        <w:spacing w:before="7"/>
        <w:rPr>
          <w:sz w:val="18"/>
        </w:rPr>
      </w:pPr>
    </w:p>
    <w:p>
      <w:pPr>
        <w:spacing w:before="0"/>
        <w:ind w:left="412" w:right="0" w:firstLine="0"/>
        <w:jc w:val="both"/>
        <w:rPr>
          <w:rFonts w:ascii="Cambria" w:hAnsi="Cambria"/>
          <w:i/>
          <w:sz w:val="20"/>
        </w:rPr>
      </w:pPr>
      <w:r>
        <w:rPr>
          <w:rFonts w:ascii="Cambria" w:hAnsi="Cambria"/>
          <w:i/>
          <w:color w:val="231F20"/>
          <w:w w:val="110"/>
          <w:sz w:val="20"/>
        </w:rPr>
        <w:t>Modelo sistémico del proceso de innovación</w:t>
      </w:r>
    </w:p>
    <w:p>
      <w:pPr>
        <w:pStyle w:val="BodyText"/>
        <w:spacing w:line="266" w:lineRule="auto" w:before="149"/>
        <w:ind w:left="412" w:right="1551"/>
        <w:jc w:val="both"/>
      </w:pPr>
      <w:r>
        <w:rPr>
          <w:color w:val="231F20"/>
        </w:rPr>
        <w:t>En la Figura 1 se presentan las etapas del modelo sistémico general del proceso de innovación de- sarrollado y utilizado en la Línea de Investigación Ganadería y Ambiente de ECOSUR durante los úl- timos </w:t>
      </w:r>
      <w:r>
        <w:rPr>
          <w:color w:val="231F20"/>
          <w:spacing w:val="-5"/>
        </w:rPr>
        <w:t>10 </w:t>
      </w:r>
      <w:r>
        <w:rPr>
          <w:color w:val="231F20"/>
        </w:rPr>
        <w:t>años. Las posibilidades de éxito de los sistemas ganaderos convencionales que se pre- tenden convertir a la ganadería orgánica aumentan cuando el proceso de desarrollo cubre paulatina- mente y de manera concatenada los diferentes componentes de las etapas: 1) diagnóstico y aná- lisis de los sistemas prevalecientes, 2) innovación   y diseño, 3) gestión, y 4) evaluación y monitoreo del proceso (Nahed </w:t>
      </w:r>
      <w:r>
        <w:rPr>
          <w:i/>
          <w:color w:val="231F20"/>
        </w:rPr>
        <w:t>et  al</w:t>
      </w:r>
      <w:r>
        <w:rPr>
          <w:color w:val="231F20"/>
        </w:rPr>
        <w:t>.,  2003;  Jiménez-Ferrer </w:t>
      </w:r>
      <w:r>
        <w:rPr>
          <w:i/>
          <w:color w:val="231F20"/>
        </w:rPr>
        <w:t>et al</w:t>
      </w:r>
      <w:r>
        <w:rPr>
          <w:color w:val="231F20"/>
        </w:rPr>
        <w:t>., 2006). Evaluar el grado de desarrollo y de adopción de una innovación significa identificar las limitaciones, las potencialidades y las oportunida- des en cada una de las etapas como parte del proceso de desarrollo, ya que permite continuar o retornar elementos que brinden soluciones a los aspectos que se requiera atender en los ciclos de aprendizaje de la investigación-acción (Guevara </w:t>
      </w:r>
      <w:r>
        <w:rPr>
          <w:i/>
          <w:color w:val="231F20"/>
        </w:rPr>
        <w:t>et </w:t>
      </w:r>
      <w:r>
        <w:rPr>
          <w:i/>
          <w:color w:val="231F20"/>
        </w:rPr>
        <w:t>al</w:t>
      </w:r>
      <w:r>
        <w:rPr>
          <w:color w:val="231F20"/>
        </w:rPr>
        <w:t>., </w:t>
      </w:r>
      <w:r>
        <w:rPr>
          <w:color w:val="231F20"/>
          <w:spacing w:val="-4"/>
        </w:rPr>
        <w:t>2011b). </w:t>
      </w:r>
      <w:r>
        <w:rPr>
          <w:color w:val="231F20"/>
        </w:rPr>
        <w:t>Cuando una innovación ha cubierto satisfactoriamente las cuatro etapas del  proceso en una prueba piloto con un grupo de producto- res ganaderos, es posible pasar a una nueva etapa correspondiente al escalamiento del modelo. Es decir, se inicia la reproducción del modelo de in- novación con otros grupos de productores, comu- nidades o municipios, el cual debe ser adaptado a las nuevas condiciones particulares en función de los problemas y las demandas locales. Esto defini- tivamente aporta los elementos de un proceso  </w:t>
      </w:r>
      <w:r>
        <w:rPr>
          <w:color w:val="231F20"/>
          <w:spacing w:val="34"/>
        </w:rPr>
        <w:t> </w:t>
      </w:r>
      <w:r>
        <w:rPr>
          <w:color w:val="231F20"/>
        </w:rPr>
        <w:t>de</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6.   Innovación en el proceso de conversión y certificación orgánica de la   </w:t>
      </w:r>
      <w:r>
        <w:rPr>
          <w:color w:val="231F20"/>
          <w:spacing w:val="7"/>
          <w:sz w:val="18"/>
        </w:rPr>
        <w:t> </w:t>
      </w:r>
      <w:r>
        <w:rPr>
          <w:color w:val="231F20"/>
          <w:sz w:val="18"/>
        </w:rPr>
        <w:t>leche</w:t>
      </w:r>
      <w:r>
        <w:rPr>
          <w:color w:val="231F20"/>
          <w:spacing w:val="12"/>
          <w:sz w:val="18"/>
        </w:rPr>
        <w:t> </w:t>
      </w:r>
      <w:r>
        <w:rPr>
          <w:color w:val="231F20"/>
          <w:sz w:val="18"/>
        </w:rPr>
        <w:t>bovina...</w:t>
      </w:r>
      <w:r>
        <w:rPr>
          <w:color w:val="231F20"/>
          <w:sz w:val="22"/>
        </w:rPr>
        <w:tab/>
      </w:r>
      <w:r>
        <w:rPr>
          <w:color w:val="231F20"/>
          <w:spacing w:val="-9"/>
          <w:sz w:val="22"/>
        </w:rPr>
        <w:t>91</w:t>
      </w:r>
    </w:p>
    <w:p>
      <w:pPr>
        <w:pStyle w:val="BodyText"/>
        <w:spacing w:before="5"/>
        <w:rPr>
          <w:sz w:val="28"/>
        </w:rPr>
      </w:pPr>
      <w:r>
        <w:rPr/>
        <w:pict>
          <v:group style="position:absolute;margin-left:77.693001pt;margin-top:19.290075pt;width:439.45pt;height:308.150pt;mso-position-horizontal-relative:page;mso-position-vertical-relative:paragraph;z-index:2584;mso-wrap-distance-left:0;mso-wrap-distance-right:0" coordorigin="1554,386" coordsize="8789,6163">
            <v:shape style="position:absolute;left:1554;top:386;width:8789;height:6163" type="#_x0000_t75" stroked="false">
              <v:imagedata r:id="rId89" o:title=""/>
            </v:shape>
            <v:shape style="position:absolute;left:2858;top:1963;width:1331;height:1156" coordorigin="2858,1963" coordsize="1331,1156" path="m2858,3118l2858,2381,2860,2134,2910,2008,3053,1964,3334,1963,3624,1968,3901,1971,4107,1972,4189,1973e" filled="false" stroked="true" strokeweight="1pt" strokecolor="#231f20">
              <v:path arrowok="t"/>
            </v:shape>
            <v:shape style="position:absolute;left:4157;top:1922;width:141;height:103" coordorigin="4157,1922" coordsize="141,103" path="m4158,1922l4189,1973,4157,2024,4298,1973,4158,1922xe" filled="true" fillcolor="#231f20" stroked="false">
              <v:path arrowok="t"/>
              <v:fill type="solid"/>
            </v:shape>
            <v:shape style="position:absolute;left:7495;top:1258;width:1492;height:1627" coordorigin="7495,1258" coordsize="1492,1627" path="m7495,1258l8447,1258,8767,1260,8929,1320,8986,1493,8987,1832,8981,2185,8977,2526,8975,2783,8975,2884e" filled="false" stroked="true" strokeweight="1pt" strokecolor="#231f20">
              <v:path arrowok="t"/>
            </v:shape>
            <v:shape style="position:absolute;left:8924;top:2853;width:102;height:140" type="#_x0000_t75" stroked="false">
              <v:imagedata r:id="rId90" o:title=""/>
            </v:shape>
            <v:shape style="position:absolute;left:7480;top:4524;width:1537;height:1207" coordorigin="7480,4524" coordsize="1537,1207" path="m9016,4524l9016,5294,9014,5552,8957,5684,8793,5730,8472,5731,8138,5726,7817,5723,7575,5721,7480,5720e" filled="false" stroked="true" strokeweight="1.0pt" strokecolor="#231f20">
              <v:path arrowok="t"/>
            </v:shape>
            <v:shape style="position:absolute;left:7371;top:5670;width:141;height:103" coordorigin="7371,5670" coordsize="141,103" path="m7511,5670l7371,5720,7511,5772,7480,5720,7511,5670xe" filled="true" fillcolor="#231f20" stroked="false">
              <v:path arrowok="t"/>
              <v:fill type="solid"/>
            </v:shape>
            <v:shape style="position:absolute;left:2886;top:4792;width:1559;height:970" coordorigin="2886,4792" coordsize="1559,970" path="m4445,5762l3451,5762,3117,5760,2947,5723,2888,5615,2886,5405,2893,5192,2897,4994,2899,4849,2899,4792e" filled="false" stroked="true" strokeweight="1pt" strokecolor="#231f20">
              <v:path arrowok="t"/>
            </v:shape>
            <v:shape style="position:absolute;left:2848;top:4683;width:102;height:141" type="#_x0000_t75" stroked="false">
              <v:imagedata r:id="rId91" o:title=""/>
            </v:shape>
            <v:line style="position:absolute" from="2744,3118" to="2744,1720" stroked="true" strokeweight="1pt" strokecolor="#231f20"/>
            <v:shape style="position:absolute;left:2693;top:1610;width:102;height:140" type="#_x0000_t75" stroked="false">
              <v:imagedata r:id="rId92" o:title=""/>
            </v:shape>
            <w10:wrap type="topAndBottom"/>
          </v:group>
        </w:pict>
      </w:r>
    </w:p>
    <w:p>
      <w:pPr>
        <w:spacing w:before="116"/>
        <w:ind w:left="1553" w:right="0" w:firstLine="0"/>
        <w:jc w:val="left"/>
        <w:rPr>
          <w:sz w:val="18"/>
        </w:rPr>
      </w:pPr>
      <w:r>
        <w:rPr>
          <w:color w:val="231F20"/>
          <w:sz w:val="18"/>
        </w:rPr>
        <w:t>Figura 1.       Modelo sistémico general del proceso de innovación socioambiental para el desarrollo rural sustentable.</w:t>
      </w:r>
    </w:p>
    <w:p>
      <w:pPr>
        <w:pStyle w:val="BodyText"/>
        <w:spacing w:before="5"/>
        <w:rPr>
          <w:sz w:val="29"/>
        </w:rPr>
      </w:pPr>
    </w:p>
    <w:p>
      <w:pPr>
        <w:spacing w:after="0"/>
        <w:rPr>
          <w:sz w:val="29"/>
        </w:rPr>
        <w:sectPr>
          <w:pgSz w:w="11900" w:h="14450"/>
          <w:pgMar w:header="0" w:footer="222" w:top="420" w:bottom="420" w:left="0" w:right="0"/>
        </w:sectPr>
      </w:pPr>
    </w:p>
    <w:p>
      <w:pPr>
        <w:pStyle w:val="BodyText"/>
        <w:spacing w:line="256" w:lineRule="auto" w:before="68"/>
        <w:ind w:left="1553"/>
        <w:jc w:val="both"/>
      </w:pPr>
      <w:r>
        <w:rPr>
          <w:color w:val="231F20"/>
        </w:rPr>
        <w:t>mediano y largo plazo, conocido como “desarrollo rural” (Krishna </w:t>
      </w:r>
      <w:r>
        <w:rPr>
          <w:i/>
          <w:color w:val="231F20"/>
        </w:rPr>
        <w:t>et al., </w:t>
      </w:r>
      <w:r>
        <w:rPr>
          <w:color w:val="231F20"/>
        </w:rPr>
        <w:t>1997;  Mosse,   2005).</w:t>
      </w:r>
    </w:p>
    <w:p>
      <w:pPr>
        <w:pStyle w:val="BodyText"/>
      </w:pPr>
    </w:p>
    <w:p>
      <w:pPr>
        <w:pStyle w:val="BodyText"/>
        <w:spacing w:before="153"/>
        <w:ind w:left="1553"/>
        <w:jc w:val="both"/>
      </w:pPr>
      <w:r>
        <w:rPr>
          <w:color w:val="231F20"/>
          <w:w w:val="110"/>
        </w:rPr>
        <w:t>ASPECTOS METODOLÓGICOS</w:t>
      </w:r>
    </w:p>
    <w:p>
      <w:pPr>
        <w:pStyle w:val="BodyText"/>
        <w:spacing w:line="256" w:lineRule="auto" w:before="130"/>
        <w:ind w:left="1553"/>
        <w:jc w:val="both"/>
      </w:pPr>
      <w:r>
        <w:rPr>
          <w:color w:val="231F20"/>
        </w:rPr>
        <w:t>Se evaluaron unidades ganaderas de tres socieda- des de producción rural del municipio de Tecpatán, Chiapas, México, localizado al sureste de México, en las montañas del noroeste del Estado de Chia- pas, entre las coordenadas 94° 05’ y 91° 23’ de longitud Oeste y 17° 16’ de longitud Norte. Tecpa- tán se ubica en la cuenca media del Río Grijalva y dentro del Corredor Biológico Mesoamericano. De acuerdo con la clasificación de Köppen modificada por García (1988), el clima es cálido-húmedo con abundantes lluvias en verano [Af (m) w’’ (i’) g].    La</w:t>
      </w:r>
    </w:p>
    <w:p>
      <w:pPr>
        <w:pStyle w:val="BodyText"/>
        <w:spacing w:line="266" w:lineRule="auto" w:before="68"/>
        <w:ind w:left="412" w:right="1551"/>
        <w:jc w:val="both"/>
      </w:pPr>
      <w:r>
        <w:rPr/>
        <w:br w:type="column"/>
      </w:r>
      <w:r>
        <w:rPr>
          <w:color w:val="231F20"/>
        </w:rPr>
        <w:t>precipitación pluvial total anual es de </w:t>
      </w:r>
      <w:r>
        <w:rPr>
          <w:color w:val="231F20"/>
          <w:spacing w:val="-4"/>
        </w:rPr>
        <w:t>1932  </w:t>
      </w:r>
      <w:r>
        <w:rPr>
          <w:color w:val="231F20"/>
        </w:rPr>
        <w:t>mm</w:t>
      </w:r>
      <w:r>
        <w:rPr>
          <w:color w:val="231F20"/>
          <w:position w:val="7"/>
          <w:sz w:val="11"/>
        </w:rPr>
        <w:t>3</w:t>
      </w:r>
      <w:r>
        <w:rPr>
          <w:color w:val="231F20"/>
        </w:rPr>
        <w:t>,   la altitud promedio es de </w:t>
      </w:r>
      <w:r>
        <w:rPr>
          <w:color w:val="231F20"/>
          <w:spacing w:val="-3"/>
        </w:rPr>
        <w:t>320 </w:t>
      </w:r>
      <w:r>
        <w:rPr>
          <w:color w:val="231F20"/>
        </w:rPr>
        <w:t>m sobre el nivel del mar y la topografía es accidentada. La población originaria pertenece al grupo étnico </w:t>
      </w:r>
      <w:r>
        <w:rPr>
          <w:color w:val="231F20"/>
          <w:spacing w:val="12"/>
        </w:rPr>
        <w:t> </w:t>
      </w:r>
      <w:r>
        <w:rPr>
          <w:color w:val="231F20"/>
        </w:rPr>
        <w:t>Zoque.</w:t>
      </w:r>
    </w:p>
    <w:p>
      <w:pPr>
        <w:pStyle w:val="BodyText"/>
        <w:spacing w:line="266" w:lineRule="auto" w:before="113"/>
        <w:ind w:left="412" w:right="1551"/>
        <w:jc w:val="both"/>
      </w:pPr>
      <w:r>
        <w:rPr>
          <w:color w:val="231F20"/>
        </w:rPr>
        <w:t>La caracterización de la ganadería y del proceso   de producción se realizó mediante algunos indi- cadores cualitativos y cuantitativos, estructurales   y técnico-económicos, definidos previamente por </w:t>
      </w:r>
      <w:r>
        <w:rPr>
          <w:color w:val="231F20"/>
          <w:spacing w:val="-3"/>
        </w:rPr>
        <w:t>Toussaint  </w:t>
      </w:r>
      <w:r>
        <w:rPr>
          <w:color w:val="231F20"/>
        </w:rPr>
        <w:t>(2002), Mena </w:t>
      </w:r>
      <w:r>
        <w:rPr>
          <w:i/>
          <w:color w:val="231F20"/>
        </w:rPr>
        <w:t>et al</w:t>
      </w:r>
      <w:r>
        <w:rPr>
          <w:color w:val="231F20"/>
        </w:rPr>
        <w:t>. (2004) y Nahed </w:t>
      </w:r>
      <w:r>
        <w:rPr>
          <w:i/>
          <w:color w:val="231F20"/>
        </w:rPr>
        <w:t>et    </w:t>
      </w:r>
      <w:r>
        <w:rPr>
          <w:i/>
          <w:color w:val="231F20"/>
        </w:rPr>
        <w:t>al</w:t>
      </w:r>
      <w:r>
        <w:rPr>
          <w:color w:val="231F20"/>
        </w:rPr>
        <w:t>. (2006). Por su parte, la evaluación comparativa del potencial de conversión de las unidades ga- naderas convencionales a sistemas de producción orgánica se realizó de acuerdo con el grupo o so- ciedad de producción rural a que éstas pertenecen originalmente, utilizando la metodología del</w:t>
      </w:r>
      <w:r>
        <w:rPr>
          <w:color w:val="231F20"/>
          <w:spacing w:val="40"/>
        </w:rPr>
        <w:t> </w:t>
      </w:r>
      <w:r>
        <w:rPr>
          <w:color w:val="231F20"/>
        </w:rPr>
        <w:t>índice</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92</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rPr>
        <w:t>de conversión orgánica (ICO) multicriterio, como recomiendan Nahed </w:t>
      </w:r>
      <w:r>
        <w:rPr>
          <w:i/>
          <w:color w:val="231F20"/>
        </w:rPr>
        <w:t>et al. </w:t>
      </w:r>
      <w:r>
        <w:rPr>
          <w:color w:val="231F20"/>
        </w:rPr>
        <w:t>(2009) y Mena </w:t>
      </w:r>
      <w:r>
        <w:rPr>
          <w:i/>
          <w:color w:val="231F20"/>
        </w:rPr>
        <w:t>et al</w:t>
      </w:r>
      <w:r>
        <w:rPr>
          <w:color w:val="231F20"/>
        </w:rPr>
        <w:t>. </w:t>
      </w:r>
      <w:r>
        <w:rPr>
          <w:color w:val="231F20"/>
          <w:spacing w:val="-4"/>
        </w:rPr>
        <w:t>(2012). </w:t>
      </w:r>
      <w:r>
        <w:rPr>
          <w:color w:val="231F20"/>
        </w:rPr>
        <w:t>La información se examinó mediante aná- lisis de la varianza de un factor o una vía y com- paraciones múltiples de medias, hasta contar con el análisis respectivo de cada unidad en función   de su proceso de transición y potencialidades de someterse a certificación</w:t>
      </w:r>
      <w:r>
        <w:rPr>
          <w:color w:val="231F20"/>
          <w:spacing w:val="19"/>
        </w:rPr>
        <w:t> </w:t>
      </w:r>
      <w:r>
        <w:rPr>
          <w:color w:val="231F20"/>
        </w:rPr>
        <w:t>orgánica.</w:t>
      </w:r>
    </w:p>
    <w:p>
      <w:pPr>
        <w:pStyle w:val="BodyText"/>
      </w:pPr>
    </w:p>
    <w:p>
      <w:pPr>
        <w:pStyle w:val="BodyText"/>
        <w:spacing w:line="259" w:lineRule="auto" w:before="152"/>
        <w:ind w:left="1553" w:right="742"/>
      </w:pPr>
      <w:r>
        <w:rPr>
          <w:color w:val="231F20"/>
          <w:w w:val="110"/>
        </w:rPr>
        <w:t>CARACTERÍSTICAS DE LA GANADERÍA EN TECPATÁN, CHIAPAS</w:t>
      </w:r>
    </w:p>
    <w:p>
      <w:pPr>
        <w:pStyle w:val="BodyText"/>
        <w:spacing w:line="259" w:lineRule="auto" w:before="113"/>
        <w:ind w:left="1553"/>
        <w:jc w:val="both"/>
      </w:pPr>
      <w:r>
        <w:rPr>
          <w:color w:val="231F20"/>
        </w:rPr>
        <w:t>Los resultados de la investigación muestran que, históricamente, en la zona de estudio ha predo- minado el sistema de producción agrosilvopastoril tradicional de ganado bovino con el objetivo de producir leche y becerros destetados para la venta. Dicho sistema se caracteriza por el uso integral y diversificado de los recursos y por un calendario de manejo adaptado a la variabilidad de las condicio- nes ambientales. La ganadería está integrada en la producción agrícola y forestal por flujos de energía y circulación de materiales a través del abonado de los cultivos con estiércol, la alimentación del gana- do con residuos agrícolas y en unidades de pasto- reo con un gradiente de arborización que va desde pastizales extensivos (sin árboles) hasta pastizales con cercos vivos, con arbustos o acahuales, con árboles dispersos, y en áreas forestales, utilizados de forma alterna durante el ciclo anual.</w:t>
      </w:r>
    </w:p>
    <w:p>
      <w:pPr>
        <w:pStyle w:val="BodyText"/>
        <w:spacing w:line="259" w:lineRule="auto" w:before="113"/>
        <w:ind w:left="1553"/>
        <w:jc w:val="both"/>
      </w:pPr>
      <w:r>
        <w:rPr>
          <w:color w:val="231F20"/>
          <w:w w:val="105"/>
        </w:rPr>
        <w:t>El tipo de tenencia de la tierra es ejidal (53%) y propiedad privada (47%). En promedio, los pro- ductores tienen 58 (± 9,5) años de edad y escaso nivel de formación </w:t>
      </w:r>
      <w:r>
        <w:rPr>
          <w:color w:val="231F20"/>
          <w:spacing w:val="-3"/>
          <w:w w:val="105"/>
        </w:rPr>
        <w:t>(13% </w:t>
      </w:r>
      <w:r>
        <w:rPr>
          <w:color w:val="231F20"/>
          <w:w w:val="105"/>
        </w:rPr>
        <w:t>analfabetos, 55% edu- cación primaria, </w:t>
      </w:r>
      <w:r>
        <w:rPr>
          <w:color w:val="231F20"/>
          <w:spacing w:val="-3"/>
          <w:w w:val="105"/>
        </w:rPr>
        <w:t>17% </w:t>
      </w:r>
      <w:r>
        <w:rPr>
          <w:color w:val="231F20"/>
          <w:w w:val="105"/>
        </w:rPr>
        <w:t>secundaria, 9% bachillerato y</w:t>
      </w:r>
      <w:r>
        <w:rPr>
          <w:color w:val="231F20"/>
          <w:spacing w:val="-18"/>
          <w:w w:val="105"/>
        </w:rPr>
        <w:t> </w:t>
      </w:r>
      <w:r>
        <w:rPr>
          <w:color w:val="231F20"/>
          <w:w w:val="105"/>
        </w:rPr>
        <w:t>5%</w:t>
      </w:r>
      <w:r>
        <w:rPr>
          <w:color w:val="231F20"/>
          <w:spacing w:val="-18"/>
          <w:w w:val="105"/>
        </w:rPr>
        <w:t> </w:t>
      </w:r>
      <w:r>
        <w:rPr>
          <w:color w:val="231F20"/>
          <w:w w:val="105"/>
        </w:rPr>
        <w:t>profesional),</w:t>
      </w:r>
      <w:r>
        <w:rPr>
          <w:color w:val="231F20"/>
          <w:spacing w:val="-18"/>
          <w:w w:val="105"/>
        </w:rPr>
        <w:t> </w:t>
      </w:r>
      <w:r>
        <w:rPr>
          <w:color w:val="231F20"/>
          <w:w w:val="105"/>
        </w:rPr>
        <w:t>están</w:t>
      </w:r>
      <w:r>
        <w:rPr>
          <w:color w:val="231F20"/>
          <w:spacing w:val="-18"/>
          <w:w w:val="105"/>
        </w:rPr>
        <w:t> </w:t>
      </w:r>
      <w:r>
        <w:rPr>
          <w:color w:val="231F20"/>
          <w:w w:val="105"/>
        </w:rPr>
        <w:t>organizados</w:t>
      </w:r>
      <w:r>
        <w:rPr>
          <w:color w:val="231F20"/>
          <w:spacing w:val="-18"/>
          <w:w w:val="105"/>
        </w:rPr>
        <w:t> </w:t>
      </w:r>
      <w:r>
        <w:rPr>
          <w:color w:val="231F20"/>
          <w:w w:val="105"/>
        </w:rPr>
        <w:t>en</w:t>
      </w:r>
      <w:r>
        <w:rPr>
          <w:color w:val="231F20"/>
          <w:spacing w:val="-18"/>
          <w:w w:val="105"/>
        </w:rPr>
        <w:t> </w:t>
      </w:r>
      <w:r>
        <w:rPr>
          <w:color w:val="231F20"/>
          <w:w w:val="105"/>
        </w:rPr>
        <w:t>asociacio- nes</w:t>
      </w:r>
      <w:r>
        <w:rPr>
          <w:color w:val="231F20"/>
          <w:spacing w:val="-16"/>
          <w:w w:val="105"/>
        </w:rPr>
        <w:t> </w:t>
      </w:r>
      <w:r>
        <w:rPr>
          <w:color w:val="231F20"/>
          <w:w w:val="105"/>
        </w:rPr>
        <w:t>ganaderas</w:t>
      </w:r>
      <w:r>
        <w:rPr>
          <w:color w:val="231F20"/>
          <w:spacing w:val="-16"/>
          <w:w w:val="105"/>
        </w:rPr>
        <w:t> </w:t>
      </w:r>
      <w:r>
        <w:rPr>
          <w:color w:val="231F20"/>
          <w:w w:val="105"/>
        </w:rPr>
        <w:t>y</w:t>
      </w:r>
      <w:r>
        <w:rPr>
          <w:color w:val="231F20"/>
          <w:spacing w:val="-16"/>
          <w:w w:val="105"/>
        </w:rPr>
        <w:t> </w:t>
      </w:r>
      <w:r>
        <w:rPr>
          <w:color w:val="231F20"/>
          <w:w w:val="105"/>
        </w:rPr>
        <w:t>sociedades</w:t>
      </w:r>
      <w:r>
        <w:rPr>
          <w:color w:val="231F20"/>
          <w:spacing w:val="-16"/>
          <w:w w:val="105"/>
        </w:rPr>
        <w:t> </w:t>
      </w:r>
      <w:r>
        <w:rPr>
          <w:color w:val="231F20"/>
          <w:w w:val="105"/>
        </w:rPr>
        <w:t>de</w:t>
      </w:r>
      <w:r>
        <w:rPr>
          <w:color w:val="231F20"/>
          <w:spacing w:val="-16"/>
          <w:w w:val="105"/>
        </w:rPr>
        <w:t> </w:t>
      </w:r>
      <w:r>
        <w:rPr>
          <w:color w:val="231F20"/>
          <w:w w:val="105"/>
        </w:rPr>
        <w:t>producción</w:t>
      </w:r>
      <w:r>
        <w:rPr>
          <w:color w:val="231F20"/>
          <w:spacing w:val="-16"/>
          <w:w w:val="105"/>
        </w:rPr>
        <w:t> </w:t>
      </w:r>
      <w:r>
        <w:rPr>
          <w:color w:val="231F20"/>
          <w:w w:val="105"/>
        </w:rPr>
        <w:t>rural,</w:t>
      </w:r>
      <w:r>
        <w:rPr>
          <w:color w:val="231F20"/>
          <w:spacing w:val="-16"/>
          <w:w w:val="105"/>
        </w:rPr>
        <w:t> </w:t>
      </w:r>
      <w:r>
        <w:rPr>
          <w:color w:val="231F20"/>
          <w:w w:val="105"/>
        </w:rPr>
        <w:t>y aunque reciben escasa capacitación (29%), asis- tencia técnica (23%) y apoyo crediticio (25%), el 94% de ellos tienen la perspectiva de continuar con la ganadería. Algunos productores contratan trabajadores   fijos   (39%),   eventuales   (44%)</w:t>
      </w:r>
      <w:r>
        <w:rPr>
          <w:color w:val="231F20"/>
          <w:spacing w:val="29"/>
          <w:w w:val="105"/>
        </w:rPr>
        <w:t> </w:t>
      </w:r>
      <w:r>
        <w:rPr>
          <w:color w:val="231F20"/>
          <w:w w:val="105"/>
        </w:rPr>
        <w:t>o</w:t>
      </w:r>
    </w:p>
    <w:p>
      <w:pPr>
        <w:pStyle w:val="BodyText"/>
        <w:spacing w:line="259" w:lineRule="auto" w:before="67"/>
        <w:ind w:left="413" w:right="1551"/>
        <w:jc w:val="both"/>
      </w:pPr>
      <w:r>
        <w:rPr/>
        <w:br w:type="column"/>
      </w:r>
      <w:r>
        <w:rPr>
          <w:color w:val="231F20"/>
        </w:rPr>
        <w:t>de ambos tipos (18%). Las unidades ganaderas tienen un bajo grado de desarrollo tecnológico y utilizan pocos insumos externos. Los animales son de raza Cebú y del biotipo criollo, encastados con algunas razas europeas, entre las que predominan Suizo, Holstein y en menor proporción Simmental. En la mayoría de las unidades ganaderas las va-   cas se ordeñan una vez al día (97%) y de forma manual mediante la técnica de manejo conocida como “rejeguería” tradicional, que consiste en esti- mular la bajada de la leche mediante el amaman- tamiento del becerro por unos 2-3 minutos antes de comenzar la </w:t>
      </w:r>
      <w:r>
        <w:rPr>
          <w:color w:val="231F20"/>
          <w:spacing w:val="9"/>
        </w:rPr>
        <w:t> </w:t>
      </w:r>
      <w:r>
        <w:rPr>
          <w:color w:val="231F20"/>
        </w:rPr>
        <w:t>ordeña.</w:t>
      </w:r>
    </w:p>
    <w:p>
      <w:pPr>
        <w:pStyle w:val="BodyText"/>
        <w:spacing w:line="259" w:lineRule="auto" w:before="113"/>
        <w:ind w:left="413" w:right="1551"/>
        <w:jc w:val="both"/>
      </w:pPr>
      <w:r>
        <w:rPr>
          <w:color w:val="231F20"/>
          <w:w w:val="105"/>
        </w:rPr>
        <w:t>El número de vacas en ordeña es en promedio de 20,2 (± </w:t>
      </w:r>
      <w:r>
        <w:rPr>
          <w:color w:val="231F20"/>
          <w:spacing w:val="-4"/>
          <w:w w:val="105"/>
        </w:rPr>
        <w:t>11,7) </w:t>
      </w:r>
      <w:r>
        <w:rPr>
          <w:color w:val="231F20"/>
          <w:w w:val="105"/>
        </w:rPr>
        <w:t>por productor, la producción de leche diaria es de 4,8 (± 0,10; en época de lluvias 5,5 y en épocas secas 4,07) litros por vaca y la anual es de </w:t>
      </w:r>
      <w:r>
        <w:rPr>
          <w:color w:val="231F20"/>
          <w:spacing w:val="-3"/>
          <w:w w:val="105"/>
        </w:rPr>
        <w:t>1183,0 </w:t>
      </w:r>
      <w:r>
        <w:rPr>
          <w:color w:val="231F20"/>
          <w:w w:val="105"/>
        </w:rPr>
        <w:t>(± 4,3) litros por vaca en un periodo de </w:t>
      </w:r>
      <w:r>
        <w:rPr>
          <w:color w:val="231F20"/>
          <w:spacing w:val="-9"/>
          <w:w w:val="105"/>
        </w:rPr>
        <w:t>7,5 </w:t>
      </w:r>
      <w:r>
        <w:rPr>
          <w:color w:val="231F20"/>
          <w:w w:val="105"/>
        </w:rPr>
        <w:t>(± 0,09) meses. La leche se vende a las empresas Pradel </w:t>
      </w:r>
      <w:r>
        <w:rPr>
          <w:color w:val="231F20"/>
          <w:spacing w:val="-5"/>
          <w:w w:val="105"/>
        </w:rPr>
        <w:t>(97,3%)  </w:t>
      </w:r>
      <w:r>
        <w:rPr>
          <w:color w:val="231F20"/>
          <w:w w:val="105"/>
        </w:rPr>
        <w:t>y Nestlé (1,3%),     y a queseros artesanales (1,3%). </w:t>
      </w:r>
      <w:r>
        <w:rPr>
          <w:color w:val="231F20"/>
          <w:spacing w:val="-5"/>
          <w:w w:val="105"/>
        </w:rPr>
        <w:t>Todos </w:t>
      </w:r>
      <w:r>
        <w:rPr>
          <w:color w:val="231F20"/>
          <w:w w:val="105"/>
        </w:rPr>
        <w:t>los be- cerros son vendidos al destete, a los </w:t>
      </w:r>
      <w:r>
        <w:rPr>
          <w:color w:val="231F20"/>
          <w:spacing w:val="-9"/>
          <w:w w:val="105"/>
        </w:rPr>
        <w:t>7,8 </w:t>
      </w:r>
      <w:r>
        <w:rPr>
          <w:color w:val="231F20"/>
          <w:w w:val="105"/>
        </w:rPr>
        <w:t>(± 0,88) meses de edad, para ser engordados en otras re- giones</w:t>
      </w:r>
      <w:r>
        <w:rPr>
          <w:color w:val="231F20"/>
          <w:spacing w:val="-7"/>
          <w:w w:val="105"/>
        </w:rPr>
        <w:t> </w:t>
      </w:r>
      <w:r>
        <w:rPr>
          <w:color w:val="231F20"/>
          <w:w w:val="105"/>
        </w:rPr>
        <w:t>de</w:t>
      </w:r>
      <w:r>
        <w:rPr>
          <w:color w:val="231F20"/>
          <w:spacing w:val="-7"/>
          <w:w w:val="105"/>
        </w:rPr>
        <w:t> </w:t>
      </w:r>
      <w:r>
        <w:rPr>
          <w:color w:val="231F20"/>
          <w:w w:val="105"/>
        </w:rPr>
        <w:t>México.</w:t>
      </w:r>
      <w:r>
        <w:rPr>
          <w:color w:val="231F20"/>
          <w:spacing w:val="-7"/>
          <w:w w:val="105"/>
        </w:rPr>
        <w:t> </w:t>
      </w:r>
      <w:r>
        <w:rPr>
          <w:color w:val="231F20"/>
          <w:w w:val="105"/>
        </w:rPr>
        <w:t>El</w:t>
      </w:r>
      <w:r>
        <w:rPr>
          <w:color w:val="231F20"/>
          <w:spacing w:val="-7"/>
          <w:w w:val="105"/>
        </w:rPr>
        <w:t> </w:t>
      </w:r>
      <w:r>
        <w:rPr>
          <w:color w:val="231F20"/>
          <w:w w:val="105"/>
        </w:rPr>
        <w:t>margen</w:t>
      </w:r>
      <w:r>
        <w:rPr>
          <w:color w:val="231F20"/>
          <w:spacing w:val="-7"/>
          <w:w w:val="105"/>
        </w:rPr>
        <w:t> </w:t>
      </w:r>
      <w:r>
        <w:rPr>
          <w:color w:val="231F20"/>
          <w:w w:val="105"/>
        </w:rPr>
        <w:t>neto</w:t>
      </w:r>
      <w:r>
        <w:rPr>
          <w:color w:val="231F20"/>
          <w:spacing w:val="-7"/>
          <w:w w:val="105"/>
        </w:rPr>
        <w:t> </w:t>
      </w:r>
      <w:r>
        <w:rPr>
          <w:color w:val="231F20"/>
          <w:w w:val="105"/>
        </w:rPr>
        <w:t>por</w:t>
      </w:r>
      <w:r>
        <w:rPr>
          <w:color w:val="231F20"/>
          <w:spacing w:val="-7"/>
          <w:w w:val="105"/>
        </w:rPr>
        <w:t> </w:t>
      </w:r>
      <w:r>
        <w:rPr>
          <w:color w:val="231F20"/>
          <w:w w:val="105"/>
        </w:rPr>
        <w:t>vaca</w:t>
      </w:r>
      <w:r>
        <w:rPr>
          <w:color w:val="231F20"/>
          <w:spacing w:val="-7"/>
          <w:w w:val="105"/>
        </w:rPr>
        <w:t> </w:t>
      </w:r>
      <w:r>
        <w:rPr>
          <w:color w:val="231F20"/>
          <w:w w:val="105"/>
        </w:rPr>
        <w:t>al</w:t>
      </w:r>
      <w:r>
        <w:rPr>
          <w:color w:val="231F20"/>
          <w:spacing w:val="-7"/>
          <w:w w:val="105"/>
        </w:rPr>
        <w:t> </w:t>
      </w:r>
      <w:r>
        <w:rPr>
          <w:color w:val="231F20"/>
          <w:w w:val="105"/>
        </w:rPr>
        <w:t>año es de $2408,9 (± 212,5), y el total de beneficia- rios de la familia por unidad ganadera es de 3,9 (± 0,6) personas. La venta de leche, de becerros al destete y de vacas de desecho es la principal fuente</w:t>
      </w:r>
      <w:r>
        <w:rPr>
          <w:color w:val="231F20"/>
          <w:spacing w:val="-18"/>
          <w:w w:val="105"/>
        </w:rPr>
        <w:t> </w:t>
      </w:r>
      <w:r>
        <w:rPr>
          <w:color w:val="231F20"/>
          <w:w w:val="105"/>
        </w:rPr>
        <w:t>de</w:t>
      </w:r>
      <w:r>
        <w:rPr>
          <w:color w:val="231F20"/>
          <w:spacing w:val="-18"/>
          <w:w w:val="105"/>
        </w:rPr>
        <w:t> </w:t>
      </w:r>
      <w:r>
        <w:rPr>
          <w:color w:val="231F20"/>
          <w:w w:val="105"/>
        </w:rPr>
        <w:t>ingresos</w:t>
      </w:r>
      <w:r>
        <w:rPr>
          <w:color w:val="231F20"/>
          <w:spacing w:val="-18"/>
          <w:w w:val="105"/>
        </w:rPr>
        <w:t> </w:t>
      </w:r>
      <w:r>
        <w:rPr>
          <w:color w:val="231F20"/>
          <w:w w:val="105"/>
        </w:rPr>
        <w:t>del</w:t>
      </w:r>
      <w:r>
        <w:rPr>
          <w:color w:val="231F20"/>
          <w:spacing w:val="-18"/>
          <w:w w:val="105"/>
        </w:rPr>
        <w:t> </w:t>
      </w:r>
      <w:r>
        <w:rPr>
          <w:color w:val="231F20"/>
          <w:w w:val="105"/>
        </w:rPr>
        <w:t>productor</w:t>
      </w:r>
      <w:r>
        <w:rPr>
          <w:color w:val="231F20"/>
          <w:spacing w:val="-18"/>
          <w:w w:val="105"/>
        </w:rPr>
        <w:t> </w:t>
      </w:r>
      <w:r>
        <w:rPr>
          <w:color w:val="231F20"/>
          <w:w w:val="105"/>
        </w:rPr>
        <w:t>y</w:t>
      </w:r>
      <w:r>
        <w:rPr>
          <w:color w:val="231F20"/>
          <w:spacing w:val="-18"/>
          <w:w w:val="105"/>
        </w:rPr>
        <w:t> </w:t>
      </w:r>
      <w:r>
        <w:rPr>
          <w:color w:val="231F20"/>
          <w:w w:val="105"/>
        </w:rPr>
        <w:t>presenta</w:t>
      </w:r>
      <w:r>
        <w:rPr>
          <w:color w:val="231F20"/>
          <w:spacing w:val="-18"/>
          <w:w w:val="105"/>
        </w:rPr>
        <w:t> </w:t>
      </w:r>
      <w:r>
        <w:rPr>
          <w:color w:val="231F20"/>
          <w:w w:val="105"/>
        </w:rPr>
        <w:t>serios </w:t>
      </w:r>
      <w:r>
        <w:rPr>
          <w:color w:val="231F20"/>
        </w:rPr>
        <w:t>problemas de</w:t>
      </w:r>
      <w:r>
        <w:rPr>
          <w:color w:val="231F20"/>
          <w:spacing w:val="37"/>
        </w:rPr>
        <w:t> </w:t>
      </w:r>
      <w:r>
        <w:rPr>
          <w:color w:val="231F20"/>
        </w:rPr>
        <w:t>intermediarismo.</w:t>
      </w:r>
    </w:p>
    <w:p>
      <w:pPr>
        <w:pStyle w:val="BodyText"/>
      </w:pPr>
    </w:p>
    <w:p>
      <w:pPr>
        <w:pStyle w:val="BodyText"/>
        <w:spacing w:line="259" w:lineRule="auto" w:before="152"/>
        <w:ind w:left="413" w:right="1676"/>
      </w:pPr>
      <w:r>
        <w:rPr>
          <w:color w:val="231F20"/>
          <w:w w:val="110"/>
        </w:rPr>
        <w:t>APROXIMACIÓN DE LAS UNIDADES GANADERAS A LA PRODUCCIÓN  ORGÁNICA</w:t>
      </w:r>
    </w:p>
    <w:p>
      <w:pPr>
        <w:pStyle w:val="BodyText"/>
        <w:spacing w:line="259" w:lineRule="auto" w:before="113"/>
        <w:ind w:left="413" w:right="1551"/>
        <w:jc w:val="both"/>
      </w:pPr>
      <w:r>
        <w:rPr>
          <w:color w:val="231F20"/>
        </w:rPr>
        <w:t>Para tener la certeza de elegir al municipio de </w:t>
      </w:r>
      <w:r>
        <w:rPr>
          <w:color w:val="231F20"/>
          <w:spacing w:val="-4"/>
        </w:rPr>
        <w:t>Tecpatán, </w:t>
      </w:r>
      <w:r>
        <w:rPr>
          <w:color w:val="231F20"/>
        </w:rPr>
        <w:t>Chiapas, como prioritario para impulsar  la ganadería orgánica, se evaluó</w:t>
      </w:r>
      <w:r>
        <w:rPr>
          <w:color w:val="231F20"/>
          <w:spacing w:val="-23"/>
        </w:rPr>
        <w:t> </w:t>
      </w:r>
      <w:r>
        <w:rPr>
          <w:color w:val="231F20"/>
        </w:rPr>
        <w:t>comparativamente el grado de aproximación de las unidades gana- deras de dicho municipio con los de las unidades ganaderas de las microrregiones de la cuenca alta del río El </w:t>
      </w:r>
      <w:r>
        <w:rPr>
          <w:color w:val="231F20"/>
          <w:spacing w:val="-5"/>
        </w:rPr>
        <w:t>Tablón </w:t>
      </w:r>
      <w:r>
        <w:rPr>
          <w:color w:val="231F20"/>
        </w:rPr>
        <w:t>y la Frailesca, ambas localizadas en el municipio de Villaflores, Chiapas. Con ello se </w:t>
      </w:r>
      <w:r>
        <w:rPr>
          <w:color w:val="231F20"/>
          <w:spacing w:val="3"/>
        </w:rPr>
        <w:t> </w:t>
      </w:r>
      <w:r>
        <w:rPr>
          <w:color w:val="231F20"/>
        </w:rPr>
        <w:t>de-</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6.   Innovación en el proceso de conversión y certificación orgánica de la   </w:t>
      </w:r>
      <w:r>
        <w:rPr>
          <w:color w:val="231F20"/>
          <w:spacing w:val="7"/>
          <w:sz w:val="18"/>
        </w:rPr>
        <w:t> </w:t>
      </w:r>
      <w:r>
        <w:rPr>
          <w:color w:val="231F20"/>
          <w:sz w:val="18"/>
        </w:rPr>
        <w:t>leche</w:t>
      </w:r>
      <w:r>
        <w:rPr>
          <w:color w:val="231F20"/>
          <w:spacing w:val="12"/>
          <w:sz w:val="18"/>
        </w:rPr>
        <w:t> </w:t>
      </w:r>
      <w:r>
        <w:rPr>
          <w:color w:val="231F20"/>
          <w:sz w:val="18"/>
        </w:rPr>
        <w:t>bovina...</w:t>
      </w:r>
      <w:r>
        <w:rPr>
          <w:color w:val="231F20"/>
          <w:sz w:val="22"/>
        </w:rPr>
        <w:tab/>
        <w:t>93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4" w:lineRule="auto"/>
        <w:ind w:left="1553" w:right="1"/>
        <w:jc w:val="both"/>
      </w:pPr>
      <w:r>
        <w:rPr>
          <w:color w:val="231F20"/>
        </w:rPr>
        <w:t>mostró que la muestra de unidades ganaderas del municipio de </w:t>
      </w:r>
      <w:r>
        <w:rPr>
          <w:color w:val="231F20"/>
          <w:spacing w:val="-4"/>
        </w:rPr>
        <w:t>Tecpatán </w:t>
      </w:r>
      <w:r>
        <w:rPr>
          <w:color w:val="231F20"/>
        </w:rPr>
        <w:t>cuenta con un </w:t>
      </w:r>
      <w:r>
        <w:rPr>
          <w:color w:val="231F20"/>
          <w:spacing w:val="-7"/>
        </w:rPr>
        <w:t>67,0%</w:t>
      </w:r>
      <w:r>
        <w:rPr>
          <w:color w:val="231F20"/>
          <w:spacing w:val="31"/>
        </w:rPr>
        <w:t> </w:t>
      </w:r>
      <w:r>
        <w:rPr>
          <w:color w:val="231F20"/>
        </w:rPr>
        <w:t>de aproximación al modelo de producción orgánica, en tanto que las de la cuenca alta del río El </w:t>
      </w:r>
      <w:r>
        <w:rPr>
          <w:color w:val="231F20"/>
          <w:spacing w:val="-5"/>
        </w:rPr>
        <w:t>Tablón </w:t>
      </w:r>
      <w:r>
        <w:rPr>
          <w:color w:val="231F20"/>
        </w:rPr>
        <w:t>tienen un </w:t>
      </w:r>
      <w:r>
        <w:rPr>
          <w:color w:val="231F20"/>
          <w:spacing w:val="-7"/>
        </w:rPr>
        <w:t>57,5%</w:t>
      </w:r>
      <w:r>
        <w:rPr>
          <w:color w:val="231F20"/>
          <w:spacing w:val="31"/>
        </w:rPr>
        <w:t> </w:t>
      </w:r>
      <w:r>
        <w:rPr>
          <w:color w:val="231F20"/>
        </w:rPr>
        <w:t>y las  de  la  Frailesca  un  48,0%  de  aproximación  (Aguilar,  2008;  Calderón, </w:t>
      </w:r>
      <w:r>
        <w:rPr>
          <w:color w:val="231F20"/>
          <w:spacing w:val="14"/>
        </w:rPr>
        <w:t> </w:t>
      </w:r>
      <w:r>
        <w:rPr>
          <w:color w:val="231F20"/>
        </w:rPr>
        <w:t>2008;</w:t>
      </w:r>
    </w:p>
    <w:p>
      <w:pPr>
        <w:pStyle w:val="BodyText"/>
        <w:spacing w:before="1"/>
        <w:ind w:left="1553"/>
        <w:jc w:val="both"/>
      </w:pPr>
      <w:r>
        <w:rPr>
          <w:color w:val="231F20"/>
          <w:w w:val="105"/>
        </w:rPr>
        <w:t>López, 2010; Marroquín, 2011).</w:t>
      </w:r>
    </w:p>
    <w:p>
      <w:pPr>
        <w:pStyle w:val="BodyText"/>
        <w:spacing w:line="254" w:lineRule="auto" w:before="129"/>
        <w:ind w:left="1553"/>
        <w:jc w:val="both"/>
      </w:pPr>
      <w:r>
        <w:rPr>
          <w:color w:val="231F20"/>
        </w:rPr>
        <w:t>Una vez elegido el municipio de Tecpatán, Chiapas, mediante criterios de organización, administración y capacidad de gestión se decidió trabajar con tres sociedades de producción rural, cuyas unidades ganaderas fueron evaluadas de forma específica con el objetivo de impulsar su conversión orgánica. Los resultados indican que los valores ICO de las unidades de producción ganadera de doble pro- pósito de las tres sociedades de producción rural estudiadas son favorables, aunque los productores</w:t>
      </w:r>
    </w:p>
    <w:p>
      <w:pPr>
        <w:pStyle w:val="BodyText"/>
        <w:spacing w:before="3"/>
        <w:rPr>
          <w:sz w:val="28"/>
        </w:rPr>
      </w:pPr>
      <w:r>
        <w:rPr/>
        <w:br w:type="column"/>
      </w:r>
      <w:r>
        <w:rPr>
          <w:sz w:val="28"/>
        </w:rPr>
      </w:r>
    </w:p>
    <w:p>
      <w:pPr>
        <w:pStyle w:val="BodyText"/>
        <w:spacing w:line="256" w:lineRule="auto"/>
        <w:ind w:left="413" w:right="1551"/>
        <w:jc w:val="both"/>
      </w:pPr>
      <w:r>
        <w:rPr>
          <w:color w:val="231F20"/>
          <w:w w:val="105"/>
        </w:rPr>
        <w:t>tienen</w:t>
      </w:r>
      <w:r>
        <w:rPr>
          <w:color w:val="231F20"/>
          <w:spacing w:val="-28"/>
          <w:w w:val="105"/>
        </w:rPr>
        <w:t> </w:t>
      </w:r>
      <w:r>
        <w:rPr>
          <w:color w:val="231F20"/>
          <w:w w:val="105"/>
        </w:rPr>
        <w:t>limitaciones</w:t>
      </w:r>
      <w:r>
        <w:rPr>
          <w:color w:val="231F20"/>
          <w:spacing w:val="-28"/>
          <w:w w:val="105"/>
        </w:rPr>
        <w:t> </w:t>
      </w:r>
      <w:r>
        <w:rPr>
          <w:color w:val="231F20"/>
          <w:w w:val="105"/>
        </w:rPr>
        <w:t>de</w:t>
      </w:r>
      <w:r>
        <w:rPr>
          <w:color w:val="231F20"/>
          <w:spacing w:val="-28"/>
          <w:w w:val="105"/>
        </w:rPr>
        <w:t> </w:t>
      </w:r>
      <w:r>
        <w:rPr>
          <w:color w:val="231F20"/>
          <w:w w:val="105"/>
        </w:rPr>
        <w:t>manejo</w:t>
      </w:r>
      <w:r>
        <w:rPr>
          <w:color w:val="231F20"/>
          <w:spacing w:val="-28"/>
          <w:w w:val="105"/>
        </w:rPr>
        <w:t> </w:t>
      </w:r>
      <w:r>
        <w:rPr>
          <w:color w:val="231F20"/>
          <w:w w:val="105"/>
        </w:rPr>
        <w:t>sustentable</w:t>
      </w:r>
      <w:r>
        <w:rPr>
          <w:color w:val="231F20"/>
          <w:spacing w:val="-28"/>
          <w:w w:val="105"/>
        </w:rPr>
        <w:t> </w:t>
      </w:r>
      <w:r>
        <w:rPr>
          <w:color w:val="231F20"/>
          <w:w w:val="105"/>
        </w:rPr>
        <w:t>del</w:t>
      </w:r>
      <w:r>
        <w:rPr>
          <w:color w:val="231F20"/>
          <w:spacing w:val="-28"/>
          <w:w w:val="105"/>
        </w:rPr>
        <w:t> </w:t>
      </w:r>
      <w:r>
        <w:rPr>
          <w:color w:val="231F20"/>
          <w:w w:val="105"/>
        </w:rPr>
        <w:t>pas- tizal,</w:t>
      </w:r>
      <w:r>
        <w:rPr>
          <w:color w:val="231F20"/>
          <w:spacing w:val="-26"/>
          <w:w w:val="105"/>
        </w:rPr>
        <w:t> </w:t>
      </w:r>
      <w:r>
        <w:rPr>
          <w:color w:val="231F20"/>
          <w:w w:val="105"/>
        </w:rPr>
        <w:t>de</w:t>
      </w:r>
      <w:r>
        <w:rPr>
          <w:color w:val="231F20"/>
          <w:spacing w:val="-26"/>
          <w:w w:val="105"/>
        </w:rPr>
        <w:t> </w:t>
      </w:r>
      <w:r>
        <w:rPr>
          <w:color w:val="231F20"/>
          <w:w w:val="105"/>
        </w:rPr>
        <w:t>profilaxis</w:t>
      </w:r>
      <w:r>
        <w:rPr>
          <w:color w:val="231F20"/>
          <w:spacing w:val="-26"/>
          <w:w w:val="105"/>
        </w:rPr>
        <w:t> </w:t>
      </w:r>
      <w:r>
        <w:rPr>
          <w:color w:val="231F20"/>
          <w:w w:val="105"/>
        </w:rPr>
        <w:t>y</w:t>
      </w:r>
      <w:r>
        <w:rPr>
          <w:color w:val="231F20"/>
          <w:spacing w:val="-26"/>
          <w:w w:val="105"/>
        </w:rPr>
        <w:t> </w:t>
      </w:r>
      <w:r>
        <w:rPr>
          <w:color w:val="231F20"/>
          <w:w w:val="105"/>
        </w:rPr>
        <w:t>cuidados</w:t>
      </w:r>
      <w:r>
        <w:rPr>
          <w:color w:val="231F20"/>
          <w:spacing w:val="-26"/>
          <w:w w:val="105"/>
        </w:rPr>
        <w:t> </w:t>
      </w:r>
      <w:r>
        <w:rPr>
          <w:color w:val="231F20"/>
          <w:w w:val="105"/>
        </w:rPr>
        <w:t>médicos</w:t>
      </w:r>
      <w:r>
        <w:rPr>
          <w:color w:val="231F20"/>
          <w:spacing w:val="-26"/>
          <w:w w:val="105"/>
        </w:rPr>
        <w:t> </w:t>
      </w:r>
      <w:r>
        <w:rPr>
          <w:color w:val="231F20"/>
          <w:w w:val="105"/>
        </w:rPr>
        <w:t>veterinarios, de inocuidad y de gestión ecológica (Cuadro 1). Esto</w:t>
      </w:r>
      <w:r>
        <w:rPr>
          <w:color w:val="231F20"/>
          <w:spacing w:val="-7"/>
          <w:w w:val="105"/>
        </w:rPr>
        <w:t> </w:t>
      </w:r>
      <w:r>
        <w:rPr>
          <w:color w:val="231F20"/>
          <w:w w:val="105"/>
        </w:rPr>
        <w:t>obedece</w:t>
      </w:r>
      <w:r>
        <w:rPr>
          <w:color w:val="231F20"/>
          <w:spacing w:val="-7"/>
          <w:w w:val="105"/>
        </w:rPr>
        <w:t> </w:t>
      </w:r>
      <w:r>
        <w:rPr>
          <w:color w:val="231F20"/>
          <w:w w:val="105"/>
        </w:rPr>
        <w:t>principalmente</w:t>
      </w:r>
      <w:r>
        <w:rPr>
          <w:color w:val="231F20"/>
          <w:spacing w:val="-7"/>
          <w:w w:val="105"/>
        </w:rPr>
        <w:t> </w:t>
      </w:r>
      <w:r>
        <w:rPr>
          <w:color w:val="231F20"/>
          <w:w w:val="105"/>
        </w:rPr>
        <w:t>a</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mayoría (&gt;60%) de las unidades ganaderas no se utilizan agroquímicos sino métodos de manejo tradicio- nales o agroecológicos. En estas circunstancias, las diferentes unidades ganaderas evaluadas en las tres sociedades de producción rural se</w:t>
      </w:r>
      <w:r>
        <w:rPr>
          <w:color w:val="231F20"/>
          <w:spacing w:val="-6"/>
          <w:w w:val="105"/>
        </w:rPr>
        <w:t> </w:t>
      </w:r>
      <w:r>
        <w:rPr>
          <w:color w:val="231F20"/>
          <w:w w:val="105"/>
        </w:rPr>
        <w:t>ubican principalmente en el nivel intermedio (55-75%), de acuerdo con lo reportado por Olivares </w:t>
      </w:r>
      <w:r>
        <w:rPr>
          <w:i/>
          <w:color w:val="231F20"/>
          <w:w w:val="105"/>
        </w:rPr>
        <w:t>et al. </w:t>
      </w:r>
      <w:r>
        <w:rPr>
          <w:color w:val="231F20"/>
          <w:w w:val="105"/>
        </w:rPr>
        <w:t>(2005) para la ganadería de</w:t>
      </w:r>
      <w:r>
        <w:rPr>
          <w:color w:val="231F20"/>
          <w:spacing w:val="13"/>
          <w:w w:val="105"/>
        </w:rPr>
        <w:t> </w:t>
      </w:r>
      <w:r>
        <w:rPr>
          <w:color w:val="231F20"/>
          <w:spacing w:val="-3"/>
          <w:w w:val="105"/>
        </w:rPr>
        <w:t>Tabasco.</w:t>
      </w:r>
    </w:p>
    <w:p>
      <w:pPr>
        <w:pStyle w:val="BodyText"/>
        <w:spacing w:line="256" w:lineRule="auto" w:before="113"/>
        <w:ind w:left="413" w:right="1551"/>
        <w:jc w:val="both"/>
      </w:pPr>
      <w:r>
        <w:rPr>
          <w:color w:val="231F20"/>
        </w:rPr>
        <w:t>El nivel de aproximación de las unidades ganade- ras evaluadas al modelo orgánico se debe princi- palmente al manejo tradicional, con escaso uso de insumos externos, más que a la instrumentación  de  tecnologías  sostenibles  de  producción  y  </w:t>
      </w:r>
      <w:r>
        <w:rPr>
          <w:color w:val="231F20"/>
          <w:spacing w:val="4"/>
        </w:rPr>
        <w:t> </w:t>
      </w:r>
      <w:r>
        <w:rPr>
          <w:color w:val="231F20"/>
        </w:rPr>
        <w:t>me-</w:t>
      </w:r>
    </w:p>
    <w:p>
      <w:pPr>
        <w:spacing w:after="0" w:line="256" w:lineRule="auto"/>
        <w:jc w:val="both"/>
        <w:sectPr>
          <w:type w:val="continuous"/>
          <w:pgSz w:w="11900" w:h="14450"/>
          <w:pgMar w:top="420" w:bottom="420" w:left="0" w:right="0"/>
          <w:cols w:num="2" w:equalWidth="0">
            <w:col w:w="5722" w:space="40"/>
            <w:col w:w="6138"/>
          </w:cols>
        </w:sectPr>
      </w:pPr>
    </w:p>
    <w:p>
      <w:pPr>
        <w:pStyle w:val="BodyText"/>
        <w:spacing w:before="9"/>
        <w:rPr>
          <w:sz w:val="22"/>
        </w:rPr>
      </w:pPr>
    </w:p>
    <w:p>
      <w:pPr>
        <w:spacing w:line="283" w:lineRule="auto" w:before="72"/>
        <w:ind w:left="1553" w:right="1655" w:firstLine="0"/>
        <w:jc w:val="left"/>
        <w:rPr>
          <w:sz w:val="18"/>
        </w:rPr>
      </w:pPr>
      <w:r>
        <w:rPr>
          <w:color w:val="231F20"/>
          <w:sz w:val="18"/>
        </w:rPr>
        <w:t>Cuadro 1. Indicadores e índice de aproximación al modelo de producción orgánica (%) en unidades de producción bovina de tres sociedades de producción rural de </w:t>
      </w:r>
      <w:r>
        <w:rPr>
          <w:color w:val="231F20"/>
          <w:spacing w:val="-3"/>
          <w:sz w:val="18"/>
        </w:rPr>
        <w:t>Tecpatán,   </w:t>
      </w:r>
      <w:r>
        <w:rPr>
          <w:color w:val="231F20"/>
          <w:spacing w:val="25"/>
          <w:sz w:val="18"/>
        </w:rPr>
        <w:t> </w:t>
      </w:r>
      <w:r>
        <w:rPr>
          <w:color w:val="231F20"/>
          <w:sz w:val="18"/>
        </w:rPr>
        <w:t>Chiapas.</w:t>
      </w:r>
    </w:p>
    <w:p>
      <w:pPr>
        <w:pStyle w:val="BodyText"/>
        <w:spacing w:before="7" w:after="1"/>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354"/>
        <w:gridCol w:w="1814"/>
        <w:gridCol w:w="1814"/>
        <w:gridCol w:w="1814"/>
      </w:tblGrid>
      <w:tr>
        <w:trPr>
          <w:trHeight w:val="397" w:hRule="exact"/>
        </w:trPr>
        <w:tc>
          <w:tcPr>
            <w:tcW w:w="3354" w:type="dxa"/>
            <w:tcBorders>
              <w:left w:val="nil"/>
            </w:tcBorders>
          </w:tcPr>
          <w:p>
            <w:pPr>
              <w:pStyle w:val="TableParagraph"/>
              <w:spacing w:before="93"/>
              <w:ind w:left="1195" w:right="1190"/>
              <w:jc w:val="center"/>
              <w:rPr>
                <w:rFonts w:ascii="Cambria"/>
                <w:i/>
                <w:sz w:val="18"/>
              </w:rPr>
            </w:pPr>
            <w:r>
              <w:rPr>
                <w:rFonts w:ascii="Cambria"/>
                <w:i/>
                <w:color w:val="231F20"/>
                <w:w w:val="105"/>
                <w:sz w:val="18"/>
              </w:rPr>
              <w:t>Indicadores</w:t>
            </w:r>
          </w:p>
        </w:tc>
        <w:tc>
          <w:tcPr>
            <w:tcW w:w="5443" w:type="dxa"/>
            <w:gridSpan w:val="3"/>
            <w:tcBorders>
              <w:right w:val="nil"/>
            </w:tcBorders>
          </w:tcPr>
          <w:p>
            <w:pPr>
              <w:pStyle w:val="TableParagraph"/>
              <w:spacing w:before="93"/>
              <w:ind w:left="1842" w:right="1846"/>
              <w:jc w:val="center"/>
              <w:rPr>
                <w:rFonts w:ascii="Cambria"/>
                <w:i/>
                <w:sz w:val="18"/>
              </w:rPr>
            </w:pPr>
            <w:r>
              <w:rPr>
                <w:rFonts w:ascii="Cambria"/>
                <w:i/>
                <w:color w:val="231F20"/>
                <w:w w:val="110"/>
                <w:sz w:val="18"/>
              </w:rPr>
              <w:t>Productores de leche</w:t>
            </w:r>
          </w:p>
        </w:tc>
      </w:tr>
      <w:tr>
        <w:trPr>
          <w:trHeight w:val="723" w:hRule="exact"/>
        </w:trPr>
        <w:tc>
          <w:tcPr>
            <w:tcW w:w="3354" w:type="dxa"/>
            <w:tcBorders>
              <w:left w:val="nil"/>
            </w:tcBorders>
          </w:tcPr>
          <w:p>
            <w:pPr>
              <w:pStyle w:val="TableParagraph"/>
              <w:spacing w:before="0"/>
              <w:rPr>
                <w:sz w:val="16"/>
              </w:rPr>
            </w:pPr>
          </w:p>
          <w:p>
            <w:pPr>
              <w:pStyle w:val="TableParagraph"/>
              <w:spacing w:before="3"/>
              <w:rPr>
                <w:sz w:val="20"/>
              </w:rPr>
            </w:pPr>
          </w:p>
          <w:p>
            <w:pPr>
              <w:pStyle w:val="TableParagraph"/>
              <w:spacing w:before="0"/>
              <w:ind w:left="113"/>
              <w:rPr>
                <w:sz w:val="17"/>
              </w:rPr>
            </w:pPr>
            <w:r>
              <w:rPr>
                <w:color w:val="231F20"/>
                <w:w w:val="115"/>
                <w:sz w:val="17"/>
              </w:rPr>
              <w:t>N=75</w:t>
            </w:r>
          </w:p>
        </w:tc>
        <w:tc>
          <w:tcPr>
            <w:tcW w:w="1814" w:type="dxa"/>
          </w:tcPr>
          <w:p>
            <w:pPr>
              <w:pStyle w:val="TableParagraph"/>
              <w:spacing w:line="295" w:lineRule="auto" w:before="126"/>
              <w:ind w:left="797" w:right="363" w:hanging="425"/>
              <w:rPr>
                <w:rFonts w:ascii="Cambria"/>
                <w:i/>
                <w:sz w:val="18"/>
              </w:rPr>
            </w:pPr>
            <w:r>
              <w:rPr>
                <w:rFonts w:ascii="Cambria"/>
                <w:i/>
                <w:color w:val="231F20"/>
                <w:w w:val="105"/>
                <w:sz w:val="18"/>
              </w:rPr>
              <w:t>SPR-Grijalva</w:t>
            </w:r>
            <w:r>
              <w:rPr>
                <w:rFonts w:ascii="Cambria"/>
                <w:i/>
                <w:color w:val="231F20"/>
                <w:w w:val="105"/>
                <w:position w:val="6"/>
                <w:sz w:val="10"/>
              </w:rPr>
              <w:t>1 </w:t>
            </w:r>
            <w:r>
              <w:rPr>
                <w:rFonts w:ascii="Cambria"/>
                <w:i/>
                <w:color w:val="231F20"/>
                <w:w w:val="110"/>
                <w:sz w:val="18"/>
              </w:rPr>
              <w:t>35</w:t>
            </w:r>
          </w:p>
        </w:tc>
        <w:tc>
          <w:tcPr>
            <w:tcW w:w="1814" w:type="dxa"/>
          </w:tcPr>
          <w:p>
            <w:pPr>
              <w:pStyle w:val="TableParagraph"/>
              <w:spacing w:line="295" w:lineRule="auto" w:before="126"/>
              <w:ind w:left="797" w:right="239" w:hanging="548"/>
              <w:rPr>
                <w:rFonts w:ascii="Cambria"/>
                <w:i/>
                <w:sz w:val="18"/>
              </w:rPr>
            </w:pPr>
            <w:r>
              <w:rPr>
                <w:rFonts w:ascii="Cambria"/>
                <w:i/>
                <w:color w:val="231F20"/>
                <w:w w:val="105"/>
                <w:sz w:val="18"/>
              </w:rPr>
              <w:t>SPR-Pomarrosa</w:t>
            </w:r>
            <w:r>
              <w:rPr>
                <w:rFonts w:ascii="Cambria"/>
                <w:i/>
                <w:color w:val="231F20"/>
                <w:w w:val="105"/>
                <w:position w:val="6"/>
                <w:sz w:val="10"/>
              </w:rPr>
              <w:t>2 </w:t>
            </w:r>
            <w:r>
              <w:rPr>
                <w:rFonts w:ascii="Cambria"/>
                <w:i/>
                <w:color w:val="231F20"/>
                <w:w w:val="110"/>
                <w:sz w:val="18"/>
              </w:rPr>
              <w:t>22</w:t>
            </w:r>
          </w:p>
        </w:tc>
        <w:tc>
          <w:tcPr>
            <w:tcW w:w="1814" w:type="dxa"/>
            <w:tcBorders>
              <w:right w:val="nil"/>
            </w:tcBorders>
          </w:tcPr>
          <w:p>
            <w:pPr>
              <w:pStyle w:val="TableParagraph"/>
              <w:spacing w:line="295" w:lineRule="auto" w:before="126"/>
              <w:ind w:left="798" w:right="192" w:hanging="460"/>
              <w:rPr>
                <w:rFonts w:ascii="Cambria"/>
                <w:i/>
                <w:sz w:val="18"/>
              </w:rPr>
            </w:pPr>
            <w:r>
              <w:rPr>
                <w:rFonts w:ascii="Cambria"/>
                <w:i/>
                <w:color w:val="231F20"/>
                <w:w w:val="105"/>
                <w:sz w:val="18"/>
              </w:rPr>
              <w:t>SPR-Malpaso</w:t>
            </w:r>
            <w:r>
              <w:rPr>
                <w:rFonts w:ascii="Cambria"/>
                <w:i/>
                <w:color w:val="231F20"/>
                <w:w w:val="105"/>
                <w:position w:val="6"/>
                <w:sz w:val="10"/>
              </w:rPr>
              <w:t>3 </w:t>
            </w:r>
            <w:r>
              <w:rPr>
                <w:rFonts w:ascii="Cambria"/>
                <w:i/>
                <w:color w:val="231F20"/>
                <w:w w:val="110"/>
                <w:sz w:val="18"/>
              </w:rPr>
              <w:t>18</w:t>
            </w:r>
          </w:p>
        </w:tc>
      </w:tr>
      <w:tr>
        <w:trPr>
          <w:trHeight w:val="354" w:hRule="exact"/>
        </w:trPr>
        <w:tc>
          <w:tcPr>
            <w:tcW w:w="3354" w:type="dxa"/>
            <w:tcBorders>
              <w:left w:val="nil"/>
            </w:tcBorders>
          </w:tcPr>
          <w:p>
            <w:pPr>
              <w:pStyle w:val="TableParagraph"/>
              <w:ind w:left="113"/>
              <w:rPr>
                <w:sz w:val="17"/>
              </w:rPr>
            </w:pPr>
            <w:r>
              <w:rPr>
                <w:color w:val="231F20"/>
                <w:sz w:val="17"/>
              </w:rPr>
              <w:t>Manejo alimenticio</w:t>
            </w:r>
          </w:p>
        </w:tc>
        <w:tc>
          <w:tcPr>
            <w:tcW w:w="1814" w:type="dxa"/>
          </w:tcPr>
          <w:p>
            <w:pPr>
              <w:pStyle w:val="TableParagraph"/>
              <w:ind w:left="406" w:right="406"/>
              <w:jc w:val="center"/>
              <w:rPr>
                <w:sz w:val="17"/>
              </w:rPr>
            </w:pPr>
            <w:r>
              <w:rPr>
                <w:color w:val="231F20"/>
                <w:w w:val="115"/>
                <w:sz w:val="17"/>
              </w:rPr>
              <w:t>100 (±0,0)</w:t>
            </w:r>
          </w:p>
        </w:tc>
        <w:tc>
          <w:tcPr>
            <w:tcW w:w="1814" w:type="dxa"/>
          </w:tcPr>
          <w:p>
            <w:pPr>
              <w:pStyle w:val="TableParagraph"/>
              <w:ind w:left="406" w:right="406"/>
              <w:jc w:val="center"/>
              <w:rPr>
                <w:sz w:val="17"/>
              </w:rPr>
            </w:pPr>
            <w:r>
              <w:rPr>
                <w:color w:val="231F20"/>
                <w:w w:val="115"/>
                <w:sz w:val="17"/>
              </w:rPr>
              <w:t>100 (±0,0)</w:t>
            </w:r>
          </w:p>
        </w:tc>
        <w:tc>
          <w:tcPr>
            <w:tcW w:w="1814" w:type="dxa"/>
            <w:tcBorders>
              <w:right w:val="nil"/>
            </w:tcBorders>
          </w:tcPr>
          <w:p>
            <w:pPr>
              <w:pStyle w:val="TableParagraph"/>
              <w:ind w:left="491" w:right="192"/>
              <w:rPr>
                <w:sz w:val="17"/>
              </w:rPr>
            </w:pPr>
            <w:r>
              <w:rPr>
                <w:color w:val="231F20"/>
                <w:w w:val="115"/>
                <w:sz w:val="17"/>
              </w:rPr>
              <w:t>100 (±0,0)</w:t>
            </w:r>
          </w:p>
        </w:tc>
      </w:tr>
      <w:tr>
        <w:trPr>
          <w:trHeight w:val="354" w:hRule="exact"/>
        </w:trPr>
        <w:tc>
          <w:tcPr>
            <w:tcW w:w="3354" w:type="dxa"/>
            <w:tcBorders>
              <w:left w:val="nil"/>
            </w:tcBorders>
          </w:tcPr>
          <w:p>
            <w:pPr>
              <w:pStyle w:val="TableParagraph"/>
              <w:ind w:left="113"/>
              <w:rPr>
                <w:sz w:val="17"/>
              </w:rPr>
            </w:pPr>
            <w:r>
              <w:rPr>
                <w:color w:val="231F20"/>
                <w:sz w:val="17"/>
              </w:rPr>
              <w:t>Manejo sustentable de pastizal</w:t>
            </w:r>
          </w:p>
        </w:tc>
        <w:tc>
          <w:tcPr>
            <w:tcW w:w="1814" w:type="dxa"/>
          </w:tcPr>
          <w:p>
            <w:pPr>
              <w:pStyle w:val="TableParagraph"/>
              <w:ind w:left="406" w:right="406"/>
              <w:jc w:val="center"/>
              <w:rPr>
                <w:sz w:val="17"/>
              </w:rPr>
            </w:pPr>
            <w:r>
              <w:rPr>
                <w:color w:val="231F20"/>
                <w:w w:val="115"/>
                <w:sz w:val="17"/>
              </w:rPr>
              <w:t>60,0 (±2,5)</w:t>
            </w:r>
          </w:p>
        </w:tc>
        <w:tc>
          <w:tcPr>
            <w:tcW w:w="1814" w:type="dxa"/>
          </w:tcPr>
          <w:p>
            <w:pPr>
              <w:pStyle w:val="TableParagraph"/>
              <w:ind w:left="406" w:right="406"/>
              <w:jc w:val="center"/>
              <w:rPr>
                <w:sz w:val="17"/>
              </w:rPr>
            </w:pPr>
            <w:r>
              <w:rPr>
                <w:color w:val="231F20"/>
                <w:w w:val="115"/>
                <w:sz w:val="17"/>
              </w:rPr>
              <w:t>57,9 (±3,8)</w:t>
            </w:r>
          </w:p>
        </w:tc>
        <w:tc>
          <w:tcPr>
            <w:tcW w:w="1814" w:type="dxa"/>
            <w:tcBorders>
              <w:right w:val="nil"/>
            </w:tcBorders>
          </w:tcPr>
          <w:p>
            <w:pPr>
              <w:pStyle w:val="TableParagraph"/>
              <w:ind w:left="473" w:right="192"/>
              <w:rPr>
                <w:sz w:val="17"/>
              </w:rPr>
            </w:pPr>
            <w:r>
              <w:rPr>
                <w:color w:val="231F20"/>
                <w:w w:val="115"/>
                <w:sz w:val="17"/>
              </w:rPr>
              <w:t>61,1 (±3,6)</w:t>
            </w:r>
          </w:p>
        </w:tc>
      </w:tr>
      <w:tr>
        <w:trPr>
          <w:trHeight w:val="354" w:hRule="exact"/>
        </w:trPr>
        <w:tc>
          <w:tcPr>
            <w:tcW w:w="3354" w:type="dxa"/>
            <w:tcBorders>
              <w:left w:val="nil"/>
            </w:tcBorders>
          </w:tcPr>
          <w:p>
            <w:pPr>
              <w:pStyle w:val="TableParagraph"/>
              <w:ind w:left="113"/>
              <w:rPr>
                <w:sz w:val="17"/>
              </w:rPr>
            </w:pPr>
            <w:r>
              <w:rPr>
                <w:color w:val="231F20"/>
                <w:sz w:val="17"/>
              </w:rPr>
              <w:t>Fertilización del suelo</w:t>
            </w:r>
          </w:p>
        </w:tc>
        <w:tc>
          <w:tcPr>
            <w:tcW w:w="1814" w:type="dxa"/>
          </w:tcPr>
          <w:p>
            <w:pPr>
              <w:pStyle w:val="TableParagraph"/>
              <w:ind w:left="406" w:right="406"/>
              <w:jc w:val="center"/>
              <w:rPr>
                <w:sz w:val="17"/>
              </w:rPr>
            </w:pPr>
            <w:r>
              <w:rPr>
                <w:color w:val="231F20"/>
                <w:w w:val="115"/>
                <w:sz w:val="17"/>
              </w:rPr>
              <w:t>80,0 (±6,9)</w:t>
            </w:r>
          </w:p>
        </w:tc>
        <w:tc>
          <w:tcPr>
            <w:tcW w:w="1814" w:type="dxa"/>
          </w:tcPr>
          <w:p>
            <w:pPr>
              <w:pStyle w:val="TableParagraph"/>
              <w:ind w:left="406" w:right="406"/>
              <w:jc w:val="center"/>
              <w:rPr>
                <w:sz w:val="17"/>
              </w:rPr>
            </w:pPr>
            <w:r>
              <w:rPr>
                <w:color w:val="231F20"/>
                <w:w w:val="115"/>
                <w:sz w:val="17"/>
              </w:rPr>
              <w:t>86,4 (±7,5)</w:t>
            </w:r>
          </w:p>
        </w:tc>
        <w:tc>
          <w:tcPr>
            <w:tcW w:w="1814" w:type="dxa"/>
            <w:tcBorders>
              <w:right w:val="nil"/>
            </w:tcBorders>
          </w:tcPr>
          <w:p>
            <w:pPr>
              <w:pStyle w:val="TableParagraph"/>
              <w:ind w:left="480" w:right="192"/>
              <w:rPr>
                <w:sz w:val="17"/>
              </w:rPr>
            </w:pPr>
            <w:r>
              <w:rPr>
                <w:color w:val="231F20"/>
                <w:w w:val="115"/>
                <w:sz w:val="17"/>
              </w:rPr>
              <w:t>88,9 (±7,6)</w:t>
            </w:r>
          </w:p>
        </w:tc>
      </w:tr>
      <w:tr>
        <w:trPr>
          <w:trHeight w:val="354" w:hRule="exact"/>
        </w:trPr>
        <w:tc>
          <w:tcPr>
            <w:tcW w:w="3354" w:type="dxa"/>
            <w:tcBorders>
              <w:left w:val="nil"/>
            </w:tcBorders>
          </w:tcPr>
          <w:p>
            <w:pPr>
              <w:pStyle w:val="TableParagraph"/>
              <w:ind w:left="113"/>
              <w:rPr>
                <w:sz w:val="17"/>
              </w:rPr>
            </w:pPr>
            <w:r>
              <w:rPr>
                <w:color w:val="231F20"/>
                <w:sz w:val="17"/>
              </w:rPr>
              <w:t>Control de malezas</w:t>
            </w:r>
          </w:p>
        </w:tc>
        <w:tc>
          <w:tcPr>
            <w:tcW w:w="1814" w:type="dxa"/>
          </w:tcPr>
          <w:p>
            <w:pPr>
              <w:pStyle w:val="TableParagraph"/>
              <w:ind w:left="406" w:right="406"/>
              <w:jc w:val="center"/>
              <w:rPr>
                <w:sz w:val="17"/>
              </w:rPr>
            </w:pPr>
            <w:r>
              <w:rPr>
                <w:color w:val="231F20"/>
                <w:w w:val="115"/>
                <w:sz w:val="17"/>
              </w:rPr>
              <w:t>77,1 (±7,2)</w:t>
            </w:r>
          </w:p>
        </w:tc>
        <w:tc>
          <w:tcPr>
            <w:tcW w:w="1814" w:type="dxa"/>
          </w:tcPr>
          <w:p>
            <w:pPr>
              <w:pStyle w:val="TableParagraph"/>
              <w:ind w:left="406" w:right="406"/>
              <w:jc w:val="center"/>
              <w:rPr>
                <w:sz w:val="17"/>
              </w:rPr>
            </w:pPr>
            <w:r>
              <w:rPr>
                <w:color w:val="231F20"/>
                <w:w w:val="115"/>
                <w:sz w:val="17"/>
              </w:rPr>
              <w:t>86,4 (±7,5)</w:t>
            </w:r>
          </w:p>
        </w:tc>
        <w:tc>
          <w:tcPr>
            <w:tcW w:w="1814" w:type="dxa"/>
            <w:tcBorders>
              <w:right w:val="nil"/>
            </w:tcBorders>
          </w:tcPr>
          <w:p>
            <w:pPr>
              <w:pStyle w:val="TableParagraph"/>
              <w:ind w:left="427" w:right="192"/>
              <w:rPr>
                <w:sz w:val="17"/>
              </w:rPr>
            </w:pPr>
            <w:r>
              <w:rPr>
                <w:color w:val="231F20"/>
                <w:w w:val="115"/>
                <w:sz w:val="17"/>
              </w:rPr>
              <w:t>66,7 (±11,4)</w:t>
            </w:r>
          </w:p>
        </w:tc>
      </w:tr>
      <w:tr>
        <w:trPr>
          <w:trHeight w:val="354" w:hRule="exact"/>
        </w:trPr>
        <w:tc>
          <w:tcPr>
            <w:tcW w:w="3354" w:type="dxa"/>
            <w:tcBorders>
              <w:left w:val="nil"/>
            </w:tcBorders>
          </w:tcPr>
          <w:p>
            <w:pPr>
              <w:pStyle w:val="TableParagraph"/>
              <w:ind w:left="113"/>
              <w:rPr>
                <w:sz w:val="17"/>
              </w:rPr>
            </w:pPr>
            <w:r>
              <w:rPr>
                <w:color w:val="231F20"/>
                <w:sz w:val="17"/>
              </w:rPr>
              <w:t>Control de plagas</w:t>
            </w:r>
          </w:p>
        </w:tc>
        <w:tc>
          <w:tcPr>
            <w:tcW w:w="1814" w:type="dxa"/>
          </w:tcPr>
          <w:p>
            <w:pPr>
              <w:pStyle w:val="TableParagraph"/>
              <w:ind w:left="406" w:right="406"/>
              <w:jc w:val="center"/>
              <w:rPr>
                <w:sz w:val="17"/>
              </w:rPr>
            </w:pPr>
            <w:r>
              <w:rPr>
                <w:color w:val="231F20"/>
                <w:w w:val="115"/>
                <w:sz w:val="17"/>
              </w:rPr>
              <w:t>60,0 (±8,4)</w:t>
            </w:r>
          </w:p>
        </w:tc>
        <w:tc>
          <w:tcPr>
            <w:tcW w:w="1814" w:type="dxa"/>
          </w:tcPr>
          <w:p>
            <w:pPr>
              <w:pStyle w:val="TableParagraph"/>
              <w:ind w:left="406" w:right="406"/>
              <w:jc w:val="center"/>
              <w:rPr>
                <w:sz w:val="17"/>
              </w:rPr>
            </w:pPr>
            <w:r>
              <w:rPr>
                <w:color w:val="231F20"/>
                <w:w w:val="115"/>
                <w:sz w:val="17"/>
              </w:rPr>
              <w:t>86,4 (±7,5)</w:t>
            </w:r>
          </w:p>
        </w:tc>
        <w:tc>
          <w:tcPr>
            <w:tcW w:w="1814" w:type="dxa"/>
            <w:tcBorders>
              <w:right w:val="nil"/>
            </w:tcBorders>
          </w:tcPr>
          <w:p>
            <w:pPr>
              <w:pStyle w:val="TableParagraph"/>
              <w:ind w:left="427" w:right="192"/>
              <w:rPr>
                <w:sz w:val="17"/>
              </w:rPr>
            </w:pPr>
            <w:r>
              <w:rPr>
                <w:color w:val="231F20"/>
                <w:w w:val="115"/>
                <w:sz w:val="17"/>
              </w:rPr>
              <w:t>72,2 (±10,9)</w:t>
            </w:r>
          </w:p>
        </w:tc>
      </w:tr>
      <w:tr>
        <w:trPr>
          <w:trHeight w:val="354" w:hRule="exact"/>
        </w:trPr>
        <w:tc>
          <w:tcPr>
            <w:tcW w:w="3354" w:type="dxa"/>
            <w:tcBorders>
              <w:left w:val="nil"/>
            </w:tcBorders>
          </w:tcPr>
          <w:p>
            <w:pPr>
              <w:pStyle w:val="TableParagraph"/>
              <w:ind w:left="113"/>
              <w:rPr>
                <w:sz w:val="17"/>
              </w:rPr>
            </w:pPr>
            <w:r>
              <w:rPr>
                <w:color w:val="231F20"/>
                <w:sz w:val="17"/>
              </w:rPr>
              <w:t>Profilaxis y cuidados  médicos</w:t>
            </w:r>
          </w:p>
        </w:tc>
        <w:tc>
          <w:tcPr>
            <w:tcW w:w="1814" w:type="dxa"/>
          </w:tcPr>
          <w:p>
            <w:pPr>
              <w:pStyle w:val="TableParagraph"/>
              <w:ind w:left="406" w:right="406"/>
              <w:jc w:val="center"/>
              <w:rPr>
                <w:sz w:val="17"/>
              </w:rPr>
            </w:pPr>
            <w:r>
              <w:rPr>
                <w:color w:val="231F20"/>
                <w:w w:val="115"/>
                <w:sz w:val="17"/>
              </w:rPr>
              <w:t>28,6 (±2,1)</w:t>
            </w:r>
          </w:p>
        </w:tc>
        <w:tc>
          <w:tcPr>
            <w:tcW w:w="1814" w:type="dxa"/>
          </w:tcPr>
          <w:p>
            <w:pPr>
              <w:pStyle w:val="TableParagraph"/>
              <w:ind w:left="406" w:right="406"/>
              <w:jc w:val="center"/>
              <w:rPr>
                <w:sz w:val="17"/>
              </w:rPr>
            </w:pPr>
            <w:r>
              <w:rPr>
                <w:color w:val="231F20"/>
                <w:w w:val="115"/>
                <w:sz w:val="17"/>
              </w:rPr>
              <w:t>30,7 (±2,9)</w:t>
            </w:r>
          </w:p>
        </w:tc>
        <w:tc>
          <w:tcPr>
            <w:tcW w:w="1814" w:type="dxa"/>
            <w:tcBorders>
              <w:right w:val="nil"/>
            </w:tcBorders>
          </w:tcPr>
          <w:p>
            <w:pPr>
              <w:pStyle w:val="TableParagraph"/>
              <w:ind w:left="471" w:right="192"/>
              <w:rPr>
                <w:sz w:val="17"/>
              </w:rPr>
            </w:pPr>
            <w:r>
              <w:rPr>
                <w:color w:val="231F20"/>
                <w:w w:val="115"/>
                <w:sz w:val="17"/>
              </w:rPr>
              <w:t>32,0 (±2,8)</w:t>
            </w:r>
          </w:p>
        </w:tc>
      </w:tr>
      <w:tr>
        <w:trPr>
          <w:trHeight w:val="354" w:hRule="exact"/>
        </w:trPr>
        <w:tc>
          <w:tcPr>
            <w:tcW w:w="3354" w:type="dxa"/>
            <w:tcBorders>
              <w:left w:val="nil"/>
            </w:tcBorders>
          </w:tcPr>
          <w:p>
            <w:pPr>
              <w:pStyle w:val="TableParagraph"/>
              <w:ind w:left="113"/>
              <w:rPr>
                <w:sz w:val="17"/>
              </w:rPr>
            </w:pPr>
            <w:r>
              <w:rPr>
                <w:color w:val="231F20"/>
                <w:sz w:val="17"/>
              </w:rPr>
              <w:t>Raza y reproducción</w:t>
            </w:r>
          </w:p>
        </w:tc>
        <w:tc>
          <w:tcPr>
            <w:tcW w:w="1814" w:type="dxa"/>
          </w:tcPr>
          <w:p>
            <w:pPr>
              <w:pStyle w:val="TableParagraph"/>
              <w:ind w:left="406" w:right="406"/>
              <w:jc w:val="center"/>
              <w:rPr>
                <w:sz w:val="17"/>
              </w:rPr>
            </w:pPr>
            <w:r>
              <w:rPr>
                <w:color w:val="231F20"/>
                <w:w w:val="115"/>
                <w:sz w:val="17"/>
              </w:rPr>
              <w:t>100 (±0,0)</w:t>
            </w:r>
          </w:p>
        </w:tc>
        <w:tc>
          <w:tcPr>
            <w:tcW w:w="1814" w:type="dxa"/>
          </w:tcPr>
          <w:p>
            <w:pPr>
              <w:pStyle w:val="TableParagraph"/>
              <w:ind w:left="406" w:right="406"/>
              <w:jc w:val="center"/>
              <w:rPr>
                <w:sz w:val="17"/>
              </w:rPr>
            </w:pPr>
            <w:r>
              <w:rPr>
                <w:color w:val="231F20"/>
                <w:w w:val="115"/>
                <w:sz w:val="17"/>
              </w:rPr>
              <w:t>100 (±0,0)</w:t>
            </w:r>
          </w:p>
        </w:tc>
        <w:tc>
          <w:tcPr>
            <w:tcW w:w="1814" w:type="dxa"/>
            <w:tcBorders>
              <w:right w:val="nil"/>
            </w:tcBorders>
          </w:tcPr>
          <w:p>
            <w:pPr>
              <w:pStyle w:val="TableParagraph"/>
              <w:ind w:left="491" w:right="192"/>
              <w:rPr>
                <w:sz w:val="17"/>
              </w:rPr>
            </w:pPr>
            <w:r>
              <w:rPr>
                <w:color w:val="231F20"/>
                <w:w w:val="115"/>
                <w:sz w:val="17"/>
              </w:rPr>
              <w:t>100 (±0,0)</w:t>
            </w:r>
          </w:p>
        </w:tc>
      </w:tr>
      <w:tr>
        <w:trPr>
          <w:trHeight w:val="354" w:hRule="exact"/>
        </w:trPr>
        <w:tc>
          <w:tcPr>
            <w:tcW w:w="3354" w:type="dxa"/>
            <w:tcBorders>
              <w:left w:val="nil"/>
            </w:tcBorders>
          </w:tcPr>
          <w:p>
            <w:pPr>
              <w:pStyle w:val="TableParagraph"/>
              <w:ind w:left="113"/>
              <w:rPr>
                <w:sz w:val="17"/>
              </w:rPr>
            </w:pPr>
            <w:r>
              <w:rPr>
                <w:color w:val="231F20"/>
                <w:sz w:val="17"/>
              </w:rPr>
              <w:t>Bienestar animal</w:t>
            </w:r>
          </w:p>
        </w:tc>
        <w:tc>
          <w:tcPr>
            <w:tcW w:w="1814" w:type="dxa"/>
          </w:tcPr>
          <w:p>
            <w:pPr>
              <w:pStyle w:val="TableParagraph"/>
              <w:ind w:left="406" w:right="406"/>
              <w:jc w:val="center"/>
              <w:rPr>
                <w:sz w:val="17"/>
              </w:rPr>
            </w:pPr>
            <w:r>
              <w:rPr>
                <w:color w:val="231F20"/>
                <w:w w:val="115"/>
                <w:sz w:val="17"/>
              </w:rPr>
              <w:t>80,0 (±0,0)</w:t>
            </w:r>
          </w:p>
        </w:tc>
        <w:tc>
          <w:tcPr>
            <w:tcW w:w="1814" w:type="dxa"/>
          </w:tcPr>
          <w:p>
            <w:pPr>
              <w:pStyle w:val="TableParagraph"/>
              <w:ind w:left="406" w:right="406"/>
              <w:jc w:val="center"/>
              <w:rPr>
                <w:sz w:val="17"/>
              </w:rPr>
            </w:pPr>
            <w:r>
              <w:rPr>
                <w:color w:val="231F20"/>
                <w:w w:val="115"/>
                <w:sz w:val="17"/>
              </w:rPr>
              <w:t>80,0 (±0,0)</w:t>
            </w:r>
          </w:p>
        </w:tc>
        <w:tc>
          <w:tcPr>
            <w:tcW w:w="1814" w:type="dxa"/>
            <w:tcBorders>
              <w:right w:val="nil"/>
            </w:tcBorders>
          </w:tcPr>
          <w:p>
            <w:pPr>
              <w:pStyle w:val="TableParagraph"/>
              <w:ind w:left="470" w:right="192"/>
              <w:rPr>
                <w:sz w:val="17"/>
              </w:rPr>
            </w:pPr>
            <w:r>
              <w:rPr>
                <w:color w:val="231F20"/>
                <w:w w:val="115"/>
                <w:sz w:val="17"/>
              </w:rPr>
              <w:t>80,0 (±0,0)</w:t>
            </w:r>
          </w:p>
        </w:tc>
      </w:tr>
      <w:tr>
        <w:trPr>
          <w:trHeight w:val="354" w:hRule="exact"/>
        </w:trPr>
        <w:tc>
          <w:tcPr>
            <w:tcW w:w="3354" w:type="dxa"/>
            <w:tcBorders>
              <w:left w:val="nil"/>
            </w:tcBorders>
          </w:tcPr>
          <w:p>
            <w:pPr>
              <w:pStyle w:val="TableParagraph"/>
              <w:ind w:left="113"/>
              <w:rPr>
                <w:sz w:val="17"/>
              </w:rPr>
            </w:pPr>
            <w:r>
              <w:rPr>
                <w:color w:val="231F20"/>
                <w:sz w:val="17"/>
              </w:rPr>
              <w:t>Inocuidad</w:t>
            </w:r>
          </w:p>
        </w:tc>
        <w:tc>
          <w:tcPr>
            <w:tcW w:w="1814" w:type="dxa"/>
          </w:tcPr>
          <w:p>
            <w:pPr>
              <w:pStyle w:val="TableParagraph"/>
              <w:ind w:left="406" w:right="406"/>
              <w:jc w:val="center"/>
              <w:rPr>
                <w:sz w:val="17"/>
              </w:rPr>
            </w:pPr>
            <w:r>
              <w:rPr>
                <w:color w:val="231F20"/>
                <w:w w:val="115"/>
                <w:sz w:val="17"/>
              </w:rPr>
              <w:t>50,0 (±0,0)</w:t>
            </w:r>
          </w:p>
        </w:tc>
        <w:tc>
          <w:tcPr>
            <w:tcW w:w="1814" w:type="dxa"/>
          </w:tcPr>
          <w:p>
            <w:pPr>
              <w:pStyle w:val="TableParagraph"/>
              <w:ind w:left="406" w:right="406"/>
              <w:jc w:val="center"/>
              <w:rPr>
                <w:sz w:val="17"/>
              </w:rPr>
            </w:pPr>
            <w:r>
              <w:rPr>
                <w:color w:val="231F20"/>
                <w:w w:val="115"/>
                <w:sz w:val="17"/>
              </w:rPr>
              <w:t>50,0 (±0,0)</w:t>
            </w:r>
          </w:p>
        </w:tc>
        <w:tc>
          <w:tcPr>
            <w:tcW w:w="1814" w:type="dxa"/>
            <w:tcBorders>
              <w:right w:val="nil"/>
            </w:tcBorders>
          </w:tcPr>
          <w:p>
            <w:pPr>
              <w:pStyle w:val="TableParagraph"/>
              <w:ind w:left="471" w:right="192"/>
              <w:rPr>
                <w:sz w:val="17"/>
              </w:rPr>
            </w:pPr>
            <w:r>
              <w:rPr>
                <w:color w:val="231F20"/>
                <w:w w:val="115"/>
                <w:sz w:val="17"/>
              </w:rPr>
              <w:t>50,0 (±0,0)</w:t>
            </w:r>
          </w:p>
        </w:tc>
      </w:tr>
      <w:tr>
        <w:trPr>
          <w:trHeight w:val="354" w:hRule="exact"/>
        </w:trPr>
        <w:tc>
          <w:tcPr>
            <w:tcW w:w="3354" w:type="dxa"/>
            <w:tcBorders>
              <w:left w:val="nil"/>
            </w:tcBorders>
          </w:tcPr>
          <w:p>
            <w:pPr>
              <w:pStyle w:val="TableParagraph"/>
              <w:ind w:left="113"/>
              <w:rPr>
                <w:sz w:val="17"/>
              </w:rPr>
            </w:pPr>
            <w:r>
              <w:rPr>
                <w:color w:val="231F20"/>
                <w:sz w:val="17"/>
              </w:rPr>
              <w:t>Gestión ecológica</w:t>
            </w:r>
          </w:p>
        </w:tc>
        <w:tc>
          <w:tcPr>
            <w:tcW w:w="1814" w:type="dxa"/>
          </w:tcPr>
          <w:p>
            <w:pPr>
              <w:pStyle w:val="TableParagraph"/>
              <w:ind w:left="406" w:right="406"/>
              <w:jc w:val="center"/>
              <w:rPr>
                <w:sz w:val="17"/>
              </w:rPr>
            </w:pPr>
            <w:r>
              <w:rPr>
                <w:color w:val="231F20"/>
                <w:w w:val="115"/>
                <w:sz w:val="17"/>
              </w:rPr>
              <w:t>40,0 (±0,0)</w:t>
            </w:r>
          </w:p>
        </w:tc>
        <w:tc>
          <w:tcPr>
            <w:tcW w:w="1814" w:type="dxa"/>
          </w:tcPr>
          <w:p>
            <w:pPr>
              <w:pStyle w:val="TableParagraph"/>
              <w:ind w:left="406" w:right="406"/>
              <w:jc w:val="center"/>
              <w:rPr>
                <w:sz w:val="17"/>
              </w:rPr>
            </w:pPr>
            <w:r>
              <w:rPr>
                <w:color w:val="231F20"/>
                <w:w w:val="115"/>
                <w:sz w:val="17"/>
              </w:rPr>
              <w:t>40,0 (±0,0)</w:t>
            </w:r>
          </w:p>
        </w:tc>
        <w:tc>
          <w:tcPr>
            <w:tcW w:w="1814" w:type="dxa"/>
            <w:tcBorders>
              <w:right w:val="nil"/>
            </w:tcBorders>
          </w:tcPr>
          <w:p>
            <w:pPr>
              <w:pStyle w:val="TableParagraph"/>
              <w:ind w:left="470" w:right="192"/>
              <w:rPr>
                <w:sz w:val="17"/>
              </w:rPr>
            </w:pPr>
            <w:r>
              <w:rPr>
                <w:color w:val="231F20"/>
                <w:w w:val="115"/>
                <w:sz w:val="17"/>
              </w:rPr>
              <w:t>40,0 (±0,0)</w:t>
            </w:r>
          </w:p>
        </w:tc>
      </w:tr>
      <w:tr>
        <w:trPr>
          <w:trHeight w:val="354" w:hRule="exact"/>
        </w:trPr>
        <w:tc>
          <w:tcPr>
            <w:tcW w:w="3354" w:type="dxa"/>
            <w:tcBorders>
              <w:left w:val="nil"/>
            </w:tcBorders>
          </w:tcPr>
          <w:p>
            <w:pPr>
              <w:pStyle w:val="TableParagraph"/>
              <w:ind w:left="113"/>
              <w:rPr>
                <w:sz w:val="17"/>
              </w:rPr>
            </w:pPr>
            <w:r>
              <w:rPr>
                <w:color w:val="231F20"/>
                <w:sz w:val="17"/>
              </w:rPr>
              <w:t>Índice de conversión  orgánico</w:t>
            </w:r>
          </w:p>
        </w:tc>
        <w:tc>
          <w:tcPr>
            <w:tcW w:w="1814" w:type="dxa"/>
          </w:tcPr>
          <w:p>
            <w:pPr>
              <w:pStyle w:val="TableParagraph"/>
              <w:ind w:left="406" w:right="406"/>
              <w:jc w:val="center"/>
              <w:rPr>
                <w:sz w:val="17"/>
              </w:rPr>
            </w:pPr>
            <w:r>
              <w:rPr>
                <w:color w:val="231F20"/>
                <w:w w:val="115"/>
                <w:sz w:val="17"/>
              </w:rPr>
              <w:t>62,2 (±0,92)</w:t>
            </w:r>
          </w:p>
        </w:tc>
        <w:tc>
          <w:tcPr>
            <w:tcW w:w="1814" w:type="dxa"/>
          </w:tcPr>
          <w:p>
            <w:pPr>
              <w:pStyle w:val="TableParagraph"/>
              <w:ind w:left="406" w:right="406"/>
              <w:jc w:val="center"/>
              <w:rPr>
                <w:sz w:val="17"/>
              </w:rPr>
            </w:pPr>
            <w:r>
              <w:rPr>
                <w:color w:val="231F20"/>
                <w:w w:val="115"/>
                <w:sz w:val="17"/>
              </w:rPr>
              <w:t>64,6 (±1,1)</w:t>
            </w:r>
          </w:p>
        </w:tc>
        <w:tc>
          <w:tcPr>
            <w:tcW w:w="1814" w:type="dxa"/>
            <w:tcBorders>
              <w:right w:val="nil"/>
            </w:tcBorders>
          </w:tcPr>
          <w:p>
            <w:pPr>
              <w:pStyle w:val="TableParagraph"/>
              <w:ind w:left="470" w:right="192"/>
              <w:rPr>
                <w:sz w:val="17"/>
              </w:rPr>
            </w:pPr>
            <w:r>
              <w:rPr>
                <w:color w:val="231F20"/>
                <w:w w:val="115"/>
                <w:sz w:val="17"/>
              </w:rPr>
              <w:t>63,4 (±1,2)</w:t>
            </w:r>
          </w:p>
        </w:tc>
      </w:tr>
    </w:tbl>
    <w:p>
      <w:pPr>
        <w:spacing w:line="261" w:lineRule="auto" w:before="77"/>
        <w:ind w:left="1667" w:right="1655" w:firstLine="0"/>
        <w:jc w:val="left"/>
        <w:rPr>
          <w:sz w:val="15"/>
        </w:rPr>
      </w:pPr>
      <w:r>
        <w:rPr>
          <w:color w:val="231F20"/>
          <w:position w:val="5"/>
          <w:sz w:val="8"/>
        </w:rPr>
        <w:t>1</w:t>
      </w:r>
      <w:r>
        <w:rPr>
          <w:color w:val="231F20"/>
          <w:sz w:val="15"/>
        </w:rPr>
        <w:t>Sociedad de producción rural Grijalva de la comunidad de Luis Espinosa. </w:t>
      </w:r>
      <w:r>
        <w:rPr>
          <w:color w:val="231F20"/>
          <w:position w:val="5"/>
          <w:sz w:val="8"/>
        </w:rPr>
        <w:t>2</w:t>
      </w:r>
      <w:r>
        <w:rPr>
          <w:color w:val="231F20"/>
          <w:sz w:val="15"/>
        </w:rPr>
        <w:t>Sociedad de producción rural La Pomarroza de la comunidad Emiliano Zapata. </w:t>
      </w:r>
      <w:r>
        <w:rPr>
          <w:color w:val="231F20"/>
          <w:position w:val="5"/>
          <w:sz w:val="8"/>
        </w:rPr>
        <w:t>3</w:t>
      </w:r>
      <w:r>
        <w:rPr>
          <w:color w:val="231F20"/>
          <w:sz w:val="15"/>
        </w:rPr>
        <w:t>Sociedad de producción rural Malpaso de la comunidad Raudales Malpaso.</w:t>
      </w:r>
    </w:p>
    <w:p>
      <w:pPr>
        <w:spacing w:after="0" w:line="261" w:lineRule="auto"/>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94</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rPr>
        <w:t>canismos apropiados de gestión ecológica, lo que permite identificar posibles intervenciones locales para fortalecer el proceso de conversión a una ganadería orgánica, con el enfoque de desarrollo rural sustentable de acuerdo con lo planteado por Guevara-Hernández (2007). Por ello, revertir el escenario actual hacia uno deseable de produc- ción ecológica, con toda la rigurosidad de la nor- mativa orgánica, significa esperar a que transcurra el periodo de transición o conversión necesario para reducir al mínimo el efecto residual de los agroquímicos utilizados previamente, e implemen- tar más prácticas preventivas que curativas en el manejo de los animales. Es necesario, además, brindar capacitación a los productores para lograr una sustitución de las tecnologías contaminantes, dependientes de capital y que degradan el medio físico, por otras que, siendo menos demandantes de capital y sustentadas en el uso eficiente de los recursos locales, permitan  el  mantenimiento  de  la biodiversidad biológica y de la capacidad pro- ductiva del suelo a largo plazo (Guzmán y Alon-    so, </w:t>
      </w:r>
      <w:r>
        <w:rPr>
          <w:color w:val="231F20"/>
          <w:spacing w:val="-3"/>
        </w:rPr>
        <w:t>2001). </w:t>
      </w:r>
      <w:r>
        <w:rPr>
          <w:color w:val="231F20"/>
        </w:rPr>
        <w:t>Esto es sin duda uno de los pasos primordiales para encauzar este proceso hacia el desarrollo</w:t>
      </w:r>
      <w:r>
        <w:rPr>
          <w:color w:val="231F20"/>
          <w:spacing w:val="-6"/>
        </w:rPr>
        <w:t> </w:t>
      </w:r>
      <w:r>
        <w:rPr>
          <w:color w:val="231F20"/>
        </w:rPr>
        <w:t>rural</w:t>
      </w:r>
      <w:r>
        <w:rPr>
          <w:color w:val="231F20"/>
          <w:spacing w:val="-6"/>
        </w:rPr>
        <w:t> </w:t>
      </w:r>
      <w:r>
        <w:rPr>
          <w:color w:val="231F20"/>
        </w:rPr>
        <w:t>sustentable.</w:t>
      </w:r>
      <w:r>
        <w:rPr>
          <w:color w:val="231F20"/>
          <w:spacing w:val="-6"/>
        </w:rPr>
        <w:t> </w:t>
      </w:r>
      <w:r>
        <w:rPr>
          <w:color w:val="231F20"/>
        </w:rPr>
        <w:t>Por</w:t>
      </w:r>
      <w:r>
        <w:rPr>
          <w:color w:val="231F20"/>
          <w:spacing w:val="-6"/>
        </w:rPr>
        <w:t> </w:t>
      </w:r>
      <w:r>
        <w:rPr>
          <w:color w:val="231F20"/>
        </w:rPr>
        <w:t>ello,</w:t>
      </w:r>
      <w:r>
        <w:rPr>
          <w:color w:val="231F20"/>
          <w:spacing w:val="-6"/>
        </w:rPr>
        <w:t> </w:t>
      </w:r>
      <w:r>
        <w:rPr>
          <w:color w:val="231F20"/>
        </w:rPr>
        <w:t>es</w:t>
      </w:r>
      <w:r>
        <w:rPr>
          <w:color w:val="231F20"/>
          <w:spacing w:val="-6"/>
        </w:rPr>
        <w:t> </w:t>
      </w:r>
      <w:r>
        <w:rPr>
          <w:color w:val="231F20"/>
        </w:rPr>
        <w:t>importante revisar y respetar el listado de sustancias permi- tidas, prohibidas y restringidas que la normativa orgánica indica. Finalmente, se ha recomendado instrumentar mecanismos de gestión y promoción de la ganadería orgánica que permitan redireccio- nar los esfuerzos hacia una meta común, que es     la ganadería orgánica como eje articulador del de- sarrollo rural y</w:t>
      </w:r>
      <w:r>
        <w:rPr>
          <w:color w:val="231F20"/>
          <w:spacing w:val="-20"/>
        </w:rPr>
        <w:t> </w:t>
      </w:r>
      <w:r>
        <w:rPr>
          <w:color w:val="231F20"/>
        </w:rPr>
        <w:t>local.</w:t>
      </w:r>
    </w:p>
    <w:p>
      <w:pPr>
        <w:pStyle w:val="BodyText"/>
        <w:spacing w:line="259" w:lineRule="auto" w:before="113"/>
        <w:ind w:left="1553"/>
        <w:jc w:val="both"/>
      </w:pPr>
      <w:r>
        <w:rPr>
          <w:color w:val="231F20"/>
        </w:rPr>
        <w:t>De acuerdo con Guzmán y Alonso (2001), la duración del periodo de transición para que una actividad agropecuaria sea considerada como pro- ducción orgánica se establece de manera arbitra- ria, y en general varía entre </w:t>
      </w:r>
      <w:r>
        <w:rPr>
          <w:color w:val="231F20"/>
          <w:spacing w:val="-5"/>
        </w:rPr>
        <w:t>12 </w:t>
      </w:r>
      <w:r>
        <w:rPr>
          <w:color w:val="231F20"/>
        </w:rPr>
        <w:t>y 36 meses. Por su parte, el IFOAM (2005) indica que dicho periodo  de transición varía de </w:t>
      </w:r>
      <w:r>
        <w:rPr>
          <w:color w:val="231F20"/>
          <w:spacing w:val="-5"/>
        </w:rPr>
        <w:t>12 </w:t>
      </w:r>
      <w:r>
        <w:rPr>
          <w:color w:val="231F20"/>
        </w:rPr>
        <w:t>a 48 meses, y en la prác- tica depende del manejo anterior y de la rigurosi- dad de la empresa</w:t>
      </w:r>
      <w:r>
        <w:rPr>
          <w:color w:val="231F20"/>
          <w:spacing w:val="41"/>
        </w:rPr>
        <w:t> </w:t>
      </w:r>
      <w:r>
        <w:rPr>
          <w:color w:val="231F20"/>
        </w:rPr>
        <w:t>certificadora.</w:t>
      </w:r>
    </w:p>
    <w:p>
      <w:pPr>
        <w:pStyle w:val="BodyText"/>
        <w:spacing w:line="259" w:lineRule="auto" w:before="67"/>
        <w:ind w:left="412" w:right="1551"/>
        <w:jc w:val="both"/>
      </w:pPr>
      <w:r>
        <w:rPr/>
        <w:br w:type="column"/>
      </w:r>
      <w:r>
        <w:rPr>
          <w:color w:val="231F20"/>
        </w:rPr>
        <w:t>En el caso de las unidades ganaderas evaluadas,    el  periodo  de  transición  podría  ser  menor  de  24 meses porque se trata de sistemas ganaderos con manejo tradicional, y la conversión afectaría simultáneamente a toda la unidad de producción, incluyendo los animales, las áreas de pastoreo y cualquier parcela utilizada para la alimentación</w:t>
      </w:r>
      <w:r>
        <w:rPr>
          <w:color w:val="231F20"/>
          <w:spacing w:val="-17"/>
        </w:rPr>
        <w:t> </w:t>
      </w:r>
      <w:r>
        <w:rPr>
          <w:color w:val="231F20"/>
        </w:rPr>
        <w:t>ani- mal   (CERTIMEX, </w:t>
      </w:r>
      <w:r>
        <w:rPr>
          <w:color w:val="231F20"/>
          <w:spacing w:val="3"/>
        </w:rPr>
        <w:t> </w:t>
      </w:r>
      <w:r>
        <w:rPr>
          <w:color w:val="231F20"/>
          <w:spacing w:val="-3"/>
        </w:rPr>
        <w:t>2007).</w:t>
      </w:r>
    </w:p>
    <w:p>
      <w:pPr>
        <w:pStyle w:val="BodyText"/>
        <w:spacing w:line="259" w:lineRule="auto" w:before="113"/>
        <w:ind w:left="412" w:right="1551"/>
        <w:jc w:val="both"/>
      </w:pPr>
      <w:r>
        <w:rPr>
          <w:color w:val="231F20"/>
        </w:rPr>
        <w:t>Para alcanzar la meta de lo “orgánico” es necesario aprovechar la oportunidad que ofrece el ICO de las unidades ganaderas evaluadas, cuyo potencial ra- dica en el bajo uso de insumos externos, el uso de tecnología tradicional y las características</w:t>
      </w:r>
      <w:r>
        <w:rPr>
          <w:color w:val="231F20"/>
          <w:spacing w:val="-16"/>
        </w:rPr>
        <w:t> </w:t>
      </w:r>
      <w:r>
        <w:rPr>
          <w:color w:val="231F20"/>
        </w:rPr>
        <w:t>artesana- les de los productos ganaderos que se obtienen. </w:t>
      </w:r>
      <w:r>
        <w:rPr>
          <w:color w:val="231F20"/>
          <w:spacing w:val="-3"/>
        </w:rPr>
        <w:t>También </w:t>
      </w:r>
      <w:r>
        <w:rPr>
          <w:color w:val="231F20"/>
        </w:rPr>
        <w:t>se ha sugerido fortalecer los mecanismos de apoyo (financiero, asesoría, capacitación, orga- nización y gestión) en los diferentes eslabones de  la cadena productiva, así como instrumentar una política global de desarrollo de la ganadería bovina orgánica; en particular, se requiere una política in- tegral de sanidad e inocuidad agroalimentaria que considere la financiación de los costos de certi- ficación por calidad orgánica y promoción de los productos chiapanecos en el mercado nacional e internacional. De esta forma, la carne, la leche y  los quesos de las tres sociedades de producción rural evaluadas podrían certificarse como orgáni- cos o de máxima calidad, para comercializarse en  el mercado del tipo que sea en beneficio de los productores y los </w:t>
      </w:r>
      <w:r>
        <w:rPr>
          <w:color w:val="231F20"/>
          <w:spacing w:val="8"/>
        </w:rPr>
        <w:t> </w:t>
      </w:r>
      <w:r>
        <w:rPr>
          <w:color w:val="231F20"/>
        </w:rPr>
        <w:t>consumidores.</w:t>
      </w:r>
    </w:p>
    <w:p>
      <w:pPr>
        <w:pStyle w:val="BodyText"/>
      </w:pPr>
    </w:p>
    <w:p>
      <w:pPr>
        <w:pStyle w:val="BodyText"/>
        <w:spacing w:line="259" w:lineRule="auto" w:before="152"/>
        <w:ind w:left="412" w:right="1676"/>
      </w:pPr>
      <w:r>
        <w:rPr>
          <w:color w:val="231F20"/>
          <w:w w:val="110"/>
        </w:rPr>
        <w:t>EXPERIENCIA DE CERTIFICACIÓN ORGÁNICA DE LA PRODUCCIÓN DE  LECHE</w:t>
      </w:r>
    </w:p>
    <w:p>
      <w:pPr>
        <w:pStyle w:val="BodyText"/>
        <w:spacing w:line="259" w:lineRule="auto" w:before="113"/>
        <w:ind w:left="412" w:right="1551"/>
        <w:jc w:val="both"/>
      </w:pPr>
      <w:r>
        <w:rPr>
          <w:color w:val="231F20"/>
        </w:rPr>
        <w:t>Aunque las tres sociedades de producción rural evaluadas tienen más del 60% de aproximación al modelo de producción orgánica, sólo una de ellas ha logrado hasta ahora la certificación orgánica, debido a que las unidades ganaderas han cubierto los criterios técnico-administrativos y de control in- terno exigidos por la empresa certificadora. Éste es el caso de los productores de la sociedad de pro-</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6.   Innovación en el proceso de conversión y certificación orgánica de la   </w:t>
      </w:r>
      <w:r>
        <w:rPr>
          <w:color w:val="231F20"/>
          <w:spacing w:val="7"/>
          <w:sz w:val="18"/>
        </w:rPr>
        <w:t> </w:t>
      </w:r>
      <w:r>
        <w:rPr>
          <w:color w:val="231F20"/>
          <w:sz w:val="18"/>
        </w:rPr>
        <w:t>leche</w:t>
      </w:r>
      <w:r>
        <w:rPr>
          <w:color w:val="231F20"/>
          <w:spacing w:val="12"/>
          <w:sz w:val="18"/>
        </w:rPr>
        <w:t> </w:t>
      </w:r>
      <w:r>
        <w:rPr>
          <w:color w:val="231F20"/>
          <w:sz w:val="18"/>
        </w:rPr>
        <w:t>bovina...</w:t>
      </w:r>
      <w:r>
        <w:rPr>
          <w:color w:val="231F20"/>
          <w:sz w:val="22"/>
        </w:rPr>
        <w:tab/>
        <w:t>95</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4" w:lineRule="auto"/>
        <w:ind w:left="1553"/>
        <w:jc w:val="both"/>
      </w:pPr>
      <w:r>
        <w:rPr>
          <w:color w:val="231F20"/>
        </w:rPr>
        <w:t>ducción rural “La </w:t>
      </w:r>
      <w:r>
        <w:rPr>
          <w:color w:val="231F20"/>
          <w:spacing w:val="-3"/>
        </w:rPr>
        <w:t>Pomarroza”, </w:t>
      </w:r>
      <w:r>
        <w:rPr>
          <w:color w:val="231F20"/>
        </w:rPr>
        <w:t>del Ejido Emiliano Zapata del Municipio de </w:t>
      </w:r>
      <w:r>
        <w:rPr>
          <w:color w:val="231F20"/>
          <w:spacing w:val="-3"/>
        </w:rPr>
        <w:t>Tecpatán, </w:t>
      </w:r>
      <w:r>
        <w:rPr>
          <w:color w:val="231F20"/>
        </w:rPr>
        <w:t>Chiapas, quie- nes lograron en el mes de junio de </w:t>
      </w:r>
      <w:r>
        <w:rPr>
          <w:color w:val="231F20"/>
          <w:spacing w:val="-6"/>
        </w:rPr>
        <w:t>2010 </w:t>
      </w:r>
      <w:r>
        <w:rPr>
          <w:color w:val="231F20"/>
        </w:rPr>
        <w:t>la cer- tificación orgánica de su producción lechera ante   la empresa Certificadora Mexicana de Productos y Procesos Ecológicos S.C. (CERTIMEX). Los produc- tores fueron asesorados por académicos de El Co- legio de la Frontera Sur (ECOSUR), la Universidad Autónoma de Chiapas (UNACH) y técnicos de la Secretaria del Campo (SECAM) del Gobierno del Estado de Chiapas. Dicha sociedad de producción rural está integrada por 22 productores ejidatarios, y es el primer grupo de ejidatarios en el Estado y en el país que ha certificado su producción lechera como</w:t>
      </w:r>
      <w:r>
        <w:rPr>
          <w:color w:val="231F20"/>
          <w:spacing w:val="19"/>
        </w:rPr>
        <w:t> </w:t>
      </w:r>
      <w:r>
        <w:rPr>
          <w:color w:val="231F20"/>
        </w:rPr>
        <w:t>orgánica.</w:t>
      </w:r>
    </w:p>
    <w:p>
      <w:pPr>
        <w:pStyle w:val="BodyText"/>
        <w:spacing w:line="264" w:lineRule="auto" w:before="113"/>
        <w:ind w:left="1553"/>
        <w:jc w:val="both"/>
      </w:pPr>
      <w:r>
        <w:rPr>
          <w:color w:val="231F20"/>
        </w:rPr>
        <w:t>El proceso de innovación específico seguido en esta sociedad de  producción  rural  para  obtener la certificación de la producción de leche fue el siguiente:</w:t>
      </w:r>
    </w:p>
    <w:p>
      <w:pPr>
        <w:pStyle w:val="ListParagraph"/>
        <w:numPr>
          <w:ilvl w:val="0"/>
          <w:numId w:val="12"/>
        </w:numPr>
        <w:tabs>
          <w:tab w:pos="1838" w:val="left" w:leader="none"/>
        </w:tabs>
        <w:spacing w:line="264" w:lineRule="auto" w:before="113" w:after="0"/>
        <w:ind w:left="1837" w:right="0" w:hanging="284"/>
        <w:jc w:val="both"/>
        <w:rPr>
          <w:color w:val="231F20"/>
          <w:sz w:val="20"/>
        </w:rPr>
      </w:pPr>
      <w:r>
        <w:rPr>
          <w:color w:val="231F20"/>
          <w:sz w:val="20"/>
        </w:rPr>
        <w:t>Evaluar las unidades ganaderas de las organi- zaciones de productores según la metodología desarrollada por académicos de ECOSUR y la UNACH, para conocer el grado de aproxima- ción de las unidades ganaderas convencionales al modelo de producción orgánica, e identificar sus limitaciones, potencialidades</w:t>
      </w:r>
      <w:r>
        <w:rPr>
          <w:color w:val="231F20"/>
          <w:spacing w:val="4"/>
          <w:sz w:val="20"/>
        </w:rPr>
        <w:t> </w:t>
      </w:r>
      <w:r>
        <w:rPr>
          <w:color w:val="231F20"/>
          <w:sz w:val="20"/>
        </w:rPr>
        <w:t>y</w:t>
      </w:r>
      <w:r>
        <w:rPr>
          <w:color w:val="231F20"/>
          <w:spacing w:val="16"/>
          <w:sz w:val="20"/>
        </w:rPr>
        <w:t> </w:t>
      </w:r>
      <w:r>
        <w:rPr>
          <w:color w:val="231F20"/>
          <w:sz w:val="20"/>
        </w:rPr>
        <w:t>oportunida-</w:t>
      </w:r>
      <w:r>
        <w:rPr>
          <w:color w:val="231F20"/>
          <w:w w:val="95"/>
          <w:sz w:val="20"/>
        </w:rPr>
        <w:t> </w:t>
      </w:r>
      <w:r>
        <w:rPr>
          <w:color w:val="231F20"/>
          <w:sz w:val="20"/>
        </w:rPr>
        <w:t>des para incorporarse a la producción orgánica (Nahed</w:t>
      </w:r>
      <w:r>
        <w:rPr>
          <w:color w:val="231F20"/>
          <w:spacing w:val="30"/>
          <w:sz w:val="20"/>
        </w:rPr>
        <w:t> </w:t>
      </w:r>
      <w:r>
        <w:rPr>
          <w:i/>
          <w:color w:val="231F20"/>
          <w:sz w:val="20"/>
        </w:rPr>
        <w:t>et</w:t>
      </w:r>
      <w:r>
        <w:rPr>
          <w:i/>
          <w:color w:val="231F20"/>
          <w:spacing w:val="30"/>
          <w:sz w:val="20"/>
        </w:rPr>
        <w:t> </w:t>
      </w:r>
      <w:r>
        <w:rPr>
          <w:i/>
          <w:color w:val="231F20"/>
          <w:sz w:val="20"/>
        </w:rPr>
        <w:t>al</w:t>
      </w:r>
      <w:r>
        <w:rPr>
          <w:color w:val="231F20"/>
          <w:sz w:val="20"/>
        </w:rPr>
        <w:t>.,</w:t>
      </w:r>
      <w:r>
        <w:rPr>
          <w:color w:val="231F20"/>
          <w:spacing w:val="30"/>
          <w:sz w:val="20"/>
        </w:rPr>
        <w:t> </w:t>
      </w:r>
      <w:r>
        <w:rPr>
          <w:color w:val="231F20"/>
          <w:sz w:val="20"/>
        </w:rPr>
        <w:t>2009;</w:t>
      </w:r>
      <w:r>
        <w:rPr>
          <w:color w:val="231F20"/>
          <w:spacing w:val="30"/>
          <w:sz w:val="20"/>
        </w:rPr>
        <w:t> </w:t>
      </w:r>
      <w:r>
        <w:rPr>
          <w:color w:val="231F20"/>
          <w:sz w:val="20"/>
        </w:rPr>
        <w:t>Mena</w:t>
      </w:r>
      <w:r>
        <w:rPr>
          <w:color w:val="231F20"/>
          <w:spacing w:val="30"/>
          <w:sz w:val="20"/>
        </w:rPr>
        <w:t> </w:t>
      </w:r>
      <w:r>
        <w:rPr>
          <w:i/>
          <w:color w:val="231F20"/>
          <w:sz w:val="20"/>
        </w:rPr>
        <w:t>et</w:t>
      </w:r>
      <w:r>
        <w:rPr>
          <w:i/>
          <w:color w:val="231F20"/>
          <w:spacing w:val="30"/>
          <w:sz w:val="20"/>
        </w:rPr>
        <w:t> </w:t>
      </w:r>
      <w:r>
        <w:rPr>
          <w:i/>
          <w:color w:val="231F20"/>
          <w:sz w:val="20"/>
        </w:rPr>
        <w:t>al</w:t>
      </w:r>
      <w:r>
        <w:rPr>
          <w:color w:val="231F20"/>
          <w:sz w:val="20"/>
        </w:rPr>
        <w:t>.,</w:t>
      </w:r>
      <w:r>
        <w:rPr>
          <w:color w:val="231F20"/>
          <w:spacing w:val="30"/>
          <w:sz w:val="20"/>
        </w:rPr>
        <w:t> </w:t>
      </w:r>
      <w:r>
        <w:rPr>
          <w:color w:val="231F20"/>
          <w:spacing w:val="-4"/>
          <w:sz w:val="20"/>
        </w:rPr>
        <w:t>2012).</w:t>
      </w:r>
    </w:p>
    <w:p>
      <w:pPr>
        <w:pStyle w:val="ListParagraph"/>
        <w:numPr>
          <w:ilvl w:val="0"/>
          <w:numId w:val="12"/>
        </w:numPr>
        <w:tabs>
          <w:tab w:pos="1838" w:val="left" w:leader="none"/>
        </w:tabs>
        <w:spacing w:line="264" w:lineRule="auto" w:before="113" w:after="0"/>
        <w:ind w:left="1837" w:right="0" w:hanging="284"/>
        <w:jc w:val="both"/>
        <w:rPr>
          <w:color w:val="231F20"/>
          <w:sz w:val="20"/>
        </w:rPr>
      </w:pPr>
      <w:r>
        <w:rPr>
          <w:color w:val="231F20"/>
          <w:sz w:val="20"/>
        </w:rPr>
        <w:t>Capacitar a productores y técnicos en</w:t>
      </w:r>
      <w:r>
        <w:rPr>
          <w:color w:val="231F20"/>
          <w:spacing w:val="28"/>
          <w:sz w:val="20"/>
        </w:rPr>
        <w:t> </w:t>
      </w:r>
      <w:r>
        <w:rPr>
          <w:color w:val="231F20"/>
          <w:sz w:val="20"/>
        </w:rPr>
        <w:t>cuanto</w:t>
      </w:r>
      <w:r>
        <w:rPr>
          <w:color w:val="231F20"/>
          <w:spacing w:val="12"/>
          <w:sz w:val="20"/>
        </w:rPr>
        <w:t> </w:t>
      </w:r>
      <w:r>
        <w:rPr>
          <w:color w:val="231F20"/>
          <w:sz w:val="20"/>
        </w:rPr>
        <w:t>a </w:t>
      </w:r>
      <w:r>
        <w:rPr>
          <w:color w:val="231F20"/>
          <w:sz w:val="20"/>
        </w:rPr>
        <w:t>tecnologías agroecológicas y sustancias permi- tidas, restringidas y prohibidas por</w:t>
      </w:r>
      <w:r>
        <w:rPr>
          <w:color w:val="231F20"/>
          <w:spacing w:val="5"/>
          <w:sz w:val="20"/>
        </w:rPr>
        <w:t> </w:t>
      </w:r>
      <w:r>
        <w:rPr>
          <w:color w:val="231F20"/>
          <w:sz w:val="20"/>
        </w:rPr>
        <w:t>la</w:t>
      </w:r>
      <w:r>
        <w:rPr>
          <w:color w:val="231F20"/>
          <w:spacing w:val="1"/>
          <w:sz w:val="20"/>
        </w:rPr>
        <w:t> </w:t>
      </w:r>
      <w:r>
        <w:rPr>
          <w:color w:val="231F20"/>
          <w:sz w:val="20"/>
        </w:rPr>
        <w:t>normativa</w:t>
      </w:r>
      <w:r>
        <w:rPr>
          <w:color w:val="231F20"/>
          <w:w w:val="98"/>
          <w:sz w:val="20"/>
        </w:rPr>
        <w:t> </w:t>
      </w:r>
      <w:r>
        <w:rPr>
          <w:color w:val="231F20"/>
          <w:sz w:val="20"/>
        </w:rPr>
        <w:t>orgánica para superar las limitaciones identifi- cadas en la primera </w:t>
      </w:r>
      <w:r>
        <w:rPr>
          <w:color w:val="231F20"/>
          <w:spacing w:val="8"/>
          <w:sz w:val="20"/>
        </w:rPr>
        <w:t> </w:t>
      </w:r>
      <w:r>
        <w:rPr>
          <w:color w:val="231F20"/>
          <w:sz w:val="20"/>
        </w:rPr>
        <w:t>fase.</w:t>
      </w:r>
    </w:p>
    <w:p>
      <w:pPr>
        <w:pStyle w:val="ListParagraph"/>
        <w:numPr>
          <w:ilvl w:val="0"/>
          <w:numId w:val="12"/>
        </w:numPr>
        <w:tabs>
          <w:tab w:pos="1838" w:val="left" w:leader="none"/>
        </w:tabs>
        <w:spacing w:line="264" w:lineRule="auto" w:before="113" w:after="0"/>
        <w:ind w:left="1837" w:right="0" w:hanging="284"/>
        <w:jc w:val="both"/>
        <w:rPr>
          <w:color w:val="231F20"/>
          <w:sz w:val="20"/>
        </w:rPr>
      </w:pPr>
      <w:r>
        <w:rPr>
          <w:color w:val="231F20"/>
          <w:sz w:val="20"/>
        </w:rPr>
        <w:t>Gestionar ante la SECAM la integración</w:t>
      </w:r>
      <w:r>
        <w:rPr>
          <w:color w:val="231F20"/>
          <w:spacing w:val="43"/>
          <w:sz w:val="20"/>
        </w:rPr>
        <w:t> </w:t>
      </w:r>
      <w:r>
        <w:rPr>
          <w:color w:val="231F20"/>
          <w:sz w:val="20"/>
        </w:rPr>
        <w:t>de</w:t>
      </w:r>
      <w:r>
        <w:rPr>
          <w:color w:val="231F20"/>
          <w:spacing w:val="14"/>
          <w:sz w:val="20"/>
        </w:rPr>
        <w:t> </w:t>
      </w:r>
      <w:r>
        <w:rPr>
          <w:color w:val="231F20"/>
          <w:sz w:val="20"/>
        </w:rPr>
        <w:t>tres</w:t>
      </w:r>
      <w:r>
        <w:rPr>
          <w:color w:val="231F20"/>
          <w:w w:val="95"/>
          <w:sz w:val="20"/>
        </w:rPr>
        <w:t> </w:t>
      </w:r>
      <w:r>
        <w:rPr>
          <w:color w:val="231F20"/>
          <w:sz w:val="20"/>
        </w:rPr>
        <w:t>grupos ganaderos para la validación y la trans- ferencia de tecnología </w:t>
      </w:r>
      <w:r>
        <w:rPr>
          <w:color w:val="231F20"/>
          <w:spacing w:val="-4"/>
          <w:sz w:val="20"/>
        </w:rPr>
        <w:t>(GGAVATT) </w:t>
      </w:r>
      <w:r>
        <w:rPr>
          <w:color w:val="231F20"/>
          <w:sz w:val="20"/>
        </w:rPr>
        <w:t>e incorporar de manera permanente técnicos capacitados que asesoraran  y  acompañaran  directamente a los productores en el proceso de transición orgánica.</w:t>
      </w:r>
    </w:p>
    <w:p>
      <w:pPr>
        <w:pStyle w:val="BodyText"/>
        <w:spacing w:before="3"/>
        <w:rPr>
          <w:sz w:val="28"/>
        </w:rPr>
      </w:pPr>
      <w:r>
        <w:rPr/>
        <w:br w:type="column"/>
      </w:r>
      <w:r>
        <w:rPr>
          <w:sz w:val="28"/>
        </w:rPr>
      </w:r>
    </w:p>
    <w:p>
      <w:pPr>
        <w:pStyle w:val="ListParagraph"/>
        <w:numPr>
          <w:ilvl w:val="0"/>
          <w:numId w:val="12"/>
        </w:numPr>
        <w:tabs>
          <w:tab w:pos="697" w:val="left" w:leader="none"/>
        </w:tabs>
        <w:spacing w:line="259" w:lineRule="auto" w:before="0" w:after="0"/>
        <w:ind w:left="696" w:right="1551" w:hanging="283"/>
        <w:jc w:val="both"/>
        <w:rPr>
          <w:color w:val="231F20"/>
          <w:sz w:val="20"/>
        </w:rPr>
      </w:pPr>
      <w:r>
        <w:rPr>
          <w:color w:val="231F20"/>
          <w:sz w:val="20"/>
        </w:rPr>
        <w:t>Implementar y capacitar a los productores en  el establecimiento y el seguimiento del sistema de control interno de cada unidad ganadera, lo cual permitió contar con los documentos o re- gistros de las actividades de manejo, compras   y ventas de productos que se realizan en las unidades ganaderas evaluadas, para garantizar ante la empresa certificadora el cumplimiento de la normativa</w:t>
      </w:r>
      <w:r>
        <w:rPr>
          <w:color w:val="231F20"/>
          <w:spacing w:val="15"/>
          <w:sz w:val="20"/>
        </w:rPr>
        <w:t> </w:t>
      </w:r>
      <w:r>
        <w:rPr>
          <w:color w:val="231F20"/>
          <w:sz w:val="20"/>
        </w:rPr>
        <w:t>orgánica.</w:t>
      </w:r>
    </w:p>
    <w:p>
      <w:pPr>
        <w:pStyle w:val="BodyText"/>
        <w:spacing w:line="259" w:lineRule="auto" w:before="114"/>
        <w:ind w:left="413" w:right="1551"/>
        <w:jc w:val="both"/>
      </w:pPr>
      <w:r>
        <w:rPr>
          <w:color w:val="231F20"/>
        </w:rPr>
        <w:t>Actualmente, los productores de la sociedad de producción rural “La Pomarroza” comercializan los quesos doble crema y quesillo, que elaboran con leche orgánica, en los tianguis de productos orgá- nicos de San Cristóbal de Las Casas y </w:t>
      </w:r>
      <w:r>
        <w:rPr>
          <w:color w:val="231F20"/>
          <w:spacing w:val="-3"/>
        </w:rPr>
        <w:t>Tapachula, </w:t>
      </w:r>
      <w:r>
        <w:rPr>
          <w:color w:val="231F20"/>
        </w:rPr>
        <w:t>pertenecientes a la Red Mexicana de Tianguis y Mercados Orgánicos; sin embargo, actualmente se requiere el apoyo del gobierno para montar una procesadora de lácteos que permita dar un mayor valor agregado a la leche, así como para el diseño   y el registro de una marca de calidad, la apertura de mercados y el impulso de la comercialización  en mercados</w:t>
      </w:r>
      <w:r>
        <w:rPr>
          <w:color w:val="231F20"/>
          <w:spacing w:val="11"/>
        </w:rPr>
        <w:t> </w:t>
      </w:r>
      <w:r>
        <w:rPr>
          <w:color w:val="231F20"/>
        </w:rPr>
        <w:t>alternativos.</w:t>
      </w:r>
    </w:p>
    <w:p>
      <w:pPr>
        <w:pStyle w:val="BodyText"/>
        <w:spacing w:line="259" w:lineRule="auto" w:before="114"/>
        <w:ind w:left="413" w:right="1551"/>
        <w:jc w:val="both"/>
      </w:pPr>
      <w:r>
        <w:rPr>
          <w:color w:val="231F20"/>
        </w:rPr>
        <w:t>El logro obtenido por la sociedad de producción rural “La Pomarroza” podría incentivar a otros gru- pos de productores ganaderos del municipio de </w:t>
      </w:r>
      <w:r>
        <w:rPr>
          <w:color w:val="231F20"/>
          <w:spacing w:val="-3"/>
        </w:rPr>
        <w:t>Tecpatán </w:t>
      </w:r>
      <w:r>
        <w:rPr>
          <w:color w:val="231F20"/>
        </w:rPr>
        <w:t>a optar por el modelo de producción orgánica, debido a que permite hacer congruente el uso y la conservación de los recursos naturales con la obtención de productos de alta calidad que puedan ser comercializados en nichos de merca- dos diferenciados con un sobreprecio, en benefi- cio de los productores y sus </w:t>
      </w:r>
      <w:r>
        <w:rPr>
          <w:color w:val="231F20"/>
          <w:spacing w:val="37"/>
        </w:rPr>
        <w:t> </w:t>
      </w:r>
      <w:r>
        <w:rPr>
          <w:color w:val="231F20"/>
        </w:rPr>
        <w:t>familias.</w:t>
      </w:r>
    </w:p>
    <w:p>
      <w:pPr>
        <w:pStyle w:val="BodyText"/>
        <w:spacing w:line="259" w:lineRule="auto" w:before="114"/>
        <w:ind w:left="413" w:right="1550"/>
        <w:jc w:val="both"/>
      </w:pPr>
      <w:r>
        <w:rPr>
          <w:color w:val="231F20"/>
        </w:rPr>
        <w:t>Sin lugar a dudas, este  esfuerzo  se  ha  canaliza- do en el marco de una estrategia de  desarrollo rural sustentable de la ganadería en el municipio de Tecpatán, donde la perspectiva de obtener productos saludables, libres de agroquímicos y basándose en el modelo de que la producción ganadera orgánica es posible, como lo muestra ahora este grupo de ejidatarios. Para ello ha sido importante  la  estrecha  colaboración  de  los    </w:t>
      </w:r>
      <w:r>
        <w:rPr>
          <w:color w:val="231F20"/>
          <w:spacing w:val="25"/>
        </w:rPr>
        <w:t> </w:t>
      </w:r>
      <w:r>
        <w:rPr>
          <w:color w:val="231F20"/>
        </w:rPr>
        <w:t>di-</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96</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1" w:lineRule="auto" w:before="67"/>
        <w:ind w:left="1553"/>
        <w:jc w:val="both"/>
      </w:pPr>
      <w:r>
        <w:rPr>
          <w:color w:val="231F20"/>
        </w:rPr>
        <w:t>versos actores participantes en este proceso de investigación orientada a la acción con el  enfo- que de un desarrollo rural sustentable, como son las instancias  académicas  (ECOSUR,  UNACH)  y  las dependencias públicas y privadas (SECAM, Comisión Nacional de Áreas Naturales  Protegi-  das [CONANP], Fundación PRODUCE-Chiapas, CERTIMEX y BANCHIAPAS, entre otras), que han contribuido al fortalecimiento del proceso me- diante la implementación de las acciones corres- pondientes a cada una de sus competencias. Esta experiencia de innovación socioambiental con un enfoque de desarrollo rural sustentable a partir de la investigación-acción sin duda ha sido alecciona- dora para todos los actores </w:t>
      </w:r>
      <w:r>
        <w:rPr>
          <w:color w:val="231F20"/>
          <w:spacing w:val="18"/>
        </w:rPr>
        <w:t> </w:t>
      </w:r>
      <w:r>
        <w:rPr>
          <w:color w:val="231F20"/>
        </w:rPr>
        <w:t>participantes.</w:t>
      </w:r>
    </w:p>
    <w:p>
      <w:pPr>
        <w:pStyle w:val="BodyText"/>
        <w:spacing w:line="261" w:lineRule="auto" w:before="112"/>
        <w:ind w:left="1553"/>
        <w:jc w:val="both"/>
      </w:pPr>
      <w:r>
        <w:rPr>
          <w:color w:val="231F20"/>
        </w:rPr>
        <w:t>No obstante, aún es necesario fortalecer meca- nismos de apoyo para que los ganaderos logren    el desarrollo sustentable de su producción en el largo plazo y puedan ofrecer de manera continua productos sanos y competitivos en cantidad y ca- lidad. Debe crearse una plataforma  multiactores de acción conjunta que se fundamente en una política integral que incluya desde la capacitación, la asesoría y la asistencia técnica hasta el apoyo financiero, así como diseñar e implementar un programa de inocuidad agroalimentaria que consi- dere la financiación para la certificación por</w:t>
      </w:r>
      <w:r>
        <w:rPr>
          <w:color w:val="231F20"/>
          <w:spacing w:val="-12"/>
        </w:rPr>
        <w:t> </w:t>
      </w:r>
      <w:r>
        <w:rPr>
          <w:color w:val="231F20"/>
        </w:rPr>
        <w:t>calidad y la promoción de los productos con las caracterís- ticas artesanales locales en los mercados regional, nacional e internacional. Éstos son los pasos ne- cesarios para lograr un desarrollo rural sustentable a partir de una ganadería amigable con el medio ambiente, tomando como punto de partida la ga- nadería</w:t>
      </w:r>
      <w:r>
        <w:rPr>
          <w:color w:val="231F20"/>
          <w:spacing w:val="-5"/>
        </w:rPr>
        <w:t> </w:t>
      </w:r>
      <w:r>
        <w:rPr>
          <w:color w:val="231F20"/>
        </w:rPr>
        <w:t>orgánica.</w:t>
      </w:r>
    </w:p>
    <w:p>
      <w:pPr>
        <w:pStyle w:val="BodyText"/>
        <w:spacing w:line="261" w:lineRule="auto" w:before="112"/>
        <w:ind w:left="1553" w:right="1"/>
        <w:jc w:val="both"/>
      </w:pPr>
      <w:r>
        <w:rPr>
          <w:color w:val="231F20"/>
        </w:rPr>
        <w:t>Además, podemos enfatizar que hasta este mo- mento el proceso de investigación orientada a la acción para lograr el desarrollo rural ha logrado ge- nerar un modelo de innovación socioambiental     a</w:t>
      </w:r>
    </w:p>
    <w:p>
      <w:pPr>
        <w:pStyle w:val="BodyText"/>
        <w:spacing w:line="256" w:lineRule="auto" w:before="67"/>
        <w:ind w:left="412" w:right="1551"/>
        <w:jc w:val="both"/>
      </w:pPr>
      <w:r>
        <w:rPr/>
        <w:br w:type="column"/>
      </w:r>
      <w:r>
        <w:rPr>
          <w:color w:val="231F20"/>
        </w:rPr>
        <w:t>partir de la ganadería en un área prioritaria desde el punto de vista del manejo y la conservación de los recursos naturales. Sin embargo, es necesario superar algunas limitaciones en las etapas del pro- ceso  de innovación.</w:t>
      </w:r>
    </w:p>
    <w:p>
      <w:pPr>
        <w:pStyle w:val="BodyText"/>
      </w:pPr>
    </w:p>
    <w:p>
      <w:pPr>
        <w:pStyle w:val="BodyText"/>
        <w:spacing w:before="153"/>
        <w:ind w:left="412"/>
        <w:jc w:val="both"/>
      </w:pPr>
      <w:r>
        <w:rPr>
          <w:color w:val="231F20"/>
          <w:w w:val="115"/>
        </w:rPr>
        <w:t>CONCLUSIONES</w:t>
      </w:r>
    </w:p>
    <w:p>
      <w:pPr>
        <w:pStyle w:val="BodyText"/>
        <w:spacing w:line="256" w:lineRule="auto" w:before="131"/>
        <w:ind w:left="412" w:right="1551"/>
        <w:jc w:val="both"/>
      </w:pPr>
      <w:r>
        <w:rPr>
          <w:color w:val="231F20"/>
        </w:rPr>
        <w:t>La información aquí presentada y comentada muestra que en Chiapas se están generando pro- cesos de innovación interesantes que dan la pauta para visualizar elementos clave en la producción  de alimentos inocuos y con una perspectiva re- gional, ambiental y social, enmarcado sobre todo en las perspectivas del desarrollo rural sustentable. Sin duda que el esfuerzo manifiesto, así como la motivación y el interés mostrados por los diferen- tes actores, dígase productores, instituciones de gobierno, fundaciones y académicas, ha resultado crucial en la innovación aquí analizada, y queda claro que todos deben cumplir su función más allá de intereses particulares. Se coincide además en que las cadenas productivas deben abordar las ne- cesidades de la sociedad actual con perspectivas ambientales y económicas, para avanzar con una mayor precisión en el proceso del desarrollo rural sustentable.</w:t>
      </w:r>
    </w:p>
    <w:p>
      <w:pPr>
        <w:pStyle w:val="BodyText"/>
        <w:spacing w:line="256" w:lineRule="auto" w:before="113"/>
        <w:ind w:left="412" w:right="1551"/>
        <w:jc w:val="both"/>
      </w:pPr>
      <w:r>
        <w:rPr>
          <w:color w:val="231F20"/>
        </w:rPr>
        <w:t>Finalmente, es importante señalar que la</w:t>
      </w:r>
      <w:r>
        <w:rPr>
          <w:color w:val="231F20"/>
          <w:spacing w:val="-15"/>
        </w:rPr>
        <w:t> </w:t>
      </w:r>
      <w:r>
        <w:rPr>
          <w:color w:val="231F20"/>
        </w:rPr>
        <w:t>transición de los sistemas ganaderos convencionales hacia una ganadería  amigable  con  el  medio  ambiente a partir de sistemas silvopastoriles y ganadería or- gánica tiene un alto impacto: 1) socioeconómico para los productores, 2) para la restauración de potreros degradados, 3) para frenar la desforesta- ción de bosques y selvas, 4) para lograr la seguri- dad alimentaria, 5) para reducir las emisiones de gases con efecto invernadero, y 6) para mitigar el cambio climático y el calentamiento global, entre otros.</w:t>
      </w:r>
    </w:p>
    <w:p>
      <w:pPr>
        <w:spacing w:after="0" w:line="256" w:lineRule="auto"/>
        <w:jc w:val="both"/>
        <w:sectPr>
          <w:type w:val="continuous"/>
          <w:pgSz w:w="11900" w:h="14450"/>
          <w:pgMar w:top="420" w:bottom="420" w:left="0" w:right="0"/>
          <w:cols w:num="2" w:equalWidth="0">
            <w:col w:w="5723" w:space="40"/>
            <w:col w:w="6137"/>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6.   Innovación en el proceso de conversión y certificación orgánica de la   </w:t>
      </w:r>
      <w:r>
        <w:rPr>
          <w:color w:val="231F20"/>
          <w:spacing w:val="7"/>
          <w:sz w:val="18"/>
        </w:rPr>
        <w:t> </w:t>
      </w:r>
      <w:r>
        <w:rPr>
          <w:color w:val="231F20"/>
          <w:sz w:val="18"/>
        </w:rPr>
        <w:t>leche</w:t>
      </w:r>
      <w:r>
        <w:rPr>
          <w:color w:val="231F20"/>
          <w:spacing w:val="12"/>
          <w:sz w:val="18"/>
        </w:rPr>
        <w:t> </w:t>
      </w:r>
      <w:r>
        <w:rPr>
          <w:color w:val="231F20"/>
          <w:sz w:val="18"/>
        </w:rPr>
        <w:t>bovina...</w:t>
      </w:r>
      <w:r>
        <w:rPr>
          <w:color w:val="231F20"/>
          <w:sz w:val="22"/>
        </w:rPr>
        <w:tab/>
      </w:r>
      <w:r>
        <w:rPr>
          <w:color w:val="231F20"/>
          <w:spacing w:val="-9"/>
          <w:sz w:val="22"/>
        </w:rPr>
        <w:t>97</w:t>
      </w:r>
    </w:p>
    <w:p>
      <w:pPr>
        <w:spacing w:after="0"/>
        <w:jc w:val="left"/>
        <w:rPr>
          <w:sz w:val="22"/>
        </w:rPr>
        <w:sectPr>
          <w:pgSz w:w="11900" w:h="14450"/>
          <w:pgMar w:header="0" w:footer="222" w:top="420" w:bottom="420" w:left="0" w:right="0"/>
        </w:sectPr>
      </w:pPr>
    </w:p>
    <w:p>
      <w:pPr>
        <w:pStyle w:val="BodyText"/>
        <w:rPr>
          <w:sz w:val="29"/>
        </w:rPr>
      </w:pPr>
    </w:p>
    <w:p>
      <w:pPr>
        <w:pStyle w:val="BodyText"/>
        <w:ind w:left="1553"/>
      </w:pPr>
      <w:r>
        <w:rPr>
          <w:color w:val="231F20"/>
          <w:w w:val="110"/>
        </w:rPr>
        <w:t>BIBLIOGRAFÍA</w:t>
      </w:r>
    </w:p>
    <w:p>
      <w:pPr>
        <w:spacing w:line="264" w:lineRule="auto" w:before="131"/>
        <w:ind w:left="1837" w:right="0" w:hanging="284"/>
        <w:jc w:val="both"/>
        <w:rPr>
          <w:sz w:val="18"/>
        </w:rPr>
      </w:pPr>
      <w:r>
        <w:rPr>
          <w:color w:val="231F20"/>
          <w:sz w:val="18"/>
        </w:rPr>
        <w:t>Aguilar J.R. (2008). Análisis de los sistemas de produc- ción bovina en la cuenca del río El Tablón, en la zona de amortiguamiento de la Reserva de la Biosfera La Sepultura, Chiapas. Tesis de Licenciatura. Universi- dad Autónoma de Chiapas,  México.</w:t>
      </w:r>
    </w:p>
    <w:p>
      <w:pPr>
        <w:spacing w:line="264" w:lineRule="auto" w:before="57"/>
        <w:ind w:left="1837" w:right="0" w:hanging="284"/>
        <w:jc w:val="both"/>
        <w:rPr>
          <w:sz w:val="18"/>
        </w:rPr>
      </w:pPr>
      <w:r>
        <w:rPr>
          <w:color w:val="231F20"/>
          <w:sz w:val="18"/>
        </w:rPr>
        <w:t>Calderón </w:t>
      </w:r>
      <w:r>
        <w:rPr>
          <w:color w:val="231F20"/>
          <w:spacing w:val="-4"/>
          <w:sz w:val="18"/>
        </w:rPr>
        <w:t>P.J.  </w:t>
      </w:r>
      <w:r>
        <w:rPr>
          <w:color w:val="231F20"/>
          <w:sz w:val="18"/>
        </w:rPr>
        <w:t>(2008). Tendencias de la ganadería bovina  y oportunidades para su conversión a sistemas de producción orgánica en el municipio de </w:t>
      </w:r>
      <w:r>
        <w:rPr>
          <w:color w:val="231F20"/>
          <w:spacing w:val="-3"/>
          <w:sz w:val="18"/>
        </w:rPr>
        <w:t>Tecpatán, </w:t>
      </w:r>
      <w:r>
        <w:rPr>
          <w:color w:val="231F20"/>
          <w:sz w:val="18"/>
        </w:rPr>
        <w:t>Chiapas, México. </w:t>
      </w:r>
      <w:r>
        <w:rPr>
          <w:color w:val="231F20"/>
          <w:spacing w:val="-4"/>
          <w:sz w:val="18"/>
        </w:rPr>
        <w:t>Tesis </w:t>
      </w:r>
      <w:r>
        <w:rPr>
          <w:color w:val="231F20"/>
          <w:sz w:val="18"/>
        </w:rPr>
        <w:t>de Licenciatura. Universidad Autónoma de Chiapas, </w:t>
      </w:r>
      <w:r>
        <w:rPr>
          <w:color w:val="231F20"/>
          <w:spacing w:val="1"/>
          <w:sz w:val="18"/>
        </w:rPr>
        <w:t> </w:t>
      </w:r>
      <w:r>
        <w:rPr>
          <w:color w:val="231F20"/>
          <w:sz w:val="18"/>
        </w:rPr>
        <w:t>México.</w:t>
      </w:r>
    </w:p>
    <w:p>
      <w:pPr>
        <w:spacing w:line="264" w:lineRule="auto" w:before="57"/>
        <w:ind w:left="1837" w:right="0" w:hanging="284"/>
        <w:jc w:val="both"/>
        <w:rPr>
          <w:sz w:val="18"/>
        </w:rPr>
      </w:pPr>
      <w:r>
        <w:rPr>
          <w:color w:val="231F20"/>
          <w:sz w:val="18"/>
        </w:rPr>
        <w:t>CERTIMEX (Certificadora Mexicana de Productos y Pro- cesos Ecológicos S.C.) (2007). Normas para la pro- ducción, el procesamiento y la comercialización de productos ecológicos. Oaxaca, México.</w:t>
      </w:r>
    </w:p>
    <w:p>
      <w:pPr>
        <w:spacing w:line="264" w:lineRule="auto" w:before="57"/>
        <w:ind w:left="1544" w:right="0" w:firstLine="0"/>
        <w:jc w:val="right"/>
        <w:rPr>
          <w:sz w:val="18"/>
        </w:rPr>
      </w:pPr>
      <w:r>
        <w:rPr>
          <w:color w:val="231F20"/>
          <w:sz w:val="18"/>
        </w:rPr>
        <w:t>CERTIMEX (Certificadora Mexicana de Productos y Pro-</w:t>
      </w:r>
      <w:r>
        <w:rPr>
          <w:color w:val="231F20"/>
          <w:w w:val="95"/>
          <w:sz w:val="18"/>
        </w:rPr>
        <w:t> </w:t>
      </w:r>
      <w:r>
        <w:rPr>
          <w:color w:val="231F20"/>
          <w:sz w:val="18"/>
        </w:rPr>
        <w:t>cesos Ecológicos S.C.) (2009). Normas para la pro-</w:t>
      </w:r>
      <w:r>
        <w:rPr>
          <w:color w:val="231F20"/>
          <w:w w:val="95"/>
          <w:sz w:val="18"/>
        </w:rPr>
        <w:t> </w:t>
      </w:r>
      <w:r>
        <w:rPr>
          <w:color w:val="231F20"/>
          <w:sz w:val="18"/>
        </w:rPr>
        <w:t>ducción, el procesamiento y la comercialización de</w:t>
      </w:r>
      <w:r>
        <w:rPr>
          <w:color w:val="231F20"/>
          <w:w w:val="103"/>
          <w:sz w:val="18"/>
        </w:rPr>
        <w:t> </w:t>
      </w:r>
      <w:r>
        <w:rPr>
          <w:color w:val="231F20"/>
          <w:sz w:val="18"/>
        </w:rPr>
        <w:t>productos ecológicos. 8ª ed. CERTIMEX, México  D.F.</w:t>
      </w:r>
    </w:p>
    <w:p>
      <w:pPr>
        <w:spacing w:line="264" w:lineRule="auto" w:before="57"/>
        <w:ind w:left="1837" w:right="0" w:hanging="284"/>
        <w:jc w:val="both"/>
        <w:rPr>
          <w:sz w:val="18"/>
        </w:rPr>
      </w:pPr>
      <w:r>
        <w:rPr>
          <w:color w:val="231F20"/>
          <w:sz w:val="18"/>
        </w:rPr>
        <w:t>Chambers R. (1999). Rural development:  putting  the  last first. Longman Publications, England, United Kingdom.</w:t>
      </w:r>
    </w:p>
    <w:p>
      <w:pPr>
        <w:spacing w:line="264" w:lineRule="auto" w:before="57"/>
        <w:ind w:left="1837" w:right="0" w:hanging="284"/>
        <w:jc w:val="both"/>
        <w:rPr>
          <w:sz w:val="18"/>
        </w:rPr>
      </w:pPr>
      <w:r>
        <w:rPr>
          <w:color w:val="231F20"/>
          <w:w w:val="105"/>
          <w:sz w:val="18"/>
        </w:rPr>
        <w:t>Cruz R.G., Solís L.M., Guevara </w:t>
      </w:r>
      <w:r>
        <w:rPr>
          <w:color w:val="231F20"/>
          <w:spacing w:val="-4"/>
          <w:w w:val="105"/>
          <w:sz w:val="18"/>
        </w:rPr>
        <w:t>H.F. </w:t>
      </w:r>
      <w:r>
        <w:rPr>
          <w:color w:val="231F20"/>
          <w:spacing w:val="-3"/>
          <w:w w:val="105"/>
          <w:sz w:val="18"/>
        </w:rPr>
        <w:t>(2011). </w:t>
      </w:r>
      <w:r>
        <w:rPr>
          <w:color w:val="231F20"/>
          <w:w w:val="105"/>
          <w:sz w:val="18"/>
        </w:rPr>
        <w:t>Metodología para</w:t>
      </w:r>
      <w:r>
        <w:rPr>
          <w:color w:val="231F20"/>
          <w:spacing w:val="-8"/>
          <w:w w:val="105"/>
          <w:sz w:val="18"/>
        </w:rPr>
        <w:t> </w:t>
      </w:r>
      <w:r>
        <w:rPr>
          <w:color w:val="231F20"/>
          <w:w w:val="105"/>
          <w:sz w:val="18"/>
        </w:rPr>
        <w:t>la</w:t>
      </w:r>
      <w:r>
        <w:rPr>
          <w:color w:val="231F20"/>
          <w:spacing w:val="-8"/>
          <w:w w:val="105"/>
          <w:sz w:val="18"/>
        </w:rPr>
        <w:t> </w:t>
      </w:r>
      <w:r>
        <w:rPr>
          <w:color w:val="231F20"/>
          <w:w w:val="105"/>
          <w:sz w:val="18"/>
        </w:rPr>
        <w:t>evaluación</w:t>
      </w:r>
      <w:r>
        <w:rPr>
          <w:color w:val="231F20"/>
          <w:spacing w:val="-8"/>
          <w:w w:val="105"/>
          <w:sz w:val="18"/>
        </w:rPr>
        <w:t> </w:t>
      </w:r>
      <w:r>
        <w:rPr>
          <w:color w:val="231F20"/>
          <w:w w:val="105"/>
          <w:sz w:val="18"/>
        </w:rPr>
        <w:t>de</w:t>
      </w:r>
      <w:r>
        <w:rPr>
          <w:color w:val="231F20"/>
          <w:spacing w:val="-8"/>
          <w:w w:val="105"/>
          <w:sz w:val="18"/>
        </w:rPr>
        <w:t> </w:t>
      </w:r>
      <w:r>
        <w:rPr>
          <w:color w:val="231F20"/>
          <w:w w:val="105"/>
          <w:sz w:val="18"/>
        </w:rPr>
        <w:t>granjas</w:t>
      </w:r>
      <w:r>
        <w:rPr>
          <w:color w:val="231F20"/>
          <w:spacing w:val="-8"/>
          <w:w w:val="105"/>
          <w:sz w:val="18"/>
        </w:rPr>
        <w:t> </w:t>
      </w:r>
      <w:r>
        <w:rPr>
          <w:color w:val="231F20"/>
          <w:w w:val="105"/>
          <w:sz w:val="18"/>
        </w:rPr>
        <w:t>integrales:</w:t>
      </w:r>
      <w:r>
        <w:rPr>
          <w:color w:val="231F20"/>
          <w:spacing w:val="-8"/>
          <w:w w:val="105"/>
          <w:sz w:val="18"/>
        </w:rPr>
        <w:t> </w:t>
      </w:r>
      <w:r>
        <w:rPr>
          <w:color w:val="231F20"/>
          <w:w w:val="105"/>
          <w:sz w:val="18"/>
        </w:rPr>
        <w:t>un</w:t>
      </w:r>
      <w:r>
        <w:rPr>
          <w:color w:val="231F20"/>
          <w:spacing w:val="-8"/>
          <w:w w:val="105"/>
          <w:sz w:val="18"/>
        </w:rPr>
        <w:t> </w:t>
      </w:r>
      <w:r>
        <w:rPr>
          <w:color w:val="231F20"/>
          <w:w w:val="105"/>
          <w:sz w:val="18"/>
        </w:rPr>
        <w:t>caso</w:t>
      </w:r>
      <w:r>
        <w:rPr>
          <w:color w:val="231F20"/>
          <w:spacing w:val="-8"/>
          <w:w w:val="105"/>
          <w:sz w:val="18"/>
        </w:rPr>
        <w:t> </w:t>
      </w:r>
      <w:r>
        <w:rPr>
          <w:color w:val="231F20"/>
          <w:w w:val="105"/>
          <w:sz w:val="18"/>
        </w:rPr>
        <w:t>en Villaflores,</w:t>
      </w:r>
      <w:r>
        <w:rPr>
          <w:color w:val="231F20"/>
          <w:spacing w:val="-14"/>
          <w:w w:val="105"/>
          <w:sz w:val="18"/>
        </w:rPr>
        <w:t> </w:t>
      </w:r>
      <w:r>
        <w:rPr>
          <w:color w:val="231F20"/>
          <w:w w:val="105"/>
          <w:sz w:val="18"/>
        </w:rPr>
        <w:t>Chiapas.</w:t>
      </w:r>
      <w:r>
        <w:rPr>
          <w:color w:val="231F20"/>
          <w:spacing w:val="-14"/>
          <w:w w:val="105"/>
          <w:sz w:val="18"/>
        </w:rPr>
        <w:t> </w:t>
      </w:r>
      <w:r>
        <w:rPr>
          <w:color w:val="231F20"/>
          <w:w w:val="105"/>
          <w:sz w:val="18"/>
        </w:rPr>
        <w:t>Artículo</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extenso</w:t>
      </w:r>
      <w:r>
        <w:rPr>
          <w:color w:val="231F20"/>
          <w:spacing w:val="-14"/>
          <w:w w:val="105"/>
          <w:sz w:val="18"/>
        </w:rPr>
        <w:t> </w:t>
      </w:r>
      <w:r>
        <w:rPr>
          <w:color w:val="231F20"/>
          <w:w w:val="105"/>
          <w:sz w:val="18"/>
        </w:rPr>
        <w:t>presentado</w:t>
      </w:r>
      <w:r>
        <w:rPr>
          <w:color w:val="231F20"/>
          <w:w w:val="100"/>
          <w:sz w:val="18"/>
        </w:rPr>
        <w:t> </w:t>
      </w:r>
      <w:r>
        <w:rPr>
          <w:color w:val="231F20"/>
          <w:w w:val="105"/>
          <w:sz w:val="18"/>
        </w:rPr>
        <w:t>en</w:t>
      </w:r>
      <w:r>
        <w:rPr>
          <w:color w:val="231F20"/>
          <w:spacing w:val="-5"/>
          <w:w w:val="105"/>
          <w:sz w:val="18"/>
        </w:rPr>
        <w:t> </w:t>
      </w:r>
      <w:r>
        <w:rPr>
          <w:color w:val="231F20"/>
          <w:w w:val="105"/>
          <w:sz w:val="18"/>
        </w:rPr>
        <w:t>la</w:t>
      </w:r>
      <w:r>
        <w:rPr>
          <w:color w:val="231F20"/>
          <w:spacing w:val="-5"/>
          <w:w w:val="105"/>
          <w:sz w:val="18"/>
        </w:rPr>
        <w:t> </w:t>
      </w:r>
      <w:r>
        <w:rPr>
          <w:color w:val="231F20"/>
          <w:w w:val="105"/>
          <w:sz w:val="18"/>
        </w:rPr>
        <w:t>mesa</w:t>
      </w:r>
      <w:r>
        <w:rPr>
          <w:color w:val="231F20"/>
          <w:spacing w:val="-5"/>
          <w:w w:val="105"/>
          <w:sz w:val="18"/>
        </w:rPr>
        <w:t> </w:t>
      </w:r>
      <w:r>
        <w:rPr>
          <w:color w:val="231F20"/>
          <w:w w:val="105"/>
          <w:sz w:val="18"/>
        </w:rPr>
        <w:t>de</w:t>
      </w:r>
      <w:r>
        <w:rPr>
          <w:color w:val="231F20"/>
          <w:spacing w:val="-5"/>
          <w:w w:val="105"/>
          <w:sz w:val="18"/>
        </w:rPr>
        <w:t> </w:t>
      </w:r>
      <w:r>
        <w:rPr>
          <w:color w:val="231F20"/>
          <w:w w:val="105"/>
          <w:sz w:val="18"/>
        </w:rPr>
        <w:t>socio-economía</w:t>
      </w:r>
      <w:r>
        <w:rPr>
          <w:color w:val="231F20"/>
          <w:spacing w:val="-5"/>
          <w:w w:val="105"/>
          <w:sz w:val="18"/>
        </w:rPr>
        <w:t> </w:t>
      </w:r>
      <w:r>
        <w:rPr>
          <w:color w:val="231F20"/>
          <w:w w:val="105"/>
          <w:sz w:val="18"/>
        </w:rPr>
        <w:t>documento</w:t>
      </w:r>
      <w:r>
        <w:rPr>
          <w:color w:val="231F20"/>
          <w:spacing w:val="-5"/>
          <w:w w:val="105"/>
          <w:sz w:val="18"/>
        </w:rPr>
        <w:t> </w:t>
      </w:r>
      <w:r>
        <w:rPr>
          <w:color w:val="231F20"/>
          <w:w w:val="105"/>
          <w:sz w:val="18"/>
        </w:rPr>
        <w:t>#</w:t>
      </w:r>
      <w:r>
        <w:rPr>
          <w:color w:val="231F20"/>
          <w:spacing w:val="-5"/>
          <w:w w:val="105"/>
          <w:sz w:val="18"/>
        </w:rPr>
        <w:t> </w:t>
      </w:r>
      <w:r>
        <w:rPr>
          <w:color w:val="231F20"/>
          <w:w w:val="105"/>
          <w:sz w:val="18"/>
        </w:rPr>
        <w:t>9.</w:t>
      </w:r>
      <w:r>
        <w:rPr>
          <w:color w:val="231F20"/>
          <w:spacing w:val="-5"/>
          <w:w w:val="105"/>
          <w:sz w:val="18"/>
        </w:rPr>
        <w:t> </w:t>
      </w:r>
      <w:r>
        <w:rPr>
          <w:color w:val="231F20"/>
          <w:w w:val="105"/>
          <w:sz w:val="18"/>
        </w:rPr>
        <w:t>Me- morias del XI Simposio Internacional y VI Congreso Nacional de Agricultura Sostenible. </w:t>
      </w:r>
      <w:r>
        <w:rPr>
          <w:color w:val="231F20"/>
          <w:spacing w:val="-3"/>
          <w:w w:val="105"/>
          <w:sz w:val="18"/>
        </w:rPr>
        <w:t>Vol. </w:t>
      </w:r>
      <w:r>
        <w:rPr>
          <w:color w:val="231F20"/>
          <w:spacing w:val="-12"/>
          <w:w w:val="105"/>
          <w:sz w:val="18"/>
        </w:rPr>
        <w:t>7. </w:t>
      </w:r>
      <w:r>
        <w:rPr>
          <w:color w:val="231F20"/>
          <w:w w:val="105"/>
          <w:sz w:val="18"/>
        </w:rPr>
        <w:t>9-14 no- viembre.</w:t>
      </w:r>
      <w:r>
        <w:rPr>
          <w:color w:val="231F20"/>
          <w:spacing w:val="-22"/>
          <w:w w:val="105"/>
          <w:sz w:val="18"/>
        </w:rPr>
        <w:t> </w:t>
      </w:r>
      <w:r>
        <w:rPr>
          <w:color w:val="231F20"/>
          <w:w w:val="105"/>
          <w:sz w:val="18"/>
        </w:rPr>
        <w:t>San</w:t>
      </w:r>
      <w:r>
        <w:rPr>
          <w:color w:val="231F20"/>
          <w:spacing w:val="-22"/>
          <w:w w:val="105"/>
          <w:sz w:val="18"/>
        </w:rPr>
        <w:t> </w:t>
      </w:r>
      <w:r>
        <w:rPr>
          <w:color w:val="231F20"/>
          <w:w w:val="105"/>
          <w:sz w:val="18"/>
        </w:rPr>
        <w:t>Luis</w:t>
      </w:r>
      <w:r>
        <w:rPr>
          <w:color w:val="231F20"/>
          <w:spacing w:val="-22"/>
          <w:w w:val="105"/>
          <w:sz w:val="18"/>
        </w:rPr>
        <w:t> </w:t>
      </w:r>
      <w:r>
        <w:rPr>
          <w:color w:val="231F20"/>
          <w:w w:val="105"/>
          <w:sz w:val="18"/>
        </w:rPr>
        <w:t>Potosí,</w:t>
      </w:r>
      <w:r>
        <w:rPr>
          <w:color w:val="231F20"/>
          <w:spacing w:val="-22"/>
          <w:w w:val="105"/>
          <w:sz w:val="18"/>
        </w:rPr>
        <w:t> </w:t>
      </w:r>
      <w:r>
        <w:rPr>
          <w:color w:val="231F20"/>
          <w:w w:val="105"/>
          <w:sz w:val="18"/>
        </w:rPr>
        <w:t>México.</w:t>
      </w:r>
    </w:p>
    <w:p>
      <w:pPr>
        <w:spacing w:line="264" w:lineRule="auto" w:before="57"/>
        <w:ind w:left="1837" w:right="0" w:hanging="284"/>
        <w:jc w:val="both"/>
        <w:rPr>
          <w:sz w:val="18"/>
        </w:rPr>
      </w:pPr>
      <w:r>
        <w:rPr>
          <w:color w:val="231F20"/>
          <w:sz w:val="18"/>
        </w:rPr>
        <w:t>DAKKS (Deutsche Akkreditierungsstelle) (2005). Certifi- cation of food safety management systems. GmbH, Germany.</w:t>
      </w:r>
    </w:p>
    <w:p>
      <w:pPr>
        <w:spacing w:line="264" w:lineRule="auto" w:before="57"/>
        <w:ind w:left="1837" w:right="0" w:hanging="284"/>
        <w:jc w:val="both"/>
        <w:rPr>
          <w:sz w:val="18"/>
        </w:rPr>
      </w:pPr>
      <w:r>
        <w:rPr>
          <w:color w:val="231F20"/>
          <w:sz w:val="18"/>
        </w:rPr>
        <w:t>García E. (1988). Modificaciones al sistema de clasifi- cación climática de Köeppen. Universidad Nacional Autónoma de México, México.</w:t>
      </w:r>
    </w:p>
    <w:p>
      <w:pPr>
        <w:spacing w:line="264" w:lineRule="auto" w:before="57"/>
        <w:ind w:left="1837" w:right="0" w:hanging="284"/>
        <w:jc w:val="both"/>
        <w:rPr>
          <w:sz w:val="18"/>
        </w:rPr>
      </w:pPr>
      <w:r>
        <w:rPr>
          <w:color w:val="231F20"/>
          <w:sz w:val="18"/>
        </w:rPr>
        <w:t>Gómez-Castro H., Pinto R.R., Guevara-Hernández F., Medina J., Nahed T.J., Ruiz-Sesma B., Mendoza N.P. (2010). Innovación local de sistemas silvopastoriles: contribución a la reconversión productiva de áreas ganaderas. Unidad de Divulgación Científica.  Univer-</w:t>
      </w:r>
    </w:p>
    <w:p>
      <w:pPr>
        <w:pStyle w:val="BodyText"/>
        <w:rPr>
          <w:sz w:val="18"/>
        </w:rPr>
      </w:pPr>
      <w:r>
        <w:rPr/>
        <w:br w:type="column"/>
      </w:r>
      <w:r>
        <w:rPr>
          <w:sz w:val="18"/>
        </w:rPr>
      </w:r>
    </w:p>
    <w:p>
      <w:pPr>
        <w:spacing w:line="264" w:lineRule="auto" w:before="129"/>
        <w:ind w:left="696" w:right="1446" w:firstLine="0"/>
        <w:jc w:val="left"/>
        <w:rPr>
          <w:sz w:val="18"/>
        </w:rPr>
      </w:pPr>
      <w:r>
        <w:rPr>
          <w:color w:val="231F20"/>
          <w:sz w:val="18"/>
        </w:rPr>
        <w:t>sidad Autónoma de Chiapas, México. Tuxtla Gutié- rrez, Chiapas, México.</w:t>
      </w:r>
    </w:p>
    <w:p>
      <w:pPr>
        <w:spacing w:line="264" w:lineRule="auto" w:before="56"/>
        <w:ind w:left="696" w:right="1551" w:hanging="284"/>
        <w:jc w:val="both"/>
        <w:rPr>
          <w:sz w:val="18"/>
        </w:rPr>
      </w:pPr>
      <w:r>
        <w:rPr>
          <w:color w:val="231F20"/>
          <w:sz w:val="18"/>
        </w:rPr>
        <w:t>Gómez-Castro H., Guevara-Hernández </w:t>
      </w:r>
      <w:r>
        <w:rPr>
          <w:color w:val="231F20"/>
          <w:spacing w:val="-5"/>
          <w:sz w:val="18"/>
        </w:rPr>
        <w:t>F., </w:t>
      </w:r>
      <w:r>
        <w:rPr>
          <w:color w:val="231F20"/>
          <w:sz w:val="18"/>
        </w:rPr>
        <w:t>Hernán- dez-López M.H., Nahed </w:t>
      </w:r>
      <w:r>
        <w:rPr>
          <w:color w:val="231F20"/>
          <w:spacing w:val="-3"/>
          <w:sz w:val="18"/>
        </w:rPr>
        <w:t>T.J., </w:t>
      </w:r>
      <w:r>
        <w:rPr>
          <w:color w:val="231F20"/>
          <w:sz w:val="18"/>
        </w:rPr>
        <w:t>Rodríguez-Larramendi  R., Pinto R.R. </w:t>
      </w:r>
      <w:r>
        <w:rPr>
          <w:color w:val="231F20"/>
          <w:spacing w:val="-3"/>
          <w:sz w:val="18"/>
        </w:rPr>
        <w:t>(2012). </w:t>
      </w:r>
      <w:r>
        <w:rPr>
          <w:color w:val="231F20"/>
          <w:sz w:val="18"/>
        </w:rPr>
        <w:t>Analysis of cattle raising and institutional perspectives regarding collective action in the “El Ocote” Biosphere Reserve, Chiapas, Mexi- co. </w:t>
      </w:r>
      <w:r>
        <w:rPr>
          <w:i/>
          <w:color w:val="231F20"/>
          <w:sz w:val="18"/>
        </w:rPr>
        <w:t>Journal of Animal and Veterinary Advances, </w:t>
      </w:r>
      <w:r>
        <w:rPr>
          <w:color w:val="231F20"/>
          <w:sz w:val="18"/>
        </w:rPr>
        <w:t>In Press.</w:t>
      </w:r>
    </w:p>
    <w:p>
      <w:pPr>
        <w:spacing w:line="264" w:lineRule="auto" w:before="56"/>
        <w:ind w:left="696" w:right="1551" w:hanging="284"/>
        <w:jc w:val="both"/>
        <w:rPr>
          <w:sz w:val="18"/>
        </w:rPr>
      </w:pPr>
      <w:r>
        <w:rPr>
          <w:color w:val="231F20"/>
          <w:sz w:val="18"/>
        </w:rPr>
        <w:t>Guevara-Hernández F. (2007). ¿Y después qué? Ac- tion-research and ethnography on governance, actors and development in Southern Mexico. Tech- nology and Agrarian Development Group. Depart- ment of Social Sciences, Wageningen University and Research Centre, Wageningen, The  Netherlands.</w:t>
      </w:r>
    </w:p>
    <w:p>
      <w:pPr>
        <w:spacing w:line="264" w:lineRule="auto" w:before="56"/>
        <w:ind w:left="696" w:right="1551" w:hanging="284"/>
        <w:jc w:val="both"/>
        <w:rPr>
          <w:sz w:val="18"/>
        </w:rPr>
      </w:pPr>
      <w:r>
        <w:rPr>
          <w:color w:val="231F20"/>
          <w:spacing w:val="-5"/>
          <w:sz w:val="18"/>
        </w:rPr>
        <w:t>Guevara-Hernández </w:t>
      </w:r>
      <w:r>
        <w:rPr>
          <w:color w:val="231F20"/>
          <w:spacing w:val="-9"/>
          <w:sz w:val="18"/>
        </w:rPr>
        <w:t>F., </w:t>
      </w:r>
      <w:r>
        <w:rPr>
          <w:color w:val="231F20"/>
          <w:spacing w:val="-5"/>
          <w:sz w:val="18"/>
        </w:rPr>
        <w:t>Martínez </w:t>
      </w:r>
      <w:r>
        <w:rPr>
          <w:color w:val="231F20"/>
          <w:spacing w:val="-4"/>
          <w:sz w:val="18"/>
        </w:rPr>
        <w:t>C.B., </w:t>
      </w:r>
      <w:r>
        <w:rPr>
          <w:color w:val="231F20"/>
          <w:spacing w:val="-5"/>
          <w:sz w:val="18"/>
        </w:rPr>
        <w:t>Hernández </w:t>
      </w:r>
      <w:r>
        <w:rPr>
          <w:color w:val="231F20"/>
          <w:spacing w:val="-4"/>
          <w:sz w:val="18"/>
        </w:rPr>
        <w:t>L.R., </w:t>
      </w:r>
      <w:r>
        <w:rPr>
          <w:color w:val="231F20"/>
          <w:spacing w:val="-5"/>
          <w:sz w:val="18"/>
        </w:rPr>
        <w:t>Pinto </w:t>
      </w:r>
      <w:r>
        <w:rPr>
          <w:color w:val="231F20"/>
          <w:spacing w:val="-4"/>
          <w:sz w:val="18"/>
        </w:rPr>
        <w:t>R.R., </w:t>
      </w:r>
      <w:r>
        <w:rPr>
          <w:color w:val="231F20"/>
          <w:spacing w:val="-5"/>
          <w:sz w:val="18"/>
        </w:rPr>
        <w:t>Ovando </w:t>
      </w:r>
      <w:r>
        <w:rPr>
          <w:color w:val="231F20"/>
          <w:spacing w:val="-4"/>
          <w:sz w:val="18"/>
        </w:rPr>
        <w:t>C.J. </w:t>
      </w:r>
      <w:r>
        <w:rPr>
          <w:color w:val="231F20"/>
          <w:spacing w:val="-5"/>
          <w:sz w:val="18"/>
        </w:rPr>
        <w:t>(2009). </w:t>
      </w:r>
      <w:r>
        <w:rPr>
          <w:color w:val="231F20"/>
          <w:spacing w:val="-3"/>
          <w:sz w:val="18"/>
        </w:rPr>
        <w:t>La </w:t>
      </w:r>
      <w:r>
        <w:rPr>
          <w:color w:val="231F20"/>
          <w:spacing w:val="-5"/>
          <w:sz w:val="18"/>
        </w:rPr>
        <w:t>investigación </w:t>
      </w:r>
      <w:r>
        <w:rPr>
          <w:color w:val="231F20"/>
          <w:spacing w:val="-4"/>
          <w:sz w:val="18"/>
        </w:rPr>
        <w:t>para </w:t>
      </w:r>
      <w:r>
        <w:rPr>
          <w:color w:val="231F20"/>
          <w:spacing w:val="-3"/>
          <w:sz w:val="18"/>
        </w:rPr>
        <w:t>el </w:t>
      </w:r>
      <w:r>
        <w:rPr>
          <w:color w:val="231F20"/>
          <w:spacing w:val="-4"/>
          <w:sz w:val="18"/>
        </w:rPr>
        <w:t>de- </w:t>
      </w:r>
      <w:r>
        <w:rPr>
          <w:color w:val="231F20"/>
          <w:spacing w:val="-5"/>
          <w:sz w:val="18"/>
        </w:rPr>
        <w:t>sarrollo rural: </w:t>
      </w:r>
      <w:r>
        <w:rPr>
          <w:color w:val="231F20"/>
          <w:spacing w:val="-4"/>
          <w:sz w:val="18"/>
        </w:rPr>
        <w:t>¿qué </w:t>
      </w:r>
      <w:r>
        <w:rPr>
          <w:color w:val="231F20"/>
          <w:spacing w:val="-3"/>
          <w:sz w:val="18"/>
        </w:rPr>
        <w:t>es la </w:t>
      </w:r>
      <w:r>
        <w:rPr>
          <w:color w:val="231F20"/>
          <w:spacing w:val="-5"/>
          <w:sz w:val="18"/>
        </w:rPr>
        <w:t>investigación-acción? </w:t>
      </w:r>
      <w:r>
        <w:rPr>
          <w:color w:val="231F20"/>
          <w:sz w:val="18"/>
        </w:rPr>
        <w:t>En: CLIA Granma. Boletín del Centro Local de Innovación Agropecuaria, III (2): 1-2. Bayamo, Granma,    Cuba.</w:t>
      </w:r>
    </w:p>
    <w:p>
      <w:pPr>
        <w:spacing w:line="264" w:lineRule="auto" w:before="56"/>
        <w:ind w:left="696" w:right="1551" w:hanging="284"/>
        <w:jc w:val="both"/>
        <w:rPr>
          <w:sz w:val="18"/>
        </w:rPr>
      </w:pPr>
      <w:r>
        <w:rPr>
          <w:color w:val="231F20"/>
          <w:spacing w:val="-3"/>
          <w:sz w:val="18"/>
        </w:rPr>
        <w:t>Guevara-Hernández </w:t>
      </w:r>
      <w:r>
        <w:rPr>
          <w:color w:val="231F20"/>
          <w:spacing w:val="-5"/>
          <w:sz w:val="18"/>
        </w:rPr>
        <w:t>F., </w:t>
      </w:r>
      <w:r>
        <w:rPr>
          <w:color w:val="231F20"/>
          <w:sz w:val="18"/>
        </w:rPr>
        <w:t>Rodríguez L.L. </w:t>
      </w:r>
      <w:r>
        <w:rPr>
          <w:color w:val="231F20"/>
          <w:spacing w:val="-3"/>
          <w:sz w:val="18"/>
        </w:rPr>
        <w:t>(2011).  </w:t>
      </w:r>
      <w:r>
        <w:rPr>
          <w:color w:val="231F20"/>
          <w:sz w:val="18"/>
        </w:rPr>
        <w:t>Innovación y desarrollo rural: reflexiones y experiencias desde   el contexto cubano</w:t>
      </w:r>
      <w:r>
        <w:rPr>
          <w:i/>
          <w:color w:val="231F20"/>
          <w:sz w:val="18"/>
        </w:rPr>
        <w:t>. </w:t>
      </w:r>
      <w:r>
        <w:rPr>
          <w:color w:val="231F20"/>
          <w:sz w:val="18"/>
        </w:rPr>
        <w:t>2</w:t>
      </w:r>
      <w:r>
        <w:rPr>
          <w:color w:val="231F20"/>
          <w:position w:val="6"/>
          <w:sz w:val="10"/>
        </w:rPr>
        <w:t>a </w:t>
      </w:r>
      <w:r>
        <w:rPr>
          <w:color w:val="231F20"/>
          <w:sz w:val="18"/>
        </w:rPr>
        <w:t>ed. Editorial Jorge Dimitrov, Bayamo,  Granma,</w:t>
      </w:r>
      <w:r>
        <w:rPr>
          <w:color w:val="231F20"/>
          <w:spacing w:val="7"/>
          <w:sz w:val="18"/>
        </w:rPr>
        <w:t> </w:t>
      </w:r>
      <w:r>
        <w:rPr>
          <w:color w:val="231F20"/>
          <w:sz w:val="18"/>
        </w:rPr>
        <w:t>Cuba.</w:t>
      </w:r>
    </w:p>
    <w:p>
      <w:pPr>
        <w:spacing w:line="264" w:lineRule="auto" w:before="56"/>
        <w:ind w:left="696" w:right="1551" w:hanging="284"/>
        <w:jc w:val="both"/>
        <w:rPr>
          <w:sz w:val="18"/>
        </w:rPr>
      </w:pPr>
      <w:r>
        <w:rPr>
          <w:color w:val="231F20"/>
          <w:sz w:val="18"/>
        </w:rPr>
        <w:t>Guevara-Hernández F., Pinto R.R., Rodríguez L.A., Gómez C.H., Ortiz R., Ibrahim M., Cruz G. (2011a). Local per- ceptions of degradation in rangelands from a lives- tock farming community in Chiapas, Mexico. </w:t>
      </w:r>
      <w:r>
        <w:rPr>
          <w:i/>
          <w:color w:val="231F20"/>
          <w:sz w:val="18"/>
        </w:rPr>
        <w:t>Cuban </w:t>
      </w:r>
      <w:r>
        <w:rPr>
          <w:i/>
          <w:color w:val="231F20"/>
          <w:sz w:val="18"/>
        </w:rPr>
        <w:t>Journal  of  Agricultural  Science,  </w:t>
      </w:r>
      <w:r>
        <w:rPr>
          <w:color w:val="231F20"/>
          <w:sz w:val="18"/>
        </w:rPr>
        <w:t>45  (3): 311-319.</w:t>
      </w:r>
    </w:p>
    <w:p>
      <w:pPr>
        <w:spacing w:line="264" w:lineRule="auto" w:before="56"/>
        <w:ind w:left="696" w:right="1551" w:hanging="284"/>
        <w:jc w:val="both"/>
        <w:rPr>
          <w:sz w:val="18"/>
        </w:rPr>
      </w:pPr>
      <w:r>
        <w:rPr>
          <w:color w:val="231F20"/>
          <w:sz w:val="18"/>
        </w:rPr>
        <w:t>Guevara Hernández </w:t>
      </w:r>
      <w:r>
        <w:rPr>
          <w:color w:val="231F20"/>
          <w:spacing w:val="-5"/>
          <w:sz w:val="18"/>
        </w:rPr>
        <w:t>F., </w:t>
      </w:r>
      <w:r>
        <w:rPr>
          <w:color w:val="231F20"/>
          <w:sz w:val="18"/>
        </w:rPr>
        <w:t>Ortiz </w:t>
      </w:r>
      <w:r>
        <w:rPr>
          <w:color w:val="231F20"/>
          <w:spacing w:val="-3"/>
          <w:sz w:val="18"/>
        </w:rPr>
        <w:t>P.R., </w:t>
      </w:r>
      <w:r>
        <w:rPr>
          <w:color w:val="231F20"/>
          <w:sz w:val="18"/>
        </w:rPr>
        <w:t>Ríos L.R., Angarica-Fe- rrer L., Martín-Posada L., Plana R.D., Crespo M.A.,</w:t>
      </w:r>
      <w:r>
        <w:rPr>
          <w:color w:val="231F20"/>
          <w:spacing w:val="-21"/>
          <w:sz w:val="18"/>
        </w:rPr>
        <w:t> </w:t>
      </w:r>
      <w:r>
        <w:rPr>
          <w:color w:val="231F20"/>
          <w:sz w:val="18"/>
        </w:rPr>
        <w:t>Ba- rranco O.L., Salguero R.Z., Cánovas G., Alemán </w:t>
      </w:r>
      <w:r>
        <w:rPr>
          <w:color w:val="231F20"/>
          <w:spacing w:val="-3"/>
          <w:sz w:val="18"/>
        </w:rPr>
        <w:t>P.R., </w:t>
      </w:r>
      <w:r>
        <w:rPr>
          <w:color w:val="231F20"/>
          <w:sz w:val="18"/>
        </w:rPr>
        <w:t>Proveyer-Cervantes C. </w:t>
      </w:r>
      <w:r>
        <w:rPr>
          <w:color w:val="231F20"/>
          <w:spacing w:val="-3"/>
          <w:sz w:val="18"/>
        </w:rPr>
        <w:t>(2011b). </w:t>
      </w:r>
      <w:r>
        <w:rPr>
          <w:color w:val="231F20"/>
          <w:sz w:val="18"/>
        </w:rPr>
        <w:t>Impactos en  Cuba  del programa de innovación agropecuaria. Aprendi- zaje a ciclo completo. Editorial Feijóo, Universidad Central “Marta Abreu” de Las Villas, Santa Clara, Cuba.</w:t>
      </w:r>
    </w:p>
    <w:p>
      <w:pPr>
        <w:spacing w:line="264" w:lineRule="auto" w:before="56"/>
        <w:ind w:left="696" w:right="1551" w:hanging="284"/>
        <w:jc w:val="both"/>
        <w:rPr>
          <w:sz w:val="18"/>
        </w:rPr>
      </w:pPr>
      <w:r>
        <w:rPr>
          <w:color w:val="231F20"/>
          <w:sz w:val="18"/>
        </w:rPr>
        <w:t>Guzmán C.G., Alonso M.A. (2001). Diseño del proceso   de transición a agricultura ecológica. Comité Andaluz de Agricultura Ecológica (C.A.A.E), Sevilla, España. pp. </w:t>
      </w:r>
      <w:r>
        <w:rPr>
          <w:color w:val="231F20"/>
          <w:spacing w:val="40"/>
          <w:sz w:val="18"/>
        </w:rPr>
        <w:t> </w:t>
      </w:r>
      <w:r>
        <w:rPr>
          <w:color w:val="231F20"/>
          <w:spacing w:val="-3"/>
          <w:sz w:val="18"/>
        </w:rPr>
        <w:t>341-348.</w:t>
      </w:r>
    </w:p>
    <w:p>
      <w:pPr>
        <w:spacing w:after="0" w:line="264"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984" w:val="left" w:leader="none"/>
        </w:tabs>
        <w:spacing w:before="64"/>
        <w:ind w:left="1551" w:right="0" w:firstLine="0"/>
        <w:jc w:val="left"/>
        <w:rPr>
          <w:sz w:val="12"/>
        </w:rPr>
      </w:pPr>
      <w:r>
        <w:rPr>
          <w:color w:val="231F20"/>
          <w:w w:val="120"/>
          <w:sz w:val="22"/>
        </w:rPr>
        <w:t>98</w:t>
        <w:tab/>
      </w:r>
      <w:r>
        <w:rPr>
          <w:color w:val="231F20"/>
          <w:w w:val="120"/>
          <w:sz w:val="18"/>
        </w:rPr>
        <w:t>SECCIÓN 2.  A. S</w:t>
      </w:r>
      <w:r>
        <w:rPr>
          <w:color w:val="231F20"/>
          <w:w w:val="120"/>
          <w:sz w:val="12"/>
        </w:rPr>
        <w:t>iStemAS de producción de </w:t>
      </w:r>
      <w:r>
        <w:rPr>
          <w:color w:val="231F20"/>
          <w:spacing w:val="23"/>
          <w:w w:val="120"/>
          <w:sz w:val="12"/>
        </w:rPr>
        <w:t> </w:t>
      </w:r>
      <w:r>
        <w:rPr>
          <w:color w:val="231F20"/>
          <w:w w:val="120"/>
          <w:sz w:val="12"/>
        </w:rPr>
        <w:t>leche</w:t>
      </w:r>
    </w:p>
    <w:p>
      <w:pPr>
        <w:pStyle w:val="BodyText"/>
        <w:spacing w:before="10"/>
        <w:rPr>
          <w:sz w:val="22"/>
        </w:rPr>
      </w:pPr>
    </w:p>
    <w:p>
      <w:pPr>
        <w:spacing w:after="0"/>
        <w:rPr>
          <w:sz w:val="22"/>
        </w:rPr>
        <w:sectPr>
          <w:pgSz w:w="11900" w:h="14450"/>
          <w:pgMar w:header="0" w:footer="222" w:top="420" w:bottom="420" w:left="0" w:right="0"/>
        </w:sectPr>
      </w:pPr>
    </w:p>
    <w:p>
      <w:pPr>
        <w:spacing w:line="264" w:lineRule="auto" w:before="70"/>
        <w:ind w:left="1839" w:right="1" w:hanging="284"/>
        <w:jc w:val="both"/>
        <w:rPr>
          <w:sz w:val="18"/>
        </w:rPr>
      </w:pPr>
      <w:r>
        <w:rPr>
          <w:color w:val="231F20"/>
          <w:sz w:val="18"/>
        </w:rPr>
        <w:t>Hobbs J.E., Cooney A., Fulton, M. (2000). Value chains in the agri-food sector. Department of Agricultural Eco- nomics. University of Saskatchewan, Canada. 32 p.</w:t>
      </w:r>
    </w:p>
    <w:p>
      <w:pPr>
        <w:spacing w:line="264" w:lineRule="auto" w:before="57"/>
        <w:ind w:left="1839" w:right="1" w:hanging="284"/>
        <w:jc w:val="both"/>
        <w:rPr>
          <w:sz w:val="18"/>
        </w:rPr>
      </w:pPr>
      <w:r>
        <w:rPr>
          <w:color w:val="231F20"/>
          <w:sz w:val="18"/>
        </w:rPr>
        <w:t>IFOAM (2005). Normas de la Federación Internacional  de Movimientos de Agricultura Orgánica (IFOAM) para la producción y el procesamiento orgánicos. Disponible en línea en: </w:t>
      </w:r>
      <w:hyperlink r:id="rId93">
        <w:r>
          <w:rPr>
            <w:color w:val="231F20"/>
            <w:sz w:val="18"/>
          </w:rPr>
          <w:t>http://www.ifoam.org</w:t>
        </w:r>
      </w:hyperlink>
      <w:r>
        <w:rPr>
          <w:color w:val="231F20"/>
          <w:sz w:val="18"/>
        </w:rPr>
        <w:t> (Con- sultado el </w:t>
      </w:r>
      <w:r>
        <w:rPr>
          <w:color w:val="231F20"/>
          <w:spacing w:val="-4"/>
          <w:sz w:val="18"/>
        </w:rPr>
        <w:t>11  </w:t>
      </w:r>
      <w:r>
        <w:rPr>
          <w:color w:val="231F20"/>
          <w:sz w:val="18"/>
        </w:rPr>
        <w:t>de enero de   </w:t>
      </w:r>
      <w:r>
        <w:rPr>
          <w:color w:val="231F20"/>
          <w:spacing w:val="14"/>
          <w:sz w:val="18"/>
        </w:rPr>
        <w:t> </w:t>
      </w:r>
      <w:r>
        <w:rPr>
          <w:color w:val="231F20"/>
          <w:sz w:val="18"/>
        </w:rPr>
        <w:t>2009.)</w:t>
      </w:r>
    </w:p>
    <w:p>
      <w:pPr>
        <w:spacing w:line="264" w:lineRule="auto" w:before="57"/>
        <w:ind w:left="1839" w:right="1" w:hanging="284"/>
        <w:jc w:val="both"/>
        <w:rPr>
          <w:sz w:val="18"/>
        </w:rPr>
      </w:pPr>
      <w:r>
        <w:rPr>
          <w:color w:val="231F20"/>
          <w:sz w:val="18"/>
        </w:rPr>
        <w:t>IFOAM (2008). Federación Internacional de Movimien- tos de Agricultura Orgánica. Normas de Certificación Orgánica, E.U.</w:t>
      </w:r>
    </w:p>
    <w:p>
      <w:pPr>
        <w:spacing w:line="264" w:lineRule="auto" w:before="57"/>
        <w:ind w:left="1839" w:right="0" w:hanging="284"/>
        <w:jc w:val="both"/>
        <w:rPr>
          <w:sz w:val="18"/>
        </w:rPr>
      </w:pPr>
      <w:r>
        <w:rPr>
          <w:color w:val="231F20"/>
          <w:sz w:val="18"/>
        </w:rPr>
        <w:t>INEGI (Instituto Nacional de Estadística, Geografía e In- formática) (2007). Anuario estadístico del Estado de Chiapas. INEGI y Gobierno del Estado de Chiapas, México.</w:t>
      </w:r>
    </w:p>
    <w:p>
      <w:pPr>
        <w:spacing w:line="264" w:lineRule="auto" w:before="57"/>
        <w:ind w:left="1552" w:right="0" w:firstLine="0"/>
        <w:jc w:val="right"/>
        <w:rPr>
          <w:sz w:val="18"/>
        </w:rPr>
      </w:pPr>
      <w:r>
        <w:rPr>
          <w:color w:val="231F20"/>
          <w:sz w:val="18"/>
        </w:rPr>
        <w:t>Jiménez-Ferrer G., Soto P.L., Nahed T.J., Alemán T., Fer-</w:t>
      </w:r>
      <w:r>
        <w:rPr>
          <w:color w:val="231F20"/>
          <w:w w:val="95"/>
          <w:sz w:val="18"/>
        </w:rPr>
        <w:t> </w:t>
      </w:r>
      <w:r>
        <w:rPr>
          <w:color w:val="231F20"/>
          <w:sz w:val="18"/>
        </w:rPr>
        <w:t>guson B., Ibrahim M., Sinclair F. (2006). Local capa-</w:t>
      </w:r>
      <w:r>
        <w:rPr>
          <w:color w:val="231F20"/>
          <w:w w:val="95"/>
          <w:sz w:val="18"/>
        </w:rPr>
        <w:t> </w:t>
      </w:r>
      <w:r>
        <w:rPr>
          <w:color w:val="231F20"/>
          <w:sz w:val="18"/>
        </w:rPr>
        <w:t>bilities development and silvopastoral intervention in</w:t>
      </w:r>
      <w:r>
        <w:rPr>
          <w:color w:val="231F20"/>
          <w:w w:val="99"/>
          <w:sz w:val="18"/>
        </w:rPr>
        <w:t> </w:t>
      </w:r>
      <w:r>
        <w:rPr>
          <w:color w:val="231F20"/>
          <w:sz w:val="18"/>
        </w:rPr>
        <w:t>Chiapas, Mexico. En: Mosquera L.R., Rigueiro R.A.,</w:t>
      </w:r>
      <w:r>
        <w:rPr>
          <w:color w:val="231F20"/>
          <w:w w:val="93"/>
          <w:sz w:val="18"/>
        </w:rPr>
        <w:t> </w:t>
      </w:r>
      <w:r>
        <w:rPr>
          <w:color w:val="231F20"/>
          <w:sz w:val="18"/>
        </w:rPr>
        <w:t>McAdam J., editores. Proceedings of an International</w:t>
      </w:r>
      <w:r>
        <w:rPr>
          <w:color w:val="231F20"/>
          <w:w w:val="96"/>
          <w:sz w:val="18"/>
        </w:rPr>
        <w:t> </w:t>
      </w:r>
      <w:r>
        <w:rPr>
          <w:color w:val="231F20"/>
          <w:sz w:val="18"/>
        </w:rPr>
        <w:t>Congress on Silvopastoralism and Sustainable Mana-</w:t>
      </w:r>
      <w:r>
        <w:rPr>
          <w:color w:val="231F20"/>
          <w:w w:val="95"/>
          <w:sz w:val="18"/>
        </w:rPr>
        <w:t> </w:t>
      </w:r>
      <w:r>
        <w:rPr>
          <w:color w:val="231F20"/>
          <w:sz w:val="18"/>
        </w:rPr>
        <w:t>gement. CAB International Publishing. pp.   402-403.</w:t>
      </w:r>
    </w:p>
    <w:p>
      <w:pPr>
        <w:spacing w:line="264" w:lineRule="auto" w:before="57"/>
        <w:ind w:left="1839" w:right="0" w:hanging="284"/>
        <w:jc w:val="both"/>
        <w:rPr>
          <w:sz w:val="18"/>
        </w:rPr>
      </w:pPr>
      <w:r>
        <w:rPr>
          <w:color w:val="231F20"/>
          <w:sz w:val="18"/>
        </w:rPr>
        <w:t>Krishna A., Uphoff N., Esman M. (1997). Reasons for hope: instructive experiences in rural development. Kumarain Press, Connecticut,  USA.</w:t>
      </w:r>
    </w:p>
    <w:p>
      <w:pPr>
        <w:spacing w:line="264" w:lineRule="auto" w:before="57"/>
        <w:ind w:left="1839" w:right="1" w:hanging="284"/>
        <w:jc w:val="both"/>
        <w:rPr>
          <w:sz w:val="18"/>
        </w:rPr>
      </w:pPr>
      <w:r>
        <w:rPr>
          <w:color w:val="231F20"/>
          <w:sz w:val="18"/>
        </w:rPr>
        <w:t>López B.J.L. </w:t>
      </w:r>
      <w:r>
        <w:rPr>
          <w:color w:val="231F20"/>
          <w:spacing w:val="-3"/>
          <w:sz w:val="18"/>
        </w:rPr>
        <w:t>(2010)</w:t>
      </w:r>
      <w:r>
        <w:rPr>
          <w:i/>
          <w:color w:val="231F20"/>
          <w:spacing w:val="-3"/>
          <w:sz w:val="18"/>
        </w:rPr>
        <w:t>. </w:t>
      </w:r>
      <w:r>
        <w:rPr>
          <w:color w:val="231F20"/>
          <w:sz w:val="18"/>
        </w:rPr>
        <w:t>Aproximación de sistemas ganade- ros convencionales al modelo de producción orgáni- ca, en comunidades de la Zona Norte del Municipio de Ocozocuautla, Chiapas. </w:t>
      </w:r>
      <w:r>
        <w:rPr>
          <w:color w:val="231F20"/>
          <w:spacing w:val="-8"/>
          <w:sz w:val="18"/>
        </w:rPr>
        <w:t>Tesis </w:t>
      </w:r>
      <w:r>
        <w:rPr>
          <w:color w:val="231F20"/>
          <w:spacing w:val="-5"/>
          <w:sz w:val="18"/>
        </w:rPr>
        <w:t>Profesional. </w:t>
      </w:r>
      <w:r>
        <w:rPr>
          <w:color w:val="231F20"/>
          <w:sz w:val="18"/>
        </w:rPr>
        <w:t>Licencia- tura de </w:t>
      </w:r>
      <w:r>
        <w:rPr>
          <w:color w:val="231F20"/>
          <w:spacing w:val="-5"/>
          <w:sz w:val="18"/>
        </w:rPr>
        <w:t>Ingeniero </w:t>
      </w:r>
      <w:r>
        <w:rPr>
          <w:color w:val="231F20"/>
          <w:spacing w:val="-4"/>
          <w:sz w:val="18"/>
        </w:rPr>
        <w:t>Agrónomo </w:t>
      </w:r>
      <w:r>
        <w:rPr>
          <w:color w:val="231F20"/>
          <w:spacing w:val="-3"/>
          <w:sz w:val="18"/>
        </w:rPr>
        <w:t>en </w:t>
      </w:r>
      <w:r>
        <w:rPr>
          <w:color w:val="231F20"/>
          <w:spacing w:val="-5"/>
          <w:sz w:val="18"/>
        </w:rPr>
        <w:t>Producción Animal. </w:t>
      </w:r>
      <w:r>
        <w:rPr>
          <w:color w:val="231F20"/>
          <w:sz w:val="18"/>
        </w:rPr>
        <w:t>Facultad de Ciencias Agronómicas, Universidad Au- tónoma de Chiapas,  México.</w:t>
      </w:r>
    </w:p>
    <w:p>
      <w:pPr>
        <w:spacing w:line="264" w:lineRule="auto" w:before="57"/>
        <w:ind w:left="1839" w:right="1" w:hanging="284"/>
        <w:jc w:val="both"/>
        <w:rPr>
          <w:sz w:val="18"/>
        </w:rPr>
      </w:pPr>
      <w:r>
        <w:rPr>
          <w:color w:val="231F20"/>
          <w:sz w:val="18"/>
        </w:rPr>
        <w:t>MAFF-JAS (2001). Ministry of Agriculture Forests Fi- sheries-Japanese Agricultural Standard. Certification standards.</w:t>
      </w:r>
    </w:p>
    <w:p>
      <w:pPr>
        <w:spacing w:line="264" w:lineRule="auto" w:before="57"/>
        <w:ind w:left="1839" w:right="0" w:hanging="284"/>
        <w:jc w:val="both"/>
        <w:rPr>
          <w:sz w:val="18"/>
        </w:rPr>
      </w:pPr>
      <w:r>
        <w:rPr>
          <w:color w:val="231F20"/>
          <w:sz w:val="18"/>
        </w:rPr>
        <w:t>Marroquín P.D. (2011). Tendencias de la  ganadería bovina y oportunidades para su conversión a siste- mas de producción orgánica en la región Frailesca, Chiapas. Tesis Profesional. Licenciatura de Ingeniero Agrónomo en Producción Animal. Facultad de Cien- cias Agronómicas, Universidad Autónoma de Chia- pas, México.</w:t>
      </w:r>
    </w:p>
    <w:p>
      <w:pPr>
        <w:spacing w:line="264" w:lineRule="auto" w:before="57"/>
        <w:ind w:left="1839" w:right="1" w:hanging="284"/>
        <w:jc w:val="both"/>
        <w:rPr>
          <w:sz w:val="18"/>
        </w:rPr>
      </w:pPr>
      <w:r>
        <w:rPr>
          <w:color w:val="231F20"/>
          <w:sz w:val="18"/>
        </w:rPr>
        <w:t>Mena </w:t>
      </w:r>
      <w:r>
        <w:rPr>
          <w:color w:val="231F20"/>
          <w:spacing w:val="-5"/>
          <w:sz w:val="18"/>
        </w:rPr>
        <w:t>Y., </w:t>
      </w:r>
      <w:r>
        <w:rPr>
          <w:color w:val="231F20"/>
          <w:sz w:val="18"/>
        </w:rPr>
        <w:t>Castel J.M., </w:t>
      </w:r>
      <w:r>
        <w:rPr>
          <w:color w:val="231F20"/>
          <w:spacing w:val="-3"/>
          <w:sz w:val="18"/>
        </w:rPr>
        <w:t>Toussaint </w:t>
      </w:r>
      <w:r>
        <w:rPr>
          <w:color w:val="231F20"/>
          <w:sz w:val="18"/>
        </w:rPr>
        <w:t>G., Caravaca </w:t>
      </w:r>
      <w:r>
        <w:rPr>
          <w:color w:val="231F20"/>
          <w:spacing w:val="-5"/>
          <w:sz w:val="18"/>
        </w:rPr>
        <w:t>F., </w:t>
      </w:r>
      <w:r>
        <w:rPr>
          <w:color w:val="231F20"/>
          <w:sz w:val="18"/>
        </w:rPr>
        <w:t>Gonzá-  lez </w:t>
      </w:r>
      <w:r>
        <w:rPr>
          <w:color w:val="231F20"/>
          <w:spacing w:val="-5"/>
          <w:sz w:val="18"/>
        </w:rPr>
        <w:t>P.,  </w:t>
      </w:r>
      <w:r>
        <w:rPr>
          <w:color w:val="231F20"/>
          <w:sz w:val="18"/>
        </w:rPr>
        <w:t>González </w:t>
      </w:r>
      <w:r>
        <w:rPr>
          <w:color w:val="231F20"/>
          <w:spacing w:val="-5"/>
          <w:sz w:val="18"/>
        </w:rPr>
        <w:t>P.,  </w:t>
      </w:r>
      <w:r>
        <w:rPr>
          <w:color w:val="231F20"/>
          <w:sz w:val="18"/>
        </w:rPr>
        <w:t>Sánchez S. (2004).    FAO-CIHEAM</w:t>
      </w:r>
    </w:p>
    <w:p>
      <w:pPr>
        <w:spacing w:line="266" w:lineRule="auto" w:before="70"/>
        <w:ind w:left="695" w:right="1549" w:firstLine="0"/>
        <w:jc w:val="both"/>
        <w:rPr>
          <w:sz w:val="18"/>
        </w:rPr>
      </w:pPr>
      <w:r>
        <w:rPr/>
        <w:br w:type="column"/>
      </w:r>
      <w:r>
        <w:rPr>
          <w:color w:val="231F20"/>
          <w:sz w:val="18"/>
        </w:rPr>
        <w:t>dairy system indicators of adaptation to semi-exten- sive dairy goats systems. 8</w:t>
      </w:r>
      <w:r>
        <w:rPr>
          <w:color w:val="231F20"/>
          <w:position w:val="6"/>
          <w:sz w:val="10"/>
        </w:rPr>
        <w:t>th </w:t>
      </w:r>
      <w:r>
        <w:rPr>
          <w:color w:val="231F20"/>
          <w:sz w:val="18"/>
        </w:rPr>
        <w:t>International Conferen- ce on Goats, Pretoria (South  Africa).</w:t>
      </w:r>
    </w:p>
    <w:p>
      <w:pPr>
        <w:spacing w:line="266" w:lineRule="auto" w:before="56"/>
        <w:ind w:left="695" w:right="1549" w:hanging="284"/>
        <w:jc w:val="both"/>
        <w:rPr>
          <w:sz w:val="18"/>
        </w:rPr>
      </w:pPr>
      <w:r>
        <w:rPr>
          <w:color w:val="231F20"/>
          <w:sz w:val="18"/>
        </w:rPr>
        <w:t>Mena Y., Nahed-Toral J., Ruiz F.A., Sánchez-Muñoz J.B., Ruiz-Rojas J.L., Castel J.M. (2012). Evaluating moun- tain goat dairy systems for conversion to the organic model, using a multicriteria method. </w:t>
      </w:r>
      <w:r>
        <w:rPr>
          <w:i/>
          <w:color w:val="231F20"/>
          <w:sz w:val="18"/>
        </w:rPr>
        <w:t>Animal, </w:t>
      </w:r>
      <w:r>
        <w:rPr>
          <w:color w:val="231F20"/>
          <w:sz w:val="18"/>
        </w:rPr>
        <w:t>6 (4): 693-703.</w:t>
      </w:r>
    </w:p>
    <w:p>
      <w:pPr>
        <w:spacing w:line="266" w:lineRule="auto" w:before="56"/>
        <w:ind w:left="695" w:right="1549" w:hanging="284"/>
        <w:jc w:val="both"/>
        <w:rPr>
          <w:sz w:val="18"/>
        </w:rPr>
      </w:pPr>
      <w:r>
        <w:rPr>
          <w:color w:val="231F20"/>
          <w:sz w:val="18"/>
        </w:rPr>
        <w:t>Mosse D. (2005). Cultivating development: an ethno- graphy of aid policy and practice</w:t>
      </w:r>
      <w:r>
        <w:rPr>
          <w:i/>
          <w:color w:val="231F20"/>
          <w:sz w:val="18"/>
        </w:rPr>
        <w:t>. </w:t>
      </w:r>
      <w:r>
        <w:rPr>
          <w:color w:val="231F20"/>
          <w:sz w:val="18"/>
        </w:rPr>
        <w:t>Pluto Press, Lon- don, UK.</w:t>
      </w:r>
    </w:p>
    <w:p>
      <w:pPr>
        <w:spacing w:line="266" w:lineRule="auto" w:before="56"/>
        <w:ind w:left="695" w:right="1549" w:hanging="284"/>
        <w:jc w:val="both"/>
        <w:rPr>
          <w:sz w:val="18"/>
        </w:rPr>
      </w:pPr>
      <w:r>
        <w:rPr>
          <w:color w:val="231F20"/>
          <w:sz w:val="18"/>
        </w:rPr>
        <w:t>Nahed J., Muñoz A., Rosas </w:t>
      </w:r>
      <w:r>
        <w:rPr>
          <w:color w:val="231F20"/>
          <w:spacing w:val="-5"/>
          <w:sz w:val="18"/>
        </w:rPr>
        <w:t>F., </w:t>
      </w:r>
      <w:r>
        <w:rPr>
          <w:color w:val="231F20"/>
          <w:sz w:val="18"/>
        </w:rPr>
        <w:t>Perezgrovas R., Soto L., Sanginés L., Grande D., Pérez-Gil </w:t>
      </w:r>
      <w:r>
        <w:rPr>
          <w:color w:val="231F20"/>
          <w:spacing w:val="-8"/>
          <w:sz w:val="18"/>
        </w:rPr>
        <w:t>F. </w:t>
      </w:r>
      <w:r>
        <w:rPr>
          <w:color w:val="231F20"/>
          <w:sz w:val="18"/>
        </w:rPr>
        <w:t>(2003). Expe- riencias orientadas al desarrollo de sistemas agrosil- vopastoriles en la región Maya-Tzotzil. En: Sánchez M.D.,</w:t>
      </w:r>
      <w:r>
        <w:rPr>
          <w:color w:val="231F20"/>
          <w:spacing w:val="-11"/>
          <w:sz w:val="18"/>
        </w:rPr>
        <w:t> </w:t>
      </w:r>
      <w:r>
        <w:rPr>
          <w:color w:val="231F20"/>
          <w:sz w:val="18"/>
        </w:rPr>
        <w:t>Rosales</w:t>
      </w:r>
      <w:r>
        <w:rPr>
          <w:color w:val="231F20"/>
          <w:spacing w:val="-11"/>
          <w:sz w:val="18"/>
        </w:rPr>
        <w:t> </w:t>
      </w:r>
      <w:r>
        <w:rPr>
          <w:color w:val="231F20"/>
          <w:sz w:val="18"/>
        </w:rPr>
        <w:t>M.,</w:t>
      </w:r>
      <w:r>
        <w:rPr>
          <w:color w:val="231F20"/>
          <w:spacing w:val="-11"/>
          <w:sz w:val="18"/>
        </w:rPr>
        <w:t> </w:t>
      </w:r>
      <w:r>
        <w:rPr>
          <w:color w:val="231F20"/>
          <w:sz w:val="18"/>
        </w:rPr>
        <w:t>editores.</w:t>
      </w:r>
      <w:r>
        <w:rPr>
          <w:color w:val="231F20"/>
          <w:spacing w:val="-11"/>
          <w:sz w:val="18"/>
        </w:rPr>
        <w:t> </w:t>
      </w:r>
      <w:r>
        <w:rPr>
          <w:color w:val="231F20"/>
          <w:sz w:val="18"/>
        </w:rPr>
        <w:t>Agroforestería</w:t>
      </w:r>
      <w:r>
        <w:rPr>
          <w:color w:val="231F20"/>
          <w:spacing w:val="-11"/>
          <w:sz w:val="18"/>
        </w:rPr>
        <w:t> </w:t>
      </w:r>
      <w:r>
        <w:rPr>
          <w:color w:val="231F20"/>
          <w:sz w:val="18"/>
        </w:rPr>
        <w:t>para</w:t>
      </w:r>
      <w:r>
        <w:rPr>
          <w:color w:val="231F20"/>
          <w:spacing w:val="-11"/>
          <w:sz w:val="18"/>
        </w:rPr>
        <w:t> </w:t>
      </w:r>
      <w:r>
        <w:rPr>
          <w:color w:val="231F20"/>
          <w:sz w:val="18"/>
        </w:rPr>
        <w:t>la</w:t>
      </w:r>
      <w:r>
        <w:rPr>
          <w:color w:val="231F20"/>
          <w:spacing w:val="-11"/>
          <w:sz w:val="18"/>
        </w:rPr>
        <w:t> </w:t>
      </w:r>
      <w:r>
        <w:rPr>
          <w:color w:val="231F20"/>
          <w:sz w:val="18"/>
        </w:rPr>
        <w:t>pro- ducción animal en América Latina-II. Estudios </w:t>
      </w:r>
      <w:r>
        <w:rPr>
          <w:color w:val="231F20"/>
          <w:spacing w:val="-4"/>
          <w:sz w:val="18"/>
        </w:rPr>
        <w:t>FAO, </w:t>
      </w:r>
      <w:r>
        <w:rPr>
          <w:color w:val="231F20"/>
          <w:sz w:val="18"/>
        </w:rPr>
        <w:t>Producción y Sanidad Animal </w:t>
      </w:r>
      <w:r>
        <w:rPr>
          <w:color w:val="231F20"/>
          <w:spacing w:val="-3"/>
          <w:sz w:val="18"/>
        </w:rPr>
        <w:t>155, </w:t>
      </w:r>
      <w:r>
        <w:rPr>
          <w:color w:val="231F20"/>
          <w:spacing w:val="-4"/>
          <w:sz w:val="18"/>
        </w:rPr>
        <w:t>FAO, </w:t>
      </w:r>
      <w:r>
        <w:rPr>
          <w:color w:val="231F20"/>
          <w:sz w:val="18"/>
        </w:rPr>
        <w:t>Roma. pp. 319-340.</w:t>
      </w:r>
    </w:p>
    <w:p>
      <w:pPr>
        <w:spacing w:line="266" w:lineRule="auto" w:before="56"/>
        <w:ind w:left="695" w:right="1549" w:hanging="284"/>
        <w:jc w:val="both"/>
        <w:rPr>
          <w:sz w:val="18"/>
        </w:rPr>
      </w:pPr>
      <w:r>
        <w:rPr>
          <w:color w:val="231F20"/>
          <w:sz w:val="18"/>
        </w:rPr>
        <w:t>Nahed </w:t>
      </w:r>
      <w:r>
        <w:rPr>
          <w:color w:val="231F20"/>
          <w:spacing w:val="-3"/>
          <w:sz w:val="18"/>
        </w:rPr>
        <w:t>T.J., </w:t>
      </w:r>
      <w:r>
        <w:rPr>
          <w:color w:val="231F20"/>
          <w:sz w:val="18"/>
        </w:rPr>
        <w:t>Castel J.M., Mena </w:t>
      </w:r>
      <w:r>
        <w:rPr>
          <w:color w:val="231F20"/>
          <w:spacing w:val="-5"/>
          <w:sz w:val="18"/>
        </w:rPr>
        <w:t>Y., </w:t>
      </w:r>
      <w:r>
        <w:rPr>
          <w:color w:val="231F20"/>
          <w:sz w:val="18"/>
        </w:rPr>
        <w:t>Caravaca </w:t>
      </w:r>
      <w:r>
        <w:rPr>
          <w:color w:val="231F20"/>
          <w:spacing w:val="-8"/>
          <w:sz w:val="18"/>
        </w:rPr>
        <w:t>F. </w:t>
      </w:r>
      <w:r>
        <w:rPr>
          <w:color w:val="231F20"/>
          <w:sz w:val="18"/>
        </w:rPr>
        <w:t>(2006). Appraisal of the sustainability of dairy goat systems in Southern Spain according to their degree of inten- sification.  </w:t>
      </w:r>
      <w:r>
        <w:rPr>
          <w:i/>
          <w:color w:val="231F20"/>
          <w:sz w:val="18"/>
        </w:rPr>
        <w:t>Livestock  Science,  </w:t>
      </w:r>
      <w:r>
        <w:rPr>
          <w:color w:val="231F20"/>
          <w:spacing w:val="-4"/>
          <w:sz w:val="18"/>
        </w:rPr>
        <w:t>101:</w:t>
      </w:r>
      <w:r>
        <w:rPr>
          <w:color w:val="231F20"/>
          <w:spacing w:val="17"/>
          <w:sz w:val="18"/>
        </w:rPr>
        <w:t> </w:t>
      </w:r>
      <w:r>
        <w:rPr>
          <w:color w:val="231F20"/>
          <w:spacing w:val="-2"/>
          <w:sz w:val="18"/>
        </w:rPr>
        <w:t>10-23.</w:t>
      </w:r>
    </w:p>
    <w:p>
      <w:pPr>
        <w:spacing w:line="266" w:lineRule="auto" w:before="56"/>
        <w:ind w:left="412" w:right="1549" w:firstLine="0"/>
        <w:jc w:val="right"/>
        <w:rPr>
          <w:sz w:val="18"/>
        </w:rPr>
      </w:pPr>
      <w:r>
        <w:rPr>
          <w:color w:val="231F20"/>
          <w:sz w:val="18"/>
        </w:rPr>
        <w:t>Nahed T.J., Sánchez M.B., Ruiz R.J., León M.N., Calderón</w:t>
      </w:r>
      <w:r>
        <w:rPr>
          <w:color w:val="231F20"/>
          <w:w w:val="101"/>
          <w:sz w:val="18"/>
        </w:rPr>
        <w:t> </w:t>
      </w:r>
      <w:r>
        <w:rPr>
          <w:color w:val="231F20"/>
          <w:sz w:val="18"/>
        </w:rPr>
        <w:t>P.J., Álvarez M.A. (2008). Manual de ganadería bo-</w:t>
      </w:r>
      <w:r>
        <w:rPr>
          <w:color w:val="231F20"/>
          <w:w w:val="95"/>
          <w:sz w:val="18"/>
        </w:rPr>
        <w:t> </w:t>
      </w:r>
      <w:r>
        <w:rPr>
          <w:color w:val="231F20"/>
          <w:sz w:val="18"/>
        </w:rPr>
        <w:t>vina orgánica: bases generales para la producción</w:t>
      </w:r>
      <w:r>
        <w:rPr>
          <w:color w:val="231F20"/>
          <w:w w:val="101"/>
          <w:sz w:val="18"/>
        </w:rPr>
        <w:t> </w:t>
      </w:r>
      <w:r>
        <w:rPr>
          <w:color w:val="231F20"/>
          <w:sz w:val="18"/>
        </w:rPr>
        <w:t>ecológica de alimentos de origen animal. ECOSUR/</w:t>
      </w:r>
      <w:r>
        <w:rPr>
          <w:color w:val="231F20"/>
          <w:w w:val="107"/>
          <w:sz w:val="18"/>
        </w:rPr>
        <w:t> </w:t>
      </w:r>
      <w:r>
        <w:rPr>
          <w:color w:val="231F20"/>
          <w:sz w:val="18"/>
        </w:rPr>
        <w:t>UNACH. San Cristóbal de las Casas, Chiapas,  México.</w:t>
      </w:r>
    </w:p>
    <w:p>
      <w:pPr>
        <w:spacing w:line="266" w:lineRule="auto" w:before="56"/>
        <w:ind w:left="695" w:right="1549" w:hanging="284"/>
        <w:jc w:val="both"/>
        <w:rPr>
          <w:sz w:val="18"/>
        </w:rPr>
      </w:pPr>
      <w:r>
        <w:rPr>
          <w:color w:val="231F20"/>
          <w:sz w:val="18"/>
        </w:rPr>
        <w:t>Nahed J., Calderón J., Aguilar R., Sánchez B., Ruiz R.J., Mena </w:t>
      </w:r>
      <w:r>
        <w:rPr>
          <w:color w:val="231F20"/>
          <w:spacing w:val="-5"/>
          <w:sz w:val="18"/>
        </w:rPr>
        <w:t>Y., </w:t>
      </w:r>
      <w:r>
        <w:rPr>
          <w:color w:val="231F20"/>
          <w:sz w:val="18"/>
        </w:rPr>
        <w:t>Castel J., M., Ruiz </w:t>
      </w:r>
      <w:r>
        <w:rPr>
          <w:color w:val="231F20"/>
          <w:spacing w:val="-3"/>
          <w:sz w:val="18"/>
        </w:rPr>
        <w:t>A.F., </w:t>
      </w:r>
      <w:r>
        <w:rPr>
          <w:color w:val="231F20"/>
          <w:sz w:val="18"/>
        </w:rPr>
        <w:t>Jiménez G., López J., Sánchez G., Salvatierra B. (2009). Aproximación de los sistemas agrosilvopastoriles de tres microrregio- nes de Chiapas, México, al modelo de producción orgánica. </w:t>
      </w:r>
      <w:r>
        <w:rPr>
          <w:i/>
          <w:color w:val="231F20"/>
          <w:sz w:val="18"/>
        </w:rPr>
        <w:t>Avances en  Investigación  Agropecuaria,  </w:t>
      </w:r>
      <w:r>
        <w:rPr>
          <w:color w:val="231F20"/>
          <w:spacing w:val="-4"/>
          <w:sz w:val="18"/>
        </w:rPr>
        <w:t>13   </w:t>
      </w:r>
      <w:r>
        <w:rPr>
          <w:color w:val="231F20"/>
          <w:sz w:val="18"/>
        </w:rPr>
        <w:t>(1): </w:t>
      </w:r>
      <w:r>
        <w:rPr>
          <w:color w:val="231F20"/>
          <w:spacing w:val="23"/>
          <w:sz w:val="18"/>
        </w:rPr>
        <w:t> </w:t>
      </w:r>
      <w:r>
        <w:rPr>
          <w:color w:val="231F20"/>
          <w:sz w:val="18"/>
        </w:rPr>
        <w:t>45-58.</w:t>
      </w:r>
    </w:p>
    <w:p>
      <w:pPr>
        <w:spacing w:line="266" w:lineRule="auto" w:before="56"/>
        <w:ind w:left="695" w:right="1549" w:hanging="284"/>
        <w:jc w:val="both"/>
        <w:rPr>
          <w:sz w:val="18"/>
        </w:rPr>
      </w:pPr>
      <w:r>
        <w:rPr>
          <w:color w:val="231F20"/>
          <w:sz w:val="18"/>
        </w:rPr>
        <w:t>Nahed </w:t>
      </w:r>
      <w:r>
        <w:rPr>
          <w:color w:val="231F20"/>
          <w:spacing w:val="-3"/>
          <w:sz w:val="18"/>
        </w:rPr>
        <w:t>T.J., </w:t>
      </w:r>
      <w:r>
        <w:rPr>
          <w:color w:val="231F20"/>
          <w:sz w:val="18"/>
        </w:rPr>
        <w:t>Gómez-Castro H., Pinto R., Guevara </w:t>
      </w:r>
      <w:r>
        <w:rPr>
          <w:color w:val="231F20"/>
          <w:spacing w:val="-3"/>
          <w:sz w:val="18"/>
        </w:rPr>
        <w:t>H.F., </w:t>
      </w:r>
      <w:r>
        <w:rPr>
          <w:color w:val="231F20"/>
          <w:sz w:val="18"/>
        </w:rPr>
        <w:t>Medina J., Ibrahim M., Grande-Cano D. </w:t>
      </w:r>
      <w:r>
        <w:rPr>
          <w:color w:val="231F20"/>
          <w:spacing w:val="-3"/>
          <w:sz w:val="18"/>
        </w:rPr>
        <w:t>(2010). </w:t>
      </w:r>
      <w:r>
        <w:rPr>
          <w:color w:val="231F20"/>
          <w:sz w:val="18"/>
        </w:rPr>
        <w:t>Re- search and development of silvopastoral systems in  a village in the buffer zone of the El Ocote Biosphere Reserve, Chiapas, Mexico. </w:t>
      </w:r>
      <w:r>
        <w:rPr>
          <w:i/>
          <w:color w:val="231F20"/>
          <w:sz w:val="18"/>
        </w:rPr>
        <w:t>Research Journal of Biolo- </w:t>
      </w:r>
      <w:r>
        <w:rPr>
          <w:i/>
          <w:color w:val="231F20"/>
          <w:sz w:val="18"/>
        </w:rPr>
        <w:t>gical  Sciences,  </w:t>
      </w:r>
      <w:r>
        <w:rPr>
          <w:color w:val="231F20"/>
          <w:sz w:val="18"/>
        </w:rPr>
        <w:t>5  (7):  </w:t>
      </w:r>
      <w:r>
        <w:rPr>
          <w:color w:val="231F20"/>
          <w:spacing w:val="15"/>
          <w:sz w:val="18"/>
        </w:rPr>
        <w:t> </w:t>
      </w:r>
      <w:r>
        <w:rPr>
          <w:color w:val="231F20"/>
          <w:spacing w:val="-5"/>
          <w:sz w:val="18"/>
        </w:rPr>
        <w:t>499-507.</w:t>
      </w:r>
    </w:p>
    <w:p>
      <w:pPr>
        <w:spacing w:line="266" w:lineRule="auto" w:before="56"/>
        <w:ind w:left="695" w:right="1549" w:hanging="284"/>
        <w:jc w:val="both"/>
        <w:rPr>
          <w:sz w:val="18"/>
        </w:rPr>
      </w:pPr>
      <w:r>
        <w:rPr>
          <w:color w:val="231F20"/>
          <w:sz w:val="18"/>
        </w:rPr>
        <w:t>Olivares P.R., Gómez C.M., Meraz A.M. (2005). Potencial de conversión de explotaciones ganaderas conven- cionales  a  sistemas  de  producción  orgánicos  en el</w:t>
      </w:r>
    </w:p>
    <w:p>
      <w:pPr>
        <w:spacing w:after="0" w:line="266" w:lineRule="auto"/>
        <w:jc w:val="both"/>
        <w:rPr>
          <w:sz w:val="18"/>
        </w:rPr>
        <w:sectPr>
          <w:type w:val="continuous"/>
          <w:pgSz w:w="11900" w:h="14450"/>
          <w:pgMar w:top="420" w:bottom="420" w:left="0" w:right="0"/>
          <w:cols w:num="2" w:equalWidth="0">
            <w:col w:w="5725" w:space="40"/>
            <w:col w:w="6135"/>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6.   Innovación en el proceso de conversión y certificación orgánica de la   </w:t>
      </w:r>
      <w:r>
        <w:rPr>
          <w:color w:val="231F20"/>
          <w:spacing w:val="7"/>
          <w:sz w:val="18"/>
        </w:rPr>
        <w:t> </w:t>
      </w:r>
      <w:r>
        <w:rPr>
          <w:color w:val="231F20"/>
          <w:sz w:val="18"/>
        </w:rPr>
        <w:t>leche</w:t>
      </w:r>
      <w:r>
        <w:rPr>
          <w:color w:val="231F20"/>
          <w:spacing w:val="12"/>
          <w:sz w:val="18"/>
        </w:rPr>
        <w:t> </w:t>
      </w:r>
      <w:r>
        <w:rPr>
          <w:color w:val="231F20"/>
          <w:sz w:val="18"/>
        </w:rPr>
        <w:t>bovina...</w:t>
      </w:r>
      <w:r>
        <w:rPr>
          <w:color w:val="231F20"/>
          <w:sz w:val="22"/>
        </w:rPr>
        <w:tab/>
        <w:t>99</w:t>
      </w:r>
    </w:p>
    <w:p>
      <w:pPr>
        <w:spacing w:after="0"/>
        <w:jc w:val="left"/>
        <w:rPr>
          <w:sz w:val="22"/>
        </w:rPr>
        <w:sectPr>
          <w:footerReference w:type="default" r:id="rId94"/>
          <w:pgSz w:w="11900" w:h="14450"/>
          <w:pgMar w:footer="222" w:header="0" w:top="420" w:bottom="420" w:left="0" w:right="0"/>
        </w:sectPr>
      </w:pPr>
    </w:p>
    <w:p>
      <w:pPr>
        <w:pStyle w:val="BodyText"/>
        <w:rPr>
          <w:sz w:val="18"/>
        </w:rPr>
      </w:pPr>
    </w:p>
    <w:p>
      <w:pPr>
        <w:spacing w:line="268" w:lineRule="auto" w:before="129"/>
        <w:ind w:left="1837" w:right="0" w:firstLine="0"/>
        <w:jc w:val="left"/>
        <w:rPr>
          <w:sz w:val="18"/>
        </w:rPr>
      </w:pPr>
      <w:r>
        <w:rPr>
          <w:color w:val="231F20"/>
          <w:w w:val="105"/>
          <w:sz w:val="18"/>
        </w:rPr>
        <w:t>Estado de Tabasco</w:t>
      </w:r>
      <w:r>
        <w:rPr>
          <w:i/>
          <w:color w:val="231F20"/>
          <w:w w:val="105"/>
          <w:sz w:val="18"/>
        </w:rPr>
        <w:t>. Técnica Pecuria México, </w:t>
      </w:r>
      <w:r>
        <w:rPr>
          <w:color w:val="231F20"/>
          <w:w w:val="105"/>
          <w:sz w:val="18"/>
        </w:rPr>
        <w:t>43 (3):</w:t>
      </w:r>
      <w:r>
        <w:rPr>
          <w:color w:val="231F20"/>
          <w:w w:val="117"/>
          <w:sz w:val="18"/>
        </w:rPr>
        <w:t> </w:t>
      </w:r>
      <w:r>
        <w:rPr>
          <w:color w:val="231F20"/>
          <w:w w:val="105"/>
          <w:sz w:val="18"/>
        </w:rPr>
        <w:t>361-370.</w:t>
      </w:r>
    </w:p>
    <w:p>
      <w:pPr>
        <w:spacing w:line="268" w:lineRule="auto" w:before="55"/>
        <w:ind w:left="1837" w:right="0" w:hanging="284"/>
        <w:jc w:val="both"/>
        <w:rPr>
          <w:sz w:val="18"/>
        </w:rPr>
      </w:pPr>
      <w:r>
        <w:rPr>
          <w:color w:val="231F20"/>
          <w:sz w:val="18"/>
        </w:rPr>
        <w:t>Pingali </w:t>
      </w:r>
      <w:r>
        <w:rPr>
          <w:color w:val="231F20"/>
          <w:spacing w:val="-5"/>
          <w:sz w:val="18"/>
        </w:rPr>
        <w:t>P.,  </w:t>
      </w:r>
      <w:r>
        <w:rPr>
          <w:color w:val="231F20"/>
          <w:sz w:val="18"/>
        </w:rPr>
        <w:t>Raney </w:t>
      </w:r>
      <w:r>
        <w:rPr>
          <w:color w:val="231F20"/>
          <w:spacing w:val="-8"/>
          <w:sz w:val="18"/>
        </w:rPr>
        <w:t>T.  </w:t>
      </w:r>
      <w:r>
        <w:rPr>
          <w:color w:val="231F20"/>
          <w:sz w:val="18"/>
        </w:rPr>
        <w:t>(2005). From the green revolution   to the gene revolution: how will the poor fare? ESA Working paper No. 05-09. Food and Agriculture Or- ganization of the United Nations, Rome,</w:t>
      </w:r>
      <w:r>
        <w:rPr>
          <w:color w:val="231F20"/>
          <w:spacing w:val="22"/>
          <w:sz w:val="18"/>
        </w:rPr>
        <w:t> </w:t>
      </w:r>
      <w:r>
        <w:rPr>
          <w:color w:val="231F20"/>
          <w:sz w:val="18"/>
        </w:rPr>
        <w:t>Italy.</w:t>
      </w:r>
    </w:p>
    <w:p>
      <w:pPr>
        <w:spacing w:line="268" w:lineRule="auto" w:before="55"/>
        <w:ind w:left="1837" w:right="0" w:hanging="284"/>
        <w:jc w:val="both"/>
        <w:rPr>
          <w:sz w:val="18"/>
        </w:rPr>
      </w:pPr>
      <w:r>
        <w:rPr>
          <w:color w:val="231F20"/>
          <w:sz w:val="18"/>
        </w:rPr>
        <w:t>Pinstrup-Andersen P., Pandya-Lorch R. (1994). Allevia- ting poverty, intensifying agriculture, and effectively managing natural resources. Food, agriculture and environment discussion Paper 1. International Food Policy Research Institute, Washington, USA.</w:t>
      </w:r>
    </w:p>
    <w:p>
      <w:pPr>
        <w:spacing w:line="268" w:lineRule="auto" w:before="55"/>
        <w:ind w:left="1837" w:right="0" w:hanging="284"/>
        <w:jc w:val="both"/>
        <w:rPr>
          <w:sz w:val="18"/>
        </w:rPr>
      </w:pPr>
      <w:r>
        <w:rPr>
          <w:color w:val="231F20"/>
          <w:sz w:val="18"/>
        </w:rPr>
        <w:t>Rogers E. (1983). Diffusion of innovations. 3</w:t>
      </w:r>
      <w:r>
        <w:rPr>
          <w:color w:val="231F20"/>
          <w:position w:val="6"/>
          <w:sz w:val="10"/>
        </w:rPr>
        <w:t>rd </w:t>
      </w:r>
      <w:r>
        <w:rPr>
          <w:color w:val="231F20"/>
          <w:sz w:val="18"/>
        </w:rPr>
        <w:t>ed. Free Press, New York,  USA.</w:t>
      </w:r>
    </w:p>
    <w:p>
      <w:pPr>
        <w:pStyle w:val="BodyText"/>
        <w:rPr>
          <w:sz w:val="18"/>
        </w:rPr>
      </w:pPr>
      <w:r>
        <w:rPr/>
        <w:br w:type="column"/>
      </w:r>
      <w:r>
        <w:rPr>
          <w:sz w:val="18"/>
        </w:rPr>
      </w:r>
    </w:p>
    <w:p>
      <w:pPr>
        <w:spacing w:line="292" w:lineRule="auto" w:before="129"/>
        <w:ind w:left="697" w:right="1551" w:hanging="284"/>
        <w:jc w:val="both"/>
        <w:rPr>
          <w:sz w:val="18"/>
        </w:rPr>
      </w:pPr>
      <w:r>
        <w:rPr>
          <w:color w:val="231F20"/>
          <w:sz w:val="18"/>
        </w:rPr>
        <w:t>SIAP (Sistema de Información y Estadística Agroalimen- taria y Pesquera) (2008). Producción pecuaria en México. SAGARPA, México.</w:t>
      </w:r>
    </w:p>
    <w:p>
      <w:pPr>
        <w:spacing w:line="292" w:lineRule="auto" w:before="56"/>
        <w:ind w:left="697" w:right="1551" w:hanging="284"/>
        <w:jc w:val="both"/>
        <w:rPr>
          <w:sz w:val="18"/>
        </w:rPr>
      </w:pPr>
      <w:r>
        <w:rPr>
          <w:color w:val="231F20"/>
          <w:sz w:val="18"/>
        </w:rPr>
        <w:t>Toussaint G. (2002). Notice des indicateurs de fonction- nement des systèmes laitiers. </w:t>
      </w:r>
      <w:r>
        <w:rPr>
          <w:i/>
          <w:color w:val="231F20"/>
          <w:sz w:val="18"/>
        </w:rPr>
        <w:t>Options Mediterra- </w:t>
      </w:r>
      <w:r>
        <w:rPr>
          <w:i/>
          <w:color w:val="231F20"/>
          <w:sz w:val="18"/>
        </w:rPr>
        <w:t>néennes,   </w:t>
      </w:r>
      <w:r>
        <w:rPr>
          <w:color w:val="231F20"/>
          <w:sz w:val="18"/>
        </w:rPr>
        <w:t>39:  147-157.</w:t>
      </w:r>
    </w:p>
    <w:p>
      <w:pPr>
        <w:spacing w:line="292" w:lineRule="auto" w:before="56"/>
        <w:ind w:left="697" w:right="1551" w:hanging="284"/>
        <w:jc w:val="both"/>
        <w:rPr>
          <w:sz w:val="18"/>
        </w:rPr>
      </w:pPr>
      <w:r>
        <w:rPr>
          <w:color w:val="231F20"/>
          <w:sz w:val="18"/>
        </w:rPr>
        <w:t>USDA (United States Department of Agriculture) (2003). National organic program standard. Disponible en lí- nea en: </w:t>
      </w:r>
      <w:hyperlink r:id="rId95">
        <w:r>
          <w:rPr>
            <w:color w:val="231F20"/>
            <w:sz w:val="18"/>
          </w:rPr>
          <w:t>www.ams.usda.gov/nop/</w:t>
        </w:r>
      </w:hyperlink>
      <w:r>
        <w:rPr>
          <w:color w:val="231F20"/>
          <w:sz w:val="18"/>
        </w:rPr>
        <w:t> (Consultado el 26 de  febrero  de 2012.)</w:t>
      </w:r>
    </w:p>
    <w:p>
      <w:pPr>
        <w:spacing w:line="292" w:lineRule="auto" w:before="56"/>
        <w:ind w:left="697" w:right="1551" w:hanging="284"/>
        <w:jc w:val="both"/>
        <w:rPr>
          <w:sz w:val="18"/>
        </w:rPr>
      </w:pPr>
      <w:r>
        <w:rPr>
          <w:color w:val="231F20"/>
          <w:sz w:val="18"/>
        </w:rPr>
        <w:t>Waitley D., Tucker R. (1989). Winning the innovation game. Berkley Books, New York,  USA.</w:t>
      </w:r>
    </w:p>
    <w:p>
      <w:pPr>
        <w:spacing w:after="0" w:line="292" w:lineRule="auto"/>
        <w:jc w:val="both"/>
        <w:rPr>
          <w:sz w:val="18"/>
        </w:rPr>
        <w:sectPr>
          <w:type w:val="continuous"/>
          <w:pgSz w:w="11900" w:h="14450"/>
          <w:pgMar w:top="420" w:bottom="420" w:left="0" w:right="0"/>
          <w:cols w:num="2" w:equalWidth="0">
            <w:col w:w="5721" w:space="40"/>
            <w:col w:w="6139"/>
          </w:cols>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ListParagraph"/>
        <w:numPr>
          <w:ilvl w:val="0"/>
          <w:numId w:val="11"/>
        </w:numPr>
        <w:tabs>
          <w:tab w:pos="2098" w:val="left" w:leader="none"/>
        </w:tabs>
        <w:spacing w:line="240" w:lineRule="auto" w:before="154" w:after="0"/>
        <w:ind w:left="2097" w:right="0" w:hanging="544"/>
        <w:jc w:val="left"/>
        <w:rPr>
          <w:sz w:val="28"/>
        </w:rPr>
      </w:pPr>
      <w:r>
        <w:rPr>
          <w:color w:val="6D6E71"/>
          <w:w w:val="120"/>
          <w:sz w:val="40"/>
        </w:rPr>
        <w:t>S</w:t>
      </w:r>
      <w:r>
        <w:rPr>
          <w:color w:val="6D6E71"/>
          <w:w w:val="120"/>
          <w:sz w:val="28"/>
        </w:rPr>
        <w:t>iStemaS  de  doBle</w:t>
      </w:r>
      <w:r>
        <w:rPr>
          <w:color w:val="6D6E71"/>
          <w:spacing w:val="6"/>
          <w:w w:val="120"/>
          <w:sz w:val="28"/>
        </w:rPr>
        <w:t> </w:t>
      </w:r>
      <w:r>
        <w:rPr>
          <w:color w:val="6D6E71"/>
          <w:w w:val="120"/>
          <w:sz w:val="28"/>
        </w:rPr>
        <w:t>propóSito</w:t>
      </w:r>
    </w:p>
    <w:p>
      <w:pPr>
        <w:pStyle w:val="Heading3"/>
        <w:spacing w:before="290"/>
        <w:ind w:right="2503"/>
        <w:jc w:val="left"/>
        <w:rPr>
          <w:sz w:val="60"/>
        </w:rPr>
      </w:pPr>
      <w:bookmarkStart w:name="_TOC_250008" w:id="4"/>
      <w:r>
        <w:rPr>
          <w:color w:val="231F20"/>
          <w:w w:val="110"/>
        </w:rPr>
        <w:t>CAPÍTULO </w:t>
      </w:r>
      <w:bookmarkEnd w:id="4"/>
      <w:r>
        <w:rPr>
          <w:color w:val="231F20"/>
          <w:w w:val="110"/>
          <w:sz w:val="60"/>
        </w:rPr>
        <w:t>7</w:t>
      </w:r>
    </w:p>
    <w:p>
      <w:pPr>
        <w:spacing w:before="219"/>
        <w:ind w:left="1553" w:right="1816" w:firstLine="0"/>
        <w:jc w:val="left"/>
        <w:rPr>
          <w:sz w:val="36"/>
        </w:rPr>
      </w:pPr>
      <w:r>
        <w:rPr>
          <w:color w:val="231F20"/>
          <w:spacing w:val="3"/>
          <w:w w:val="105"/>
          <w:sz w:val="36"/>
        </w:rPr>
        <w:t>LA </w:t>
      </w:r>
      <w:r>
        <w:rPr>
          <w:color w:val="231F20"/>
          <w:w w:val="105"/>
          <w:sz w:val="36"/>
        </w:rPr>
        <w:t>PRODUCCIÓN DE BOVINOS DE DOBLE PROPÓSITO EN EL TRÓPICO </w:t>
      </w:r>
      <w:r>
        <w:rPr>
          <w:color w:val="231F20"/>
          <w:spacing w:val="-4"/>
          <w:w w:val="105"/>
          <w:sz w:val="36"/>
        </w:rPr>
        <w:t>SECO </w:t>
      </w:r>
      <w:r>
        <w:rPr>
          <w:color w:val="231F20"/>
          <w:w w:val="105"/>
          <w:sz w:val="36"/>
        </w:rPr>
        <w:t>DEL CENTRO DE MÉXICO Y SU CONTRIBUCIÓN AL DESARROLLO </w:t>
      </w:r>
      <w:r>
        <w:rPr>
          <w:color w:val="231F20"/>
          <w:spacing w:val="4"/>
          <w:w w:val="105"/>
          <w:sz w:val="36"/>
        </w:rPr>
        <w:t>RURAL </w:t>
      </w:r>
      <w:r>
        <w:rPr>
          <w:color w:val="231F20"/>
          <w:spacing w:val="71"/>
          <w:w w:val="105"/>
          <w:sz w:val="36"/>
        </w:rPr>
        <w:t> </w:t>
      </w:r>
      <w:r>
        <w:rPr>
          <w:color w:val="231F20"/>
          <w:spacing w:val="-3"/>
          <w:w w:val="105"/>
          <w:sz w:val="36"/>
        </w:rPr>
        <w:t>SUSTENTABLE</w:t>
      </w:r>
    </w:p>
    <w:p>
      <w:pPr>
        <w:pStyle w:val="Heading4"/>
        <w:spacing w:before="307"/>
        <w:ind w:right="1655"/>
        <w:jc w:val="left"/>
      </w:pPr>
      <w:r>
        <w:rPr>
          <w:i/>
          <w:color w:val="231F20"/>
        </w:rPr>
        <w:t>Benito Albarrán Portillo</w:t>
      </w:r>
      <w:r>
        <w:rPr>
          <w:i/>
          <w:color w:val="231F20"/>
          <w:position w:val="9"/>
          <w:sz w:val="16"/>
        </w:rPr>
        <w:t>*</w:t>
      </w:r>
      <w:r>
        <w:rPr>
          <w:i/>
          <w:color w:val="231F20"/>
        </w:rPr>
        <w:t>, Francisca Avilés Nova, Anastacio García Martínez, </w:t>
      </w:r>
      <w:r>
        <w:rPr>
          <w:color w:val="231F20"/>
        </w:rPr>
        <w:t>Samuel Rebollar Rebollar, Arturo Ortiz Rodea e Isela G. Salas Reyes</w:t>
      </w:r>
    </w:p>
    <w:p>
      <w:pPr>
        <w:pStyle w:val="BodyText"/>
        <w:spacing w:before="175"/>
        <w:ind w:left="1553"/>
      </w:pPr>
      <w:r>
        <w:rPr>
          <w:color w:val="231F20"/>
        </w:rPr>
        <w:t>Centro Universitario UAEM Temascaltepec. Km. 67,5  Carretera Toluca-Tejupilco,  México, C.P.    51300</w:t>
      </w:r>
    </w:p>
    <w:p>
      <w:pPr>
        <w:pStyle w:val="BodyText"/>
      </w:pPr>
    </w:p>
    <w:p>
      <w:pPr>
        <w:pStyle w:val="BodyText"/>
        <w:rPr>
          <w:sz w:val="26"/>
        </w:rPr>
      </w:pPr>
      <w:r>
        <w:rPr/>
        <w:pict>
          <v:line style="position:absolute;mso-position-horizontal-relative:page;mso-position-vertical-relative:paragraph;z-index:2608;mso-wrap-distance-left:0;mso-wrap-distance-right:0" from="77.692902pt,18.086636pt" to="517.062902pt,18.086636pt" stroked="true" strokeweight=".5pt" strokecolor="#231f20">
            <w10:wrap type="topAndBottom"/>
          </v:line>
        </w:pict>
      </w:r>
    </w:p>
    <w:p>
      <w:pPr>
        <w:pStyle w:val="BodyText"/>
        <w:spacing w:before="2"/>
        <w:rPr>
          <w:sz w:val="19"/>
        </w:rPr>
      </w:pPr>
    </w:p>
    <w:p>
      <w:pPr>
        <w:pStyle w:val="BodyText"/>
        <w:ind w:left="1553" w:right="2503"/>
      </w:pPr>
      <w:r>
        <w:rPr>
          <w:color w:val="231F20"/>
          <w:w w:val="110"/>
        </w:rPr>
        <w:t>RESUMEN</w:t>
      </w:r>
    </w:p>
    <w:p>
      <w:pPr>
        <w:pStyle w:val="BodyText"/>
        <w:spacing w:line="254" w:lineRule="auto" w:before="129"/>
        <w:ind w:left="1553" w:right="1550"/>
        <w:jc w:val="both"/>
      </w:pPr>
      <w:r>
        <w:rPr>
          <w:color w:val="231F20"/>
        </w:rPr>
        <w:t>En la región suroeste del Estado de México se desarrollan sistemas de producción de doble propósito,   entre los que destacan los del Municipio de Zacazonapan por los volúmenes de carne y leche producidos.    El sistema de producción viene determinado por las condiciones agroecológicas. Por un lado, en la época   de lluvias hay una abundante producción de forrajes, los cuales son la única fuente de alimentación de los animales. En cambio, durante la época de estiaje los productores se ven obligados a suplementar a sus animales, utilizando insumos externos que incrementan de manera significativa los costos de producción.  La leche permite cubrir los costos de operación de las unidades de producción, mientras que la carne, en forma de becerros destetados y de animales finalizados en corrales, genera la mayor parte de los ingresos en este sistema. </w:t>
      </w:r>
      <w:r>
        <w:rPr>
          <w:color w:val="231F20"/>
          <w:spacing w:val="-5"/>
        </w:rPr>
        <w:t>Tanto </w:t>
      </w:r>
      <w:r>
        <w:rPr>
          <w:color w:val="231F20"/>
        </w:rPr>
        <w:t>en la época de lluvias como en la de estiaje los productores manejan la carga ani- mal, así como la cantidad de suplemento utilizado, de forma que se haga un uso eficiente y sustentable     de los recursos forrajeros que existen en los potreros. Este manejo tiene un impacto favorable sobre los índices de diversidad y riqueza vegetal, con lo cual se demuestra la sustentabilidad ecológica del sistema.  En lo social, la falta de interés por parte de jóvenes que quieran dedicarse a la actividad agropecuaria es la principal amenaza de este sistema de  </w:t>
      </w:r>
      <w:r>
        <w:rPr>
          <w:color w:val="231F20"/>
          <w:spacing w:val="27"/>
        </w:rPr>
        <w:t> </w:t>
      </w:r>
      <w:r>
        <w:rPr>
          <w:color w:val="231F20"/>
        </w:rPr>
        <w:t>producción.</w:t>
      </w:r>
    </w:p>
    <w:p>
      <w:pPr>
        <w:pStyle w:val="BodyText"/>
        <w:spacing w:line="254" w:lineRule="auto" w:before="114"/>
        <w:ind w:left="1553" w:right="1885"/>
      </w:pPr>
      <w:r>
        <w:rPr>
          <w:color w:val="231F20"/>
        </w:rPr>
        <w:t>Palabras clave: Características socioeconómicas - Producción de carne y leche - Viabilidad económica -      Uso de recursos locales - </w:t>
      </w:r>
      <w:r>
        <w:rPr>
          <w:color w:val="231F20"/>
          <w:spacing w:val="38"/>
        </w:rPr>
        <w:t> </w:t>
      </w:r>
      <w:r>
        <w:rPr>
          <w:color w:val="231F20"/>
        </w:rPr>
        <w:t>Sustentabilidad.</w:t>
      </w:r>
    </w:p>
    <w:p>
      <w:pPr>
        <w:pStyle w:val="BodyText"/>
        <w:rPr>
          <w:sz w:val="19"/>
        </w:rPr>
      </w:pPr>
      <w:r>
        <w:rPr/>
        <w:pict>
          <v:line style="position:absolute;mso-position-horizontal-relative:page;mso-position-vertical-relative:paragraph;z-index:2632;mso-wrap-distance-left:0;mso-wrap-distance-right:0" from="77.692902pt,13.839834pt" to="517.062902pt,13.839834pt" stroked="true" strokeweight=".5pt" strokecolor="#231f20">
            <w10:wrap type="topAndBottom"/>
          </v:line>
        </w:pict>
      </w:r>
      <w:r>
        <w:rPr/>
        <w:pict>
          <v:group style="position:absolute;margin-left:77.692902pt;margin-top:27.733534pt;width:70.9pt;height:.5pt;mso-position-horizontal-relative:page;mso-position-vertical-relative:paragraph;z-index:2656;mso-wrap-distance-left:0;mso-wrap-distance-right:0" coordorigin="1554,555" coordsize="1418,10">
            <v:line style="position:absolute" from="1589,560" to="2951,560" stroked="true" strokeweight=".5pt" strokecolor="#231f20">
              <v:stroke dashstyle="dash"/>
            </v:line>
            <v:line style="position:absolute" from="1559,560" to="1559,560" stroked="true" strokeweight=".5pt" strokecolor="#231f20"/>
            <v:line style="position:absolute" from="2966,560" to="2966,560" stroked="true" strokeweight=".5pt" strokecolor="#231f20"/>
            <w10:wrap type="topAndBottom"/>
          </v:group>
        </w:pict>
      </w:r>
    </w:p>
    <w:p>
      <w:pPr>
        <w:pStyle w:val="BodyText"/>
        <w:spacing w:before="9"/>
        <w:rPr>
          <w:sz w:val="16"/>
        </w:rPr>
      </w:pPr>
    </w:p>
    <w:p>
      <w:pPr>
        <w:spacing w:before="70"/>
        <w:ind w:left="1553" w:right="2503" w:firstLine="0"/>
        <w:jc w:val="left"/>
        <w:rPr>
          <w:sz w:val="16"/>
        </w:rPr>
      </w:pPr>
      <w:r>
        <w:rPr>
          <w:color w:val="231F20"/>
          <w:sz w:val="16"/>
        </w:rPr>
        <w:t>* Para correspondencia: </w:t>
      </w:r>
      <w:hyperlink r:id="rId96">
        <w:r>
          <w:rPr>
            <w:color w:val="231F20"/>
            <w:sz w:val="16"/>
          </w:rPr>
          <w:t>balbarranp@uaemex.mx</w:t>
        </w:r>
      </w:hyperlink>
    </w:p>
    <w:p>
      <w:pPr>
        <w:pStyle w:val="BodyText"/>
        <w:spacing w:before="1"/>
        <w:rPr>
          <w:sz w:val="25"/>
        </w:rPr>
      </w:pPr>
    </w:p>
    <w:p>
      <w:pPr>
        <w:pStyle w:val="Heading5"/>
        <w:spacing w:before="64"/>
      </w:pPr>
      <w:r>
        <w:rPr>
          <w:color w:val="231F20"/>
          <w:w w:val="115"/>
        </w:rPr>
        <w:t>101</w:t>
      </w:r>
    </w:p>
    <w:p>
      <w:pPr>
        <w:spacing w:after="0"/>
        <w:sectPr>
          <w:pgSz w:w="11900" w:h="14450"/>
          <w:pgMar w:header="0" w:footer="222" w:top="420" w:bottom="420" w:left="0" w:right="0"/>
        </w:sectPr>
      </w:pPr>
    </w:p>
    <w:p>
      <w:pPr>
        <w:pStyle w:val="BodyText"/>
      </w:pPr>
    </w:p>
    <w:p>
      <w:pPr>
        <w:pStyle w:val="BodyText"/>
      </w:pPr>
    </w:p>
    <w:p>
      <w:pPr>
        <w:pStyle w:val="BodyText"/>
        <w:rPr>
          <w:sz w:val="17"/>
        </w:rPr>
      </w:pPr>
    </w:p>
    <w:p>
      <w:pPr>
        <w:tabs>
          <w:tab w:pos="7285" w:val="left" w:leader="none"/>
        </w:tabs>
        <w:spacing w:before="64"/>
        <w:ind w:left="1551" w:right="0" w:firstLine="0"/>
        <w:jc w:val="left"/>
        <w:rPr>
          <w:sz w:val="12"/>
        </w:rPr>
      </w:pPr>
      <w:r>
        <w:rPr>
          <w:color w:val="231F20"/>
          <w:spacing w:val="-3"/>
          <w:w w:val="120"/>
          <w:sz w:val="22"/>
        </w:rPr>
        <w:t>102</w:t>
        <w:tab/>
      </w:r>
      <w:r>
        <w:rPr>
          <w:color w:val="231F20"/>
          <w:w w:val="120"/>
          <w:sz w:val="18"/>
        </w:rPr>
        <w:t>SECCIÓN 2.  B. S</w:t>
      </w:r>
      <w:r>
        <w:rPr>
          <w:color w:val="231F20"/>
          <w:w w:val="120"/>
          <w:sz w:val="12"/>
        </w:rPr>
        <w:t>iStemaS de doBle</w:t>
      </w:r>
      <w:r>
        <w:rPr>
          <w:color w:val="231F20"/>
          <w:spacing w:val="18"/>
          <w:w w:val="120"/>
          <w:sz w:val="12"/>
        </w:rPr>
        <w:t> </w:t>
      </w:r>
      <w:r>
        <w:rPr>
          <w:color w:val="231F20"/>
          <w:w w:val="120"/>
          <w:sz w:val="12"/>
        </w:rPr>
        <w:t>propóSito</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6" w:lineRule="auto" w:before="130"/>
        <w:ind w:left="1553" w:right="1"/>
        <w:jc w:val="both"/>
      </w:pPr>
      <w:r>
        <w:rPr>
          <w:color w:val="231F20"/>
        </w:rPr>
        <w:t>México es un país deficitario en producción leche, con un coeficiente de dependencia alimentaria para este producto del 40% en 2008. No  obs-  tante la demanda nacional insatisfecha que existe de este producto, la situación de los productores  es crítica, debido a los constantes incrementos de los precios de los granos para la alimentación del ganado, y a los bajos precios en general pagados   al productor, que no han llegado a superar los $5,9 por  litro  (SAGARPA, 2008).</w:t>
      </w:r>
    </w:p>
    <w:p>
      <w:pPr>
        <w:pStyle w:val="BodyText"/>
        <w:spacing w:line="256" w:lineRule="auto" w:before="113"/>
        <w:ind w:left="1553"/>
        <w:jc w:val="both"/>
      </w:pPr>
      <w:r>
        <w:rPr>
          <w:color w:val="231F20"/>
        </w:rPr>
        <w:t>En México se encuentran tres tipos de sistemas de producción de leche: tecnificado y semitecnifica- do (zona Centro-Norte), pequeña escala o leche- ría familiar (zona Centro), y lechería tropical o de doble propósito (zona Sur-Este)  (García,  1996).  Sin embargo, en la zona Centro del país existen regiones subtropicales (restante 20% de la pro- ducción tropical de leche) en donde hay una im- portante producción de carne y leche. El Estado   de México destaca, en conjunto, por su importante producción de leche al ocupar el octavo lugar, y decimoquinto en carne. Dentro del Estado, la re- gión suroeste, de clima subtropical, contribuye en gran medida a la producción de leche y carne de bovino, y en esta región Zacazonapan ocupa el pri- mer lugar en producción de leche y el segundo en carne  (SAGARPA, </w:t>
      </w:r>
      <w:r>
        <w:rPr>
          <w:color w:val="231F20"/>
          <w:spacing w:val="21"/>
        </w:rPr>
        <w:t> </w:t>
      </w:r>
      <w:r>
        <w:rPr>
          <w:color w:val="231F20"/>
        </w:rPr>
        <w:t>2008).</w:t>
      </w:r>
    </w:p>
    <w:p>
      <w:pPr>
        <w:pStyle w:val="BodyText"/>
        <w:spacing w:line="256" w:lineRule="auto" w:before="113"/>
        <w:ind w:left="1553" w:right="1"/>
        <w:jc w:val="both"/>
      </w:pPr>
      <w:r>
        <w:rPr>
          <w:color w:val="231F20"/>
        </w:rPr>
        <w:t>De los sistemas de producción presentes en Mé- xico destacan la lechería familiar y tropical como los más importantes por el papel social que de- sempeñan, al aglutinar principalmente a un gran número  de  pequeños  productores  (FIRA, 2011).</w:t>
      </w:r>
    </w:p>
    <w:p>
      <w:pPr>
        <w:pStyle w:val="BodyText"/>
        <w:spacing w:line="256" w:lineRule="auto" w:before="113"/>
        <w:ind w:left="1553"/>
        <w:jc w:val="both"/>
      </w:pPr>
      <w:r>
        <w:rPr>
          <w:color w:val="231F20"/>
        </w:rPr>
        <w:t>Este capítulo presenta los trabajos de investiga- ción que desde 2008 se han realizado en el Mu- nicipio de Zacazonapan, como la caracterización socioeconómica del sistema, la evaluación </w:t>
      </w:r>
      <w:r>
        <w:rPr>
          <w:color w:val="231F20"/>
          <w:spacing w:val="2"/>
        </w:rPr>
        <w:t>del </w:t>
      </w:r>
      <w:r>
        <w:rPr>
          <w:color w:val="231F20"/>
        </w:rPr>
        <w:t>potencial productivo de praderas, los ensayos de respuesta animal a la suplementación en la épo-   ca</w:t>
      </w:r>
      <w:r>
        <w:rPr>
          <w:color w:val="231F20"/>
          <w:spacing w:val="33"/>
        </w:rPr>
        <w:t> </w:t>
      </w:r>
      <w:r>
        <w:rPr>
          <w:color w:val="231F20"/>
        </w:rPr>
        <w:t>de</w:t>
      </w:r>
      <w:r>
        <w:rPr>
          <w:color w:val="231F20"/>
          <w:spacing w:val="33"/>
        </w:rPr>
        <w:t> </w:t>
      </w:r>
      <w:r>
        <w:rPr>
          <w:color w:val="231F20"/>
        </w:rPr>
        <w:t>estiaje</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evaluación</w:t>
      </w:r>
      <w:r>
        <w:rPr>
          <w:color w:val="231F20"/>
          <w:spacing w:val="33"/>
        </w:rPr>
        <w:t> </w:t>
      </w:r>
      <w:r>
        <w:rPr>
          <w:color w:val="231F20"/>
        </w:rPr>
        <w:t>de</w:t>
      </w:r>
      <w:r>
        <w:rPr>
          <w:color w:val="231F20"/>
          <w:spacing w:val="33"/>
        </w:rPr>
        <w:t> </w:t>
      </w:r>
      <w:r>
        <w:rPr>
          <w:color w:val="231F20"/>
        </w:rPr>
        <w:t>recursos</w:t>
      </w:r>
      <w:r>
        <w:rPr>
          <w:color w:val="231F20"/>
          <w:spacing w:val="33"/>
        </w:rPr>
        <w:t> </w:t>
      </w:r>
      <w:r>
        <w:rPr>
          <w:color w:val="231F20"/>
        </w:rPr>
        <w:t>forraje-</w:t>
      </w:r>
    </w:p>
    <w:p>
      <w:pPr>
        <w:pStyle w:val="BodyText"/>
        <w:spacing w:line="261" w:lineRule="auto" w:before="67"/>
        <w:ind w:left="411" w:right="1549"/>
        <w:jc w:val="both"/>
      </w:pPr>
      <w:r>
        <w:rPr/>
        <w:br w:type="column"/>
      </w:r>
      <w:r>
        <w:rPr>
          <w:color w:val="231F20"/>
        </w:rPr>
        <w:t>ros no tradicionales. Muestra la importancia que tiene la producción de doble propósito en la ge- neración de ingresos, al brindar oportunidades de ocupación para los miembros de la familia, pero también para mano de obra externa al núcleo fa- miliar. La principal ventaja de estos sistemas es su amplia disponibilidad de tierra, a partir de lo cual se genera un uso dinámico y sustentable de los recursos locales, pues permite lograr bajos costos de  producción.</w:t>
      </w:r>
    </w:p>
    <w:p>
      <w:pPr>
        <w:pStyle w:val="BodyText"/>
      </w:pPr>
    </w:p>
    <w:p>
      <w:pPr>
        <w:pStyle w:val="BodyText"/>
        <w:spacing w:before="10"/>
        <w:rPr>
          <w:sz w:val="21"/>
        </w:rPr>
      </w:pPr>
    </w:p>
    <w:p>
      <w:pPr>
        <w:pStyle w:val="BodyText"/>
        <w:spacing w:line="261" w:lineRule="auto"/>
        <w:ind w:left="411" w:right="2052"/>
      </w:pPr>
      <w:r>
        <w:rPr>
          <w:color w:val="231F20"/>
          <w:w w:val="110"/>
        </w:rPr>
        <w:t>CARACTERIZACIÓN SOCIOECONÓMICA DE LAS UNIDADES DE  PRODUCCIÓN</w:t>
      </w:r>
    </w:p>
    <w:p>
      <w:pPr>
        <w:pStyle w:val="BodyText"/>
        <w:ind w:left="411"/>
        <w:jc w:val="both"/>
      </w:pPr>
      <w:r>
        <w:rPr>
          <w:color w:val="231F20"/>
          <w:w w:val="110"/>
        </w:rPr>
        <w:t>DE DOBLE PROPÓSITO DE  ZACAZONAPAN</w:t>
      </w:r>
    </w:p>
    <w:p>
      <w:pPr>
        <w:spacing w:before="136"/>
        <w:ind w:left="411" w:right="0" w:firstLine="0"/>
        <w:jc w:val="both"/>
        <w:rPr>
          <w:rFonts w:ascii="Cambria" w:hAnsi="Cambria"/>
          <w:i/>
          <w:sz w:val="20"/>
        </w:rPr>
      </w:pPr>
      <w:r>
        <w:rPr>
          <w:rFonts w:ascii="Cambria" w:hAnsi="Cambria"/>
          <w:i/>
          <w:color w:val="231F20"/>
          <w:w w:val="105"/>
          <w:sz w:val="20"/>
        </w:rPr>
        <w:t>Ubicación</w:t>
      </w:r>
    </w:p>
    <w:p>
      <w:pPr>
        <w:pStyle w:val="BodyText"/>
        <w:spacing w:line="261" w:lineRule="auto" w:before="145"/>
        <w:ind w:left="411" w:right="1551"/>
        <w:jc w:val="both"/>
      </w:pPr>
      <w:r>
        <w:rPr>
          <w:color w:val="231F20"/>
        </w:rPr>
        <w:t>El municipio Zacazonapan se ubica en el sur del Estado de México, entre los paralelos </w:t>
      </w:r>
      <w:r>
        <w:rPr>
          <w:color w:val="231F20"/>
          <w:spacing w:val="-3"/>
        </w:rPr>
        <w:t>19º  </w:t>
      </w:r>
      <w:r>
        <w:rPr>
          <w:color w:val="231F20"/>
        </w:rPr>
        <w:t>00’ </w:t>
      </w:r>
      <w:r>
        <w:rPr>
          <w:color w:val="231F20"/>
          <w:spacing w:val="-3"/>
        </w:rPr>
        <w:t>17”   </w:t>
      </w:r>
      <w:r>
        <w:rPr>
          <w:color w:val="231F20"/>
        </w:rPr>
        <w:t>y </w:t>
      </w:r>
      <w:r>
        <w:rPr>
          <w:color w:val="231F20"/>
          <w:spacing w:val="-3"/>
        </w:rPr>
        <w:t>19º 16’ 17” </w:t>
      </w:r>
      <w:r>
        <w:rPr>
          <w:color w:val="231F20"/>
        </w:rPr>
        <w:t>de latitud Norte y entre los meridia- nos </w:t>
      </w:r>
      <w:r>
        <w:rPr>
          <w:color w:val="231F20"/>
          <w:spacing w:val="-3"/>
        </w:rPr>
        <w:t>100º 12’ </w:t>
      </w:r>
      <w:r>
        <w:rPr>
          <w:color w:val="231F20"/>
        </w:rPr>
        <w:t>55” y </w:t>
      </w:r>
      <w:r>
        <w:rPr>
          <w:color w:val="231F20"/>
          <w:spacing w:val="-3"/>
        </w:rPr>
        <w:t>100º 18’ 13”  </w:t>
      </w:r>
      <w:r>
        <w:rPr>
          <w:color w:val="231F20"/>
        </w:rPr>
        <w:t>de longitud Oes-  te. Se encuentra a una altura media de </w:t>
      </w:r>
      <w:r>
        <w:rPr>
          <w:color w:val="231F20"/>
          <w:spacing w:val="-7"/>
        </w:rPr>
        <w:t>1470 </w:t>
      </w:r>
      <w:r>
        <w:rPr>
          <w:color w:val="231F20"/>
        </w:rPr>
        <w:t>m sobre el nivel del </w:t>
      </w:r>
      <w:r>
        <w:rPr>
          <w:color w:val="231F20"/>
          <w:spacing w:val="-3"/>
        </w:rPr>
        <w:t>mar.  </w:t>
      </w:r>
      <w:r>
        <w:rPr>
          <w:color w:val="231F20"/>
        </w:rPr>
        <w:t>El clima predominante es   el cálido subhúmedo, con una humedad mode- rada. La temperatura media es de 23 ºC, con una máxima de 31 °C y una mínima de </w:t>
      </w:r>
      <w:r>
        <w:rPr>
          <w:color w:val="231F20"/>
          <w:spacing w:val="-5"/>
        </w:rPr>
        <w:t>15 </w:t>
      </w:r>
      <w:r>
        <w:rPr>
          <w:color w:val="231F20"/>
        </w:rPr>
        <w:t>°C. La pre- cipitación es de alrededor de </w:t>
      </w:r>
      <w:r>
        <w:rPr>
          <w:color w:val="231F20"/>
          <w:spacing w:val="-3"/>
        </w:rPr>
        <w:t>1800 </w:t>
      </w:r>
      <w:r>
        <w:rPr>
          <w:color w:val="231F20"/>
        </w:rPr>
        <w:t>mm</w:t>
      </w:r>
      <w:r>
        <w:rPr>
          <w:color w:val="231F20"/>
          <w:position w:val="7"/>
          <w:sz w:val="11"/>
        </w:rPr>
        <w:t>3 </w:t>
      </w:r>
      <w:r>
        <w:rPr>
          <w:color w:val="231F20"/>
        </w:rPr>
        <w:t>anuales (Arroyo, </w:t>
      </w:r>
      <w:r>
        <w:rPr>
          <w:color w:val="231F20"/>
          <w:spacing w:val="16"/>
        </w:rPr>
        <w:t> </w:t>
      </w:r>
      <w:r>
        <w:rPr>
          <w:color w:val="231F20"/>
        </w:rPr>
        <w:t>1999).</w:t>
      </w:r>
    </w:p>
    <w:p>
      <w:pPr>
        <w:pStyle w:val="BodyText"/>
        <w:spacing w:line="261" w:lineRule="auto" w:before="114"/>
        <w:ind w:left="411" w:right="1549"/>
        <w:jc w:val="both"/>
      </w:pPr>
      <w:r>
        <w:rPr>
          <w:color w:val="231F20"/>
        </w:rPr>
        <w:t>La </w:t>
      </w:r>
      <w:r>
        <w:rPr>
          <w:color w:val="231F20"/>
          <w:spacing w:val="2"/>
        </w:rPr>
        <w:t>orografía </w:t>
      </w:r>
      <w:r>
        <w:rPr>
          <w:color w:val="231F20"/>
        </w:rPr>
        <w:t>del municipio incluye sierra compleja con cañadas y lomeríos </w:t>
      </w:r>
      <w:r>
        <w:rPr>
          <w:color w:val="231F20"/>
          <w:spacing w:val="2"/>
        </w:rPr>
        <w:t>pertenecientes </w:t>
      </w:r>
      <w:r>
        <w:rPr>
          <w:color w:val="231F20"/>
        </w:rPr>
        <w:t>a la sub- provincia fisiográfica de la Sierra Madre del Sur; como ejemplos notables destacan  los  cerros  de  La Pila, Sombrero y Pelón, entre otros. Además, al </w:t>
      </w:r>
      <w:r>
        <w:rPr>
          <w:color w:val="231F20"/>
          <w:spacing w:val="2"/>
        </w:rPr>
        <w:t>norte </w:t>
      </w:r>
      <w:r>
        <w:rPr>
          <w:color w:val="231F20"/>
        </w:rPr>
        <w:t>del municipio se localizan elevaciones im- </w:t>
      </w:r>
      <w:r>
        <w:rPr>
          <w:color w:val="231F20"/>
          <w:spacing w:val="2"/>
        </w:rPr>
        <w:t>portantes, </w:t>
      </w:r>
      <w:r>
        <w:rPr>
          <w:color w:val="231F20"/>
        </w:rPr>
        <w:t>como El Xomil, Peña Colorada, Peñas del</w:t>
      </w:r>
      <w:r>
        <w:rPr>
          <w:color w:val="231F20"/>
          <w:spacing w:val="28"/>
        </w:rPr>
        <w:t> </w:t>
      </w:r>
      <w:r>
        <w:rPr>
          <w:color w:val="231F20"/>
        </w:rPr>
        <w:t>Fraile</w:t>
      </w:r>
      <w:r>
        <w:rPr>
          <w:color w:val="231F20"/>
          <w:spacing w:val="28"/>
        </w:rPr>
        <w:t> </w:t>
      </w:r>
      <w:r>
        <w:rPr>
          <w:color w:val="231F20"/>
        </w:rPr>
        <w:t>y</w:t>
      </w:r>
      <w:r>
        <w:rPr>
          <w:color w:val="231F20"/>
          <w:spacing w:val="28"/>
        </w:rPr>
        <w:t> </w:t>
      </w:r>
      <w:r>
        <w:rPr>
          <w:color w:val="231F20"/>
          <w:spacing w:val="2"/>
        </w:rPr>
        <w:t>parte</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Cuesta</w:t>
      </w:r>
      <w:r>
        <w:rPr>
          <w:color w:val="231F20"/>
          <w:spacing w:val="28"/>
        </w:rPr>
        <w:t> </w:t>
      </w:r>
      <w:r>
        <w:rPr>
          <w:color w:val="231F20"/>
        </w:rPr>
        <w:t>(Arroyo,</w:t>
      </w:r>
      <w:r>
        <w:rPr>
          <w:color w:val="231F20"/>
          <w:spacing w:val="28"/>
        </w:rPr>
        <w:t> </w:t>
      </w:r>
      <w:r>
        <w:rPr>
          <w:color w:val="231F20"/>
        </w:rPr>
        <w:t>1999).</w:t>
      </w:r>
    </w:p>
    <w:p>
      <w:pPr>
        <w:pStyle w:val="BodyText"/>
        <w:spacing w:before="11"/>
        <w:rPr>
          <w:sz w:val="27"/>
        </w:rPr>
      </w:pPr>
    </w:p>
    <w:p>
      <w:pPr>
        <w:spacing w:before="0"/>
        <w:ind w:left="411" w:right="0" w:firstLine="0"/>
        <w:jc w:val="both"/>
        <w:rPr>
          <w:rFonts w:ascii="Cambria" w:hAnsi="Cambria"/>
          <w:i/>
          <w:sz w:val="20"/>
        </w:rPr>
      </w:pPr>
      <w:r>
        <w:rPr>
          <w:rFonts w:ascii="Cambria" w:hAnsi="Cambria"/>
          <w:i/>
          <w:color w:val="231F20"/>
          <w:w w:val="105"/>
          <w:sz w:val="20"/>
        </w:rPr>
        <w:t>Características  socioeconómicas</w:t>
      </w:r>
    </w:p>
    <w:p>
      <w:pPr>
        <w:pStyle w:val="BodyText"/>
        <w:spacing w:line="261" w:lineRule="auto" w:before="145"/>
        <w:ind w:left="411" w:right="1551"/>
        <w:jc w:val="both"/>
      </w:pPr>
      <w:r>
        <w:rPr>
          <w:color w:val="231F20"/>
          <w:w w:val="105"/>
        </w:rPr>
        <w:t>Arroyo (1999) reportaba que el 0,63 de la pobla- ción económicamente activa se ocupa en  activi-</w:t>
      </w:r>
    </w:p>
    <w:p>
      <w:pPr>
        <w:spacing w:after="0" w:line="261"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12"/>
          <w:sz w:val="18"/>
        </w:rPr>
        <w:t>7.         </w:t>
      </w:r>
      <w:r>
        <w:rPr>
          <w:color w:val="231F20"/>
          <w:spacing w:val="-8"/>
          <w:sz w:val="18"/>
        </w:rPr>
        <w:t> </w:t>
      </w:r>
      <w:r>
        <w:rPr>
          <w:color w:val="231F20"/>
          <w:sz w:val="18"/>
        </w:rPr>
        <w:t>La producción de bovinos de doble propósito en el trópico seco del centro de</w:t>
      </w:r>
      <w:r>
        <w:rPr>
          <w:color w:val="231F20"/>
          <w:spacing w:val="13"/>
          <w:sz w:val="18"/>
        </w:rPr>
        <w:t> </w:t>
      </w:r>
      <w:r>
        <w:rPr>
          <w:color w:val="231F20"/>
          <w:sz w:val="18"/>
        </w:rPr>
        <w:t>México...</w:t>
      </w:r>
      <w:r>
        <w:rPr>
          <w:color w:val="231F20"/>
          <w:sz w:val="22"/>
        </w:rPr>
        <w:tab/>
      </w:r>
      <w:r>
        <w:rPr>
          <w:color w:val="231F20"/>
          <w:spacing w:val="-3"/>
          <w:sz w:val="22"/>
        </w:rPr>
        <w:t>103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dades agropecuarias, con un 0,60 de la superficie total del municipio (6,714 ha) dedicado esta acti- vidad, por lo que el sector primario era el principal generador de ingresos económicos en la comu- nidad.</w:t>
      </w:r>
    </w:p>
    <w:p>
      <w:pPr>
        <w:pStyle w:val="BodyText"/>
        <w:spacing w:line="256" w:lineRule="auto" w:before="113"/>
        <w:ind w:left="1553"/>
        <w:jc w:val="both"/>
      </w:pPr>
      <w:r>
        <w:rPr>
          <w:color w:val="231F20"/>
        </w:rPr>
        <w:t>La información socioeconómica que a continua- ción se presenta se generó a partir de la aplicación de encuestas semiestructuradas a 26 unidades de producción durante el año 2008 (Cuadro     1).</w:t>
      </w:r>
    </w:p>
    <w:p>
      <w:pPr>
        <w:pStyle w:val="BodyText"/>
        <w:spacing w:line="256" w:lineRule="auto" w:before="113"/>
        <w:ind w:left="1553"/>
        <w:jc w:val="both"/>
      </w:pPr>
      <w:r>
        <w:rPr>
          <w:color w:val="231F20"/>
        </w:rPr>
        <w:t>Los productores viven en la cabecera municipal, mientras que las unidades de producción se ubi- can en los alrededores, a distancias de 1 a 6 km, a diferencia de los sistemas tradicionales de lechería en pequeña escala o familiar del altiplano central mexicano, en los cuales los establos y terrenos se encuentran en el traspatio de la casa de los pro- ductores.</w:t>
      </w:r>
    </w:p>
    <w:p>
      <w:pPr>
        <w:pStyle w:val="BodyText"/>
        <w:spacing w:before="3"/>
        <w:rPr>
          <w:sz w:val="28"/>
        </w:rPr>
      </w:pPr>
      <w:r>
        <w:rPr/>
        <w:br w:type="column"/>
      </w:r>
      <w:r>
        <w:rPr>
          <w:sz w:val="28"/>
        </w:rPr>
      </w:r>
    </w:p>
    <w:p>
      <w:pPr>
        <w:pStyle w:val="BodyText"/>
        <w:spacing w:line="280" w:lineRule="auto"/>
        <w:ind w:left="412" w:right="1551"/>
        <w:jc w:val="both"/>
      </w:pPr>
      <w:r>
        <w:rPr>
          <w:color w:val="231F20"/>
          <w:w w:val="105"/>
        </w:rPr>
        <w:t>En</w:t>
      </w:r>
      <w:r>
        <w:rPr>
          <w:color w:val="231F20"/>
          <w:spacing w:val="-27"/>
          <w:w w:val="105"/>
        </w:rPr>
        <w:t> </w:t>
      </w:r>
      <w:r>
        <w:rPr>
          <w:color w:val="231F20"/>
          <w:w w:val="105"/>
        </w:rPr>
        <w:t>su</w:t>
      </w:r>
      <w:r>
        <w:rPr>
          <w:color w:val="231F20"/>
          <w:spacing w:val="-27"/>
          <w:w w:val="105"/>
        </w:rPr>
        <w:t> </w:t>
      </w:r>
      <w:r>
        <w:rPr>
          <w:color w:val="231F20"/>
          <w:w w:val="105"/>
        </w:rPr>
        <w:t>mayoría</w:t>
      </w:r>
      <w:r>
        <w:rPr>
          <w:color w:val="231F20"/>
          <w:spacing w:val="-27"/>
          <w:w w:val="105"/>
        </w:rPr>
        <w:t> </w:t>
      </w:r>
      <w:r>
        <w:rPr>
          <w:color w:val="231F20"/>
          <w:w w:val="105"/>
        </w:rPr>
        <w:t>los</w:t>
      </w:r>
      <w:r>
        <w:rPr>
          <w:color w:val="231F20"/>
          <w:spacing w:val="-27"/>
          <w:w w:val="105"/>
        </w:rPr>
        <w:t> </w:t>
      </w:r>
      <w:r>
        <w:rPr>
          <w:color w:val="231F20"/>
          <w:w w:val="105"/>
        </w:rPr>
        <w:t>productores</w:t>
      </w:r>
      <w:r>
        <w:rPr>
          <w:color w:val="231F20"/>
          <w:spacing w:val="-27"/>
          <w:w w:val="105"/>
        </w:rPr>
        <w:t> </w:t>
      </w:r>
      <w:r>
        <w:rPr>
          <w:color w:val="231F20"/>
          <w:w w:val="105"/>
        </w:rPr>
        <w:t>son</w:t>
      </w:r>
      <w:r>
        <w:rPr>
          <w:color w:val="231F20"/>
          <w:spacing w:val="-27"/>
          <w:w w:val="105"/>
        </w:rPr>
        <w:t> </w:t>
      </w:r>
      <w:r>
        <w:rPr>
          <w:color w:val="231F20"/>
          <w:w w:val="105"/>
        </w:rPr>
        <w:t>adultos,</w:t>
      </w:r>
      <w:r>
        <w:rPr>
          <w:color w:val="231F20"/>
          <w:spacing w:val="-27"/>
          <w:w w:val="105"/>
        </w:rPr>
        <w:t> </w:t>
      </w:r>
      <w:r>
        <w:rPr>
          <w:color w:val="231F20"/>
          <w:w w:val="105"/>
        </w:rPr>
        <w:t>con</w:t>
      </w:r>
      <w:r>
        <w:rPr>
          <w:color w:val="231F20"/>
          <w:spacing w:val="-27"/>
          <w:w w:val="105"/>
        </w:rPr>
        <w:t> </w:t>
      </w:r>
      <w:r>
        <w:rPr>
          <w:color w:val="231F20"/>
          <w:spacing w:val="-2"/>
          <w:w w:val="105"/>
        </w:rPr>
        <w:t>una </w:t>
      </w:r>
      <w:r>
        <w:rPr>
          <w:color w:val="231F20"/>
          <w:w w:val="105"/>
        </w:rPr>
        <w:t>edad promedio de </w:t>
      </w:r>
      <w:r>
        <w:rPr>
          <w:color w:val="231F20"/>
          <w:spacing w:val="-3"/>
          <w:w w:val="105"/>
        </w:rPr>
        <w:t>55,6 </w:t>
      </w:r>
      <w:r>
        <w:rPr>
          <w:color w:val="231F20"/>
          <w:w w:val="105"/>
        </w:rPr>
        <w:t>± </w:t>
      </w:r>
      <w:r>
        <w:rPr>
          <w:color w:val="231F20"/>
          <w:spacing w:val="-6"/>
          <w:w w:val="105"/>
        </w:rPr>
        <w:t>13 </w:t>
      </w:r>
      <w:r>
        <w:rPr>
          <w:color w:val="231F20"/>
          <w:w w:val="105"/>
        </w:rPr>
        <w:t>años; el productor más</w:t>
      </w:r>
      <w:r>
        <w:rPr>
          <w:color w:val="231F20"/>
          <w:spacing w:val="-11"/>
          <w:w w:val="105"/>
        </w:rPr>
        <w:t> </w:t>
      </w:r>
      <w:r>
        <w:rPr>
          <w:color w:val="231F20"/>
          <w:w w:val="105"/>
        </w:rPr>
        <w:t>joven</w:t>
      </w:r>
      <w:r>
        <w:rPr>
          <w:color w:val="231F20"/>
          <w:spacing w:val="-11"/>
          <w:w w:val="105"/>
        </w:rPr>
        <w:t> </w:t>
      </w:r>
      <w:r>
        <w:rPr>
          <w:color w:val="231F20"/>
          <w:w w:val="105"/>
        </w:rPr>
        <w:t>tiene</w:t>
      </w:r>
      <w:r>
        <w:rPr>
          <w:color w:val="231F20"/>
          <w:spacing w:val="-11"/>
          <w:w w:val="105"/>
        </w:rPr>
        <w:t> </w:t>
      </w:r>
      <w:r>
        <w:rPr>
          <w:color w:val="231F20"/>
          <w:spacing w:val="-3"/>
          <w:w w:val="105"/>
        </w:rPr>
        <w:t>28</w:t>
      </w:r>
      <w:r>
        <w:rPr>
          <w:color w:val="231F20"/>
          <w:spacing w:val="-11"/>
          <w:w w:val="105"/>
        </w:rPr>
        <w:t> </w:t>
      </w:r>
      <w:r>
        <w:rPr>
          <w:color w:val="231F20"/>
          <w:w w:val="105"/>
        </w:rPr>
        <w:t>años,</w:t>
      </w:r>
      <w:r>
        <w:rPr>
          <w:color w:val="231F20"/>
          <w:spacing w:val="-11"/>
          <w:w w:val="105"/>
        </w:rPr>
        <w:t> </w:t>
      </w:r>
      <w:r>
        <w:rPr>
          <w:color w:val="231F20"/>
          <w:w w:val="105"/>
        </w:rPr>
        <w:t>y</w:t>
      </w:r>
      <w:r>
        <w:rPr>
          <w:color w:val="231F20"/>
          <w:spacing w:val="-11"/>
          <w:w w:val="105"/>
        </w:rPr>
        <w:t> </w:t>
      </w:r>
      <w:r>
        <w:rPr>
          <w:color w:val="231F20"/>
          <w:w w:val="105"/>
        </w:rPr>
        <w:t>hay</w:t>
      </w:r>
      <w:r>
        <w:rPr>
          <w:color w:val="231F20"/>
          <w:spacing w:val="-11"/>
          <w:w w:val="105"/>
        </w:rPr>
        <w:t> </w:t>
      </w:r>
      <w:r>
        <w:rPr>
          <w:color w:val="231F20"/>
          <w:w w:val="105"/>
        </w:rPr>
        <w:t>pocos</w:t>
      </w:r>
      <w:r>
        <w:rPr>
          <w:color w:val="231F20"/>
          <w:spacing w:val="-11"/>
          <w:w w:val="105"/>
        </w:rPr>
        <w:t> </w:t>
      </w:r>
      <w:r>
        <w:rPr>
          <w:color w:val="231F20"/>
          <w:w w:val="105"/>
        </w:rPr>
        <w:t>productores menores de </w:t>
      </w:r>
      <w:r>
        <w:rPr>
          <w:color w:val="231F20"/>
          <w:spacing w:val="-3"/>
          <w:w w:val="105"/>
        </w:rPr>
        <w:t>30 </w:t>
      </w:r>
      <w:r>
        <w:rPr>
          <w:color w:val="231F20"/>
          <w:w w:val="105"/>
        </w:rPr>
        <w:t>años. </w:t>
      </w:r>
      <w:r>
        <w:rPr>
          <w:color w:val="231F20"/>
          <w:spacing w:val="-3"/>
          <w:w w:val="105"/>
        </w:rPr>
        <w:t>Por </w:t>
      </w:r>
      <w:r>
        <w:rPr>
          <w:color w:val="231F20"/>
          <w:w w:val="105"/>
        </w:rPr>
        <w:t>lo general, son hijos de productores</w:t>
      </w:r>
      <w:r>
        <w:rPr>
          <w:color w:val="231F20"/>
          <w:spacing w:val="-17"/>
          <w:w w:val="105"/>
        </w:rPr>
        <w:t> </w:t>
      </w:r>
      <w:r>
        <w:rPr>
          <w:color w:val="231F20"/>
          <w:w w:val="105"/>
        </w:rPr>
        <w:t>que</w:t>
      </w:r>
      <w:r>
        <w:rPr>
          <w:color w:val="231F20"/>
          <w:spacing w:val="-17"/>
          <w:w w:val="105"/>
        </w:rPr>
        <w:t> </w:t>
      </w:r>
      <w:r>
        <w:rPr>
          <w:color w:val="231F20"/>
          <w:w w:val="105"/>
        </w:rPr>
        <w:t>han</w:t>
      </w:r>
      <w:r>
        <w:rPr>
          <w:color w:val="231F20"/>
          <w:spacing w:val="-17"/>
          <w:w w:val="105"/>
        </w:rPr>
        <w:t> </w:t>
      </w:r>
      <w:r>
        <w:rPr>
          <w:color w:val="231F20"/>
          <w:w w:val="105"/>
        </w:rPr>
        <w:t>quedado</w:t>
      </w:r>
      <w:r>
        <w:rPr>
          <w:color w:val="231F20"/>
          <w:spacing w:val="-17"/>
          <w:w w:val="105"/>
        </w:rPr>
        <w:t> </w:t>
      </w:r>
      <w:r>
        <w:rPr>
          <w:color w:val="231F20"/>
          <w:w w:val="105"/>
        </w:rPr>
        <w:t>a</w:t>
      </w:r>
      <w:r>
        <w:rPr>
          <w:color w:val="231F20"/>
          <w:spacing w:val="-17"/>
          <w:w w:val="105"/>
        </w:rPr>
        <w:t> </w:t>
      </w:r>
      <w:r>
        <w:rPr>
          <w:color w:val="231F20"/>
          <w:w w:val="105"/>
        </w:rPr>
        <w:t>cargo</w:t>
      </w:r>
      <w:r>
        <w:rPr>
          <w:color w:val="231F20"/>
          <w:spacing w:val="-17"/>
          <w:w w:val="105"/>
        </w:rPr>
        <w:t> </w:t>
      </w:r>
      <w:r>
        <w:rPr>
          <w:color w:val="231F20"/>
          <w:w w:val="105"/>
        </w:rPr>
        <w:t>del</w:t>
      </w:r>
      <w:r>
        <w:rPr>
          <w:color w:val="231F20"/>
          <w:spacing w:val="-17"/>
          <w:w w:val="105"/>
        </w:rPr>
        <w:t> </w:t>
      </w:r>
      <w:r>
        <w:rPr>
          <w:color w:val="231F20"/>
          <w:w w:val="105"/>
        </w:rPr>
        <w:t>hato,</w:t>
      </w:r>
      <w:r>
        <w:rPr>
          <w:color w:val="231F20"/>
          <w:spacing w:val="-17"/>
          <w:w w:val="105"/>
        </w:rPr>
        <w:t> </w:t>
      </w:r>
      <w:r>
        <w:rPr>
          <w:color w:val="231F20"/>
          <w:w w:val="105"/>
        </w:rPr>
        <w:t>ya que</w:t>
      </w:r>
      <w:r>
        <w:rPr>
          <w:color w:val="231F20"/>
          <w:spacing w:val="-14"/>
          <w:w w:val="105"/>
        </w:rPr>
        <w:t> </w:t>
      </w:r>
      <w:r>
        <w:rPr>
          <w:color w:val="231F20"/>
          <w:w w:val="105"/>
        </w:rPr>
        <w:t>el</w:t>
      </w:r>
      <w:r>
        <w:rPr>
          <w:color w:val="231F20"/>
          <w:spacing w:val="-14"/>
          <w:w w:val="105"/>
        </w:rPr>
        <w:t> </w:t>
      </w:r>
      <w:r>
        <w:rPr>
          <w:color w:val="231F20"/>
          <w:w w:val="105"/>
        </w:rPr>
        <w:t>padre</w:t>
      </w:r>
      <w:r>
        <w:rPr>
          <w:color w:val="231F20"/>
          <w:spacing w:val="-14"/>
          <w:w w:val="105"/>
        </w:rPr>
        <w:t> </w:t>
      </w:r>
      <w:r>
        <w:rPr>
          <w:color w:val="231F20"/>
          <w:w w:val="105"/>
        </w:rPr>
        <w:t>se</w:t>
      </w:r>
      <w:r>
        <w:rPr>
          <w:color w:val="231F20"/>
          <w:spacing w:val="-14"/>
          <w:w w:val="105"/>
        </w:rPr>
        <w:t> </w:t>
      </w:r>
      <w:r>
        <w:rPr>
          <w:color w:val="231F20"/>
          <w:w w:val="105"/>
        </w:rPr>
        <w:t>ha</w:t>
      </w:r>
      <w:r>
        <w:rPr>
          <w:color w:val="231F20"/>
          <w:spacing w:val="-14"/>
          <w:w w:val="105"/>
        </w:rPr>
        <w:t> </w:t>
      </w:r>
      <w:r>
        <w:rPr>
          <w:color w:val="231F20"/>
          <w:w w:val="105"/>
        </w:rPr>
        <w:t>retirado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actividad</w:t>
      </w:r>
      <w:r>
        <w:rPr>
          <w:color w:val="231F20"/>
          <w:spacing w:val="-14"/>
          <w:w w:val="105"/>
        </w:rPr>
        <w:t> </w:t>
      </w:r>
      <w:r>
        <w:rPr>
          <w:color w:val="231F20"/>
          <w:w w:val="105"/>
        </w:rPr>
        <w:t>agrope- cuaria</w:t>
      </w:r>
      <w:r>
        <w:rPr>
          <w:color w:val="231F20"/>
          <w:spacing w:val="-20"/>
          <w:w w:val="105"/>
        </w:rPr>
        <w:t> </w:t>
      </w:r>
      <w:r>
        <w:rPr>
          <w:color w:val="231F20"/>
          <w:w w:val="105"/>
        </w:rPr>
        <w:t>y</w:t>
      </w:r>
      <w:r>
        <w:rPr>
          <w:color w:val="231F20"/>
          <w:spacing w:val="-20"/>
          <w:w w:val="105"/>
        </w:rPr>
        <w:t> </w:t>
      </w:r>
      <w:r>
        <w:rPr>
          <w:color w:val="231F20"/>
          <w:w w:val="105"/>
        </w:rPr>
        <w:t>ha</w:t>
      </w:r>
      <w:r>
        <w:rPr>
          <w:color w:val="231F20"/>
          <w:spacing w:val="-20"/>
          <w:w w:val="105"/>
        </w:rPr>
        <w:t> </w:t>
      </w:r>
      <w:r>
        <w:rPr>
          <w:color w:val="231F20"/>
          <w:w w:val="105"/>
        </w:rPr>
        <w:t>dejado</w:t>
      </w:r>
      <w:r>
        <w:rPr>
          <w:color w:val="231F20"/>
          <w:spacing w:val="-20"/>
          <w:w w:val="105"/>
        </w:rPr>
        <w:t> </w:t>
      </w:r>
      <w:r>
        <w:rPr>
          <w:color w:val="231F20"/>
          <w:w w:val="105"/>
        </w:rPr>
        <w:t>al</w:t>
      </w:r>
      <w:r>
        <w:rPr>
          <w:color w:val="231F20"/>
          <w:spacing w:val="-20"/>
          <w:w w:val="105"/>
        </w:rPr>
        <w:t> </w:t>
      </w:r>
      <w:r>
        <w:rPr>
          <w:color w:val="231F20"/>
          <w:w w:val="105"/>
        </w:rPr>
        <w:t>hijo</w:t>
      </w:r>
      <w:r>
        <w:rPr>
          <w:color w:val="231F20"/>
          <w:spacing w:val="-20"/>
          <w:w w:val="105"/>
        </w:rPr>
        <w:t> </w:t>
      </w:r>
      <w:r>
        <w:rPr>
          <w:color w:val="231F20"/>
          <w:w w:val="105"/>
        </w:rPr>
        <w:t>al</w:t>
      </w:r>
      <w:r>
        <w:rPr>
          <w:color w:val="231F20"/>
          <w:spacing w:val="-20"/>
          <w:w w:val="105"/>
        </w:rPr>
        <w:t> </w:t>
      </w:r>
      <w:r>
        <w:rPr>
          <w:color w:val="231F20"/>
          <w:w w:val="105"/>
        </w:rPr>
        <w:t>frente</w:t>
      </w:r>
      <w:r>
        <w:rPr>
          <w:color w:val="231F20"/>
          <w:spacing w:val="-20"/>
          <w:w w:val="105"/>
        </w:rPr>
        <w:t> </w:t>
      </w:r>
      <w:r>
        <w:rPr>
          <w:color w:val="231F20"/>
          <w:w w:val="105"/>
        </w:rPr>
        <w:t>de</w:t>
      </w:r>
      <w:r>
        <w:rPr>
          <w:color w:val="231F20"/>
          <w:spacing w:val="-20"/>
          <w:w w:val="105"/>
        </w:rPr>
        <w:t> </w:t>
      </w:r>
      <w:r>
        <w:rPr>
          <w:color w:val="231F20"/>
          <w:w w:val="105"/>
        </w:rPr>
        <w:t>ella.</w:t>
      </w:r>
    </w:p>
    <w:p>
      <w:pPr>
        <w:pStyle w:val="BodyText"/>
        <w:spacing w:line="280" w:lineRule="auto" w:before="113"/>
        <w:ind w:left="412" w:right="1551"/>
        <w:jc w:val="both"/>
      </w:pPr>
      <w:r>
        <w:rPr>
          <w:color w:val="231F20"/>
        </w:rPr>
        <w:t>Algunos productores han tenido acceso a educa- ción de nivel técnico o superior; por ejemplo, hay dos productores pasantes de médico veterinario zootecnista, un licenciado en comunicaciones, un ingeniero agrónomo zootecnista, uno con estudios incompletos de física y matemáticas, un técnico contable y un técnico agropecuario. El resto de los productores tienen educación primaria, con años variables de estudio dentro de este  nivel.</w:t>
      </w:r>
    </w:p>
    <w:p>
      <w:pPr>
        <w:spacing w:after="0" w:line="280"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3"/>
        <w:rPr>
          <w:sz w:val="15"/>
        </w:rPr>
      </w:pPr>
    </w:p>
    <w:p>
      <w:pPr>
        <w:spacing w:before="72"/>
        <w:ind w:left="1553" w:right="0" w:firstLine="0"/>
        <w:jc w:val="left"/>
        <w:rPr>
          <w:sz w:val="18"/>
        </w:rPr>
      </w:pPr>
      <w:r>
        <w:rPr>
          <w:color w:val="231F20"/>
          <w:w w:val="105"/>
          <w:sz w:val="18"/>
        </w:rPr>
        <w:t>Cuadro 1.  Variables socioeconómicas de los productores de doble propósito de Zacazonapan (n=26 UP).</w:t>
      </w:r>
    </w:p>
    <w:p>
      <w:pPr>
        <w:pStyle w:val="BodyText"/>
        <w:spacing w:before="10"/>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22"/>
        <w:gridCol w:w="1417"/>
        <w:gridCol w:w="1417"/>
        <w:gridCol w:w="1417"/>
        <w:gridCol w:w="1417"/>
      </w:tblGrid>
      <w:tr>
        <w:trPr>
          <w:trHeight w:val="369" w:hRule="exact"/>
        </w:trPr>
        <w:tc>
          <w:tcPr>
            <w:tcW w:w="3122" w:type="dxa"/>
            <w:tcBorders>
              <w:left w:val="nil"/>
            </w:tcBorders>
          </w:tcPr>
          <w:p>
            <w:pPr/>
          </w:p>
        </w:tc>
        <w:tc>
          <w:tcPr>
            <w:tcW w:w="1417" w:type="dxa"/>
          </w:tcPr>
          <w:p>
            <w:pPr>
              <w:pStyle w:val="TableParagraph"/>
              <w:spacing w:before="79"/>
              <w:ind w:left="189" w:right="189"/>
              <w:jc w:val="center"/>
              <w:rPr>
                <w:rFonts w:ascii="Cambria"/>
                <w:i/>
                <w:sz w:val="18"/>
              </w:rPr>
            </w:pPr>
            <w:r>
              <w:rPr>
                <w:rFonts w:ascii="Cambria"/>
                <w:i/>
                <w:color w:val="231F20"/>
                <w:w w:val="105"/>
                <w:sz w:val="18"/>
              </w:rPr>
              <w:t>Promedio</w:t>
            </w:r>
          </w:p>
        </w:tc>
        <w:tc>
          <w:tcPr>
            <w:tcW w:w="1417" w:type="dxa"/>
          </w:tcPr>
          <w:p>
            <w:pPr>
              <w:pStyle w:val="TableParagraph"/>
              <w:spacing w:before="79"/>
              <w:ind w:left="593" w:right="300"/>
              <w:rPr>
                <w:rFonts w:ascii="Cambria"/>
                <w:i/>
                <w:sz w:val="18"/>
              </w:rPr>
            </w:pPr>
            <w:r>
              <w:rPr>
                <w:rFonts w:ascii="Cambria"/>
                <w:i/>
                <w:color w:val="231F20"/>
                <w:sz w:val="18"/>
              </w:rPr>
              <w:t>DE</w:t>
            </w:r>
          </w:p>
        </w:tc>
        <w:tc>
          <w:tcPr>
            <w:tcW w:w="1417" w:type="dxa"/>
          </w:tcPr>
          <w:p>
            <w:pPr>
              <w:pStyle w:val="TableParagraph"/>
              <w:spacing w:before="79"/>
              <w:ind w:left="189" w:right="189"/>
              <w:jc w:val="center"/>
              <w:rPr>
                <w:rFonts w:ascii="Cambria" w:hAnsi="Cambria"/>
                <w:i/>
                <w:sz w:val="18"/>
              </w:rPr>
            </w:pPr>
            <w:r>
              <w:rPr>
                <w:rFonts w:ascii="Cambria" w:hAnsi="Cambria"/>
                <w:i/>
                <w:color w:val="231F20"/>
                <w:w w:val="105"/>
                <w:sz w:val="18"/>
              </w:rPr>
              <w:t>Máximo</w:t>
            </w:r>
          </w:p>
        </w:tc>
        <w:tc>
          <w:tcPr>
            <w:tcW w:w="1417" w:type="dxa"/>
            <w:tcBorders>
              <w:right w:val="nil"/>
            </w:tcBorders>
          </w:tcPr>
          <w:p>
            <w:pPr>
              <w:pStyle w:val="TableParagraph"/>
              <w:spacing w:before="79"/>
              <w:ind w:left="289" w:right="293"/>
              <w:jc w:val="center"/>
              <w:rPr>
                <w:rFonts w:ascii="Cambria" w:hAnsi="Cambria"/>
                <w:i/>
                <w:sz w:val="18"/>
              </w:rPr>
            </w:pPr>
            <w:r>
              <w:rPr>
                <w:rFonts w:ascii="Cambria" w:hAnsi="Cambria"/>
                <w:i/>
                <w:color w:val="231F20"/>
                <w:w w:val="105"/>
                <w:sz w:val="18"/>
              </w:rPr>
              <w:t>Mínimo</w:t>
            </w:r>
          </w:p>
        </w:tc>
      </w:tr>
      <w:tr>
        <w:trPr>
          <w:trHeight w:val="354" w:hRule="exact"/>
        </w:trPr>
        <w:tc>
          <w:tcPr>
            <w:tcW w:w="3122" w:type="dxa"/>
            <w:tcBorders>
              <w:left w:val="nil"/>
            </w:tcBorders>
          </w:tcPr>
          <w:p>
            <w:pPr>
              <w:pStyle w:val="TableParagraph"/>
              <w:ind w:left="113"/>
              <w:rPr>
                <w:sz w:val="17"/>
              </w:rPr>
            </w:pPr>
            <w:r>
              <w:rPr>
                <w:color w:val="231F20"/>
                <w:w w:val="105"/>
                <w:sz w:val="17"/>
              </w:rPr>
              <w:t>Edad</w:t>
            </w:r>
          </w:p>
        </w:tc>
        <w:tc>
          <w:tcPr>
            <w:tcW w:w="1417" w:type="dxa"/>
          </w:tcPr>
          <w:p>
            <w:pPr>
              <w:pStyle w:val="TableParagraph"/>
              <w:ind w:left="189" w:right="189"/>
              <w:jc w:val="center"/>
              <w:rPr>
                <w:sz w:val="17"/>
              </w:rPr>
            </w:pPr>
            <w:r>
              <w:rPr>
                <w:color w:val="231F20"/>
                <w:w w:val="110"/>
                <w:sz w:val="17"/>
              </w:rPr>
              <w:t>55,6</w:t>
            </w:r>
          </w:p>
        </w:tc>
        <w:tc>
          <w:tcPr>
            <w:tcW w:w="1417" w:type="dxa"/>
          </w:tcPr>
          <w:p>
            <w:pPr>
              <w:pStyle w:val="TableParagraph"/>
              <w:ind w:left="576" w:right="300"/>
              <w:rPr>
                <w:sz w:val="17"/>
              </w:rPr>
            </w:pPr>
            <w:r>
              <w:rPr>
                <w:color w:val="231F20"/>
                <w:w w:val="110"/>
                <w:sz w:val="17"/>
              </w:rPr>
              <w:t>13,5</w:t>
            </w:r>
          </w:p>
        </w:tc>
        <w:tc>
          <w:tcPr>
            <w:tcW w:w="1417" w:type="dxa"/>
          </w:tcPr>
          <w:p>
            <w:pPr>
              <w:pStyle w:val="TableParagraph"/>
              <w:ind w:left="184" w:right="189"/>
              <w:jc w:val="center"/>
              <w:rPr>
                <w:sz w:val="17"/>
              </w:rPr>
            </w:pPr>
            <w:r>
              <w:rPr>
                <w:color w:val="231F20"/>
                <w:w w:val="115"/>
                <w:sz w:val="17"/>
              </w:rPr>
              <w:t>77</w:t>
            </w:r>
          </w:p>
        </w:tc>
        <w:tc>
          <w:tcPr>
            <w:tcW w:w="1417" w:type="dxa"/>
            <w:tcBorders>
              <w:right w:val="nil"/>
            </w:tcBorders>
          </w:tcPr>
          <w:p>
            <w:pPr>
              <w:pStyle w:val="TableParagraph"/>
              <w:ind w:left="287" w:right="293"/>
              <w:jc w:val="center"/>
              <w:rPr>
                <w:sz w:val="17"/>
              </w:rPr>
            </w:pPr>
            <w:r>
              <w:rPr>
                <w:color w:val="231F20"/>
                <w:w w:val="115"/>
                <w:sz w:val="17"/>
              </w:rPr>
              <w:t>28</w:t>
            </w:r>
          </w:p>
        </w:tc>
      </w:tr>
      <w:tr>
        <w:trPr>
          <w:trHeight w:val="354" w:hRule="exact"/>
        </w:trPr>
        <w:tc>
          <w:tcPr>
            <w:tcW w:w="3122" w:type="dxa"/>
            <w:tcBorders>
              <w:left w:val="nil"/>
            </w:tcBorders>
          </w:tcPr>
          <w:p>
            <w:pPr>
              <w:pStyle w:val="TableParagraph"/>
              <w:ind w:left="113"/>
              <w:rPr>
                <w:sz w:val="17"/>
              </w:rPr>
            </w:pPr>
            <w:r>
              <w:rPr>
                <w:color w:val="231F20"/>
                <w:sz w:val="17"/>
              </w:rPr>
              <w:t>Escolaridad</w:t>
            </w:r>
          </w:p>
        </w:tc>
        <w:tc>
          <w:tcPr>
            <w:tcW w:w="1417" w:type="dxa"/>
          </w:tcPr>
          <w:p>
            <w:pPr>
              <w:pStyle w:val="TableParagraph"/>
              <w:ind w:left="189" w:right="104"/>
              <w:jc w:val="center"/>
              <w:rPr>
                <w:sz w:val="17"/>
              </w:rPr>
            </w:pPr>
            <w:r>
              <w:rPr>
                <w:color w:val="231F20"/>
                <w:w w:val="110"/>
                <w:sz w:val="17"/>
              </w:rPr>
              <w:t>8,5</w:t>
            </w:r>
          </w:p>
        </w:tc>
        <w:tc>
          <w:tcPr>
            <w:tcW w:w="1417" w:type="dxa"/>
          </w:tcPr>
          <w:p>
            <w:pPr>
              <w:pStyle w:val="TableParagraph"/>
              <w:ind w:right="510"/>
              <w:jc w:val="right"/>
              <w:rPr>
                <w:sz w:val="17"/>
              </w:rPr>
            </w:pPr>
            <w:r>
              <w:rPr>
                <w:color w:val="231F20"/>
                <w:w w:val="105"/>
                <w:sz w:val="17"/>
              </w:rPr>
              <w:t>4,7</w:t>
            </w:r>
          </w:p>
        </w:tc>
        <w:tc>
          <w:tcPr>
            <w:tcW w:w="1417" w:type="dxa"/>
          </w:tcPr>
          <w:p>
            <w:pPr>
              <w:pStyle w:val="TableParagraph"/>
              <w:ind w:left="184" w:right="189"/>
              <w:jc w:val="center"/>
              <w:rPr>
                <w:sz w:val="17"/>
              </w:rPr>
            </w:pPr>
            <w:r>
              <w:rPr>
                <w:color w:val="231F20"/>
                <w:w w:val="115"/>
                <w:sz w:val="17"/>
              </w:rPr>
              <w:t>17</w:t>
            </w:r>
          </w:p>
        </w:tc>
        <w:tc>
          <w:tcPr>
            <w:tcW w:w="1417" w:type="dxa"/>
            <w:tcBorders>
              <w:right w:val="nil"/>
            </w:tcBorders>
          </w:tcPr>
          <w:p>
            <w:pPr>
              <w:pStyle w:val="TableParagraph"/>
              <w:ind w:left="80"/>
              <w:jc w:val="center"/>
              <w:rPr>
                <w:sz w:val="17"/>
              </w:rPr>
            </w:pPr>
            <w:r>
              <w:rPr>
                <w:color w:val="231F20"/>
                <w:w w:val="115"/>
                <w:sz w:val="17"/>
              </w:rPr>
              <w:t>2</w:t>
            </w:r>
          </w:p>
        </w:tc>
      </w:tr>
      <w:tr>
        <w:trPr>
          <w:trHeight w:val="354" w:hRule="exact"/>
        </w:trPr>
        <w:tc>
          <w:tcPr>
            <w:tcW w:w="3122" w:type="dxa"/>
            <w:tcBorders>
              <w:left w:val="nil"/>
            </w:tcBorders>
          </w:tcPr>
          <w:p>
            <w:pPr>
              <w:pStyle w:val="TableParagraph"/>
              <w:ind w:left="113"/>
              <w:rPr>
                <w:sz w:val="17"/>
              </w:rPr>
            </w:pPr>
            <w:r>
              <w:rPr>
                <w:color w:val="231F20"/>
                <w:sz w:val="17"/>
              </w:rPr>
              <w:t>Años en la actividad</w:t>
            </w:r>
          </w:p>
        </w:tc>
        <w:tc>
          <w:tcPr>
            <w:tcW w:w="1417" w:type="dxa"/>
          </w:tcPr>
          <w:p>
            <w:pPr>
              <w:pStyle w:val="TableParagraph"/>
              <w:ind w:left="189" w:right="189"/>
              <w:jc w:val="center"/>
              <w:rPr>
                <w:sz w:val="17"/>
              </w:rPr>
            </w:pPr>
            <w:r>
              <w:rPr>
                <w:color w:val="231F20"/>
                <w:w w:val="110"/>
                <w:sz w:val="17"/>
              </w:rPr>
              <w:t>31,2</w:t>
            </w:r>
          </w:p>
        </w:tc>
        <w:tc>
          <w:tcPr>
            <w:tcW w:w="1417" w:type="dxa"/>
          </w:tcPr>
          <w:p>
            <w:pPr>
              <w:pStyle w:val="TableParagraph"/>
              <w:ind w:left="576" w:right="300"/>
              <w:rPr>
                <w:sz w:val="17"/>
              </w:rPr>
            </w:pPr>
            <w:r>
              <w:rPr>
                <w:color w:val="231F20"/>
                <w:w w:val="110"/>
                <w:sz w:val="17"/>
              </w:rPr>
              <w:t>14,1</w:t>
            </w:r>
          </w:p>
        </w:tc>
        <w:tc>
          <w:tcPr>
            <w:tcW w:w="1417" w:type="dxa"/>
          </w:tcPr>
          <w:p>
            <w:pPr>
              <w:pStyle w:val="TableParagraph"/>
              <w:ind w:left="189" w:right="189"/>
              <w:jc w:val="center"/>
              <w:rPr>
                <w:sz w:val="17"/>
              </w:rPr>
            </w:pPr>
            <w:r>
              <w:rPr>
                <w:color w:val="231F20"/>
                <w:w w:val="115"/>
                <w:sz w:val="17"/>
              </w:rPr>
              <w:t>64</w:t>
            </w:r>
          </w:p>
        </w:tc>
        <w:tc>
          <w:tcPr>
            <w:tcW w:w="1417" w:type="dxa"/>
            <w:tcBorders>
              <w:right w:val="nil"/>
            </w:tcBorders>
          </w:tcPr>
          <w:p>
            <w:pPr>
              <w:pStyle w:val="TableParagraph"/>
              <w:ind w:left="80"/>
              <w:jc w:val="center"/>
              <w:rPr>
                <w:sz w:val="17"/>
              </w:rPr>
            </w:pPr>
            <w:r>
              <w:rPr>
                <w:color w:val="231F20"/>
                <w:w w:val="115"/>
                <w:sz w:val="17"/>
              </w:rPr>
              <w:t>8</w:t>
            </w:r>
          </w:p>
        </w:tc>
      </w:tr>
      <w:tr>
        <w:trPr>
          <w:trHeight w:val="354" w:hRule="exact"/>
        </w:trPr>
        <w:tc>
          <w:tcPr>
            <w:tcW w:w="3122" w:type="dxa"/>
            <w:tcBorders>
              <w:left w:val="nil"/>
            </w:tcBorders>
          </w:tcPr>
          <w:p>
            <w:pPr>
              <w:pStyle w:val="TableParagraph"/>
              <w:ind w:left="113"/>
              <w:rPr>
                <w:sz w:val="17"/>
              </w:rPr>
            </w:pPr>
            <w:r>
              <w:rPr>
                <w:color w:val="231F20"/>
                <w:sz w:val="17"/>
              </w:rPr>
              <w:t>Integrantes de familia</w:t>
            </w:r>
          </w:p>
        </w:tc>
        <w:tc>
          <w:tcPr>
            <w:tcW w:w="1417" w:type="dxa"/>
          </w:tcPr>
          <w:p>
            <w:pPr>
              <w:pStyle w:val="TableParagraph"/>
              <w:ind w:left="189" w:right="112"/>
              <w:jc w:val="center"/>
              <w:rPr>
                <w:sz w:val="17"/>
              </w:rPr>
            </w:pPr>
            <w:r>
              <w:rPr>
                <w:color w:val="231F20"/>
                <w:w w:val="110"/>
                <w:sz w:val="17"/>
              </w:rPr>
              <w:t>6,7</w:t>
            </w:r>
          </w:p>
        </w:tc>
        <w:tc>
          <w:tcPr>
            <w:tcW w:w="1417" w:type="dxa"/>
          </w:tcPr>
          <w:p>
            <w:pPr>
              <w:pStyle w:val="TableParagraph"/>
              <w:ind w:right="510"/>
              <w:jc w:val="right"/>
              <w:rPr>
                <w:sz w:val="17"/>
              </w:rPr>
            </w:pPr>
            <w:r>
              <w:rPr>
                <w:color w:val="231F20"/>
                <w:w w:val="105"/>
                <w:sz w:val="17"/>
              </w:rPr>
              <w:t>2,7</w:t>
            </w:r>
          </w:p>
        </w:tc>
        <w:tc>
          <w:tcPr>
            <w:tcW w:w="1417" w:type="dxa"/>
          </w:tcPr>
          <w:p>
            <w:pPr>
              <w:pStyle w:val="TableParagraph"/>
              <w:ind w:left="184" w:right="189"/>
              <w:jc w:val="center"/>
              <w:rPr>
                <w:sz w:val="17"/>
              </w:rPr>
            </w:pPr>
            <w:r>
              <w:rPr>
                <w:color w:val="231F20"/>
                <w:w w:val="115"/>
                <w:sz w:val="17"/>
              </w:rPr>
              <w:t>15</w:t>
            </w:r>
          </w:p>
        </w:tc>
        <w:tc>
          <w:tcPr>
            <w:tcW w:w="1417" w:type="dxa"/>
            <w:tcBorders>
              <w:right w:val="nil"/>
            </w:tcBorders>
          </w:tcPr>
          <w:p>
            <w:pPr>
              <w:pStyle w:val="TableParagraph"/>
              <w:ind w:left="80"/>
              <w:jc w:val="center"/>
              <w:rPr>
                <w:sz w:val="17"/>
              </w:rPr>
            </w:pPr>
            <w:r>
              <w:rPr>
                <w:color w:val="231F20"/>
                <w:w w:val="115"/>
                <w:sz w:val="17"/>
              </w:rPr>
              <w:t>4</w:t>
            </w:r>
          </w:p>
        </w:tc>
      </w:tr>
      <w:tr>
        <w:trPr>
          <w:trHeight w:val="354" w:hRule="exact"/>
        </w:trPr>
        <w:tc>
          <w:tcPr>
            <w:tcW w:w="3122" w:type="dxa"/>
            <w:tcBorders>
              <w:left w:val="nil"/>
            </w:tcBorders>
          </w:tcPr>
          <w:p>
            <w:pPr>
              <w:pStyle w:val="TableParagraph"/>
              <w:ind w:left="283"/>
              <w:rPr>
                <w:sz w:val="17"/>
              </w:rPr>
            </w:pPr>
            <w:r>
              <w:rPr>
                <w:color w:val="231F20"/>
                <w:w w:val="105"/>
                <w:sz w:val="17"/>
              </w:rPr>
              <w:t>Hijos hombres</w:t>
            </w:r>
          </w:p>
        </w:tc>
        <w:tc>
          <w:tcPr>
            <w:tcW w:w="1417" w:type="dxa"/>
          </w:tcPr>
          <w:p>
            <w:pPr>
              <w:pStyle w:val="TableParagraph"/>
              <w:ind w:left="189" w:right="104"/>
              <w:jc w:val="center"/>
              <w:rPr>
                <w:sz w:val="17"/>
              </w:rPr>
            </w:pPr>
            <w:r>
              <w:rPr>
                <w:color w:val="231F20"/>
                <w:w w:val="110"/>
                <w:sz w:val="17"/>
              </w:rPr>
              <w:t>3,0</w:t>
            </w:r>
          </w:p>
        </w:tc>
        <w:tc>
          <w:tcPr>
            <w:tcW w:w="1417" w:type="dxa"/>
          </w:tcPr>
          <w:p>
            <w:pPr>
              <w:pStyle w:val="TableParagraph"/>
              <w:ind w:right="503"/>
              <w:jc w:val="right"/>
              <w:rPr>
                <w:sz w:val="17"/>
              </w:rPr>
            </w:pPr>
            <w:r>
              <w:rPr>
                <w:color w:val="231F20"/>
                <w:w w:val="105"/>
                <w:sz w:val="17"/>
              </w:rPr>
              <w:t>1,8</w:t>
            </w:r>
          </w:p>
        </w:tc>
        <w:tc>
          <w:tcPr>
            <w:tcW w:w="1417" w:type="dxa"/>
          </w:tcPr>
          <w:p>
            <w:pPr>
              <w:pStyle w:val="TableParagraph"/>
              <w:ind w:left="85"/>
              <w:jc w:val="center"/>
              <w:rPr>
                <w:sz w:val="17"/>
              </w:rPr>
            </w:pPr>
            <w:r>
              <w:rPr>
                <w:color w:val="231F20"/>
                <w:w w:val="115"/>
                <w:sz w:val="17"/>
              </w:rPr>
              <w:t>8</w:t>
            </w:r>
          </w:p>
        </w:tc>
        <w:tc>
          <w:tcPr>
            <w:tcW w:w="1417" w:type="dxa"/>
            <w:tcBorders>
              <w:right w:val="nil"/>
            </w:tcBorders>
          </w:tcPr>
          <w:p>
            <w:pPr>
              <w:pStyle w:val="TableParagraph"/>
              <w:ind w:left="80"/>
              <w:jc w:val="center"/>
              <w:rPr>
                <w:sz w:val="17"/>
              </w:rPr>
            </w:pPr>
            <w:r>
              <w:rPr>
                <w:color w:val="231F20"/>
                <w:w w:val="115"/>
                <w:sz w:val="17"/>
              </w:rPr>
              <w:t>1</w:t>
            </w:r>
          </w:p>
        </w:tc>
      </w:tr>
      <w:tr>
        <w:trPr>
          <w:trHeight w:val="354" w:hRule="exact"/>
        </w:trPr>
        <w:tc>
          <w:tcPr>
            <w:tcW w:w="3122" w:type="dxa"/>
            <w:tcBorders>
              <w:left w:val="nil"/>
            </w:tcBorders>
          </w:tcPr>
          <w:p>
            <w:pPr>
              <w:pStyle w:val="TableParagraph"/>
              <w:ind w:left="283"/>
              <w:rPr>
                <w:sz w:val="17"/>
              </w:rPr>
            </w:pPr>
            <w:r>
              <w:rPr>
                <w:color w:val="231F20"/>
                <w:sz w:val="17"/>
              </w:rPr>
              <w:t>Hijos mujeres</w:t>
            </w:r>
          </w:p>
        </w:tc>
        <w:tc>
          <w:tcPr>
            <w:tcW w:w="1417" w:type="dxa"/>
          </w:tcPr>
          <w:p>
            <w:pPr>
              <w:pStyle w:val="TableParagraph"/>
              <w:ind w:left="189" w:right="104"/>
              <w:jc w:val="center"/>
              <w:rPr>
                <w:sz w:val="17"/>
              </w:rPr>
            </w:pPr>
            <w:r>
              <w:rPr>
                <w:color w:val="231F20"/>
                <w:w w:val="110"/>
                <w:sz w:val="17"/>
              </w:rPr>
              <w:t>3,2</w:t>
            </w:r>
          </w:p>
        </w:tc>
        <w:tc>
          <w:tcPr>
            <w:tcW w:w="1417" w:type="dxa"/>
          </w:tcPr>
          <w:p>
            <w:pPr>
              <w:pStyle w:val="TableParagraph"/>
              <w:ind w:right="503"/>
              <w:jc w:val="right"/>
              <w:rPr>
                <w:sz w:val="17"/>
              </w:rPr>
            </w:pPr>
            <w:r>
              <w:rPr>
                <w:color w:val="231F20"/>
                <w:w w:val="105"/>
                <w:sz w:val="17"/>
              </w:rPr>
              <w:t>1,4</w:t>
            </w:r>
          </w:p>
        </w:tc>
        <w:tc>
          <w:tcPr>
            <w:tcW w:w="1417" w:type="dxa"/>
          </w:tcPr>
          <w:p>
            <w:pPr>
              <w:pStyle w:val="TableParagraph"/>
              <w:ind w:left="85"/>
              <w:jc w:val="center"/>
              <w:rPr>
                <w:sz w:val="17"/>
              </w:rPr>
            </w:pPr>
            <w:r>
              <w:rPr>
                <w:color w:val="231F20"/>
                <w:w w:val="115"/>
                <w:sz w:val="17"/>
              </w:rPr>
              <w:t>6</w:t>
            </w:r>
          </w:p>
        </w:tc>
        <w:tc>
          <w:tcPr>
            <w:tcW w:w="1417" w:type="dxa"/>
            <w:tcBorders>
              <w:right w:val="nil"/>
            </w:tcBorders>
          </w:tcPr>
          <w:p>
            <w:pPr>
              <w:pStyle w:val="TableParagraph"/>
              <w:ind w:left="80"/>
              <w:jc w:val="center"/>
              <w:rPr>
                <w:sz w:val="17"/>
              </w:rPr>
            </w:pPr>
            <w:r>
              <w:rPr>
                <w:color w:val="231F20"/>
                <w:w w:val="115"/>
                <w:sz w:val="17"/>
              </w:rPr>
              <w:t>1</w:t>
            </w:r>
          </w:p>
        </w:tc>
      </w:tr>
    </w:tbl>
    <w:p>
      <w:pPr>
        <w:spacing w:before="79"/>
        <w:ind w:left="1667" w:right="2503" w:firstLine="0"/>
        <w:jc w:val="left"/>
        <w:rPr>
          <w:rFonts w:ascii="Cambria"/>
          <w:i/>
          <w:sz w:val="18"/>
        </w:rPr>
      </w:pPr>
      <w:r>
        <w:rPr>
          <w:rFonts w:ascii="Cambria"/>
          <w:i/>
          <w:color w:val="231F20"/>
          <w:w w:val="110"/>
          <w:sz w:val="18"/>
        </w:rPr>
        <w:t>Mano de obra</w:t>
      </w:r>
    </w:p>
    <w:p>
      <w:pPr>
        <w:pStyle w:val="BodyText"/>
        <w:spacing w:before="9"/>
        <w:rPr>
          <w:rFonts w:ascii="Cambria"/>
          <w:i/>
          <w:sz w:val="5"/>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22"/>
        <w:gridCol w:w="1417"/>
        <w:gridCol w:w="1417"/>
        <w:gridCol w:w="1417"/>
        <w:gridCol w:w="1417"/>
      </w:tblGrid>
      <w:tr>
        <w:trPr>
          <w:trHeight w:val="354" w:hRule="exact"/>
        </w:trPr>
        <w:tc>
          <w:tcPr>
            <w:tcW w:w="3122" w:type="dxa"/>
            <w:tcBorders>
              <w:left w:val="nil"/>
            </w:tcBorders>
          </w:tcPr>
          <w:p>
            <w:pPr>
              <w:pStyle w:val="TableParagraph"/>
              <w:ind w:left="283"/>
              <w:rPr>
                <w:sz w:val="17"/>
              </w:rPr>
            </w:pPr>
            <w:r>
              <w:rPr>
                <w:color w:val="231F20"/>
                <w:sz w:val="17"/>
              </w:rPr>
              <w:t>Familiar (jornales/día)</w:t>
            </w:r>
          </w:p>
        </w:tc>
        <w:tc>
          <w:tcPr>
            <w:tcW w:w="1417" w:type="dxa"/>
          </w:tcPr>
          <w:p>
            <w:pPr>
              <w:pStyle w:val="TableParagraph"/>
              <w:ind w:right="595"/>
              <w:jc w:val="right"/>
              <w:rPr>
                <w:sz w:val="17"/>
              </w:rPr>
            </w:pPr>
            <w:r>
              <w:rPr>
                <w:color w:val="231F20"/>
                <w:w w:val="105"/>
                <w:sz w:val="17"/>
              </w:rPr>
              <w:t>1,7</w:t>
            </w:r>
          </w:p>
        </w:tc>
        <w:tc>
          <w:tcPr>
            <w:tcW w:w="1417" w:type="dxa"/>
          </w:tcPr>
          <w:p>
            <w:pPr>
              <w:pStyle w:val="TableParagraph"/>
              <w:ind w:right="503"/>
              <w:jc w:val="right"/>
              <w:rPr>
                <w:sz w:val="17"/>
              </w:rPr>
            </w:pPr>
            <w:r>
              <w:rPr>
                <w:color w:val="231F20"/>
                <w:w w:val="105"/>
                <w:sz w:val="17"/>
              </w:rPr>
              <w:t>1,4</w:t>
            </w:r>
          </w:p>
        </w:tc>
        <w:tc>
          <w:tcPr>
            <w:tcW w:w="1417" w:type="dxa"/>
          </w:tcPr>
          <w:p>
            <w:pPr>
              <w:pStyle w:val="TableParagraph"/>
              <w:ind w:left="85"/>
              <w:jc w:val="center"/>
              <w:rPr>
                <w:sz w:val="17"/>
              </w:rPr>
            </w:pPr>
            <w:r>
              <w:rPr>
                <w:color w:val="231F20"/>
                <w:w w:val="115"/>
                <w:sz w:val="17"/>
              </w:rPr>
              <w:t>6</w:t>
            </w:r>
          </w:p>
        </w:tc>
        <w:tc>
          <w:tcPr>
            <w:tcW w:w="1417" w:type="dxa"/>
            <w:tcBorders>
              <w:right w:val="nil"/>
            </w:tcBorders>
          </w:tcPr>
          <w:p>
            <w:pPr>
              <w:pStyle w:val="TableParagraph"/>
              <w:ind w:right="614"/>
              <w:jc w:val="right"/>
              <w:rPr>
                <w:sz w:val="17"/>
              </w:rPr>
            </w:pPr>
            <w:r>
              <w:rPr>
                <w:color w:val="231F20"/>
                <w:w w:val="115"/>
                <w:sz w:val="17"/>
              </w:rPr>
              <w:t>0</w:t>
            </w:r>
          </w:p>
        </w:tc>
      </w:tr>
      <w:tr>
        <w:trPr>
          <w:trHeight w:val="354" w:hRule="exact"/>
        </w:trPr>
        <w:tc>
          <w:tcPr>
            <w:tcW w:w="3122" w:type="dxa"/>
            <w:tcBorders>
              <w:left w:val="nil"/>
            </w:tcBorders>
          </w:tcPr>
          <w:p>
            <w:pPr>
              <w:pStyle w:val="TableParagraph"/>
              <w:ind w:left="283"/>
              <w:rPr>
                <w:sz w:val="17"/>
              </w:rPr>
            </w:pPr>
            <w:r>
              <w:rPr>
                <w:color w:val="231F20"/>
                <w:sz w:val="17"/>
              </w:rPr>
              <w:t>Contratada (jornales/día)</w:t>
            </w:r>
          </w:p>
        </w:tc>
        <w:tc>
          <w:tcPr>
            <w:tcW w:w="1417" w:type="dxa"/>
          </w:tcPr>
          <w:p>
            <w:pPr>
              <w:pStyle w:val="TableParagraph"/>
              <w:ind w:right="584"/>
              <w:jc w:val="right"/>
              <w:rPr>
                <w:sz w:val="17"/>
              </w:rPr>
            </w:pPr>
            <w:r>
              <w:rPr>
                <w:color w:val="231F20"/>
                <w:w w:val="105"/>
                <w:sz w:val="17"/>
              </w:rPr>
              <w:t>1,1</w:t>
            </w:r>
          </w:p>
        </w:tc>
        <w:tc>
          <w:tcPr>
            <w:tcW w:w="1417" w:type="dxa"/>
          </w:tcPr>
          <w:p>
            <w:pPr>
              <w:pStyle w:val="TableParagraph"/>
              <w:ind w:right="503"/>
              <w:jc w:val="right"/>
              <w:rPr>
                <w:sz w:val="17"/>
              </w:rPr>
            </w:pPr>
            <w:r>
              <w:rPr>
                <w:color w:val="231F20"/>
                <w:w w:val="105"/>
                <w:sz w:val="17"/>
              </w:rPr>
              <w:t>0,8</w:t>
            </w:r>
          </w:p>
        </w:tc>
        <w:tc>
          <w:tcPr>
            <w:tcW w:w="1417" w:type="dxa"/>
          </w:tcPr>
          <w:p>
            <w:pPr>
              <w:pStyle w:val="TableParagraph"/>
              <w:ind w:left="85"/>
              <w:jc w:val="center"/>
              <w:rPr>
                <w:sz w:val="17"/>
              </w:rPr>
            </w:pPr>
            <w:r>
              <w:rPr>
                <w:color w:val="231F20"/>
                <w:w w:val="115"/>
                <w:sz w:val="17"/>
              </w:rPr>
              <w:t>3</w:t>
            </w:r>
          </w:p>
        </w:tc>
        <w:tc>
          <w:tcPr>
            <w:tcW w:w="1417" w:type="dxa"/>
            <w:tcBorders>
              <w:right w:val="nil"/>
            </w:tcBorders>
          </w:tcPr>
          <w:p>
            <w:pPr>
              <w:pStyle w:val="TableParagraph"/>
              <w:ind w:right="614"/>
              <w:jc w:val="right"/>
              <w:rPr>
                <w:sz w:val="17"/>
              </w:rPr>
            </w:pPr>
            <w:r>
              <w:rPr>
                <w:color w:val="231F20"/>
                <w:w w:val="115"/>
                <w:sz w:val="17"/>
              </w:rPr>
              <w:t>0</w:t>
            </w:r>
          </w:p>
        </w:tc>
      </w:tr>
      <w:tr>
        <w:trPr>
          <w:trHeight w:val="354" w:hRule="exact"/>
        </w:trPr>
        <w:tc>
          <w:tcPr>
            <w:tcW w:w="3122" w:type="dxa"/>
            <w:tcBorders>
              <w:left w:val="nil"/>
            </w:tcBorders>
          </w:tcPr>
          <w:p>
            <w:pPr>
              <w:pStyle w:val="TableParagraph"/>
              <w:ind w:left="283"/>
              <w:rPr>
                <w:sz w:val="17"/>
              </w:rPr>
            </w:pPr>
            <w:r>
              <w:rPr>
                <w:color w:val="231F20"/>
                <w:w w:val="105"/>
                <w:sz w:val="17"/>
              </w:rPr>
              <w:t>Temporal (jornales/año)</w:t>
            </w:r>
          </w:p>
        </w:tc>
        <w:tc>
          <w:tcPr>
            <w:tcW w:w="1417" w:type="dxa"/>
          </w:tcPr>
          <w:p>
            <w:pPr>
              <w:pStyle w:val="TableParagraph"/>
              <w:ind w:right="584"/>
              <w:jc w:val="right"/>
              <w:rPr>
                <w:sz w:val="17"/>
              </w:rPr>
            </w:pPr>
            <w:r>
              <w:rPr>
                <w:color w:val="231F20"/>
                <w:w w:val="105"/>
                <w:sz w:val="17"/>
              </w:rPr>
              <w:t>8,8</w:t>
            </w:r>
          </w:p>
        </w:tc>
        <w:tc>
          <w:tcPr>
            <w:tcW w:w="1417" w:type="dxa"/>
          </w:tcPr>
          <w:p>
            <w:pPr>
              <w:pStyle w:val="TableParagraph"/>
              <w:ind w:right="503"/>
              <w:jc w:val="right"/>
              <w:rPr>
                <w:sz w:val="17"/>
              </w:rPr>
            </w:pPr>
            <w:r>
              <w:rPr>
                <w:color w:val="231F20"/>
                <w:w w:val="110"/>
                <w:sz w:val="17"/>
              </w:rPr>
              <w:t>16,9</w:t>
            </w:r>
          </w:p>
        </w:tc>
        <w:tc>
          <w:tcPr>
            <w:tcW w:w="1417" w:type="dxa"/>
          </w:tcPr>
          <w:p>
            <w:pPr>
              <w:pStyle w:val="TableParagraph"/>
              <w:ind w:left="188" w:right="189"/>
              <w:jc w:val="center"/>
              <w:rPr>
                <w:sz w:val="17"/>
              </w:rPr>
            </w:pPr>
            <w:r>
              <w:rPr>
                <w:color w:val="231F20"/>
                <w:w w:val="115"/>
                <w:sz w:val="17"/>
              </w:rPr>
              <w:t>50</w:t>
            </w:r>
          </w:p>
        </w:tc>
        <w:tc>
          <w:tcPr>
            <w:tcW w:w="1417" w:type="dxa"/>
            <w:tcBorders>
              <w:right w:val="nil"/>
            </w:tcBorders>
          </w:tcPr>
          <w:p>
            <w:pPr>
              <w:pStyle w:val="TableParagraph"/>
              <w:ind w:right="614"/>
              <w:jc w:val="right"/>
              <w:rPr>
                <w:sz w:val="17"/>
              </w:rPr>
            </w:pPr>
            <w:r>
              <w:rPr>
                <w:color w:val="231F20"/>
                <w:w w:val="115"/>
                <w:sz w:val="17"/>
              </w:rPr>
              <w:t>1</w:t>
            </w:r>
          </w:p>
        </w:tc>
      </w:tr>
    </w:tbl>
    <w:p>
      <w:pPr>
        <w:spacing w:before="80"/>
        <w:ind w:left="1667" w:right="2503" w:firstLine="0"/>
        <w:jc w:val="left"/>
        <w:rPr>
          <w:rFonts w:ascii="Cambria"/>
          <w:i/>
          <w:sz w:val="18"/>
        </w:rPr>
      </w:pPr>
      <w:r>
        <w:rPr>
          <w:rFonts w:ascii="Cambria"/>
          <w:i/>
          <w:color w:val="231F20"/>
          <w:w w:val="110"/>
          <w:sz w:val="18"/>
        </w:rPr>
        <w:t>Superficie de terreno</w:t>
      </w:r>
    </w:p>
    <w:p>
      <w:pPr>
        <w:pStyle w:val="BodyText"/>
        <w:spacing w:before="9"/>
        <w:rPr>
          <w:rFonts w:ascii="Cambria"/>
          <w:i/>
          <w:sz w:val="5"/>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22"/>
        <w:gridCol w:w="1417"/>
        <w:gridCol w:w="1417"/>
        <w:gridCol w:w="1417"/>
        <w:gridCol w:w="1417"/>
      </w:tblGrid>
      <w:tr>
        <w:trPr>
          <w:trHeight w:val="354" w:hRule="exact"/>
        </w:trPr>
        <w:tc>
          <w:tcPr>
            <w:tcW w:w="3122" w:type="dxa"/>
            <w:tcBorders>
              <w:left w:val="nil"/>
            </w:tcBorders>
          </w:tcPr>
          <w:p>
            <w:pPr>
              <w:pStyle w:val="TableParagraph"/>
              <w:ind w:left="283"/>
              <w:rPr>
                <w:sz w:val="17"/>
              </w:rPr>
            </w:pPr>
            <w:r>
              <w:rPr>
                <w:color w:val="231F20"/>
                <w:sz w:val="17"/>
              </w:rPr>
              <w:t>Propia</w:t>
            </w:r>
          </w:p>
        </w:tc>
        <w:tc>
          <w:tcPr>
            <w:tcW w:w="1417" w:type="dxa"/>
          </w:tcPr>
          <w:p>
            <w:pPr>
              <w:pStyle w:val="TableParagraph"/>
              <w:ind w:left="189" w:right="189"/>
              <w:jc w:val="center"/>
              <w:rPr>
                <w:sz w:val="17"/>
              </w:rPr>
            </w:pPr>
            <w:r>
              <w:rPr>
                <w:color w:val="231F20"/>
                <w:w w:val="110"/>
                <w:sz w:val="17"/>
              </w:rPr>
              <w:t>97,8</w:t>
            </w:r>
          </w:p>
        </w:tc>
        <w:tc>
          <w:tcPr>
            <w:tcW w:w="1417" w:type="dxa"/>
          </w:tcPr>
          <w:p>
            <w:pPr>
              <w:pStyle w:val="TableParagraph"/>
              <w:ind w:right="506"/>
              <w:jc w:val="right"/>
              <w:rPr>
                <w:sz w:val="17"/>
              </w:rPr>
            </w:pPr>
            <w:r>
              <w:rPr>
                <w:color w:val="231F20"/>
                <w:w w:val="115"/>
                <w:sz w:val="17"/>
              </w:rPr>
              <w:t>30</w:t>
            </w:r>
          </w:p>
        </w:tc>
        <w:tc>
          <w:tcPr>
            <w:tcW w:w="1417" w:type="dxa"/>
          </w:tcPr>
          <w:p>
            <w:pPr>
              <w:pStyle w:val="TableParagraph"/>
              <w:ind w:right="558"/>
              <w:jc w:val="right"/>
              <w:rPr>
                <w:sz w:val="17"/>
              </w:rPr>
            </w:pPr>
            <w:r>
              <w:rPr>
                <w:color w:val="231F20"/>
                <w:w w:val="115"/>
                <w:sz w:val="17"/>
              </w:rPr>
              <w:t>450</w:t>
            </w:r>
          </w:p>
        </w:tc>
        <w:tc>
          <w:tcPr>
            <w:tcW w:w="1417" w:type="dxa"/>
            <w:tcBorders>
              <w:right w:val="nil"/>
            </w:tcBorders>
          </w:tcPr>
          <w:p>
            <w:pPr>
              <w:pStyle w:val="TableParagraph"/>
              <w:ind w:left="282" w:right="293"/>
              <w:jc w:val="center"/>
              <w:rPr>
                <w:sz w:val="17"/>
              </w:rPr>
            </w:pPr>
            <w:r>
              <w:rPr>
                <w:color w:val="231F20"/>
                <w:w w:val="115"/>
                <w:sz w:val="17"/>
              </w:rPr>
              <w:t>14</w:t>
            </w:r>
          </w:p>
        </w:tc>
      </w:tr>
      <w:tr>
        <w:trPr>
          <w:trHeight w:val="354" w:hRule="exact"/>
        </w:trPr>
        <w:tc>
          <w:tcPr>
            <w:tcW w:w="3122" w:type="dxa"/>
            <w:tcBorders>
              <w:left w:val="nil"/>
            </w:tcBorders>
          </w:tcPr>
          <w:p>
            <w:pPr>
              <w:pStyle w:val="TableParagraph"/>
              <w:ind w:left="283"/>
              <w:rPr>
                <w:sz w:val="17"/>
              </w:rPr>
            </w:pPr>
            <w:r>
              <w:rPr>
                <w:color w:val="231F20"/>
                <w:sz w:val="17"/>
              </w:rPr>
              <w:t>Renta</w:t>
            </w:r>
          </w:p>
        </w:tc>
        <w:tc>
          <w:tcPr>
            <w:tcW w:w="1417" w:type="dxa"/>
          </w:tcPr>
          <w:p>
            <w:pPr>
              <w:pStyle w:val="TableParagraph"/>
              <w:ind w:left="189" w:right="104"/>
              <w:jc w:val="center"/>
              <w:rPr>
                <w:sz w:val="17"/>
              </w:rPr>
            </w:pPr>
            <w:r>
              <w:rPr>
                <w:color w:val="231F20"/>
                <w:w w:val="110"/>
                <w:sz w:val="17"/>
              </w:rPr>
              <w:t>3,6</w:t>
            </w:r>
          </w:p>
        </w:tc>
        <w:tc>
          <w:tcPr>
            <w:tcW w:w="1417" w:type="dxa"/>
          </w:tcPr>
          <w:p>
            <w:pPr>
              <w:pStyle w:val="TableParagraph"/>
              <w:ind w:right="503"/>
              <w:jc w:val="right"/>
              <w:rPr>
                <w:sz w:val="17"/>
              </w:rPr>
            </w:pPr>
            <w:r>
              <w:rPr>
                <w:color w:val="231F20"/>
                <w:w w:val="110"/>
                <w:sz w:val="17"/>
              </w:rPr>
              <w:t>10,9</w:t>
            </w:r>
          </w:p>
        </w:tc>
        <w:tc>
          <w:tcPr>
            <w:tcW w:w="1417" w:type="dxa"/>
          </w:tcPr>
          <w:p>
            <w:pPr>
              <w:pStyle w:val="TableParagraph"/>
              <w:ind w:right="565"/>
              <w:jc w:val="right"/>
              <w:rPr>
                <w:sz w:val="17"/>
              </w:rPr>
            </w:pPr>
            <w:r>
              <w:rPr>
                <w:color w:val="231F20"/>
                <w:w w:val="115"/>
                <w:sz w:val="17"/>
              </w:rPr>
              <w:t>50</w:t>
            </w:r>
          </w:p>
        </w:tc>
        <w:tc>
          <w:tcPr>
            <w:tcW w:w="1417" w:type="dxa"/>
            <w:tcBorders>
              <w:right w:val="nil"/>
            </w:tcBorders>
          </w:tcPr>
          <w:p>
            <w:pPr>
              <w:pStyle w:val="TableParagraph"/>
              <w:ind w:left="80"/>
              <w:jc w:val="center"/>
              <w:rPr>
                <w:sz w:val="17"/>
              </w:rPr>
            </w:pPr>
            <w:r>
              <w:rPr>
                <w:color w:val="231F20"/>
                <w:w w:val="115"/>
                <w:sz w:val="17"/>
              </w:rPr>
              <w:t>0</w:t>
            </w:r>
          </w:p>
        </w:tc>
      </w:tr>
    </w:tbl>
    <w:p>
      <w:pPr>
        <w:spacing w:before="78"/>
        <w:ind w:left="1667" w:right="2503" w:firstLine="0"/>
        <w:jc w:val="left"/>
        <w:rPr>
          <w:sz w:val="15"/>
        </w:rPr>
      </w:pPr>
      <w:r>
        <w:rPr>
          <w:color w:val="231F20"/>
          <w:sz w:val="15"/>
        </w:rPr>
        <w:t>DE: desviación estándar.</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7285" w:val="left" w:leader="none"/>
        </w:tabs>
        <w:spacing w:before="64"/>
        <w:ind w:left="1551" w:right="0" w:firstLine="0"/>
        <w:jc w:val="left"/>
        <w:rPr>
          <w:sz w:val="12"/>
        </w:rPr>
      </w:pPr>
      <w:r>
        <w:rPr>
          <w:color w:val="231F20"/>
          <w:spacing w:val="-3"/>
          <w:w w:val="120"/>
          <w:sz w:val="22"/>
        </w:rPr>
        <w:t>104</w:t>
        <w:tab/>
      </w:r>
      <w:r>
        <w:rPr>
          <w:color w:val="231F20"/>
          <w:w w:val="120"/>
          <w:sz w:val="18"/>
        </w:rPr>
        <w:t>SECCIÓN 2.  B. S</w:t>
      </w:r>
      <w:r>
        <w:rPr>
          <w:color w:val="231F20"/>
          <w:w w:val="120"/>
          <w:sz w:val="12"/>
        </w:rPr>
        <w:t>iStemaS de doBle</w:t>
      </w:r>
      <w:r>
        <w:rPr>
          <w:color w:val="231F20"/>
          <w:spacing w:val="18"/>
          <w:w w:val="120"/>
          <w:sz w:val="12"/>
        </w:rPr>
        <w:t> </w:t>
      </w:r>
      <w:r>
        <w:rPr>
          <w:color w:val="231F20"/>
          <w:w w:val="120"/>
          <w:sz w:val="12"/>
        </w:rPr>
        <w:t>propóSito</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4" w:lineRule="auto" w:before="67"/>
        <w:ind w:left="1553"/>
        <w:jc w:val="both"/>
      </w:pPr>
      <w:r>
        <w:rPr>
          <w:color w:val="231F20"/>
          <w:w w:val="105"/>
        </w:rPr>
        <w:t>Los productores promedian 31,2 (± 14,1) años  en la actividad; en varios casos refieren que toda su vida se han dedicado a la producción agrope- cuaria</w:t>
      </w:r>
      <w:r>
        <w:rPr>
          <w:color w:val="231F20"/>
          <w:spacing w:val="-7"/>
          <w:w w:val="105"/>
        </w:rPr>
        <w:t> </w:t>
      </w:r>
      <w:r>
        <w:rPr>
          <w:color w:val="231F20"/>
          <w:w w:val="105"/>
        </w:rPr>
        <w:t>y</w:t>
      </w:r>
      <w:r>
        <w:rPr>
          <w:color w:val="231F20"/>
          <w:spacing w:val="-7"/>
          <w:w w:val="105"/>
        </w:rPr>
        <w:t> </w:t>
      </w:r>
      <w:r>
        <w:rPr>
          <w:color w:val="231F20"/>
          <w:w w:val="105"/>
        </w:rPr>
        <w:t>que</w:t>
      </w:r>
      <w:r>
        <w:rPr>
          <w:color w:val="231F20"/>
          <w:spacing w:val="-7"/>
          <w:w w:val="105"/>
        </w:rPr>
        <w:t> </w:t>
      </w:r>
      <w:r>
        <w:rPr>
          <w:color w:val="231F20"/>
          <w:w w:val="105"/>
        </w:rPr>
        <w:t>ésta</w:t>
      </w:r>
      <w:r>
        <w:rPr>
          <w:color w:val="231F20"/>
          <w:spacing w:val="-7"/>
          <w:w w:val="105"/>
        </w:rPr>
        <w:t> </w:t>
      </w:r>
      <w:r>
        <w:rPr>
          <w:color w:val="231F20"/>
          <w:w w:val="105"/>
        </w:rPr>
        <w:t>ha</w:t>
      </w:r>
      <w:r>
        <w:rPr>
          <w:color w:val="231F20"/>
          <w:spacing w:val="-7"/>
          <w:w w:val="105"/>
        </w:rPr>
        <w:t> </w:t>
      </w:r>
      <w:r>
        <w:rPr>
          <w:color w:val="231F20"/>
          <w:w w:val="105"/>
        </w:rPr>
        <w:t>sido</w:t>
      </w:r>
      <w:r>
        <w:rPr>
          <w:color w:val="231F20"/>
          <w:spacing w:val="-7"/>
          <w:w w:val="105"/>
        </w:rPr>
        <w:t> </w:t>
      </w:r>
      <w:r>
        <w:rPr>
          <w:color w:val="231F20"/>
          <w:w w:val="105"/>
        </w:rPr>
        <w:t>heredada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padres.</w:t>
      </w:r>
    </w:p>
    <w:p>
      <w:pPr>
        <w:pStyle w:val="BodyText"/>
        <w:spacing w:line="264" w:lineRule="auto" w:before="112"/>
        <w:ind w:left="1553"/>
        <w:jc w:val="both"/>
      </w:pPr>
      <w:r>
        <w:rPr>
          <w:color w:val="231F20"/>
          <w:w w:val="105"/>
        </w:rPr>
        <w:t>La unidad familiar consta de </w:t>
      </w:r>
      <w:r>
        <w:rPr>
          <w:color w:val="231F20"/>
          <w:spacing w:val="-3"/>
          <w:w w:val="105"/>
        </w:rPr>
        <w:t>6,7 </w:t>
      </w:r>
      <w:r>
        <w:rPr>
          <w:color w:val="231F20"/>
          <w:w w:val="105"/>
        </w:rPr>
        <w:t>± </w:t>
      </w:r>
      <w:r>
        <w:rPr>
          <w:color w:val="231F20"/>
          <w:spacing w:val="-3"/>
          <w:w w:val="105"/>
        </w:rPr>
        <w:t>2,7 </w:t>
      </w:r>
      <w:r>
        <w:rPr>
          <w:color w:val="231F20"/>
          <w:w w:val="105"/>
        </w:rPr>
        <w:t>personas, integrada</w:t>
      </w:r>
      <w:r>
        <w:rPr>
          <w:color w:val="231F20"/>
          <w:spacing w:val="-18"/>
          <w:w w:val="105"/>
        </w:rPr>
        <w:t> </w:t>
      </w:r>
      <w:r>
        <w:rPr>
          <w:color w:val="231F20"/>
          <w:w w:val="105"/>
        </w:rPr>
        <w:t>por</w:t>
      </w:r>
      <w:r>
        <w:rPr>
          <w:color w:val="231F20"/>
          <w:spacing w:val="-18"/>
          <w:w w:val="105"/>
        </w:rPr>
        <w:t> </w:t>
      </w:r>
      <w:r>
        <w:rPr>
          <w:color w:val="231F20"/>
          <w:w w:val="105"/>
        </w:rPr>
        <w:t>3,5</w:t>
      </w:r>
      <w:r>
        <w:rPr>
          <w:color w:val="231F20"/>
          <w:spacing w:val="-18"/>
          <w:w w:val="105"/>
        </w:rPr>
        <w:t> </w:t>
      </w:r>
      <w:r>
        <w:rPr>
          <w:color w:val="231F20"/>
          <w:w w:val="105"/>
        </w:rPr>
        <w:t>hijos</w:t>
      </w:r>
      <w:r>
        <w:rPr>
          <w:color w:val="231F20"/>
          <w:spacing w:val="-18"/>
          <w:w w:val="105"/>
        </w:rPr>
        <w:t> </w:t>
      </w:r>
      <w:r>
        <w:rPr>
          <w:color w:val="231F20"/>
          <w:w w:val="105"/>
        </w:rPr>
        <w:t>varones</w:t>
      </w:r>
      <w:r>
        <w:rPr>
          <w:color w:val="231F20"/>
          <w:spacing w:val="-18"/>
          <w:w w:val="105"/>
        </w:rPr>
        <w:t> </w:t>
      </w:r>
      <w:r>
        <w:rPr>
          <w:color w:val="231F20"/>
          <w:w w:val="105"/>
        </w:rPr>
        <w:t>y</w:t>
      </w:r>
      <w:r>
        <w:rPr>
          <w:color w:val="231F20"/>
          <w:spacing w:val="-18"/>
          <w:w w:val="105"/>
        </w:rPr>
        <w:t> </w:t>
      </w:r>
      <w:r>
        <w:rPr>
          <w:color w:val="231F20"/>
          <w:w w:val="105"/>
        </w:rPr>
        <w:t>3,2</w:t>
      </w:r>
      <w:r>
        <w:rPr>
          <w:color w:val="231F20"/>
          <w:spacing w:val="-18"/>
          <w:w w:val="105"/>
        </w:rPr>
        <w:t> </w:t>
      </w:r>
      <w:r>
        <w:rPr>
          <w:color w:val="231F20"/>
          <w:w w:val="105"/>
        </w:rPr>
        <w:t>mujeres.</w:t>
      </w:r>
      <w:r>
        <w:rPr>
          <w:color w:val="231F20"/>
          <w:spacing w:val="-18"/>
          <w:w w:val="105"/>
        </w:rPr>
        <w:t> </w:t>
      </w:r>
      <w:r>
        <w:rPr>
          <w:color w:val="231F20"/>
          <w:w w:val="105"/>
        </w:rPr>
        <w:t>Res- pecto</w:t>
      </w:r>
      <w:r>
        <w:rPr>
          <w:color w:val="231F20"/>
          <w:spacing w:val="-7"/>
          <w:w w:val="105"/>
        </w:rPr>
        <w:t> </w:t>
      </w:r>
      <w:r>
        <w:rPr>
          <w:color w:val="231F20"/>
          <w:w w:val="105"/>
        </w:rPr>
        <w:t>del</w:t>
      </w:r>
      <w:r>
        <w:rPr>
          <w:color w:val="231F20"/>
          <w:spacing w:val="-7"/>
          <w:w w:val="105"/>
        </w:rPr>
        <w:t> </w:t>
      </w:r>
      <w:r>
        <w:rPr>
          <w:color w:val="231F20"/>
          <w:w w:val="105"/>
        </w:rPr>
        <w:t>uso</w:t>
      </w:r>
      <w:r>
        <w:rPr>
          <w:color w:val="231F20"/>
          <w:spacing w:val="-7"/>
          <w:w w:val="105"/>
        </w:rPr>
        <w:t> </w:t>
      </w:r>
      <w:r>
        <w:rPr>
          <w:color w:val="231F20"/>
          <w:w w:val="105"/>
        </w:rPr>
        <w:t>de</w:t>
      </w:r>
      <w:r>
        <w:rPr>
          <w:color w:val="231F20"/>
          <w:spacing w:val="-7"/>
          <w:w w:val="105"/>
        </w:rPr>
        <w:t> </w:t>
      </w:r>
      <w:r>
        <w:rPr>
          <w:color w:val="231F20"/>
          <w:w w:val="105"/>
        </w:rPr>
        <w:t>mano</w:t>
      </w:r>
      <w:r>
        <w:rPr>
          <w:color w:val="231F20"/>
          <w:spacing w:val="-7"/>
          <w:w w:val="105"/>
        </w:rPr>
        <w:t> </w:t>
      </w:r>
      <w:r>
        <w:rPr>
          <w:color w:val="231F20"/>
          <w:w w:val="105"/>
        </w:rPr>
        <w:t>de</w:t>
      </w:r>
      <w:r>
        <w:rPr>
          <w:color w:val="231F20"/>
          <w:spacing w:val="-7"/>
          <w:w w:val="105"/>
        </w:rPr>
        <w:t> </w:t>
      </w:r>
      <w:r>
        <w:rPr>
          <w:color w:val="231F20"/>
          <w:w w:val="105"/>
        </w:rPr>
        <w:t>obra</w:t>
      </w:r>
      <w:r>
        <w:rPr>
          <w:color w:val="231F20"/>
          <w:spacing w:val="-7"/>
          <w:w w:val="105"/>
        </w:rPr>
        <w:t> </w:t>
      </w:r>
      <w:r>
        <w:rPr>
          <w:color w:val="231F20"/>
          <w:w w:val="105"/>
        </w:rPr>
        <w:t>familiar,</w:t>
      </w:r>
      <w:r>
        <w:rPr>
          <w:color w:val="231F20"/>
          <w:spacing w:val="-7"/>
          <w:w w:val="105"/>
        </w:rPr>
        <w:t> </w:t>
      </w:r>
      <w:r>
        <w:rPr>
          <w:color w:val="231F20"/>
          <w:w w:val="105"/>
        </w:rPr>
        <w:t>ésta</w:t>
      </w:r>
      <w:r>
        <w:rPr>
          <w:color w:val="231F20"/>
          <w:spacing w:val="-7"/>
          <w:w w:val="105"/>
        </w:rPr>
        <w:t> </w:t>
      </w:r>
      <w:r>
        <w:rPr>
          <w:color w:val="231F20"/>
          <w:w w:val="105"/>
        </w:rPr>
        <w:t>con- tribuye con </w:t>
      </w:r>
      <w:r>
        <w:rPr>
          <w:color w:val="231F20"/>
          <w:spacing w:val="-3"/>
          <w:w w:val="105"/>
        </w:rPr>
        <w:t>1,7 </w:t>
      </w:r>
      <w:r>
        <w:rPr>
          <w:color w:val="231F20"/>
          <w:w w:val="105"/>
        </w:rPr>
        <w:t>(± 1,4) jornales/día. La mano de obra</w:t>
      </w:r>
      <w:r>
        <w:rPr>
          <w:color w:val="231F20"/>
          <w:spacing w:val="-15"/>
          <w:w w:val="105"/>
        </w:rPr>
        <w:t> </w:t>
      </w:r>
      <w:r>
        <w:rPr>
          <w:color w:val="231F20"/>
          <w:w w:val="105"/>
        </w:rPr>
        <w:t>la</w:t>
      </w:r>
      <w:r>
        <w:rPr>
          <w:color w:val="231F20"/>
          <w:spacing w:val="-15"/>
          <w:w w:val="105"/>
        </w:rPr>
        <w:t> </w:t>
      </w:r>
      <w:r>
        <w:rPr>
          <w:color w:val="231F20"/>
          <w:w w:val="105"/>
        </w:rPr>
        <w:t>constituyen</w:t>
      </w:r>
      <w:r>
        <w:rPr>
          <w:color w:val="231F20"/>
          <w:spacing w:val="-15"/>
          <w:w w:val="105"/>
        </w:rPr>
        <w:t> </w:t>
      </w:r>
      <w:r>
        <w:rPr>
          <w:color w:val="231F20"/>
          <w:w w:val="105"/>
        </w:rPr>
        <w:t>el</w:t>
      </w:r>
      <w:r>
        <w:rPr>
          <w:color w:val="231F20"/>
          <w:spacing w:val="-15"/>
          <w:w w:val="105"/>
        </w:rPr>
        <w:t> </w:t>
      </w:r>
      <w:r>
        <w:rPr>
          <w:color w:val="231F20"/>
          <w:w w:val="105"/>
        </w:rPr>
        <w:t>productor</w:t>
      </w:r>
      <w:r>
        <w:rPr>
          <w:color w:val="231F20"/>
          <w:spacing w:val="-15"/>
          <w:w w:val="105"/>
        </w:rPr>
        <w:t> </w:t>
      </w:r>
      <w:r>
        <w:rPr>
          <w:color w:val="231F20"/>
          <w:w w:val="105"/>
        </w:rPr>
        <w:t>y</w:t>
      </w:r>
      <w:r>
        <w:rPr>
          <w:color w:val="231F20"/>
          <w:spacing w:val="-15"/>
          <w:w w:val="105"/>
        </w:rPr>
        <w:t> </w:t>
      </w:r>
      <w:r>
        <w:rPr>
          <w:color w:val="231F20"/>
          <w:w w:val="105"/>
        </w:rPr>
        <w:t>un</w:t>
      </w:r>
      <w:r>
        <w:rPr>
          <w:color w:val="231F20"/>
          <w:spacing w:val="-15"/>
          <w:w w:val="105"/>
        </w:rPr>
        <w:t> </w:t>
      </w:r>
      <w:r>
        <w:rPr>
          <w:color w:val="231F20"/>
          <w:w w:val="105"/>
        </w:rPr>
        <w:t>hijo;</w:t>
      </w:r>
      <w:r>
        <w:rPr>
          <w:color w:val="231F20"/>
          <w:spacing w:val="-15"/>
          <w:w w:val="105"/>
        </w:rPr>
        <w:t> </w:t>
      </w:r>
      <w:r>
        <w:rPr>
          <w:color w:val="231F20"/>
          <w:w w:val="105"/>
        </w:rPr>
        <w:t>las</w:t>
      </w:r>
      <w:r>
        <w:rPr>
          <w:color w:val="231F20"/>
          <w:spacing w:val="-15"/>
          <w:w w:val="105"/>
        </w:rPr>
        <w:t> </w:t>
      </w:r>
      <w:r>
        <w:rPr>
          <w:color w:val="231F20"/>
          <w:w w:val="105"/>
        </w:rPr>
        <w:t>hijas contribuyen</w:t>
      </w:r>
      <w:r>
        <w:rPr>
          <w:color w:val="231F20"/>
          <w:spacing w:val="-23"/>
          <w:w w:val="105"/>
        </w:rPr>
        <w:t> </w:t>
      </w:r>
      <w:r>
        <w:rPr>
          <w:color w:val="231F20"/>
          <w:w w:val="105"/>
        </w:rPr>
        <w:t>poco</w:t>
      </w:r>
      <w:r>
        <w:rPr>
          <w:color w:val="231F20"/>
          <w:spacing w:val="-23"/>
          <w:w w:val="105"/>
        </w:rPr>
        <w:t> </w:t>
      </w:r>
      <w:r>
        <w:rPr>
          <w:color w:val="231F20"/>
          <w:w w:val="105"/>
        </w:rPr>
        <w:t>al</w:t>
      </w:r>
      <w:r>
        <w:rPr>
          <w:color w:val="231F20"/>
          <w:spacing w:val="-23"/>
          <w:w w:val="105"/>
        </w:rPr>
        <w:t> </w:t>
      </w:r>
      <w:r>
        <w:rPr>
          <w:color w:val="231F20"/>
          <w:w w:val="105"/>
        </w:rPr>
        <w:t>trabajo</w:t>
      </w:r>
      <w:r>
        <w:rPr>
          <w:color w:val="231F20"/>
          <w:spacing w:val="-23"/>
          <w:w w:val="105"/>
        </w:rPr>
        <w:t> </w:t>
      </w:r>
      <w:r>
        <w:rPr>
          <w:color w:val="231F20"/>
          <w:w w:val="105"/>
        </w:rPr>
        <w:t>dentro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unidad</w:t>
      </w:r>
      <w:r>
        <w:rPr>
          <w:color w:val="231F20"/>
          <w:spacing w:val="-23"/>
          <w:w w:val="105"/>
        </w:rPr>
        <w:t> </w:t>
      </w:r>
      <w:r>
        <w:rPr>
          <w:color w:val="231F20"/>
          <w:w w:val="105"/>
        </w:rPr>
        <w:t>de</w:t>
      </w:r>
      <w:r>
        <w:rPr>
          <w:color w:val="231F20"/>
          <w:w w:val="103"/>
        </w:rPr>
        <w:t> </w:t>
      </w:r>
      <w:r>
        <w:rPr>
          <w:color w:val="231F20"/>
          <w:w w:val="105"/>
        </w:rPr>
        <w:t>producción. Los varones que no contribuyen a la unidad de producción con mano de obra es por- que han optado por desarrollar actividades eco- nómicas</w:t>
      </w:r>
      <w:r>
        <w:rPr>
          <w:color w:val="231F20"/>
          <w:spacing w:val="-14"/>
          <w:w w:val="105"/>
        </w:rPr>
        <w:t> </w:t>
      </w:r>
      <w:r>
        <w:rPr>
          <w:color w:val="231F20"/>
          <w:w w:val="105"/>
        </w:rPr>
        <w:t>distintas</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producción</w:t>
      </w:r>
      <w:r>
        <w:rPr>
          <w:color w:val="231F20"/>
          <w:spacing w:val="-14"/>
          <w:w w:val="105"/>
        </w:rPr>
        <w:t> </w:t>
      </w:r>
      <w:r>
        <w:rPr>
          <w:color w:val="231F20"/>
          <w:w w:val="105"/>
        </w:rPr>
        <w:t>agropecuaria.</w:t>
      </w:r>
      <w:r>
        <w:rPr>
          <w:color w:val="231F20"/>
          <w:spacing w:val="-14"/>
          <w:w w:val="105"/>
        </w:rPr>
        <w:t> </w:t>
      </w:r>
      <w:r>
        <w:rPr>
          <w:color w:val="231F20"/>
          <w:w w:val="105"/>
        </w:rPr>
        <w:t>El</w:t>
      </w:r>
      <w:r>
        <w:rPr>
          <w:color w:val="231F20"/>
          <w:w w:val="101"/>
        </w:rPr>
        <w:t> </w:t>
      </w:r>
      <w:r>
        <w:rPr>
          <w:color w:val="231F20"/>
          <w:w w:val="105"/>
        </w:rPr>
        <w:t>costo</w:t>
      </w:r>
      <w:r>
        <w:rPr>
          <w:color w:val="231F20"/>
          <w:spacing w:val="-9"/>
          <w:w w:val="105"/>
        </w:rPr>
        <w:t> </w:t>
      </w:r>
      <w:r>
        <w:rPr>
          <w:color w:val="231F20"/>
          <w:w w:val="105"/>
        </w:rPr>
        <w:t>de</w:t>
      </w:r>
      <w:r>
        <w:rPr>
          <w:color w:val="231F20"/>
          <w:spacing w:val="-9"/>
          <w:w w:val="105"/>
        </w:rPr>
        <w:t> </w:t>
      </w:r>
      <w:r>
        <w:rPr>
          <w:color w:val="231F20"/>
          <w:w w:val="105"/>
        </w:rPr>
        <w:t>oportunidad</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mano</w:t>
      </w:r>
      <w:r>
        <w:rPr>
          <w:color w:val="231F20"/>
          <w:spacing w:val="-9"/>
          <w:w w:val="105"/>
        </w:rPr>
        <w:t> </w:t>
      </w:r>
      <w:r>
        <w:rPr>
          <w:color w:val="231F20"/>
          <w:w w:val="105"/>
        </w:rPr>
        <w:t>de</w:t>
      </w:r>
      <w:r>
        <w:rPr>
          <w:color w:val="231F20"/>
          <w:spacing w:val="-9"/>
          <w:w w:val="105"/>
        </w:rPr>
        <w:t> </w:t>
      </w:r>
      <w:r>
        <w:rPr>
          <w:color w:val="231F20"/>
          <w:w w:val="105"/>
        </w:rPr>
        <w:t>obra</w:t>
      </w:r>
      <w:r>
        <w:rPr>
          <w:color w:val="231F20"/>
          <w:spacing w:val="-9"/>
          <w:w w:val="105"/>
        </w:rPr>
        <w:t> </w:t>
      </w:r>
      <w:r>
        <w:rPr>
          <w:color w:val="231F20"/>
          <w:w w:val="105"/>
        </w:rPr>
        <w:t>familiar osciló entre </w:t>
      </w:r>
      <w:r>
        <w:rPr>
          <w:color w:val="231F20"/>
          <w:spacing w:val="-3"/>
          <w:w w:val="105"/>
        </w:rPr>
        <w:t>$100 </w:t>
      </w:r>
      <w:r>
        <w:rPr>
          <w:color w:val="231F20"/>
          <w:w w:val="105"/>
        </w:rPr>
        <w:t>y </w:t>
      </w:r>
      <w:r>
        <w:rPr>
          <w:color w:val="231F20"/>
          <w:spacing w:val="-4"/>
          <w:w w:val="105"/>
        </w:rPr>
        <w:t>$120 </w:t>
      </w:r>
      <w:r>
        <w:rPr>
          <w:color w:val="231F20"/>
          <w:w w:val="105"/>
        </w:rPr>
        <w:t>(año  </w:t>
      </w:r>
      <w:r>
        <w:rPr>
          <w:color w:val="231F20"/>
          <w:spacing w:val="10"/>
          <w:w w:val="105"/>
        </w:rPr>
        <w:t> </w:t>
      </w:r>
      <w:r>
        <w:rPr>
          <w:color w:val="231F20"/>
          <w:w w:val="105"/>
        </w:rPr>
        <w:t>2008).</w:t>
      </w:r>
    </w:p>
    <w:p>
      <w:pPr>
        <w:pStyle w:val="BodyText"/>
        <w:spacing w:line="264" w:lineRule="auto" w:before="112"/>
        <w:ind w:left="1553"/>
        <w:jc w:val="both"/>
      </w:pPr>
      <w:r>
        <w:rPr>
          <w:color w:val="231F20"/>
          <w:w w:val="105"/>
        </w:rPr>
        <w:t>Las</w:t>
      </w:r>
      <w:r>
        <w:rPr>
          <w:color w:val="231F20"/>
          <w:spacing w:val="-10"/>
          <w:w w:val="105"/>
        </w:rPr>
        <w:t> </w:t>
      </w:r>
      <w:r>
        <w:rPr>
          <w:color w:val="231F20"/>
          <w:w w:val="105"/>
        </w:rPr>
        <w:t>labores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mano</w:t>
      </w:r>
      <w:r>
        <w:rPr>
          <w:color w:val="231F20"/>
          <w:spacing w:val="-10"/>
          <w:w w:val="105"/>
        </w:rPr>
        <w:t> </w:t>
      </w:r>
      <w:r>
        <w:rPr>
          <w:color w:val="231F20"/>
          <w:w w:val="105"/>
        </w:rPr>
        <w:t>de</w:t>
      </w:r>
      <w:r>
        <w:rPr>
          <w:color w:val="231F20"/>
          <w:spacing w:val="-10"/>
          <w:w w:val="105"/>
        </w:rPr>
        <w:t> </w:t>
      </w:r>
      <w:r>
        <w:rPr>
          <w:color w:val="231F20"/>
          <w:w w:val="105"/>
        </w:rPr>
        <w:t>obra</w:t>
      </w:r>
      <w:r>
        <w:rPr>
          <w:color w:val="231F20"/>
          <w:spacing w:val="-10"/>
          <w:w w:val="105"/>
        </w:rPr>
        <w:t> </w:t>
      </w:r>
      <w:r>
        <w:rPr>
          <w:color w:val="231F20"/>
          <w:w w:val="105"/>
        </w:rPr>
        <w:t>contratada</w:t>
      </w:r>
      <w:r>
        <w:rPr>
          <w:color w:val="231F20"/>
          <w:spacing w:val="-10"/>
          <w:w w:val="105"/>
        </w:rPr>
        <w:t> </w:t>
      </w:r>
      <w:r>
        <w:rPr>
          <w:color w:val="231F20"/>
          <w:w w:val="105"/>
        </w:rPr>
        <w:t>de</w:t>
      </w:r>
      <w:r>
        <w:rPr>
          <w:color w:val="231F20"/>
          <w:spacing w:val="-10"/>
          <w:w w:val="105"/>
        </w:rPr>
        <w:t> </w:t>
      </w:r>
      <w:r>
        <w:rPr>
          <w:color w:val="231F20"/>
          <w:w w:val="105"/>
        </w:rPr>
        <w:t>for- ma</w:t>
      </w:r>
      <w:r>
        <w:rPr>
          <w:color w:val="231F20"/>
          <w:spacing w:val="-6"/>
          <w:w w:val="105"/>
        </w:rPr>
        <w:t> </w:t>
      </w:r>
      <w:r>
        <w:rPr>
          <w:color w:val="231F20"/>
          <w:w w:val="105"/>
        </w:rPr>
        <w:t>permanente</w:t>
      </w:r>
      <w:r>
        <w:rPr>
          <w:color w:val="231F20"/>
          <w:spacing w:val="-6"/>
          <w:w w:val="105"/>
        </w:rPr>
        <w:t> </w:t>
      </w:r>
      <w:r>
        <w:rPr>
          <w:color w:val="231F20"/>
          <w:w w:val="105"/>
        </w:rPr>
        <w:t>(1,1</w:t>
      </w:r>
      <w:r>
        <w:rPr>
          <w:color w:val="231F20"/>
          <w:spacing w:val="-6"/>
          <w:w w:val="105"/>
        </w:rPr>
        <w:t> </w:t>
      </w:r>
      <w:r>
        <w:rPr>
          <w:color w:val="231F20"/>
          <w:w w:val="105"/>
        </w:rPr>
        <w:t>±</w:t>
      </w:r>
      <w:r>
        <w:rPr>
          <w:color w:val="231F20"/>
          <w:spacing w:val="-6"/>
          <w:w w:val="105"/>
        </w:rPr>
        <w:t> </w:t>
      </w:r>
      <w:r>
        <w:rPr>
          <w:color w:val="231F20"/>
          <w:w w:val="105"/>
        </w:rPr>
        <w:t>0,8</w:t>
      </w:r>
      <w:r>
        <w:rPr>
          <w:color w:val="231F20"/>
          <w:spacing w:val="-6"/>
          <w:w w:val="105"/>
        </w:rPr>
        <w:t> </w:t>
      </w:r>
      <w:r>
        <w:rPr>
          <w:color w:val="231F20"/>
          <w:w w:val="105"/>
        </w:rPr>
        <w:t>jornales/día)</w:t>
      </w:r>
      <w:r>
        <w:rPr>
          <w:color w:val="231F20"/>
          <w:spacing w:val="-6"/>
          <w:w w:val="105"/>
        </w:rPr>
        <w:t> </w:t>
      </w:r>
      <w:r>
        <w:rPr>
          <w:color w:val="231F20"/>
          <w:w w:val="105"/>
        </w:rPr>
        <w:t>consisten en el ordeño, la alimentación y la separación de los</w:t>
      </w:r>
      <w:r>
        <w:rPr>
          <w:color w:val="231F20"/>
          <w:spacing w:val="-13"/>
          <w:w w:val="105"/>
        </w:rPr>
        <w:t> </w:t>
      </w:r>
      <w:r>
        <w:rPr>
          <w:color w:val="231F20"/>
          <w:w w:val="105"/>
        </w:rPr>
        <w:t>becerros</w:t>
      </w:r>
      <w:r>
        <w:rPr>
          <w:color w:val="231F20"/>
          <w:spacing w:val="-13"/>
          <w:w w:val="105"/>
        </w:rPr>
        <w:t> </w:t>
      </w:r>
      <w:r>
        <w:rPr>
          <w:color w:val="231F20"/>
          <w:w w:val="105"/>
        </w:rPr>
        <w:t>de</w:t>
      </w:r>
      <w:r>
        <w:rPr>
          <w:color w:val="231F20"/>
          <w:spacing w:val="-13"/>
          <w:w w:val="105"/>
        </w:rPr>
        <w:t> </w:t>
      </w:r>
      <w:r>
        <w:rPr>
          <w:color w:val="231F20"/>
          <w:w w:val="105"/>
        </w:rPr>
        <w:t>sus</w:t>
      </w:r>
      <w:r>
        <w:rPr>
          <w:color w:val="231F20"/>
          <w:spacing w:val="-13"/>
          <w:w w:val="105"/>
        </w:rPr>
        <w:t> </w:t>
      </w:r>
      <w:r>
        <w:rPr>
          <w:color w:val="231F20"/>
          <w:w w:val="105"/>
        </w:rPr>
        <w:t>madres,</w:t>
      </w:r>
      <w:r>
        <w:rPr>
          <w:color w:val="231F20"/>
          <w:spacing w:val="-13"/>
          <w:w w:val="105"/>
        </w:rPr>
        <w:t> </w:t>
      </w:r>
      <w:r>
        <w:rPr>
          <w:color w:val="231F20"/>
          <w:w w:val="105"/>
        </w:rPr>
        <w:t>mientras</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mano de obra contratada de forma temporal se encar- ga de realizar labores de siembra o cosecha de maíz,</w:t>
      </w:r>
      <w:r>
        <w:rPr>
          <w:color w:val="231F20"/>
          <w:spacing w:val="-27"/>
          <w:w w:val="105"/>
        </w:rPr>
        <w:t> </w:t>
      </w:r>
      <w:r>
        <w:rPr>
          <w:color w:val="231F20"/>
          <w:w w:val="105"/>
        </w:rPr>
        <w:t>corte</w:t>
      </w:r>
      <w:r>
        <w:rPr>
          <w:color w:val="231F20"/>
          <w:spacing w:val="-27"/>
          <w:w w:val="105"/>
        </w:rPr>
        <w:t> </w:t>
      </w:r>
      <w:r>
        <w:rPr>
          <w:color w:val="231F20"/>
          <w:w w:val="105"/>
        </w:rPr>
        <w:t>y</w:t>
      </w:r>
      <w:r>
        <w:rPr>
          <w:color w:val="231F20"/>
          <w:spacing w:val="-27"/>
          <w:w w:val="105"/>
        </w:rPr>
        <w:t> </w:t>
      </w:r>
      <w:r>
        <w:rPr>
          <w:color w:val="231F20"/>
          <w:w w:val="105"/>
        </w:rPr>
        <w:t>acarreo</w:t>
      </w:r>
      <w:r>
        <w:rPr>
          <w:color w:val="231F20"/>
          <w:spacing w:val="-27"/>
          <w:w w:val="105"/>
        </w:rPr>
        <w:t> </w:t>
      </w:r>
      <w:r>
        <w:rPr>
          <w:color w:val="231F20"/>
          <w:w w:val="105"/>
        </w:rPr>
        <w:t>de</w:t>
      </w:r>
      <w:r>
        <w:rPr>
          <w:color w:val="231F20"/>
          <w:spacing w:val="-27"/>
          <w:w w:val="105"/>
        </w:rPr>
        <w:t> </w:t>
      </w:r>
      <w:r>
        <w:rPr>
          <w:color w:val="231F20"/>
          <w:w w:val="105"/>
        </w:rPr>
        <w:t>forrajes</w:t>
      </w:r>
      <w:r>
        <w:rPr>
          <w:color w:val="231F20"/>
          <w:spacing w:val="-27"/>
          <w:w w:val="105"/>
        </w:rPr>
        <w:t> </w:t>
      </w:r>
      <w:r>
        <w:rPr>
          <w:color w:val="231F20"/>
          <w:w w:val="105"/>
        </w:rPr>
        <w:t>frescos</w:t>
      </w:r>
      <w:r>
        <w:rPr>
          <w:color w:val="231F20"/>
          <w:spacing w:val="-27"/>
          <w:w w:val="105"/>
        </w:rPr>
        <w:t> </w:t>
      </w:r>
      <w:r>
        <w:rPr>
          <w:color w:val="231F20"/>
          <w:w w:val="105"/>
        </w:rPr>
        <w:t>y</w:t>
      </w:r>
      <w:r>
        <w:rPr>
          <w:color w:val="231F20"/>
          <w:spacing w:val="-27"/>
          <w:w w:val="105"/>
        </w:rPr>
        <w:t> </w:t>
      </w:r>
      <w:r>
        <w:rPr>
          <w:color w:val="231F20"/>
          <w:w w:val="105"/>
        </w:rPr>
        <w:t>manteni-</w:t>
      </w:r>
      <w:r>
        <w:rPr>
          <w:color w:val="231F20"/>
          <w:w w:val="95"/>
        </w:rPr>
        <w:t> </w:t>
      </w:r>
      <w:r>
        <w:rPr>
          <w:color w:val="231F20"/>
          <w:w w:val="105"/>
        </w:rPr>
        <w:t>miento</w:t>
      </w:r>
      <w:r>
        <w:rPr>
          <w:color w:val="231F20"/>
          <w:spacing w:val="-21"/>
          <w:w w:val="105"/>
        </w:rPr>
        <w:t> </w:t>
      </w:r>
      <w:r>
        <w:rPr>
          <w:color w:val="231F20"/>
          <w:w w:val="105"/>
        </w:rPr>
        <w:t>de</w:t>
      </w:r>
      <w:r>
        <w:rPr>
          <w:color w:val="231F20"/>
          <w:spacing w:val="-21"/>
          <w:w w:val="105"/>
        </w:rPr>
        <w:t> </w:t>
      </w:r>
      <w:r>
        <w:rPr>
          <w:color w:val="231F20"/>
          <w:w w:val="105"/>
        </w:rPr>
        <w:t>cercas</w:t>
      </w:r>
      <w:r>
        <w:rPr>
          <w:color w:val="231F20"/>
          <w:spacing w:val="-21"/>
          <w:w w:val="105"/>
        </w:rPr>
        <w:t> </w:t>
      </w:r>
      <w:r>
        <w:rPr>
          <w:color w:val="231F20"/>
          <w:w w:val="105"/>
        </w:rPr>
        <w:t>como</w:t>
      </w:r>
      <w:r>
        <w:rPr>
          <w:color w:val="231F20"/>
          <w:spacing w:val="-21"/>
          <w:w w:val="105"/>
        </w:rPr>
        <w:t> </w:t>
      </w:r>
      <w:r>
        <w:rPr>
          <w:color w:val="231F20"/>
          <w:w w:val="105"/>
        </w:rPr>
        <w:t>actividades</w:t>
      </w:r>
      <w:r>
        <w:rPr>
          <w:color w:val="231F20"/>
          <w:spacing w:val="-21"/>
          <w:w w:val="105"/>
        </w:rPr>
        <w:t> </w:t>
      </w:r>
      <w:r>
        <w:rPr>
          <w:color w:val="231F20"/>
          <w:w w:val="105"/>
        </w:rPr>
        <w:t>más</w:t>
      </w:r>
      <w:r>
        <w:rPr>
          <w:color w:val="231F20"/>
          <w:spacing w:val="-21"/>
          <w:w w:val="105"/>
        </w:rPr>
        <w:t> </w:t>
      </w:r>
      <w:r>
        <w:rPr>
          <w:color w:val="231F20"/>
          <w:w w:val="105"/>
        </w:rPr>
        <w:t>importan-</w:t>
      </w:r>
      <w:r>
        <w:rPr>
          <w:color w:val="231F20"/>
          <w:w w:val="95"/>
        </w:rPr>
        <w:t> </w:t>
      </w:r>
      <w:r>
        <w:rPr>
          <w:color w:val="231F20"/>
          <w:w w:val="105"/>
        </w:rPr>
        <w:t>tes.</w:t>
      </w:r>
      <w:r>
        <w:rPr>
          <w:color w:val="231F20"/>
          <w:spacing w:val="-9"/>
          <w:w w:val="105"/>
        </w:rPr>
        <w:t> </w:t>
      </w:r>
      <w:r>
        <w:rPr>
          <w:color w:val="231F20"/>
          <w:w w:val="105"/>
        </w:rPr>
        <w:t>El</w:t>
      </w:r>
      <w:r>
        <w:rPr>
          <w:color w:val="231F20"/>
          <w:spacing w:val="-9"/>
          <w:w w:val="105"/>
        </w:rPr>
        <w:t> </w:t>
      </w:r>
      <w:r>
        <w:rPr>
          <w:color w:val="231F20"/>
          <w:w w:val="105"/>
        </w:rPr>
        <w:t>costo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mano</w:t>
      </w:r>
      <w:r>
        <w:rPr>
          <w:color w:val="231F20"/>
          <w:spacing w:val="-9"/>
          <w:w w:val="105"/>
        </w:rPr>
        <w:t> </w:t>
      </w:r>
      <w:r>
        <w:rPr>
          <w:color w:val="231F20"/>
          <w:w w:val="105"/>
        </w:rPr>
        <w:t>de</w:t>
      </w:r>
      <w:r>
        <w:rPr>
          <w:color w:val="231F20"/>
          <w:spacing w:val="-9"/>
          <w:w w:val="105"/>
        </w:rPr>
        <w:t> </w:t>
      </w:r>
      <w:r>
        <w:rPr>
          <w:color w:val="231F20"/>
          <w:w w:val="105"/>
        </w:rPr>
        <w:t>obra</w:t>
      </w:r>
      <w:r>
        <w:rPr>
          <w:color w:val="231F20"/>
          <w:spacing w:val="-9"/>
          <w:w w:val="105"/>
        </w:rPr>
        <w:t> </w:t>
      </w:r>
      <w:r>
        <w:rPr>
          <w:color w:val="231F20"/>
          <w:w w:val="105"/>
        </w:rPr>
        <w:t>contratada</w:t>
      </w:r>
      <w:r>
        <w:rPr>
          <w:color w:val="231F20"/>
          <w:spacing w:val="-9"/>
          <w:w w:val="105"/>
        </w:rPr>
        <w:t> </w:t>
      </w:r>
      <w:r>
        <w:rPr>
          <w:color w:val="231F20"/>
          <w:w w:val="105"/>
        </w:rPr>
        <w:t>osciló entre </w:t>
      </w:r>
      <w:r>
        <w:rPr>
          <w:color w:val="231F20"/>
          <w:spacing w:val="-3"/>
          <w:w w:val="105"/>
        </w:rPr>
        <w:t>$100 </w:t>
      </w:r>
      <w:r>
        <w:rPr>
          <w:color w:val="231F20"/>
          <w:w w:val="105"/>
        </w:rPr>
        <w:t>y </w:t>
      </w:r>
      <w:r>
        <w:rPr>
          <w:color w:val="231F20"/>
          <w:spacing w:val="-4"/>
          <w:w w:val="105"/>
        </w:rPr>
        <w:t>$130 </w:t>
      </w:r>
      <w:r>
        <w:rPr>
          <w:color w:val="231F20"/>
          <w:w w:val="105"/>
        </w:rPr>
        <w:t>por jornal (año </w:t>
      </w:r>
      <w:r>
        <w:rPr>
          <w:color w:val="231F20"/>
          <w:spacing w:val="28"/>
          <w:w w:val="105"/>
        </w:rPr>
        <w:t> </w:t>
      </w:r>
      <w:r>
        <w:rPr>
          <w:color w:val="231F20"/>
          <w:w w:val="105"/>
        </w:rPr>
        <w:t>2008).</w:t>
      </w:r>
    </w:p>
    <w:p>
      <w:pPr>
        <w:pStyle w:val="BodyText"/>
        <w:spacing w:line="264" w:lineRule="auto" w:before="112"/>
        <w:ind w:left="1553"/>
        <w:jc w:val="both"/>
      </w:pPr>
      <w:r>
        <w:rPr>
          <w:color w:val="231F20"/>
        </w:rPr>
        <w:t>La superficie de tierra con que cuentan las uni- dades de producción es variable. Hay productores con superficies mínimas de </w:t>
      </w:r>
      <w:r>
        <w:rPr>
          <w:color w:val="231F20"/>
          <w:spacing w:val="-5"/>
        </w:rPr>
        <w:t>14 </w:t>
      </w:r>
      <w:r>
        <w:rPr>
          <w:color w:val="231F20"/>
        </w:rPr>
        <w:t>ha y otros con su- perficies máximas de 450 ha. El promedio de la superficie es de </w:t>
      </w:r>
      <w:r>
        <w:rPr>
          <w:color w:val="231F20"/>
          <w:spacing w:val="-9"/>
        </w:rPr>
        <w:t>97,8 </w:t>
      </w:r>
      <w:r>
        <w:rPr>
          <w:color w:val="231F20"/>
        </w:rPr>
        <w:t>ha. Además, una pequeña proporción</w:t>
      </w:r>
      <w:r>
        <w:rPr>
          <w:color w:val="231F20"/>
          <w:spacing w:val="-8"/>
        </w:rPr>
        <w:t> </w:t>
      </w:r>
      <w:r>
        <w:rPr>
          <w:color w:val="231F20"/>
        </w:rPr>
        <w:t>de</w:t>
      </w:r>
      <w:r>
        <w:rPr>
          <w:color w:val="231F20"/>
          <w:spacing w:val="-8"/>
        </w:rPr>
        <w:t> </w:t>
      </w:r>
      <w:r>
        <w:rPr>
          <w:color w:val="231F20"/>
        </w:rPr>
        <w:t>productores</w:t>
      </w:r>
      <w:r>
        <w:rPr>
          <w:color w:val="231F20"/>
          <w:spacing w:val="-8"/>
        </w:rPr>
        <w:t> </w:t>
      </w:r>
      <w:r>
        <w:rPr>
          <w:color w:val="231F20"/>
        </w:rPr>
        <w:t>renta</w:t>
      </w:r>
      <w:r>
        <w:rPr>
          <w:color w:val="231F20"/>
          <w:spacing w:val="-8"/>
        </w:rPr>
        <w:t> </w:t>
      </w:r>
      <w:r>
        <w:rPr>
          <w:color w:val="231F20"/>
        </w:rPr>
        <w:t>terreno</w:t>
      </w:r>
      <w:r>
        <w:rPr>
          <w:color w:val="231F20"/>
          <w:spacing w:val="-8"/>
        </w:rPr>
        <w:t> </w:t>
      </w:r>
      <w:r>
        <w:rPr>
          <w:color w:val="231F20"/>
        </w:rPr>
        <w:t>extra</w:t>
      </w:r>
      <w:r>
        <w:rPr>
          <w:color w:val="231F20"/>
          <w:spacing w:val="-8"/>
        </w:rPr>
        <w:t> </w:t>
      </w:r>
      <w:r>
        <w:rPr>
          <w:color w:val="231F20"/>
        </w:rPr>
        <w:t>para el pastoreo de sus animales en época de lluvias,    lo cual les permite conservar forraje (en pie) en   sus terrenos para utilizarlo en época de secas. La renta del terreno es por la duración de la</w:t>
      </w:r>
      <w:r>
        <w:rPr>
          <w:color w:val="231F20"/>
          <w:spacing w:val="3"/>
        </w:rPr>
        <w:t> </w:t>
      </w:r>
      <w:r>
        <w:rPr>
          <w:color w:val="231F20"/>
        </w:rPr>
        <w:t>época</w:t>
      </w:r>
      <w:r>
        <w:rPr>
          <w:color w:val="231F20"/>
          <w:spacing w:val="5"/>
        </w:rPr>
        <w:t> </w:t>
      </w:r>
      <w:r>
        <w:rPr>
          <w:color w:val="231F20"/>
        </w:rPr>
        <w:t>de</w:t>
      </w:r>
      <w:r>
        <w:rPr>
          <w:color w:val="231F20"/>
          <w:w w:val="103"/>
        </w:rPr>
        <w:t> </w:t>
      </w:r>
      <w:r>
        <w:rPr>
          <w:color w:val="231F20"/>
        </w:rPr>
        <w:t>lluvias, y se reporta, por ejemplo, un costo de la renta de tierra de </w:t>
      </w:r>
      <w:r>
        <w:rPr>
          <w:color w:val="231F20"/>
          <w:spacing w:val="-3"/>
        </w:rPr>
        <w:t>$14 </w:t>
      </w:r>
      <w:r>
        <w:rPr>
          <w:color w:val="231F20"/>
        </w:rPr>
        <w:t>000 por potrero (superficie no determinada). El periodo de ocupación  </w:t>
      </w:r>
      <w:r>
        <w:rPr>
          <w:color w:val="231F20"/>
          <w:spacing w:val="33"/>
        </w:rPr>
        <w:t> </w:t>
      </w:r>
      <w:r>
        <w:rPr>
          <w:color w:val="231F20"/>
        </w:rPr>
        <w:t>depen-</w:t>
      </w:r>
    </w:p>
    <w:p>
      <w:pPr>
        <w:pStyle w:val="BodyText"/>
        <w:spacing w:line="280" w:lineRule="auto" w:before="67"/>
        <w:ind w:left="412" w:right="1552"/>
        <w:jc w:val="both"/>
      </w:pPr>
      <w:r>
        <w:rPr/>
        <w:br w:type="column"/>
      </w:r>
      <w:r>
        <w:rPr>
          <w:color w:val="231F20"/>
        </w:rPr>
        <w:t>de de la duración de la época de lluvias, y en un buen año puede ser de hasta 5    meses.</w:t>
      </w:r>
    </w:p>
    <w:p>
      <w:pPr>
        <w:pStyle w:val="BodyText"/>
      </w:pPr>
    </w:p>
    <w:p>
      <w:pPr>
        <w:pStyle w:val="BodyText"/>
        <w:spacing w:before="2"/>
        <w:rPr>
          <w:sz w:val="17"/>
        </w:rPr>
      </w:pPr>
    </w:p>
    <w:p>
      <w:pPr>
        <w:spacing w:before="0"/>
        <w:ind w:left="412" w:right="0" w:firstLine="0"/>
        <w:jc w:val="both"/>
        <w:rPr>
          <w:rFonts w:ascii="Cambria"/>
          <w:i/>
          <w:sz w:val="20"/>
        </w:rPr>
      </w:pPr>
      <w:r>
        <w:rPr>
          <w:rFonts w:ascii="Cambria"/>
          <w:i/>
          <w:color w:val="231F20"/>
          <w:w w:val="105"/>
          <w:sz w:val="20"/>
        </w:rPr>
        <w:t>Cultivos</w:t>
      </w:r>
    </w:p>
    <w:p>
      <w:pPr>
        <w:pStyle w:val="BodyText"/>
        <w:spacing w:line="280" w:lineRule="auto" w:before="164"/>
        <w:ind w:left="412" w:right="1551"/>
        <w:jc w:val="both"/>
      </w:pPr>
      <w:r>
        <w:rPr>
          <w:color w:val="231F20"/>
        </w:rPr>
        <w:t>La orografía de Zacazonapan, y en general del </w:t>
      </w:r>
      <w:r>
        <w:rPr>
          <w:color w:val="231F20"/>
          <w:spacing w:val="-2"/>
        </w:rPr>
        <w:t>sur </w:t>
      </w:r>
      <w:r>
        <w:rPr>
          <w:color w:val="231F20"/>
        </w:rPr>
        <w:t>del Estado de México, es accidentada. La mayor proporción de la tierra de uso agropecuario se en- cuentra en lomeríos con pendientes </w:t>
      </w:r>
      <w:r>
        <w:rPr>
          <w:color w:val="231F20"/>
          <w:spacing w:val="-2"/>
        </w:rPr>
        <w:t>pronunciadas </w:t>
      </w:r>
      <w:r>
        <w:rPr>
          <w:color w:val="231F20"/>
          <w:spacing w:val="-3"/>
        </w:rPr>
        <w:t>(&gt;20%), </w:t>
      </w:r>
      <w:r>
        <w:rPr>
          <w:color w:val="231F20"/>
        </w:rPr>
        <w:t>por lo que los cultivos como el maíz se establecen bajo este tipo de condiciones, lo cual tiene un impacto negativo en rendimientos de gra- no, que no sobrepasan las  2,5  t/ha.  Además  de los bajos rendimientos, los costos de producción  se incrementan considerablemente, pues todos </w:t>
      </w:r>
      <w:r>
        <w:rPr>
          <w:color w:val="231F20"/>
          <w:spacing w:val="-2"/>
        </w:rPr>
        <w:t>los </w:t>
      </w:r>
      <w:r>
        <w:rPr>
          <w:color w:val="231F20"/>
        </w:rPr>
        <w:t>trabajos de establecimiento y mantenimiento </w:t>
      </w:r>
      <w:r>
        <w:rPr>
          <w:color w:val="231F20"/>
          <w:spacing w:val="-2"/>
        </w:rPr>
        <w:t>del </w:t>
      </w:r>
      <w:r>
        <w:rPr>
          <w:color w:val="231F20"/>
        </w:rPr>
        <w:t>maíz</w:t>
      </w:r>
      <w:r>
        <w:rPr>
          <w:color w:val="231F20"/>
          <w:spacing w:val="-8"/>
        </w:rPr>
        <w:t> </w:t>
      </w:r>
      <w:r>
        <w:rPr>
          <w:color w:val="231F20"/>
        </w:rPr>
        <w:t>se</w:t>
      </w:r>
      <w:r>
        <w:rPr>
          <w:color w:val="231F20"/>
          <w:spacing w:val="-8"/>
        </w:rPr>
        <w:t> </w:t>
      </w:r>
      <w:r>
        <w:rPr>
          <w:color w:val="231F20"/>
        </w:rPr>
        <w:t>realizan</w:t>
      </w:r>
      <w:r>
        <w:rPr>
          <w:color w:val="231F20"/>
          <w:spacing w:val="-8"/>
        </w:rPr>
        <w:t> </w:t>
      </w:r>
      <w:r>
        <w:rPr>
          <w:color w:val="231F20"/>
        </w:rPr>
        <w:t>por</w:t>
      </w:r>
      <w:r>
        <w:rPr>
          <w:color w:val="231F20"/>
          <w:spacing w:val="-8"/>
        </w:rPr>
        <w:t> </w:t>
      </w:r>
      <w:r>
        <w:rPr>
          <w:color w:val="231F20"/>
        </w:rPr>
        <w:t>trabajadores</w:t>
      </w:r>
      <w:r>
        <w:rPr>
          <w:color w:val="231F20"/>
          <w:spacing w:val="-8"/>
        </w:rPr>
        <w:t> </w:t>
      </w:r>
      <w:r>
        <w:rPr>
          <w:color w:val="231F20"/>
        </w:rPr>
        <w:t>contratados</w:t>
      </w:r>
      <w:r>
        <w:rPr>
          <w:color w:val="231F20"/>
          <w:spacing w:val="-8"/>
        </w:rPr>
        <w:t> </w:t>
      </w:r>
      <w:r>
        <w:rPr>
          <w:color w:val="231F20"/>
        </w:rPr>
        <w:t>(tem- poralmente) ya que el uso de maquinaria no es  una opción debido a las pronunciadas pendientes de los terrenos. </w:t>
      </w:r>
      <w:r>
        <w:rPr>
          <w:color w:val="231F20"/>
          <w:spacing w:val="-3"/>
        </w:rPr>
        <w:t>Por </w:t>
      </w:r>
      <w:r>
        <w:rPr>
          <w:color w:val="231F20"/>
        </w:rPr>
        <w:t>lo mismo, una </w:t>
      </w:r>
      <w:r>
        <w:rPr>
          <w:color w:val="231F20"/>
          <w:spacing w:val="-3"/>
        </w:rPr>
        <w:t>vez </w:t>
      </w:r>
      <w:r>
        <w:rPr>
          <w:color w:val="231F20"/>
        </w:rPr>
        <w:t>cosechada la mazorca, el rastrojo se deja en pie para cosecharse (mediante</w:t>
      </w:r>
      <w:r>
        <w:rPr>
          <w:color w:val="231F20"/>
          <w:spacing w:val="-7"/>
        </w:rPr>
        <w:t> </w:t>
      </w:r>
      <w:r>
        <w:rPr>
          <w:color w:val="231F20"/>
        </w:rPr>
        <w:t>rastrojeo)</w:t>
      </w:r>
      <w:r>
        <w:rPr>
          <w:color w:val="231F20"/>
          <w:spacing w:val="-7"/>
        </w:rPr>
        <w:t> </w:t>
      </w:r>
      <w:r>
        <w:rPr>
          <w:color w:val="231F20"/>
        </w:rPr>
        <w:t>directamente</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animales durante</w:t>
      </w:r>
      <w:r>
        <w:rPr>
          <w:color w:val="231F20"/>
          <w:spacing w:val="-20"/>
        </w:rPr>
        <w:t> </w:t>
      </w:r>
      <w:r>
        <w:rPr>
          <w:color w:val="231F20"/>
        </w:rPr>
        <w:t>el</w:t>
      </w:r>
      <w:r>
        <w:rPr>
          <w:color w:val="231F20"/>
          <w:spacing w:val="-20"/>
        </w:rPr>
        <w:t> </w:t>
      </w:r>
      <w:r>
        <w:rPr>
          <w:color w:val="231F20"/>
        </w:rPr>
        <w:t>estiaje.</w:t>
      </w:r>
    </w:p>
    <w:p>
      <w:pPr>
        <w:pStyle w:val="BodyText"/>
        <w:spacing w:line="280" w:lineRule="auto" w:before="113"/>
        <w:ind w:left="412" w:right="1551"/>
        <w:jc w:val="both"/>
      </w:pPr>
      <w:r>
        <w:rPr>
          <w:color w:val="231F20"/>
        </w:rPr>
        <w:t>El cultivo de maíz se realiza mediante aparcería. El producto de la cosecha se divide por la mitad (en- tre el cedente aparcero y el cesionario aparcero); así, el productor dueño de la tierra obtiene maíz a un costo bajo.</w:t>
      </w:r>
    </w:p>
    <w:p>
      <w:pPr>
        <w:pStyle w:val="BodyText"/>
        <w:spacing w:line="280" w:lineRule="auto" w:before="113"/>
        <w:ind w:left="412" w:right="1551"/>
        <w:jc w:val="both"/>
      </w:pPr>
      <w:r>
        <w:rPr>
          <w:color w:val="231F20"/>
        </w:rPr>
        <w:t>Los pocos terrenos planos, normalmente con rie- go, se utilizan para el cultivo de caña de azúcar, que se cosecha y comercializa hacia finales de año como fruta (Rebollar </w:t>
      </w:r>
      <w:r>
        <w:rPr>
          <w:i/>
          <w:color w:val="231F20"/>
        </w:rPr>
        <w:t>et al</w:t>
      </w:r>
      <w:r>
        <w:rPr>
          <w:color w:val="231F20"/>
        </w:rPr>
        <w:t>., </w:t>
      </w:r>
      <w:r>
        <w:rPr>
          <w:color w:val="231F20"/>
          <w:spacing w:val="-4"/>
        </w:rPr>
        <w:t>2011a), </w:t>
      </w:r>
      <w:r>
        <w:rPr>
          <w:color w:val="231F20"/>
        </w:rPr>
        <w:t>aunque este cultivo representa sólo el </w:t>
      </w:r>
      <w:r>
        <w:rPr>
          <w:color w:val="231F20"/>
          <w:spacing w:val="-5"/>
        </w:rPr>
        <w:t>1% </w:t>
      </w:r>
      <w:r>
        <w:rPr>
          <w:color w:val="231F20"/>
        </w:rPr>
        <w:t>de la superficie total del terreno en las unidades de producción. Nor- malmente, el productor de doble propósito renta sus terrenos a otra persona para el cultivo de caña de azúcar, y de ello obtiene </w:t>
      </w:r>
      <w:r>
        <w:rPr>
          <w:color w:val="231F20"/>
          <w:spacing w:val="31"/>
        </w:rPr>
        <w:t> </w:t>
      </w:r>
      <w:r>
        <w:rPr>
          <w:color w:val="231F20"/>
        </w:rPr>
        <w:t>ingresos.</w:t>
      </w:r>
    </w:p>
    <w:p>
      <w:pPr>
        <w:spacing w:after="0" w:line="280"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12"/>
          <w:sz w:val="18"/>
        </w:rPr>
        <w:t>7.         </w:t>
      </w:r>
      <w:r>
        <w:rPr>
          <w:color w:val="231F20"/>
          <w:spacing w:val="-8"/>
          <w:sz w:val="18"/>
        </w:rPr>
        <w:t> </w:t>
      </w:r>
      <w:r>
        <w:rPr>
          <w:color w:val="231F20"/>
          <w:sz w:val="18"/>
        </w:rPr>
        <w:t>La producción de bovinos de doble propósito en el trópico seco del centro de</w:t>
      </w:r>
      <w:r>
        <w:rPr>
          <w:color w:val="231F20"/>
          <w:spacing w:val="13"/>
          <w:sz w:val="18"/>
        </w:rPr>
        <w:t> </w:t>
      </w:r>
      <w:r>
        <w:rPr>
          <w:color w:val="231F20"/>
          <w:sz w:val="18"/>
        </w:rPr>
        <w:t>México...</w:t>
      </w:r>
      <w:r>
        <w:rPr>
          <w:color w:val="231F20"/>
          <w:sz w:val="22"/>
        </w:rPr>
        <w:tab/>
      </w:r>
      <w:r>
        <w:rPr>
          <w:color w:val="231F20"/>
          <w:spacing w:val="-3"/>
          <w:sz w:val="22"/>
        </w:rPr>
        <w:t>105</w:t>
      </w:r>
    </w:p>
    <w:p>
      <w:pPr>
        <w:spacing w:after="0"/>
        <w:jc w:val="left"/>
        <w:rPr>
          <w:sz w:val="22"/>
        </w:rPr>
        <w:sectPr>
          <w:pgSz w:w="11900" w:h="14450"/>
          <w:pgMar w:header="0" w:footer="222" w:top="420" w:bottom="420" w:left="0" w:right="0"/>
        </w:sectPr>
      </w:pPr>
    </w:p>
    <w:p>
      <w:pPr>
        <w:pStyle w:val="BodyText"/>
        <w:spacing w:before="11"/>
        <w:rPr>
          <w:sz w:val="28"/>
        </w:rPr>
      </w:pPr>
    </w:p>
    <w:p>
      <w:pPr>
        <w:spacing w:before="1"/>
        <w:ind w:left="1553" w:right="0" w:firstLine="0"/>
        <w:jc w:val="both"/>
        <w:rPr>
          <w:rFonts w:ascii="Cambria"/>
          <w:i/>
          <w:sz w:val="20"/>
        </w:rPr>
      </w:pPr>
      <w:r>
        <w:rPr>
          <w:rFonts w:ascii="Cambria"/>
          <w:i/>
          <w:color w:val="231F20"/>
          <w:sz w:val="20"/>
        </w:rPr>
        <w:t>Infraestructura</w:t>
      </w:r>
    </w:p>
    <w:p>
      <w:pPr>
        <w:pStyle w:val="BodyText"/>
        <w:spacing w:line="256" w:lineRule="auto" w:before="140"/>
        <w:ind w:left="1553"/>
        <w:jc w:val="both"/>
      </w:pPr>
      <w:r>
        <w:rPr>
          <w:color w:val="231F20"/>
        </w:rPr>
        <w:t>La infraestructura en el sistema de producción de Zacazonapan es prácticamente nula. No hay es- tablos ni pesebres, el ordeño se realiza con los animales amarrados a los postes de las cercas o     a los árboles, y no hay pisos de cemento. La poca infraestructura con que se cuenta es característica de los sistemas de producción tropical o de do-   ble propósito, y se reduce al uso de árboles como sombreaderos, para amarrar vacas o para algún manejo general, cercas hechas con materiales pro- venientes de potreros de la unidad de producción en los que predominan árboles y arbustos con una gran diversidad de usos, como forraje, leña, poste, sombra, cercas vivas, medicinal, consumo huma- no y madera (Olivares-Pérez </w:t>
      </w:r>
      <w:r>
        <w:rPr>
          <w:i/>
          <w:color w:val="231F20"/>
        </w:rPr>
        <w:t>et al</w:t>
      </w:r>
      <w:r>
        <w:rPr>
          <w:color w:val="231F20"/>
        </w:rPr>
        <w:t>.,   </w:t>
      </w:r>
      <w:r>
        <w:rPr>
          <w:color w:val="231F20"/>
          <w:spacing w:val="25"/>
        </w:rPr>
        <w:t> </w:t>
      </w:r>
      <w:r>
        <w:rPr>
          <w:color w:val="231F20"/>
          <w:spacing w:val="-4"/>
        </w:rPr>
        <w:t>2011).</w:t>
      </w:r>
    </w:p>
    <w:p>
      <w:pPr>
        <w:pStyle w:val="BodyText"/>
        <w:spacing w:before="7"/>
        <w:rPr>
          <w:sz w:val="18"/>
        </w:rPr>
      </w:pPr>
    </w:p>
    <w:p>
      <w:pPr>
        <w:spacing w:before="0"/>
        <w:ind w:left="1553" w:right="0" w:firstLine="0"/>
        <w:jc w:val="both"/>
        <w:rPr>
          <w:rFonts w:ascii="Cambria" w:hAnsi="Cambria"/>
          <w:i/>
          <w:sz w:val="20"/>
        </w:rPr>
      </w:pPr>
      <w:r>
        <w:rPr>
          <w:rFonts w:ascii="Cambria" w:hAnsi="Cambria"/>
          <w:i/>
          <w:color w:val="231F20"/>
          <w:w w:val="110"/>
          <w:sz w:val="20"/>
        </w:rPr>
        <w:t>Sistema de alimentación</w:t>
      </w:r>
    </w:p>
    <w:p>
      <w:pPr>
        <w:pStyle w:val="BodyText"/>
        <w:spacing w:line="256" w:lineRule="auto" w:before="140"/>
        <w:ind w:left="1553"/>
        <w:jc w:val="both"/>
      </w:pPr>
      <w:r>
        <w:rPr>
          <w:color w:val="231F20"/>
        </w:rPr>
        <w:t>El sistema de alimentación, en el municipio de Za- cazonapan, se determina por la estacionalidad en  la producción y la disponibilidad de forrajes, con dos épocas bien definidas: lluvias y estiaje. En la época de lluvias los animales no reciben suple- mento, por lo que el pastoreo representa la única fuente de alimentación para el </w:t>
      </w:r>
      <w:r>
        <w:rPr>
          <w:color w:val="231F20"/>
          <w:spacing w:val="21"/>
        </w:rPr>
        <w:t> </w:t>
      </w:r>
      <w:r>
        <w:rPr>
          <w:color w:val="231F20"/>
        </w:rPr>
        <w:t>ganado.</w:t>
      </w:r>
    </w:p>
    <w:p>
      <w:pPr>
        <w:pStyle w:val="BodyText"/>
        <w:spacing w:before="2"/>
        <w:rPr>
          <w:sz w:val="28"/>
        </w:rPr>
      </w:pPr>
      <w:r>
        <w:rPr/>
        <w:br w:type="column"/>
      </w:r>
      <w:r>
        <w:rPr>
          <w:sz w:val="28"/>
        </w:rPr>
      </w:r>
    </w:p>
    <w:p>
      <w:pPr>
        <w:spacing w:before="0"/>
        <w:ind w:left="412" w:right="0" w:firstLine="0"/>
        <w:jc w:val="both"/>
        <w:rPr>
          <w:i/>
          <w:sz w:val="20"/>
        </w:rPr>
      </w:pPr>
      <w:r>
        <w:rPr>
          <w:i/>
          <w:color w:val="231F20"/>
          <w:w w:val="105"/>
          <w:sz w:val="20"/>
        </w:rPr>
        <w:t>Época de lluvias</w:t>
      </w:r>
    </w:p>
    <w:p>
      <w:pPr>
        <w:pStyle w:val="BodyText"/>
        <w:spacing w:line="261" w:lineRule="auto" w:before="136"/>
        <w:ind w:left="412" w:right="1551"/>
        <w:jc w:val="both"/>
      </w:pPr>
      <w:r>
        <w:rPr>
          <w:color w:val="231F20"/>
        </w:rPr>
        <w:t>En el Cuadro 2 se detallan los principales recursos forrajeros existentes en las unidades de produc- ción  de Zacazonapan.</w:t>
      </w:r>
    </w:p>
    <w:p>
      <w:pPr>
        <w:spacing w:line="261" w:lineRule="auto" w:before="114"/>
        <w:ind w:left="412" w:right="1551" w:firstLine="0"/>
        <w:jc w:val="both"/>
        <w:rPr>
          <w:sz w:val="20"/>
        </w:rPr>
      </w:pPr>
      <w:r>
        <w:rPr>
          <w:color w:val="231F20"/>
          <w:w w:val="105"/>
          <w:sz w:val="20"/>
        </w:rPr>
        <w:t>Por pasto nativo se entiende que es una pradera natural en la cual no hubo intervención del pro- ductor para su establecimiento. Durante 2008- 2009 se realizaron estudios sobre la</w:t>
      </w:r>
      <w:r>
        <w:rPr>
          <w:color w:val="231F20"/>
          <w:spacing w:val="-7"/>
          <w:w w:val="105"/>
          <w:sz w:val="20"/>
        </w:rPr>
        <w:t> </w:t>
      </w:r>
      <w:r>
        <w:rPr>
          <w:color w:val="231F20"/>
          <w:w w:val="105"/>
          <w:sz w:val="20"/>
        </w:rPr>
        <w:t>composición botánica de las praderas en cuatro unidades de producción. Los resultados se presentan en la Fi- gura 1, en la cual se observa que el pasto Estrella de África </w:t>
      </w:r>
      <w:r>
        <w:rPr>
          <w:i/>
          <w:color w:val="231F20"/>
          <w:w w:val="105"/>
          <w:sz w:val="20"/>
        </w:rPr>
        <w:t>(Cynodon plectostachyous) </w:t>
      </w:r>
      <w:r>
        <w:rPr>
          <w:color w:val="231F20"/>
          <w:w w:val="105"/>
          <w:sz w:val="20"/>
        </w:rPr>
        <w:t>es el que   se encuentra en mayor proporción (44%), segui- do por </w:t>
      </w:r>
      <w:r>
        <w:rPr>
          <w:i/>
          <w:color w:val="231F20"/>
          <w:w w:val="105"/>
          <w:sz w:val="20"/>
        </w:rPr>
        <w:t>Brachiaria plantaginea </w:t>
      </w:r>
      <w:r>
        <w:rPr>
          <w:color w:val="231F20"/>
          <w:w w:val="105"/>
          <w:sz w:val="20"/>
        </w:rPr>
        <w:t>(17%), </w:t>
      </w:r>
      <w:r>
        <w:rPr>
          <w:i/>
          <w:color w:val="231F20"/>
          <w:w w:val="105"/>
          <w:sz w:val="20"/>
        </w:rPr>
        <w:t>Paspalum </w:t>
      </w:r>
      <w:r>
        <w:rPr>
          <w:i/>
          <w:color w:val="231F20"/>
          <w:w w:val="105"/>
          <w:sz w:val="20"/>
        </w:rPr>
        <w:t>convexum </w:t>
      </w:r>
      <w:r>
        <w:rPr>
          <w:color w:val="231F20"/>
          <w:w w:val="105"/>
          <w:sz w:val="20"/>
        </w:rPr>
        <w:t>(12%) y </w:t>
      </w:r>
      <w:r>
        <w:rPr>
          <w:i/>
          <w:color w:val="231F20"/>
          <w:w w:val="105"/>
          <w:sz w:val="20"/>
        </w:rPr>
        <w:t>Cynodon dactylon </w:t>
      </w:r>
      <w:r>
        <w:rPr>
          <w:color w:val="231F20"/>
          <w:spacing w:val="-3"/>
          <w:w w:val="105"/>
          <w:sz w:val="20"/>
        </w:rPr>
        <w:t>(11%). </w:t>
      </w:r>
      <w:r>
        <w:rPr>
          <w:color w:val="231F20"/>
          <w:w w:val="105"/>
          <w:sz w:val="20"/>
        </w:rPr>
        <w:t>En menor</w:t>
      </w:r>
      <w:r>
        <w:rPr>
          <w:color w:val="231F20"/>
          <w:spacing w:val="-27"/>
          <w:w w:val="105"/>
          <w:sz w:val="20"/>
        </w:rPr>
        <w:t> </w:t>
      </w:r>
      <w:r>
        <w:rPr>
          <w:color w:val="231F20"/>
          <w:w w:val="105"/>
          <w:sz w:val="20"/>
        </w:rPr>
        <w:t>proporción</w:t>
      </w:r>
      <w:r>
        <w:rPr>
          <w:color w:val="231F20"/>
          <w:spacing w:val="-27"/>
          <w:w w:val="105"/>
          <w:sz w:val="20"/>
        </w:rPr>
        <w:t> </w:t>
      </w:r>
      <w:r>
        <w:rPr>
          <w:color w:val="231F20"/>
          <w:w w:val="105"/>
          <w:sz w:val="20"/>
        </w:rPr>
        <w:t>se</w:t>
      </w:r>
      <w:r>
        <w:rPr>
          <w:color w:val="231F20"/>
          <w:spacing w:val="-27"/>
          <w:w w:val="105"/>
          <w:sz w:val="20"/>
        </w:rPr>
        <w:t> </w:t>
      </w:r>
      <w:r>
        <w:rPr>
          <w:color w:val="231F20"/>
          <w:w w:val="105"/>
          <w:sz w:val="20"/>
        </w:rPr>
        <w:t>encuentran</w:t>
      </w:r>
      <w:r>
        <w:rPr>
          <w:color w:val="231F20"/>
          <w:spacing w:val="-27"/>
          <w:w w:val="105"/>
          <w:sz w:val="20"/>
        </w:rPr>
        <w:t> </w:t>
      </w:r>
      <w:r>
        <w:rPr>
          <w:color w:val="231F20"/>
          <w:w w:val="105"/>
          <w:sz w:val="20"/>
        </w:rPr>
        <w:t>especies</w:t>
      </w:r>
      <w:r>
        <w:rPr>
          <w:color w:val="231F20"/>
          <w:spacing w:val="-27"/>
          <w:w w:val="105"/>
          <w:sz w:val="20"/>
        </w:rPr>
        <w:t> </w:t>
      </w:r>
      <w:r>
        <w:rPr>
          <w:color w:val="231F20"/>
          <w:w w:val="105"/>
          <w:sz w:val="20"/>
        </w:rPr>
        <w:t>nativas, como </w:t>
      </w:r>
      <w:r>
        <w:rPr>
          <w:i/>
          <w:color w:val="231F20"/>
          <w:w w:val="105"/>
          <w:sz w:val="20"/>
        </w:rPr>
        <w:t>Eleusine indica </w:t>
      </w:r>
      <w:r>
        <w:rPr>
          <w:color w:val="231F20"/>
          <w:w w:val="105"/>
          <w:sz w:val="20"/>
        </w:rPr>
        <w:t>(5%), </w:t>
      </w:r>
      <w:r>
        <w:rPr>
          <w:i/>
          <w:color w:val="231F20"/>
          <w:w w:val="105"/>
          <w:sz w:val="20"/>
        </w:rPr>
        <w:t>Paspalum conjuga- </w:t>
      </w:r>
      <w:r>
        <w:rPr>
          <w:i/>
          <w:color w:val="231F20"/>
          <w:w w:val="105"/>
          <w:sz w:val="20"/>
        </w:rPr>
        <w:t>tum </w:t>
      </w:r>
      <w:r>
        <w:rPr>
          <w:color w:val="231F20"/>
          <w:w w:val="105"/>
          <w:sz w:val="20"/>
        </w:rPr>
        <w:t>(4%), </w:t>
      </w:r>
      <w:r>
        <w:rPr>
          <w:i/>
          <w:color w:val="231F20"/>
          <w:w w:val="105"/>
          <w:sz w:val="20"/>
        </w:rPr>
        <w:t>Paspalum scrobiculatum </w:t>
      </w:r>
      <w:r>
        <w:rPr>
          <w:color w:val="231F20"/>
          <w:w w:val="105"/>
          <w:sz w:val="20"/>
        </w:rPr>
        <w:t>(2%) y </w:t>
      </w:r>
      <w:r>
        <w:rPr>
          <w:i/>
          <w:color w:val="231F20"/>
          <w:w w:val="105"/>
          <w:sz w:val="20"/>
        </w:rPr>
        <w:t>Di- </w:t>
      </w:r>
      <w:r>
        <w:rPr>
          <w:i/>
          <w:color w:val="231F20"/>
          <w:w w:val="105"/>
          <w:sz w:val="20"/>
        </w:rPr>
        <w:t>gitaria bicornis </w:t>
      </w:r>
      <w:r>
        <w:rPr>
          <w:color w:val="231F20"/>
          <w:w w:val="105"/>
          <w:sz w:val="20"/>
        </w:rPr>
        <w:t>(1%), que en total representan el </w:t>
      </w:r>
      <w:r>
        <w:rPr>
          <w:color w:val="231F20"/>
          <w:spacing w:val="-3"/>
          <w:w w:val="105"/>
          <w:sz w:val="20"/>
        </w:rPr>
        <w:t>12% </w:t>
      </w:r>
      <w:r>
        <w:rPr>
          <w:color w:val="231F20"/>
          <w:w w:val="105"/>
          <w:sz w:val="20"/>
        </w:rPr>
        <w:t>de la composición botánica de las praderas monitoreadas.</w:t>
      </w:r>
    </w:p>
    <w:p>
      <w:pPr>
        <w:pStyle w:val="BodyText"/>
        <w:spacing w:line="261" w:lineRule="auto" w:before="114"/>
        <w:ind w:left="412" w:right="1551"/>
        <w:jc w:val="both"/>
      </w:pPr>
      <w:r>
        <w:rPr>
          <w:color w:val="231F20"/>
        </w:rPr>
        <w:t>El potencial productivo (kilos de materia seca por hectárea [kg/MS/ha]) de este tipo de praderas, se- gún  estimaciones  realizadas  en  épocas  de lluvias</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3"/>
        <w:rPr>
          <w:sz w:val="18"/>
        </w:rPr>
      </w:pPr>
    </w:p>
    <w:p>
      <w:pPr>
        <w:spacing w:before="0"/>
        <w:ind w:left="1553" w:right="2503" w:firstLine="0"/>
        <w:jc w:val="left"/>
        <w:rPr>
          <w:sz w:val="18"/>
        </w:rPr>
      </w:pPr>
      <w:r>
        <w:rPr>
          <w:color w:val="231F20"/>
          <w:sz w:val="18"/>
        </w:rPr>
        <w:t>Cuadro 2.        Recursos forrajeros de las unidades de producción de doble propósito de Zacazonapan.</w:t>
      </w:r>
    </w:p>
    <w:p>
      <w:pPr>
        <w:pStyle w:val="BodyText"/>
        <w:spacing w:before="10"/>
        <w:rPr>
          <w:sz w:val="11"/>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530"/>
        <w:gridCol w:w="1417"/>
        <w:gridCol w:w="1417"/>
        <w:gridCol w:w="1417"/>
      </w:tblGrid>
      <w:tr>
        <w:trPr>
          <w:trHeight w:val="629" w:hRule="exact"/>
        </w:trPr>
        <w:tc>
          <w:tcPr>
            <w:tcW w:w="4530" w:type="dxa"/>
            <w:tcBorders>
              <w:left w:val="nil"/>
            </w:tcBorders>
          </w:tcPr>
          <w:p>
            <w:pPr>
              <w:pStyle w:val="TableParagraph"/>
              <w:spacing w:before="2"/>
              <w:rPr>
                <w:sz w:val="17"/>
              </w:rPr>
            </w:pPr>
          </w:p>
          <w:p>
            <w:pPr>
              <w:pStyle w:val="TableParagraph"/>
              <w:spacing w:before="0"/>
              <w:ind w:left="1968" w:right="1963"/>
              <w:jc w:val="center"/>
              <w:rPr>
                <w:rFonts w:ascii="Cambria"/>
                <w:i/>
                <w:sz w:val="18"/>
              </w:rPr>
            </w:pPr>
            <w:r>
              <w:rPr>
                <w:rFonts w:ascii="Cambria"/>
                <w:i/>
                <w:color w:val="231F20"/>
                <w:w w:val="105"/>
                <w:sz w:val="18"/>
              </w:rPr>
              <w:t>Cultivo</w:t>
            </w:r>
          </w:p>
        </w:tc>
        <w:tc>
          <w:tcPr>
            <w:tcW w:w="1417" w:type="dxa"/>
          </w:tcPr>
          <w:p>
            <w:pPr>
              <w:pStyle w:val="TableParagraph"/>
              <w:spacing w:line="295" w:lineRule="auto" w:before="79"/>
              <w:ind w:left="531" w:right="300" w:hanging="225"/>
              <w:rPr>
                <w:rFonts w:ascii="Cambria"/>
                <w:i/>
                <w:sz w:val="18"/>
              </w:rPr>
            </w:pPr>
            <w:r>
              <w:rPr>
                <w:rFonts w:ascii="Cambria"/>
                <w:i/>
                <w:color w:val="231F20"/>
                <w:w w:val="105"/>
                <w:sz w:val="18"/>
              </w:rPr>
              <w:t>Superficie </w:t>
            </w:r>
            <w:r>
              <w:rPr>
                <w:rFonts w:ascii="Cambria"/>
                <w:i/>
                <w:color w:val="231F20"/>
                <w:w w:val="105"/>
                <w:sz w:val="18"/>
              </w:rPr>
              <w:t>(ha)</w:t>
            </w:r>
          </w:p>
        </w:tc>
        <w:tc>
          <w:tcPr>
            <w:tcW w:w="1417" w:type="dxa"/>
          </w:tcPr>
          <w:p>
            <w:pPr>
              <w:pStyle w:val="TableParagraph"/>
              <w:spacing w:line="295" w:lineRule="auto" w:before="79"/>
              <w:ind w:left="531" w:hanging="355"/>
              <w:rPr>
                <w:rFonts w:ascii="Cambria"/>
                <w:i/>
                <w:sz w:val="18"/>
              </w:rPr>
            </w:pPr>
            <w:r>
              <w:rPr>
                <w:rFonts w:ascii="Cambria"/>
                <w:i/>
                <w:color w:val="231F20"/>
                <w:w w:val="105"/>
                <w:sz w:val="18"/>
              </w:rPr>
              <w:t>Promedio UP </w:t>
            </w:r>
            <w:r>
              <w:rPr>
                <w:rFonts w:ascii="Cambria"/>
                <w:i/>
                <w:color w:val="231F20"/>
                <w:w w:val="105"/>
                <w:sz w:val="18"/>
              </w:rPr>
              <w:t>(ha)</w:t>
            </w:r>
          </w:p>
        </w:tc>
        <w:tc>
          <w:tcPr>
            <w:tcW w:w="1417" w:type="dxa"/>
            <w:tcBorders>
              <w:right w:val="nil"/>
            </w:tcBorders>
          </w:tcPr>
          <w:p>
            <w:pPr>
              <w:pStyle w:val="TableParagraph"/>
              <w:spacing w:line="295" w:lineRule="auto" w:before="79"/>
              <w:ind w:left="553" w:hanging="441"/>
              <w:rPr>
                <w:rFonts w:ascii="Cambria" w:hAnsi="Cambria"/>
                <w:i/>
                <w:sz w:val="18"/>
              </w:rPr>
            </w:pPr>
            <w:r>
              <w:rPr>
                <w:rFonts w:ascii="Cambria" w:hAnsi="Cambria"/>
                <w:i/>
                <w:color w:val="231F20"/>
                <w:sz w:val="18"/>
              </w:rPr>
              <w:t>Proporción/UP </w:t>
            </w:r>
            <w:r>
              <w:rPr>
                <w:rFonts w:ascii="Cambria" w:hAnsi="Cambria"/>
                <w:i/>
                <w:color w:val="231F20"/>
                <w:w w:val="105"/>
                <w:sz w:val="18"/>
              </w:rPr>
              <w:t>(%)</w:t>
            </w:r>
          </w:p>
        </w:tc>
      </w:tr>
      <w:tr>
        <w:trPr>
          <w:trHeight w:val="354" w:hRule="exact"/>
        </w:trPr>
        <w:tc>
          <w:tcPr>
            <w:tcW w:w="4530" w:type="dxa"/>
            <w:tcBorders>
              <w:left w:val="nil"/>
            </w:tcBorders>
          </w:tcPr>
          <w:p>
            <w:pPr>
              <w:pStyle w:val="TableParagraph"/>
              <w:ind w:left="113"/>
              <w:rPr>
                <w:sz w:val="17"/>
              </w:rPr>
            </w:pPr>
            <w:r>
              <w:rPr>
                <w:color w:val="231F20"/>
                <w:sz w:val="17"/>
              </w:rPr>
              <w:t>Maíz</w:t>
            </w:r>
          </w:p>
        </w:tc>
        <w:tc>
          <w:tcPr>
            <w:tcW w:w="1417" w:type="dxa"/>
          </w:tcPr>
          <w:p>
            <w:pPr>
              <w:pStyle w:val="TableParagraph"/>
              <w:ind w:left="448" w:right="300"/>
              <w:rPr>
                <w:sz w:val="17"/>
              </w:rPr>
            </w:pPr>
            <w:r>
              <w:rPr>
                <w:color w:val="231F20"/>
                <w:w w:val="115"/>
                <w:sz w:val="17"/>
              </w:rPr>
              <w:t>471</w:t>
            </w:r>
          </w:p>
        </w:tc>
        <w:tc>
          <w:tcPr>
            <w:tcW w:w="1417" w:type="dxa"/>
          </w:tcPr>
          <w:p>
            <w:pPr>
              <w:pStyle w:val="TableParagraph"/>
              <w:ind w:right="538"/>
              <w:jc w:val="right"/>
              <w:rPr>
                <w:sz w:val="17"/>
              </w:rPr>
            </w:pPr>
            <w:r>
              <w:rPr>
                <w:color w:val="231F20"/>
                <w:w w:val="110"/>
                <w:sz w:val="17"/>
              </w:rPr>
              <w:t>15,2</w:t>
            </w:r>
          </w:p>
        </w:tc>
        <w:tc>
          <w:tcPr>
            <w:tcW w:w="1417" w:type="dxa"/>
            <w:tcBorders>
              <w:right w:val="nil"/>
            </w:tcBorders>
          </w:tcPr>
          <w:p>
            <w:pPr>
              <w:pStyle w:val="TableParagraph"/>
              <w:ind w:left="289" w:right="293"/>
              <w:jc w:val="center"/>
              <w:rPr>
                <w:sz w:val="17"/>
              </w:rPr>
            </w:pPr>
            <w:r>
              <w:rPr>
                <w:color w:val="231F20"/>
                <w:w w:val="115"/>
                <w:sz w:val="17"/>
              </w:rPr>
              <w:t>49</w:t>
            </w:r>
          </w:p>
        </w:tc>
      </w:tr>
      <w:tr>
        <w:trPr>
          <w:trHeight w:val="354" w:hRule="exact"/>
        </w:trPr>
        <w:tc>
          <w:tcPr>
            <w:tcW w:w="4530" w:type="dxa"/>
            <w:tcBorders>
              <w:left w:val="nil"/>
            </w:tcBorders>
          </w:tcPr>
          <w:p>
            <w:pPr>
              <w:pStyle w:val="TableParagraph"/>
              <w:ind w:left="113"/>
              <w:rPr>
                <w:sz w:val="17"/>
              </w:rPr>
            </w:pPr>
            <w:r>
              <w:rPr>
                <w:color w:val="231F20"/>
                <w:sz w:val="17"/>
              </w:rPr>
              <w:t>Pradera nativa</w:t>
            </w:r>
          </w:p>
        </w:tc>
        <w:tc>
          <w:tcPr>
            <w:tcW w:w="1417" w:type="dxa"/>
          </w:tcPr>
          <w:p>
            <w:pPr>
              <w:pStyle w:val="TableParagraph"/>
              <w:ind w:left="448" w:right="300"/>
              <w:rPr>
                <w:sz w:val="17"/>
              </w:rPr>
            </w:pPr>
            <w:r>
              <w:rPr>
                <w:color w:val="231F20"/>
                <w:w w:val="115"/>
                <w:sz w:val="17"/>
              </w:rPr>
              <w:t>157</w:t>
            </w:r>
          </w:p>
        </w:tc>
        <w:tc>
          <w:tcPr>
            <w:tcW w:w="1417" w:type="dxa"/>
          </w:tcPr>
          <w:p>
            <w:pPr>
              <w:pStyle w:val="TableParagraph"/>
              <w:ind w:right="538"/>
              <w:jc w:val="right"/>
              <w:rPr>
                <w:sz w:val="17"/>
              </w:rPr>
            </w:pPr>
            <w:r>
              <w:rPr>
                <w:color w:val="231F20"/>
                <w:w w:val="110"/>
                <w:sz w:val="17"/>
              </w:rPr>
              <w:t>39,2</w:t>
            </w:r>
          </w:p>
        </w:tc>
        <w:tc>
          <w:tcPr>
            <w:tcW w:w="1417" w:type="dxa"/>
            <w:tcBorders>
              <w:right w:val="nil"/>
            </w:tcBorders>
          </w:tcPr>
          <w:p>
            <w:pPr>
              <w:pStyle w:val="TableParagraph"/>
              <w:ind w:left="283" w:right="293"/>
              <w:jc w:val="center"/>
              <w:rPr>
                <w:sz w:val="17"/>
              </w:rPr>
            </w:pPr>
            <w:r>
              <w:rPr>
                <w:color w:val="231F20"/>
                <w:w w:val="115"/>
                <w:sz w:val="17"/>
              </w:rPr>
              <w:t>16</w:t>
            </w:r>
          </w:p>
        </w:tc>
      </w:tr>
      <w:tr>
        <w:trPr>
          <w:trHeight w:val="354" w:hRule="exact"/>
        </w:trPr>
        <w:tc>
          <w:tcPr>
            <w:tcW w:w="4530" w:type="dxa"/>
            <w:tcBorders>
              <w:left w:val="nil"/>
            </w:tcBorders>
          </w:tcPr>
          <w:p>
            <w:pPr>
              <w:pStyle w:val="TableParagraph"/>
              <w:ind w:left="113"/>
              <w:rPr>
                <w:i/>
                <w:sz w:val="17"/>
              </w:rPr>
            </w:pPr>
            <w:r>
              <w:rPr>
                <w:color w:val="231F20"/>
                <w:w w:val="105"/>
                <w:sz w:val="17"/>
              </w:rPr>
              <w:t>Pasto Estrella </w:t>
            </w:r>
            <w:r>
              <w:rPr>
                <w:i/>
                <w:color w:val="231F20"/>
                <w:w w:val="105"/>
                <w:sz w:val="17"/>
              </w:rPr>
              <w:t>(Cynodon plectostachyous)</w:t>
            </w:r>
          </w:p>
        </w:tc>
        <w:tc>
          <w:tcPr>
            <w:tcW w:w="1417" w:type="dxa"/>
          </w:tcPr>
          <w:p>
            <w:pPr>
              <w:pStyle w:val="TableParagraph"/>
              <w:ind w:left="448" w:right="300"/>
              <w:rPr>
                <w:sz w:val="17"/>
              </w:rPr>
            </w:pPr>
            <w:r>
              <w:rPr>
                <w:color w:val="231F20"/>
                <w:w w:val="110"/>
                <w:sz w:val="17"/>
              </w:rPr>
              <w:t>156,5</w:t>
            </w:r>
          </w:p>
        </w:tc>
        <w:tc>
          <w:tcPr>
            <w:tcW w:w="1417" w:type="dxa"/>
          </w:tcPr>
          <w:p>
            <w:pPr>
              <w:pStyle w:val="TableParagraph"/>
              <w:ind w:right="538"/>
              <w:jc w:val="right"/>
              <w:rPr>
                <w:sz w:val="17"/>
              </w:rPr>
            </w:pPr>
            <w:r>
              <w:rPr>
                <w:color w:val="231F20"/>
                <w:w w:val="110"/>
                <w:sz w:val="17"/>
              </w:rPr>
              <w:t>18,2</w:t>
            </w:r>
          </w:p>
        </w:tc>
        <w:tc>
          <w:tcPr>
            <w:tcW w:w="1417" w:type="dxa"/>
            <w:tcBorders>
              <w:right w:val="nil"/>
            </w:tcBorders>
          </w:tcPr>
          <w:p>
            <w:pPr>
              <w:pStyle w:val="TableParagraph"/>
              <w:ind w:left="283" w:right="293"/>
              <w:jc w:val="center"/>
              <w:rPr>
                <w:sz w:val="17"/>
              </w:rPr>
            </w:pPr>
            <w:r>
              <w:rPr>
                <w:color w:val="231F20"/>
                <w:w w:val="115"/>
                <w:sz w:val="17"/>
              </w:rPr>
              <w:t>16</w:t>
            </w:r>
          </w:p>
        </w:tc>
      </w:tr>
      <w:tr>
        <w:trPr>
          <w:trHeight w:val="354" w:hRule="exact"/>
        </w:trPr>
        <w:tc>
          <w:tcPr>
            <w:tcW w:w="4530" w:type="dxa"/>
            <w:tcBorders>
              <w:left w:val="nil"/>
            </w:tcBorders>
          </w:tcPr>
          <w:p>
            <w:pPr>
              <w:pStyle w:val="TableParagraph"/>
              <w:ind w:left="113"/>
              <w:rPr>
                <w:i/>
                <w:sz w:val="17"/>
              </w:rPr>
            </w:pPr>
            <w:r>
              <w:rPr>
                <w:color w:val="231F20"/>
                <w:w w:val="105"/>
                <w:sz w:val="17"/>
              </w:rPr>
              <w:t>Pasto Chontalpo </w:t>
            </w:r>
            <w:r>
              <w:rPr>
                <w:i/>
                <w:color w:val="231F20"/>
                <w:w w:val="105"/>
                <w:sz w:val="17"/>
              </w:rPr>
              <w:t>(Brachiaria decumbens)</w:t>
            </w:r>
          </w:p>
        </w:tc>
        <w:tc>
          <w:tcPr>
            <w:tcW w:w="1417" w:type="dxa"/>
          </w:tcPr>
          <w:p>
            <w:pPr>
              <w:pStyle w:val="TableParagraph"/>
              <w:ind w:left="448" w:right="300"/>
              <w:rPr>
                <w:sz w:val="17"/>
              </w:rPr>
            </w:pPr>
            <w:r>
              <w:rPr>
                <w:color w:val="231F20"/>
                <w:w w:val="110"/>
                <w:sz w:val="17"/>
              </w:rPr>
              <w:t>89,0</w:t>
            </w:r>
          </w:p>
        </w:tc>
        <w:tc>
          <w:tcPr>
            <w:tcW w:w="1417" w:type="dxa"/>
          </w:tcPr>
          <w:p>
            <w:pPr>
              <w:pStyle w:val="TableParagraph"/>
              <w:ind w:right="538"/>
              <w:jc w:val="right"/>
              <w:rPr>
                <w:sz w:val="17"/>
              </w:rPr>
            </w:pPr>
            <w:r>
              <w:rPr>
                <w:color w:val="231F20"/>
                <w:w w:val="110"/>
                <w:sz w:val="17"/>
              </w:rPr>
              <w:t>14,8</w:t>
            </w:r>
          </w:p>
        </w:tc>
        <w:tc>
          <w:tcPr>
            <w:tcW w:w="1417" w:type="dxa"/>
            <w:tcBorders>
              <w:right w:val="nil"/>
            </w:tcBorders>
          </w:tcPr>
          <w:p>
            <w:pPr>
              <w:pStyle w:val="TableParagraph"/>
              <w:ind w:left="80"/>
              <w:jc w:val="center"/>
              <w:rPr>
                <w:sz w:val="17"/>
              </w:rPr>
            </w:pPr>
            <w:r>
              <w:rPr>
                <w:color w:val="231F20"/>
                <w:w w:val="115"/>
                <w:sz w:val="17"/>
              </w:rPr>
              <w:t>9</w:t>
            </w:r>
          </w:p>
        </w:tc>
      </w:tr>
      <w:tr>
        <w:trPr>
          <w:trHeight w:val="354" w:hRule="exact"/>
        </w:trPr>
        <w:tc>
          <w:tcPr>
            <w:tcW w:w="4530" w:type="dxa"/>
            <w:tcBorders>
              <w:left w:val="nil"/>
            </w:tcBorders>
          </w:tcPr>
          <w:p>
            <w:pPr>
              <w:pStyle w:val="TableParagraph"/>
              <w:ind w:left="113"/>
              <w:rPr>
                <w:i/>
                <w:sz w:val="17"/>
              </w:rPr>
            </w:pPr>
            <w:r>
              <w:rPr>
                <w:color w:val="231F20"/>
                <w:w w:val="105"/>
                <w:sz w:val="17"/>
              </w:rPr>
              <w:t>Pasto Llanero </w:t>
            </w:r>
            <w:r>
              <w:rPr>
                <w:i/>
                <w:color w:val="231F20"/>
                <w:w w:val="105"/>
                <w:sz w:val="17"/>
              </w:rPr>
              <w:t>(Andropogun gallanus)</w:t>
            </w:r>
          </w:p>
        </w:tc>
        <w:tc>
          <w:tcPr>
            <w:tcW w:w="1417" w:type="dxa"/>
          </w:tcPr>
          <w:p>
            <w:pPr>
              <w:pStyle w:val="TableParagraph"/>
              <w:ind w:left="448" w:right="300"/>
              <w:rPr>
                <w:sz w:val="17"/>
              </w:rPr>
            </w:pPr>
            <w:r>
              <w:rPr>
                <w:color w:val="231F20"/>
                <w:w w:val="115"/>
                <w:sz w:val="17"/>
              </w:rPr>
              <w:t>67</w:t>
            </w:r>
          </w:p>
        </w:tc>
        <w:tc>
          <w:tcPr>
            <w:tcW w:w="1417" w:type="dxa"/>
          </w:tcPr>
          <w:p>
            <w:pPr>
              <w:pStyle w:val="TableParagraph"/>
              <w:ind w:right="542"/>
              <w:jc w:val="right"/>
              <w:rPr>
                <w:sz w:val="17"/>
              </w:rPr>
            </w:pPr>
            <w:r>
              <w:rPr>
                <w:color w:val="231F20"/>
                <w:w w:val="105"/>
                <w:sz w:val="17"/>
              </w:rPr>
              <w:t>8,4</w:t>
            </w:r>
          </w:p>
        </w:tc>
        <w:tc>
          <w:tcPr>
            <w:tcW w:w="1417" w:type="dxa"/>
            <w:tcBorders>
              <w:right w:val="nil"/>
            </w:tcBorders>
          </w:tcPr>
          <w:p>
            <w:pPr>
              <w:pStyle w:val="TableParagraph"/>
              <w:ind w:left="80"/>
              <w:jc w:val="center"/>
              <w:rPr>
                <w:sz w:val="17"/>
              </w:rPr>
            </w:pPr>
            <w:r>
              <w:rPr>
                <w:color w:val="231F20"/>
                <w:w w:val="115"/>
                <w:sz w:val="17"/>
              </w:rPr>
              <w:t>7</w:t>
            </w:r>
          </w:p>
        </w:tc>
      </w:tr>
      <w:tr>
        <w:trPr>
          <w:trHeight w:val="354" w:hRule="exact"/>
        </w:trPr>
        <w:tc>
          <w:tcPr>
            <w:tcW w:w="4530" w:type="dxa"/>
            <w:tcBorders>
              <w:left w:val="nil"/>
            </w:tcBorders>
          </w:tcPr>
          <w:p>
            <w:pPr>
              <w:pStyle w:val="TableParagraph"/>
              <w:ind w:left="113"/>
              <w:rPr>
                <w:sz w:val="17"/>
              </w:rPr>
            </w:pPr>
            <w:r>
              <w:rPr>
                <w:color w:val="231F20"/>
                <w:w w:val="105"/>
                <w:sz w:val="17"/>
              </w:rPr>
              <w:t>Caña de azúcar</w:t>
            </w:r>
          </w:p>
        </w:tc>
        <w:tc>
          <w:tcPr>
            <w:tcW w:w="1417" w:type="dxa"/>
          </w:tcPr>
          <w:p>
            <w:pPr>
              <w:pStyle w:val="TableParagraph"/>
              <w:ind w:left="448" w:right="300"/>
              <w:rPr>
                <w:sz w:val="17"/>
              </w:rPr>
            </w:pPr>
            <w:r>
              <w:rPr>
                <w:color w:val="231F20"/>
                <w:w w:val="110"/>
                <w:sz w:val="17"/>
              </w:rPr>
              <w:t>7,5</w:t>
            </w:r>
          </w:p>
        </w:tc>
        <w:tc>
          <w:tcPr>
            <w:tcW w:w="1417" w:type="dxa"/>
          </w:tcPr>
          <w:p>
            <w:pPr>
              <w:pStyle w:val="TableParagraph"/>
              <w:ind w:right="542"/>
              <w:jc w:val="right"/>
              <w:rPr>
                <w:sz w:val="17"/>
              </w:rPr>
            </w:pPr>
            <w:r>
              <w:rPr>
                <w:color w:val="231F20"/>
                <w:w w:val="105"/>
                <w:sz w:val="17"/>
              </w:rPr>
              <w:t>1,9</w:t>
            </w:r>
          </w:p>
        </w:tc>
        <w:tc>
          <w:tcPr>
            <w:tcW w:w="1417" w:type="dxa"/>
            <w:tcBorders>
              <w:right w:val="nil"/>
            </w:tcBorders>
          </w:tcPr>
          <w:p>
            <w:pPr>
              <w:pStyle w:val="TableParagraph"/>
              <w:ind w:left="80"/>
              <w:jc w:val="center"/>
              <w:rPr>
                <w:sz w:val="17"/>
              </w:rPr>
            </w:pPr>
            <w:r>
              <w:rPr>
                <w:color w:val="231F20"/>
                <w:w w:val="115"/>
                <w:sz w:val="17"/>
              </w:rPr>
              <w:t>1</w:t>
            </w:r>
          </w:p>
        </w:tc>
      </w:tr>
    </w:tbl>
    <w:p>
      <w:pPr>
        <w:spacing w:before="77"/>
        <w:ind w:left="1667" w:right="2503" w:firstLine="0"/>
        <w:jc w:val="left"/>
        <w:rPr>
          <w:sz w:val="15"/>
        </w:rPr>
      </w:pPr>
      <w:r>
        <w:rPr>
          <w:color w:val="231F20"/>
          <w:sz w:val="15"/>
        </w:rPr>
        <w:t>ha: hectárea; UP; unidad de  producción.</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7285" w:val="left" w:leader="none"/>
        </w:tabs>
        <w:spacing w:before="64"/>
        <w:ind w:left="1551" w:right="0" w:firstLine="0"/>
        <w:jc w:val="left"/>
        <w:rPr>
          <w:sz w:val="12"/>
        </w:rPr>
      </w:pPr>
      <w:r>
        <w:rPr>
          <w:color w:val="231F20"/>
          <w:spacing w:val="-3"/>
          <w:w w:val="120"/>
          <w:sz w:val="22"/>
        </w:rPr>
        <w:t>106</w:t>
        <w:tab/>
      </w:r>
      <w:r>
        <w:rPr>
          <w:color w:val="231F20"/>
          <w:w w:val="120"/>
          <w:sz w:val="18"/>
        </w:rPr>
        <w:t>SECCIÓN 2.  B. S</w:t>
      </w:r>
      <w:r>
        <w:rPr>
          <w:color w:val="231F20"/>
          <w:w w:val="120"/>
          <w:sz w:val="12"/>
        </w:rPr>
        <w:t>iStemaS de doBle</w:t>
      </w:r>
      <w:r>
        <w:rPr>
          <w:color w:val="231F20"/>
          <w:spacing w:val="18"/>
          <w:w w:val="120"/>
          <w:sz w:val="12"/>
        </w:rPr>
        <w:t> </w:t>
      </w:r>
      <w:r>
        <w:rPr>
          <w:color w:val="231F20"/>
          <w:w w:val="120"/>
          <w:sz w:val="12"/>
        </w:rPr>
        <w:t>propóSito</w:t>
      </w:r>
    </w:p>
    <w:p>
      <w:pPr>
        <w:pStyle w:val="BodyText"/>
        <w:spacing w:before="8"/>
        <w:rPr>
          <w:sz w:val="29"/>
        </w:rPr>
      </w:pPr>
    </w:p>
    <w:p>
      <w:pPr>
        <w:spacing w:after="0"/>
        <w:rPr>
          <w:sz w:val="29"/>
        </w:rPr>
        <w:sectPr>
          <w:pgSz w:w="11900" w:h="14450"/>
          <w:pgMar w:header="0" w:footer="222" w:top="420" w:bottom="420" w:left="0" w:right="0"/>
        </w:sectPr>
      </w:pPr>
    </w:p>
    <w:p>
      <w:pPr>
        <w:pStyle w:val="BodyText"/>
        <w:rPr>
          <w:sz w:val="16"/>
        </w:rPr>
      </w:pPr>
    </w:p>
    <w:p>
      <w:pPr>
        <w:pStyle w:val="BodyText"/>
        <w:rPr>
          <w:sz w:val="16"/>
        </w:rPr>
      </w:pPr>
    </w:p>
    <w:p>
      <w:pPr>
        <w:pStyle w:val="BodyText"/>
        <w:spacing w:before="7"/>
        <w:rPr>
          <w:sz w:val="21"/>
        </w:rPr>
      </w:pPr>
    </w:p>
    <w:p>
      <w:pPr>
        <w:spacing w:line="180" w:lineRule="exact" w:before="0"/>
        <w:ind w:left="2774" w:right="0" w:firstLine="14"/>
        <w:jc w:val="center"/>
        <w:rPr>
          <w:sz w:val="16"/>
        </w:rPr>
      </w:pPr>
      <w:r>
        <w:rPr/>
        <w:pict>
          <v:group style="position:absolute;margin-left:178.012604pt;margin-top:-22.002426pt;width:224.3pt;height:228.4pt;mso-position-horizontal-relative:page;mso-position-vertical-relative:paragraph;z-index:-494224" coordorigin="3560,-440" coordsize="4486,4568">
            <v:shape style="position:absolute;left:6058;top:234;width:1819;height:3533" type="#_x0000_t75" stroked="false">
              <v:imagedata r:id="rId97" o:title=""/>
            </v:shape>
            <v:shape style="position:absolute;left:6058;top:234;width:1819;height:3533" coordorigin="6058,234" coordsize="1819,3533" path="m6058,234l6133,235,6207,240,6281,247,6353,258,6425,271,6495,287,6565,305,6633,327,6700,351,6766,377,6831,406,6894,437,6956,471,7016,506,7075,545,7132,585,7188,627,7242,672,7294,718,7344,767,7393,817,7439,869,7484,923,7526,979,7566,1036,7605,1095,7641,1155,7674,1217,7705,1280,7734,1345,7761,1411,7784,1478,7806,1546,7824,1616,7840,1686,7853,1758,7864,1830,7871,1904,7876,1978,7877,2053,7876,2130,7871,2206,7863,2281,7852,2355,7838,2429,7821,2502,7801,2574,7778,2644,7753,2714,7725,2782,7694,2849,7660,2914,7624,2978,7585,3041,7544,3102,7501,3161,7455,3218,7407,3274,7356,3327,7303,3379,7249,3428,7192,3476,7133,3521,7072,3563,7009,3604,6944,3642,6878,3677,6809,3710,6739,3739,6668,3767,6058,2053,6058,234xe" filled="false" stroked="true" strokeweight=".75pt" strokecolor="#231f20">
              <v:path arrowok="t"/>
            </v:shape>
            <v:shape style="position:absolute;left:4684;top:2242;width:1793;height:1819" type="#_x0000_t75" stroked="false">
              <v:imagedata r:id="rId98" o:title=""/>
            </v:shape>
            <v:shape style="position:absolute;left:4684;top:2242;width:1793;height:1819" coordorigin="4684,2242" coordsize="1793,1819" path="m6476,3955l6402,3980,6328,4001,6253,4019,6177,4034,6102,4045,6026,4054,5950,4059,5874,4061,5798,4059,5723,4055,5647,4047,5573,4037,5498,4023,5425,4006,5352,3986,5279,3963,5208,3937,5138,3908,5069,3876,5001,3841,4935,3803,4869,3763,4806,3719,4744,3672,4684,3623,5867,2242,6476,3955xe" filled="false" stroked="true" strokeweight=".75pt" strokecolor="#231f20">
              <v:path arrowok="t"/>
            </v:shape>
            <v:shape style="position:absolute;left:3945;top:2158;width:1807;height:1381" type="#_x0000_t75" stroked="false">
              <v:imagedata r:id="rId99" o:title=""/>
            </v:shape>
            <v:shape style="position:absolute;left:3945;top:2158;width:1807;height:1382" coordorigin="3945,2158" coordsize="1807,1382" path="m4569,3539l4509,3485,4451,3429,4397,3370,4345,3309,4295,3247,4249,3182,4206,3115,4165,3046,4128,2976,4094,2905,4063,2831,4035,2757,4010,2681,3989,2604,3971,2526,3956,2446,3945,2366,5752,2158,4569,3539xe" filled="false" stroked="true" strokeweight=".75pt" strokecolor="#231f20">
              <v:path arrowok="t"/>
            </v:shape>
            <v:shape style="position:absolute;left:3919;top:1064;width:1819;height:1189" type="#_x0000_t75" stroked="false">
              <v:imagedata r:id="rId100" o:title=""/>
            </v:shape>
            <v:shape style="position:absolute;left:3919;top:1064;width:1819;height:1190" coordorigin="3919,1064" coordsize="1819,1190" path="m3930,2253l3923,2175,3919,2097,3919,2019,3921,1941,3927,1864,3937,1787,3949,1710,3965,1635,3984,1560,4006,1485,4032,1412,4060,1340,4092,1269,4126,1199,4164,1131,4205,1064,5737,2044,3930,2253xe" filled="false" stroked="true" strokeweight=".75pt" strokecolor="#231f20">
              <v:path arrowok="t"/>
            </v:shape>
            <v:shape style="position:absolute;left:4232;top:836;width:1532;height:1148" type="#_x0000_t75" stroked="false">
              <v:imagedata r:id="rId101" o:title=""/>
            </v:shape>
            <v:shape style="position:absolute;left:4232;top:836;width:1533;height:1149" coordorigin="4232,836" coordsize="1533,1149" path="m4232,1005l4261,961,4290,919,4321,877,4354,836,5764,1985,4232,1005xe" filled="false" stroked="true" strokeweight=".75pt" strokecolor="#231f20">
              <v:path arrowok="t"/>
            </v:shape>
            <v:shape style="position:absolute;left:4373;top:513;width:1411;height:1450" type="#_x0000_t75" stroked="false">
              <v:imagedata r:id="rId102" o:title=""/>
            </v:shape>
            <v:shape style="position:absolute;left:4373;top:513;width:1411;height:1451" coordorigin="4373,513" coordsize="1411,1451" path="m4373,814l4429,748,4489,685,4552,624,4617,567,4685,513,5783,1963,4373,814xe" filled="false" stroked="true" strokeweight=".75pt" strokecolor="#231f20">
              <v:path arrowok="t"/>
            </v:shape>
            <v:shape style="position:absolute;left:4713;top:318;width:1098;height:1624" type="#_x0000_t75" stroked="false">
              <v:imagedata r:id="rId103" o:title=""/>
            </v:shape>
            <v:shape style="position:absolute;left:4713;top:318;width:1098;height:1625" coordorigin="4713,318" coordsize="1098,1625" path="m4713,491l4779,443,4848,398,4919,356,4991,318,5810,1942,4713,491xe" filled="false" stroked="true" strokeweight=".75pt" strokecolor="#231f20">
              <v:path arrowok="t"/>
            </v:shape>
            <v:shape style="position:absolute;left:5017;top:190;width:819;height:1739" type="#_x0000_t75" stroked="false">
              <v:imagedata r:id="rId104" o:title=""/>
            </v:shape>
            <v:shape style="position:absolute;left:5017;top:190;width:819;height:1739" coordorigin="5017,190" coordsize="819,1739" path="m5017,305l5086,272,5157,241,5229,214,5302,190,5836,1929,5017,305xe" filled="false" stroked="true" strokeweight=".75pt" strokecolor="#231f20">
              <v:path arrowok="t"/>
            </v:shape>
            <v:shape style="position:absolute;left:5339;top:100;width:534;height:1819" type="#_x0000_t75" stroked="false">
              <v:imagedata r:id="rId105" o:title=""/>
            </v:shape>
            <v:shape style="position:absolute;left:-1771;top:11366;width:4471;height:4553" coordorigin="-1771,11366" coordsize="4471,4553" path="m5339,180l5413,159,5489,141,5565,126,5641,115,5718,106,5795,102,5873,100,5873,1919,5339,180xm7851,1744l7957,637,8038,637m5535,4030l4709,4120,4628,4120m4146,3012l3783,3021,3702,3021m3965,1635l3649,1800,3568,1800m4290,919l4140,832,4059,832m4520,654l3717,269,3636,269m4848,398l4393,12,4312,12m5603,120l6042,-433,6123,-433e" filled="false" stroked="true" strokeweight=".75pt" strokecolor="#231f20">
              <v:path arrowok="t"/>
            </v:shape>
            <w10:wrap type="none"/>
          </v:group>
        </w:pict>
      </w:r>
      <w:r>
        <w:rPr>
          <w:color w:val="231F20"/>
          <w:sz w:val="16"/>
        </w:rPr>
        <w:t>Paspalum conjugatum 4%</w:t>
      </w:r>
    </w:p>
    <w:p>
      <w:pPr>
        <w:pStyle w:val="BodyText"/>
        <w:rPr>
          <w:sz w:val="16"/>
        </w:rPr>
      </w:pPr>
      <w:r>
        <w:rPr/>
        <w:br w:type="column"/>
      </w:r>
      <w:r>
        <w:rPr>
          <w:sz w:val="16"/>
        </w:rPr>
      </w:r>
    </w:p>
    <w:p>
      <w:pPr>
        <w:spacing w:line="180" w:lineRule="exact" w:before="108"/>
        <w:ind w:left="18" w:right="0" w:firstLine="0"/>
        <w:jc w:val="center"/>
        <w:rPr>
          <w:sz w:val="16"/>
        </w:rPr>
      </w:pPr>
      <w:r>
        <w:rPr>
          <w:color w:val="231F20"/>
          <w:sz w:val="16"/>
        </w:rPr>
        <w:t>Paspalum</w:t>
      </w:r>
      <w:r>
        <w:rPr>
          <w:color w:val="231F20"/>
          <w:w w:val="99"/>
          <w:sz w:val="16"/>
        </w:rPr>
        <w:t> </w:t>
      </w:r>
      <w:r>
        <w:rPr>
          <w:color w:val="231F20"/>
          <w:sz w:val="16"/>
        </w:rPr>
        <w:t>notatum 3%</w:t>
      </w:r>
    </w:p>
    <w:p>
      <w:pPr>
        <w:pStyle w:val="BodyText"/>
        <w:spacing w:before="10"/>
        <w:rPr>
          <w:sz w:val="18"/>
        </w:rPr>
      </w:pPr>
      <w:r>
        <w:rPr/>
        <w:br w:type="column"/>
      </w:r>
      <w:r>
        <w:rPr>
          <w:sz w:val="18"/>
        </w:rPr>
      </w:r>
    </w:p>
    <w:p>
      <w:pPr>
        <w:spacing w:line="180" w:lineRule="exact" w:before="0"/>
        <w:ind w:left="328" w:right="0" w:firstLine="31"/>
        <w:jc w:val="center"/>
        <w:rPr>
          <w:sz w:val="16"/>
        </w:rPr>
      </w:pPr>
      <w:r>
        <w:rPr>
          <w:color w:val="231F20"/>
          <w:sz w:val="16"/>
        </w:rPr>
        <w:t>Paspalum scrobiculatum</w:t>
      </w:r>
      <w:r>
        <w:rPr>
          <w:color w:val="231F20"/>
          <w:w w:val="99"/>
          <w:sz w:val="16"/>
        </w:rPr>
        <w:t> </w:t>
      </w:r>
      <w:r>
        <w:rPr>
          <w:color w:val="231F20"/>
          <w:sz w:val="16"/>
        </w:rPr>
        <w:t>2%</w:t>
      </w:r>
    </w:p>
    <w:p>
      <w:pPr>
        <w:spacing w:line="180" w:lineRule="exact" w:before="78"/>
        <w:ind w:left="1008" w:right="-11" w:hanging="432"/>
        <w:jc w:val="left"/>
        <w:rPr>
          <w:sz w:val="16"/>
        </w:rPr>
      </w:pPr>
      <w:r>
        <w:rPr/>
        <w:br w:type="column"/>
      </w:r>
      <w:r>
        <w:rPr>
          <w:color w:val="231F20"/>
          <w:sz w:val="16"/>
        </w:rPr>
        <w:t>Eleusine</w:t>
      </w:r>
      <w:r>
        <w:rPr>
          <w:color w:val="231F20"/>
          <w:spacing w:val="-12"/>
          <w:sz w:val="16"/>
        </w:rPr>
        <w:t> </w:t>
      </w:r>
      <w:r>
        <w:rPr>
          <w:color w:val="231F20"/>
          <w:sz w:val="16"/>
        </w:rPr>
        <w:t>indica 5%</w:t>
      </w:r>
    </w:p>
    <w:p>
      <w:pPr>
        <w:pStyle w:val="BodyText"/>
        <w:rPr>
          <w:sz w:val="16"/>
        </w:rPr>
      </w:pPr>
      <w:r>
        <w:rPr/>
        <w:br w:type="column"/>
      </w:r>
      <w:r>
        <w:rPr>
          <w:sz w:val="16"/>
        </w:rPr>
      </w:r>
    </w:p>
    <w:p>
      <w:pPr>
        <w:pStyle w:val="BodyText"/>
        <w:rPr>
          <w:sz w:val="16"/>
        </w:rPr>
      </w:pPr>
    </w:p>
    <w:p>
      <w:pPr>
        <w:pStyle w:val="BodyText"/>
        <w:rPr>
          <w:sz w:val="16"/>
        </w:rPr>
      </w:pPr>
    </w:p>
    <w:p>
      <w:pPr>
        <w:pStyle w:val="BodyText"/>
        <w:spacing w:before="10"/>
        <w:rPr>
          <w:sz w:val="16"/>
        </w:rPr>
      </w:pPr>
    </w:p>
    <w:p>
      <w:pPr>
        <w:spacing w:line="180" w:lineRule="exact" w:before="0"/>
        <w:ind w:left="571" w:right="3112" w:firstLine="57"/>
        <w:jc w:val="center"/>
        <w:rPr>
          <w:sz w:val="16"/>
        </w:rPr>
      </w:pPr>
      <w:r>
        <w:rPr>
          <w:color w:val="231F20"/>
          <w:sz w:val="16"/>
        </w:rPr>
        <w:t>Cynodon plectostachyous</w:t>
      </w:r>
    </w:p>
    <w:p>
      <w:pPr>
        <w:spacing w:line="187" w:lineRule="exact" w:before="0"/>
        <w:ind w:left="993" w:right="3435" w:firstLine="0"/>
        <w:jc w:val="center"/>
        <w:rPr>
          <w:sz w:val="16"/>
        </w:rPr>
      </w:pPr>
      <w:r>
        <w:rPr>
          <w:color w:val="231F20"/>
          <w:sz w:val="16"/>
        </w:rPr>
        <w:t>44%</w:t>
      </w:r>
    </w:p>
    <w:p>
      <w:pPr>
        <w:spacing w:after="0" w:line="187" w:lineRule="exact"/>
        <w:jc w:val="center"/>
        <w:rPr>
          <w:sz w:val="16"/>
        </w:rPr>
        <w:sectPr>
          <w:type w:val="continuous"/>
          <w:pgSz w:w="11900" w:h="14450"/>
          <w:pgMar w:top="420" w:bottom="420" w:left="0" w:right="0"/>
          <w:cols w:num="5" w:equalWidth="0">
            <w:col w:w="3556" w:space="40"/>
            <w:col w:w="650" w:space="40"/>
            <w:col w:w="1252" w:space="40"/>
            <w:col w:w="1537" w:space="40"/>
            <w:col w:w="4745"/>
          </w:cols>
        </w:sectPr>
      </w:pPr>
    </w:p>
    <w:p>
      <w:pPr>
        <w:spacing w:line="180" w:lineRule="exact" w:before="40"/>
        <w:ind w:left="3366" w:right="7925" w:hanging="506"/>
        <w:jc w:val="left"/>
        <w:rPr>
          <w:sz w:val="16"/>
        </w:rPr>
      </w:pPr>
      <w:r>
        <w:rPr>
          <w:color w:val="231F20"/>
          <w:sz w:val="16"/>
        </w:rPr>
        <w:t>Digitaria bicornis 2%</w:t>
      </w:r>
    </w:p>
    <w:p>
      <w:pPr>
        <w:pStyle w:val="BodyText"/>
      </w:pPr>
    </w:p>
    <w:p>
      <w:pPr>
        <w:pStyle w:val="BodyText"/>
        <w:spacing w:before="6"/>
      </w:pPr>
    </w:p>
    <w:p>
      <w:pPr>
        <w:spacing w:line="180" w:lineRule="exact" w:before="77"/>
        <w:ind w:left="2835" w:right="8368" w:firstLine="0"/>
        <w:jc w:val="center"/>
        <w:rPr>
          <w:sz w:val="16"/>
        </w:rPr>
      </w:pPr>
      <w:r>
        <w:rPr>
          <w:color w:val="231F20"/>
          <w:sz w:val="16"/>
        </w:rPr>
        <w:t>Cynodon dactylon 11%</w:t>
      </w:r>
    </w:p>
    <w:p>
      <w:pPr>
        <w:pStyle w:val="BodyText"/>
      </w:pPr>
    </w:p>
    <w:p>
      <w:pPr>
        <w:pStyle w:val="BodyText"/>
        <w:spacing w:before="9"/>
        <w:rPr>
          <w:sz w:val="17"/>
        </w:rPr>
      </w:pPr>
    </w:p>
    <w:p>
      <w:pPr>
        <w:spacing w:line="180" w:lineRule="exact" w:before="0"/>
        <w:ind w:left="2924" w:right="8296" w:hanging="2"/>
        <w:jc w:val="center"/>
        <w:rPr>
          <w:sz w:val="16"/>
        </w:rPr>
      </w:pPr>
      <w:r>
        <w:rPr>
          <w:color w:val="231F20"/>
          <w:sz w:val="16"/>
        </w:rPr>
        <w:t>Paspalum convexum 12%</w:t>
      </w:r>
    </w:p>
    <w:p>
      <w:pPr>
        <w:pStyle w:val="BodyText"/>
      </w:pPr>
    </w:p>
    <w:p>
      <w:pPr>
        <w:pStyle w:val="BodyText"/>
        <w:spacing w:before="7"/>
      </w:pPr>
    </w:p>
    <w:p>
      <w:pPr>
        <w:spacing w:line="180" w:lineRule="exact" w:before="0"/>
        <w:ind w:left="3841" w:right="7287" w:firstLine="15"/>
        <w:jc w:val="center"/>
        <w:rPr>
          <w:sz w:val="16"/>
        </w:rPr>
      </w:pPr>
      <w:r>
        <w:rPr>
          <w:color w:val="231F20"/>
          <w:sz w:val="16"/>
        </w:rPr>
        <w:t>Brachiaria plantaginea 17%</w:t>
      </w:r>
    </w:p>
    <w:p>
      <w:pPr>
        <w:pStyle w:val="BodyText"/>
        <w:spacing w:before="8"/>
        <w:rPr>
          <w:sz w:val="12"/>
        </w:rPr>
      </w:pPr>
    </w:p>
    <w:p>
      <w:pPr>
        <w:spacing w:before="0"/>
        <w:ind w:left="3474" w:right="2503" w:firstLine="0"/>
        <w:jc w:val="left"/>
        <w:rPr>
          <w:sz w:val="18"/>
        </w:rPr>
      </w:pPr>
      <w:r>
        <w:rPr>
          <w:color w:val="231F20"/>
          <w:w w:val="105"/>
          <w:sz w:val="18"/>
        </w:rPr>
        <w:t>Figura 1. Composición botánica de las praderas de Zacazonapan.</w:t>
      </w:r>
    </w:p>
    <w:p>
      <w:pPr>
        <w:pStyle w:val="BodyText"/>
        <w:spacing w:before="6"/>
      </w:pPr>
    </w:p>
    <w:p>
      <w:pPr>
        <w:spacing w:line="283" w:lineRule="auto" w:before="0"/>
        <w:ind w:left="1556" w:right="1655" w:firstLine="0"/>
        <w:jc w:val="left"/>
        <w:rPr>
          <w:sz w:val="18"/>
        </w:rPr>
      </w:pPr>
      <w:r>
        <w:rPr>
          <w:color w:val="231F20"/>
          <w:sz w:val="18"/>
        </w:rPr>
        <w:t>Cuadro 3.   Acumulación neta de forraje (ANF) en kilos de materia seca por hectárea en las praderas de Zacazonapan    en</w:t>
      </w:r>
      <w:r>
        <w:rPr>
          <w:color w:val="231F20"/>
          <w:spacing w:val="20"/>
          <w:sz w:val="18"/>
        </w:rPr>
        <w:t> </w:t>
      </w:r>
      <w:r>
        <w:rPr>
          <w:color w:val="231F20"/>
          <w:sz w:val="18"/>
        </w:rPr>
        <w:t>los</w:t>
      </w:r>
      <w:r>
        <w:rPr>
          <w:color w:val="231F20"/>
          <w:spacing w:val="20"/>
          <w:sz w:val="18"/>
        </w:rPr>
        <w:t> </w:t>
      </w:r>
      <w:r>
        <w:rPr>
          <w:color w:val="231F20"/>
          <w:sz w:val="18"/>
        </w:rPr>
        <w:t>años</w:t>
      </w:r>
      <w:r>
        <w:rPr>
          <w:color w:val="231F20"/>
          <w:spacing w:val="20"/>
          <w:sz w:val="18"/>
        </w:rPr>
        <w:t> </w:t>
      </w:r>
      <w:r>
        <w:rPr>
          <w:color w:val="231F20"/>
          <w:sz w:val="18"/>
        </w:rPr>
        <w:t>2008</w:t>
      </w:r>
      <w:r>
        <w:rPr>
          <w:color w:val="231F20"/>
          <w:spacing w:val="20"/>
          <w:sz w:val="18"/>
        </w:rPr>
        <w:t> </w:t>
      </w:r>
      <w:r>
        <w:rPr>
          <w:color w:val="231F20"/>
          <w:sz w:val="18"/>
        </w:rPr>
        <w:t>y</w:t>
      </w:r>
      <w:r>
        <w:rPr>
          <w:color w:val="231F20"/>
          <w:spacing w:val="20"/>
          <w:sz w:val="18"/>
        </w:rPr>
        <w:t> </w:t>
      </w:r>
      <w:r>
        <w:rPr>
          <w:color w:val="231F20"/>
          <w:sz w:val="18"/>
        </w:rPr>
        <w:t>2009,</w:t>
      </w:r>
      <w:r>
        <w:rPr>
          <w:color w:val="231F20"/>
          <w:spacing w:val="20"/>
          <w:sz w:val="18"/>
        </w:rPr>
        <w:t> </w:t>
      </w:r>
      <w:r>
        <w:rPr>
          <w:color w:val="231F20"/>
          <w:sz w:val="18"/>
        </w:rPr>
        <w:t>durante</w:t>
      </w:r>
      <w:r>
        <w:rPr>
          <w:color w:val="231F20"/>
          <w:spacing w:val="20"/>
          <w:sz w:val="18"/>
        </w:rPr>
        <w:t> </w:t>
      </w:r>
      <w:r>
        <w:rPr>
          <w:color w:val="231F20"/>
          <w:sz w:val="18"/>
        </w:rPr>
        <w:t>la</w:t>
      </w:r>
      <w:r>
        <w:rPr>
          <w:color w:val="231F20"/>
          <w:spacing w:val="20"/>
          <w:sz w:val="18"/>
        </w:rPr>
        <w:t> </w:t>
      </w:r>
      <w:r>
        <w:rPr>
          <w:color w:val="231F20"/>
          <w:sz w:val="18"/>
        </w:rPr>
        <w:t>época</w:t>
      </w:r>
      <w:r>
        <w:rPr>
          <w:color w:val="231F20"/>
          <w:spacing w:val="20"/>
          <w:sz w:val="18"/>
        </w:rPr>
        <w:t> </w:t>
      </w:r>
      <w:r>
        <w:rPr>
          <w:color w:val="231F20"/>
          <w:sz w:val="18"/>
        </w:rPr>
        <w:t>de</w:t>
      </w:r>
      <w:r>
        <w:rPr>
          <w:color w:val="231F20"/>
          <w:spacing w:val="20"/>
          <w:sz w:val="18"/>
        </w:rPr>
        <w:t> </w:t>
      </w:r>
      <w:r>
        <w:rPr>
          <w:color w:val="231F20"/>
          <w:sz w:val="18"/>
        </w:rPr>
        <w:t>lluvias</w:t>
      </w:r>
      <w:r>
        <w:rPr>
          <w:color w:val="231F20"/>
          <w:spacing w:val="20"/>
          <w:sz w:val="18"/>
        </w:rPr>
        <w:t> </w:t>
      </w:r>
      <w:r>
        <w:rPr>
          <w:color w:val="231F20"/>
          <w:sz w:val="18"/>
        </w:rPr>
        <w:t>(de</w:t>
      </w:r>
      <w:r>
        <w:rPr>
          <w:color w:val="231F20"/>
          <w:spacing w:val="20"/>
          <w:sz w:val="18"/>
        </w:rPr>
        <w:t> </w:t>
      </w:r>
      <w:r>
        <w:rPr>
          <w:color w:val="231F20"/>
          <w:sz w:val="18"/>
        </w:rPr>
        <w:t>junio</w:t>
      </w:r>
      <w:r>
        <w:rPr>
          <w:color w:val="231F20"/>
          <w:spacing w:val="20"/>
          <w:sz w:val="18"/>
        </w:rPr>
        <w:t> </w:t>
      </w:r>
      <w:r>
        <w:rPr>
          <w:color w:val="231F20"/>
          <w:sz w:val="18"/>
        </w:rPr>
        <w:t>a</w:t>
      </w:r>
      <w:r>
        <w:rPr>
          <w:color w:val="231F20"/>
          <w:spacing w:val="20"/>
          <w:sz w:val="18"/>
        </w:rPr>
        <w:t> </w:t>
      </w:r>
      <w:r>
        <w:rPr>
          <w:color w:val="231F20"/>
          <w:sz w:val="18"/>
        </w:rPr>
        <w:t>octubre).</w:t>
      </w:r>
    </w:p>
    <w:p>
      <w:pPr>
        <w:pStyle w:val="BodyText"/>
        <w:spacing w:before="7" w:after="1"/>
        <w:rPr>
          <w:sz w:val="8"/>
        </w:rPr>
      </w:pPr>
    </w:p>
    <w:tbl>
      <w:tblPr>
        <w:tblW w:w="0" w:type="auto"/>
        <w:jc w:val="left"/>
        <w:tblInd w:w="155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87"/>
        <w:gridCol w:w="1795"/>
        <w:gridCol w:w="1796"/>
        <w:gridCol w:w="1796"/>
        <w:gridCol w:w="1715"/>
      </w:tblGrid>
      <w:tr>
        <w:trPr>
          <w:trHeight w:val="369" w:hRule="exact"/>
        </w:trPr>
        <w:tc>
          <w:tcPr>
            <w:tcW w:w="8789" w:type="dxa"/>
            <w:gridSpan w:val="5"/>
            <w:tcBorders>
              <w:left w:val="nil"/>
              <w:right w:val="nil"/>
            </w:tcBorders>
          </w:tcPr>
          <w:p>
            <w:pPr>
              <w:pStyle w:val="TableParagraph"/>
              <w:spacing w:before="79"/>
              <w:ind w:left="3982" w:right="3982"/>
              <w:jc w:val="center"/>
              <w:rPr>
                <w:rFonts w:ascii="Cambria" w:hAnsi="Cambria"/>
                <w:i/>
                <w:sz w:val="18"/>
              </w:rPr>
            </w:pPr>
            <w:r>
              <w:rPr>
                <w:rFonts w:ascii="Cambria" w:hAnsi="Cambria"/>
                <w:i/>
                <w:color w:val="231F20"/>
                <w:w w:val="110"/>
                <w:sz w:val="18"/>
              </w:rPr>
              <w:t>Año 2008</w:t>
            </w:r>
          </w:p>
        </w:tc>
      </w:tr>
      <w:tr>
        <w:trPr>
          <w:trHeight w:val="369" w:hRule="exact"/>
        </w:trPr>
        <w:tc>
          <w:tcPr>
            <w:tcW w:w="1687" w:type="dxa"/>
            <w:tcBorders>
              <w:left w:val="nil"/>
            </w:tcBorders>
          </w:tcPr>
          <w:p>
            <w:pPr>
              <w:pStyle w:val="TableParagraph"/>
              <w:spacing w:before="79"/>
              <w:ind w:left="462" w:right="457"/>
              <w:jc w:val="center"/>
              <w:rPr>
                <w:rFonts w:ascii="Cambria"/>
                <w:i/>
                <w:sz w:val="18"/>
              </w:rPr>
            </w:pPr>
            <w:r>
              <w:rPr>
                <w:rFonts w:ascii="Cambria"/>
                <w:i/>
                <w:color w:val="231F20"/>
                <w:w w:val="105"/>
                <w:sz w:val="18"/>
              </w:rPr>
              <w:t>Periodo</w:t>
            </w:r>
          </w:p>
        </w:tc>
        <w:tc>
          <w:tcPr>
            <w:tcW w:w="1795" w:type="dxa"/>
          </w:tcPr>
          <w:p>
            <w:pPr>
              <w:pStyle w:val="TableParagraph"/>
              <w:spacing w:before="79"/>
              <w:ind w:left="461" w:right="461"/>
              <w:jc w:val="center"/>
              <w:rPr>
                <w:rFonts w:ascii="Cambria"/>
                <w:i/>
                <w:sz w:val="18"/>
              </w:rPr>
            </w:pPr>
            <w:r>
              <w:rPr>
                <w:rFonts w:ascii="Cambria"/>
                <w:i/>
                <w:color w:val="231F20"/>
                <w:w w:val="110"/>
                <w:sz w:val="18"/>
              </w:rPr>
              <w:t>Pradera 1</w:t>
            </w:r>
          </w:p>
        </w:tc>
        <w:tc>
          <w:tcPr>
            <w:tcW w:w="1796" w:type="dxa"/>
          </w:tcPr>
          <w:p>
            <w:pPr>
              <w:pStyle w:val="TableParagraph"/>
              <w:spacing w:before="79"/>
              <w:ind w:left="462" w:right="462"/>
              <w:jc w:val="center"/>
              <w:rPr>
                <w:rFonts w:ascii="Cambria"/>
                <w:i/>
                <w:sz w:val="18"/>
              </w:rPr>
            </w:pPr>
            <w:r>
              <w:rPr>
                <w:rFonts w:ascii="Cambria"/>
                <w:i/>
                <w:color w:val="231F20"/>
                <w:w w:val="110"/>
                <w:sz w:val="18"/>
              </w:rPr>
              <w:t>Pradera 2</w:t>
            </w:r>
          </w:p>
        </w:tc>
        <w:tc>
          <w:tcPr>
            <w:tcW w:w="1796" w:type="dxa"/>
          </w:tcPr>
          <w:p>
            <w:pPr>
              <w:pStyle w:val="TableParagraph"/>
              <w:spacing w:before="79"/>
              <w:ind w:left="462" w:right="462"/>
              <w:jc w:val="center"/>
              <w:rPr>
                <w:rFonts w:ascii="Cambria"/>
                <w:i/>
                <w:sz w:val="18"/>
              </w:rPr>
            </w:pPr>
            <w:r>
              <w:rPr>
                <w:rFonts w:ascii="Cambria"/>
                <w:i/>
                <w:color w:val="231F20"/>
                <w:w w:val="110"/>
                <w:sz w:val="18"/>
              </w:rPr>
              <w:t>Pradera 3</w:t>
            </w:r>
          </w:p>
        </w:tc>
        <w:tc>
          <w:tcPr>
            <w:tcW w:w="1715" w:type="dxa"/>
            <w:tcBorders>
              <w:right w:val="nil"/>
            </w:tcBorders>
          </w:tcPr>
          <w:p>
            <w:pPr>
              <w:pStyle w:val="TableParagraph"/>
              <w:spacing w:before="79"/>
              <w:ind w:left="452" w:right="456"/>
              <w:jc w:val="center"/>
              <w:rPr>
                <w:rFonts w:ascii="Cambria"/>
                <w:i/>
                <w:sz w:val="18"/>
              </w:rPr>
            </w:pPr>
            <w:r>
              <w:rPr>
                <w:rFonts w:ascii="Cambria"/>
                <w:i/>
                <w:color w:val="231F20"/>
                <w:w w:val="105"/>
                <w:sz w:val="18"/>
              </w:rPr>
              <w:t>Promedio</w:t>
            </w:r>
          </w:p>
        </w:tc>
      </w:tr>
      <w:tr>
        <w:trPr>
          <w:trHeight w:val="1461" w:hRule="exact"/>
        </w:trPr>
        <w:tc>
          <w:tcPr>
            <w:tcW w:w="1687" w:type="dxa"/>
            <w:tcBorders>
              <w:left w:val="nil"/>
            </w:tcBorders>
          </w:tcPr>
          <w:p>
            <w:pPr>
              <w:pStyle w:val="TableParagraph"/>
              <w:spacing w:line="319" w:lineRule="auto"/>
              <w:ind w:left="113" w:right="1280"/>
              <w:rPr>
                <w:sz w:val="17"/>
              </w:rPr>
            </w:pPr>
            <w:r>
              <w:rPr>
                <w:color w:val="231F20"/>
                <w:w w:val="105"/>
                <w:sz w:val="17"/>
              </w:rPr>
              <w:t>Jun Jul </w:t>
            </w:r>
            <w:r>
              <w:rPr>
                <w:color w:val="231F20"/>
                <w:sz w:val="17"/>
              </w:rPr>
              <w:t>Ago </w:t>
            </w:r>
            <w:r>
              <w:rPr>
                <w:color w:val="231F20"/>
                <w:w w:val="105"/>
                <w:sz w:val="17"/>
              </w:rPr>
              <w:t>Sep Oct</w:t>
            </w:r>
          </w:p>
        </w:tc>
        <w:tc>
          <w:tcPr>
            <w:tcW w:w="1795" w:type="dxa"/>
          </w:tcPr>
          <w:p>
            <w:pPr>
              <w:pStyle w:val="TableParagraph"/>
              <w:ind w:left="461" w:right="424"/>
              <w:jc w:val="center"/>
              <w:rPr>
                <w:sz w:val="17"/>
              </w:rPr>
            </w:pPr>
            <w:r>
              <w:rPr>
                <w:color w:val="231F20"/>
                <w:w w:val="110"/>
                <w:sz w:val="17"/>
              </w:rPr>
              <w:t>1073,8</w:t>
            </w:r>
          </w:p>
          <w:p>
            <w:pPr>
              <w:pStyle w:val="TableParagraph"/>
              <w:spacing w:before="69"/>
              <w:ind w:left="461" w:right="434"/>
              <w:jc w:val="center"/>
              <w:rPr>
                <w:sz w:val="17"/>
              </w:rPr>
            </w:pPr>
            <w:r>
              <w:rPr>
                <w:color w:val="231F20"/>
                <w:w w:val="110"/>
                <w:sz w:val="17"/>
              </w:rPr>
              <w:t>2190,2</w:t>
            </w:r>
          </w:p>
          <w:p>
            <w:pPr>
              <w:pStyle w:val="TableParagraph"/>
              <w:spacing w:before="69"/>
              <w:ind w:left="461" w:right="410"/>
              <w:jc w:val="center"/>
              <w:rPr>
                <w:sz w:val="17"/>
              </w:rPr>
            </w:pPr>
            <w:r>
              <w:rPr>
                <w:color w:val="231F20"/>
                <w:w w:val="110"/>
                <w:sz w:val="17"/>
              </w:rPr>
              <w:t>1357,6</w:t>
            </w:r>
          </w:p>
          <w:p>
            <w:pPr>
              <w:pStyle w:val="TableParagraph"/>
              <w:spacing w:before="69"/>
              <w:ind w:left="461" w:right="438"/>
              <w:jc w:val="center"/>
              <w:rPr>
                <w:sz w:val="17"/>
              </w:rPr>
            </w:pPr>
            <w:r>
              <w:rPr>
                <w:color w:val="231F20"/>
                <w:w w:val="110"/>
                <w:sz w:val="17"/>
              </w:rPr>
              <w:t>1666,5</w:t>
            </w:r>
          </w:p>
          <w:p>
            <w:pPr>
              <w:pStyle w:val="TableParagraph"/>
              <w:spacing w:before="69"/>
              <w:ind w:left="461" w:right="335"/>
              <w:jc w:val="center"/>
              <w:rPr>
                <w:sz w:val="17"/>
              </w:rPr>
            </w:pPr>
            <w:r>
              <w:rPr>
                <w:color w:val="231F20"/>
                <w:w w:val="110"/>
                <w:sz w:val="17"/>
              </w:rPr>
              <w:t>312,9</w:t>
            </w:r>
          </w:p>
        </w:tc>
        <w:tc>
          <w:tcPr>
            <w:tcW w:w="1796" w:type="dxa"/>
          </w:tcPr>
          <w:p>
            <w:pPr>
              <w:pStyle w:val="TableParagraph"/>
              <w:ind w:left="462" w:right="434"/>
              <w:jc w:val="center"/>
              <w:rPr>
                <w:sz w:val="17"/>
              </w:rPr>
            </w:pPr>
            <w:r>
              <w:rPr>
                <w:color w:val="231F20"/>
                <w:w w:val="110"/>
                <w:sz w:val="17"/>
              </w:rPr>
              <w:t>2481,7</w:t>
            </w:r>
          </w:p>
          <w:p>
            <w:pPr>
              <w:pStyle w:val="TableParagraph"/>
              <w:spacing w:before="69"/>
              <w:ind w:left="462" w:right="342"/>
              <w:jc w:val="center"/>
              <w:rPr>
                <w:sz w:val="17"/>
              </w:rPr>
            </w:pPr>
            <w:r>
              <w:rPr>
                <w:color w:val="231F20"/>
                <w:w w:val="110"/>
                <w:sz w:val="17"/>
              </w:rPr>
              <w:t>455,0</w:t>
            </w:r>
          </w:p>
          <w:p>
            <w:pPr>
              <w:pStyle w:val="TableParagraph"/>
              <w:spacing w:before="69"/>
              <w:ind w:left="462" w:right="346"/>
              <w:jc w:val="center"/>
              <w:rPr>
                <w:sz w:val="17"/>
              </w:rPr>
            </w:pPr>
            <w:r>
              <w:rPr>
                <w:color w:val="231F20"/>
                <w:w w:val="110"/>
                <w:sz w:val="17"/>
              </w:rPr>
              <w:t>663,6</w:t>
            </w:r>
          </w:p>
          <w:p>
            <w:pPr>
              <w:pStyle w:val="TableParagraph"/>
              <w:spacing w:before="69"/>
              <w:ind w:left="462" w:right="431"/>
              <w:jc w:val="center"/>
              <w:rPr>
                <w:sz w:val="17"/>
              </w:rPr>
            </w:pPr>
            <w:r>
              <w:rPr>
                <w:color w:val="231F20"/>
                <w:w w:val="110"/>
                <w:sz w:val="17"/>
              </w:rPr>
              <w:t>1082,7</w:t>
            </w:r>
          </w:p>
          <w:p>
            <w:pPr>
              <w:pStyle w:val="TableParagraph"/>
              <w:spacing w:before="69"/>
              <w:ind w:left="462" w:right="342"/>
              <w:jc w:val="center"/>
              <w:rPr>
                <w:sz w:val="17"/>
              </w:rPr>
            </w:pPr>
            <w:r>
              <w:rPr>
                <w:color w:val="231F20"/>
                <w:w w:val="110"/>
                <w:sz w:val="17"/>
              </w:rPr>
              <w:t>422,5</w:t>
            </w:r>
          </w:p>
        </w:tc>
        <w:tc>
          <w:tcPr>
            <w:tcW w:w="1796" w:type="dxa"/>
          </w:tcPr>
          <w:p>
            <w:pPr>
              <w:pStyle w:val="TableParagraph"/>
              <w:ind w:left="462" w:right="413"/>
              <w:jc w:val="center"/>
              <w:rPr>
                <w:sz w:val="17"/>
              </w:rPr>
            </w:pPr>
            <w:r>
              <w:rPr>
                <w:color w:val="231F20"/>
                <w:w w:val="110"/>
                <w:sz w:val="17"/>
              </w:rPr>
              <w:t>2647,3</w:t>
            </w:r>
          </w:p>
          <w:p>
            <w:pPr>
              <w:pStyle w:val="TableParagraph"/>
              <w:spacing w:before="69"/>
              <w:ind w:left="462" w:right="332"/>
              <w:jc w:val="center"/>
              <w:rPr>
                <w:sz w:val="17"/>
              </w:rPr>
            </w:pPr>
            <w:r>
              <w:rPr>
                <w:color w:val="231F20"/>
                <w:w w:val="110"/>
                <w:sz w:val="17"/>
              </w:rPr>
              <w:t>715,8</w:t>
            </w:r>
          </w:p>
          <w:p>
            <w:pPr>
              <w:pStyle w:val="TableParagraph"/>
              <w:spacing w:before="69"/>
              <w:ind w:left="462" w:right="342"/>
              <w:jc w:val="center"/>
              <w:rPr>
                <w:sz w:val="17"/>
              </w:rPr>
            </w:pPr>
            <w:r>
              <w:rPr>
                <w:color w:val="231F20"/>
                <w:w w:val="110"/>
                <w:sz w:val="17"/>
              </w:rPr>
              <w:t>954,9</w:t>
            </w:r>
          </w:p>
          <w:p>
            <w:pPr>
              <w:pStyle w:val="TableParagraph"/>
              <w:spacing w:before="69"/>
              <w:ind w:left="462" w:right="406"/>
              <w:jc w:val="center"/>
              <w:rPr>
                <w:sz w:val="17"/>
              </w:rPr>
            </w:pPr>
            <w:r>
              <w:rPr>
                <w:color w:val="231F20"/>
                <w:w w:val="110"/>
                <w:sz w:val="17"/>
              </w:rPr>
              <w:t>2417,1</w:t>
            </w:r>
          </w:p>
          <w:p>
            <w:pPr>
              <w:pStyle w:val="TableParagraph"/>
              <w:spacing w:before="69"/>
              <w:ind w:left="462" w:right="239"/>
              <w:jc w:val="center"/>
              <w:rPr>
                <w:sz w:val="17"/>
              </w:rPr>
            </w:pPr>
            <w:r>
              <w:rPr>
                <w:color w:val="231F20"/>
                <w:w w:val="110"/>
                <w:sz w:val="17"/>
              </w:rPr>
              <w:t>13,9</w:t>
            </w:r>
          </w:p>
        </w:tc>
        <w:tc>
          <w:tcPr>
            <w:tcW w:w="1715" w:type="dxa"/>
            <w:tcBorders>
              <w:right w:val="nil"/>
            </w:tcBorders>
          </w:tcPr>
          <w:p>
            <w:pPr>
              <w:pStyle w:val="TableParagraph"/>
              <w:ind w:left="397" w:right="456"/>
              <w:jc w:val="center"/>
              <w:rPr>
                <w:sz w:val="17"/>
              </w:rPr>
            </w:pPr>
            <w:r>
              <w:rPr>
                <w:color w:val="231F20"/>
                <w:w w:val="110"/>
                <w:sz w:val="17"/>
              </w:rPr>
              <w:t>2593,5</w:t>
            </w:r>
          </w:p>
          <w:p>
            <w:pPr>
              <w:pStyle w:val="TableParagraph"/>
              <w:spacing w:before="69"/>
              <w:ind w:left="411" w:right="456"/>
              <w:jc w:val="center"/>
              <w:rPr>
                <w:sz w:val="17"/>
              </w:rPr>
            </w:pPr>
            <w:r>
              <w:rPr>
                <w:color w:val="231F20"/>
                <w:w w:val="110"/>
                <w:sz w:val="17"/>
              </w:rPr>
              <w:t>1110,0</w:t>
            </w:r>
          </w:p>
          <w:p>
            <w:pPr>
              <w:pStyle w:val="TableParagraph"/>
              <w:spacing w:before="69"/>
              <w:ind w:left="452" w:right="390"/>
              <w:jc w:val="center"/>
              <w:rPr>
                <w:sz w:val="17"/>
              </w:rPr>
            </w:pPr>
            <w:r>
              <w:rPr>
                <w:color w:val="231F20"/>
                <w:w w:val="110"/>
                <w:sz w:val="17"/>
              </w:rPr>
              <w:t>517,1</w:t>
            </w:r>
          </w:p>
          <w:p>
            <w:pPr>
              <w:pStyle w:val="TableParagraph"/>
              <w:spacing w:before="69"/>
              <w:ind w:left="404" w:right="456"/>
              <w:jc w:val="center"/>
              <w:rPr>
                <w:sz w:val="17"/>
              </w:rPr>
            </w:pPr>
            <w:r>
              <w:rPr>
                <w:color w:val="231F20"/>
                <w:w w:val="110"/>
                <w:sz w:val="17"/>
              </w:rPr>
              <w:t>1740,2</w:t>
            </w:r>
          </w:p>
          <w:p>
            <w:pPr>
              <w:pStyle w:val="TableParagraph"/>
              <w:spacing w:before="69"/>
              <w:ind w:left="452" w:right="418"/>
              <w:jc w:val="center"/>
              <w:rPr>
                <w:sz w:val="17"/>
              </w:rPr>
            </w:pPr>
            <w:r>
              <w:rPr>
                <w:color w:val="231F20"/>
                <w:w w:val="110"/>
                <w:sz w:val="17"/>
              </w:rPr>
              <w:t>249,8</w:t>
            </w:r>
          </w:p>
        </w:tc>
      </w:tr>
      <w:tr>
        <w:trPr>
          <w:trHeight w:val="370" w:hRule="exact"/>
        </w:trPr>
        <w:tc>
          <w:tcPr>
            <w:tcW w:w="1687" w:type="dxa"/>
            <w:tcBorders>
              <w:left w:val="nil"/>
            </w:tcBorders>
          </w:tcPr>
          <w:p>
            <w:pPr>
              <w:pStyle w:val="TableParagraph"/>
              <w:spacing w:before="80"/>
              <w:ind w:left="462" w:right="457"/>
              <w:jc w:val="center"/>
              <w:rPr>
                <w:sz w:val="18"/>
              </w:rPr>
            </w:pPr>
            <w:r>
              <w:rPr>
                <w:color w:val="231F20"/>
                <w:w w:val="105"/>
                <w:sz w:val="18"/>
              </w:rPr>
              <w:t>ANF total</w:t>
            </w:r>
          </w:p>
        </w:tc>
        <w:tc>
          <w:tcPr>
            <w:tcW w:w="1795" w:type="dxa"/>
          </w:tcPr>
          <w:p>
            <w:pPr>
              <w:pStyle w:val="TableParagraph"/>
              <w:spacing w:before="80"/>
              <w:ind w:left="453" w:right="461"/>
              <w:jc w:val="center"/>
              <w:rPr>
                <w:sz w:val="18"/>
              </w:rPr>
            </w:pPr>
            <w:r>
              <w:rPr>
                <w:color w:val="231F20"/>
                <w:w w:val="115"/>
                <w:sz w:val="18"/>
              </w:rPr>
              <w:t>6601,0</w:t>
            </w:r>
          </w:p>
        </w:tc>
        <w:tc>
          <w:tcPr>
            <w:tcW w:w="1796" w:type="dxa"/>
          </w:tcPr>
          <w:p>
            <w:pPr>
              <w:pStyle w:val="TableParagraph"/>
              <w:spacing w:before="80"/>
              <w:ind w:left="458" w:right="462"/>
              <w:jc w:val="center"/>
              <w:rPr>
                <w:sz w:val="18"/>
              </w:rPr>
            </w:pPr>
            <w:r>
              <w:rPr>
                <w:color w:val="231F20"/>
                <w:w w:val="115"/>
                <w:sz w:val="18"/>
              </w:rPr>
              <w:t>5105,5</w:t>
            </w:r>
          </w:p>
        </w:tc>
        <w:tc>
          <w:tcPr>
            <w:tcW w:w="1796" w:type="dxa"/>
          </w:tcPr>
          <w:p>
            <w:pPr>
              <w:pStyle w:val="TableParagraph"/>
              <w:spacing w:before="80"/>
              <w:ind w:left="458" w:right="462"/>
              <w:jc w:val="center"/>
              <w:rPr>
                <w:sz w:val="18"/>
              </w:rPr>
            </w:pPr>
            <w:r>
              <w:rPr>
                <w:color w:val="231F20"/>
                <w:w w:val="115"/>
                <w:sz w:val="18"/>
              </w:rPr>
              <w:t>6749,0</w:t>
            </w:r>
          </w:p>
        </w:tc>
        <w:tc>
          <w:tcPr>
            <w:tcW w:w="1715" w:type="dxa"/>
            <w:tcBorders>
              <w:right w:val="nil"/>
            </w:tcBorders>
          </w:tcPr>
          <w:p>
            <w:pPr>
              <w:pStyle w:val="TableParagraph"/>
              <w:spacing w:before="80"/>
              <w:ind w:left="373" w:right="456"/>
              <w:jc w:val="center"/>
              <w:rPr>
                <w:sz w:val="18"/>
              </w:rPr>
            </w:pPr>
            <w:r>
              <w:rPr>
                <w:color w:val="231F20"/>
                <w:w w:val="110"/>
                <w:sz w:val="18"/>
              </w:rPr>
              <w:t>7210,6</w:t>
            </w:r>
          </w:p>
        </w:tc>
      </w:tr>
      <w:tr>
        <w:trPr>
          <w:trHeight w:val="369" w:hRule="exact"/>
        </w:trPr>
        <w:tc>
          <w:tcPr>
            <w:tcW w:w="8789" w:type="dxa"/>
            <w:gridSpan w:val="5"/>
            <w:tcBorders>
              <w:left w:val="nil"/>
              <w:right w:val="nil"/>
            </w:tcBorders>
          </w:tcPr>
          <w:p>
            <w:pPr>
              <w:pStyle w:val="TableParagraph"/>
              <w:spacing w:before="79"/>
              <w:ind w:left="3982" w:right="3982"/>
              <w:jc w:val="center"/>
              <w:rPr>
                <w:rFonts w:ascii="Cambria" w:hAnsi="Cambria"/>
                <w:i/>
                <w:sz w:val="18"/>
              </w:rPr>
            </w:pPr>
            <w:r>
              <w:rPr>
                <w:rFonts w:ascii="Cambria" w:hAnsi="Cambria"/>
                <w:i/>
                <w:color w:val="231F20"/>
                <w:w w:val="110"/>
                <w:sz w:val="18"/>
              </w:rPr>
              <w:t>Año 2009</w:t>
            </w:r>
          </w:p>
        </w:tc>
      </w:tr>
      <w:tr>
        <w:trPr>
          <w:trHeight w:val="369" w:hRule="exact"/>
        </w:trPr>
        <w:tc>
          <w:tcPr>
            <w:tcW w:w="1687" w:type="dxa"/>
            <w:tcBorders>
              <w:left w:val="nil"/>
            </w:tcBorders>
          </w:tcPr>
          <w:p>
            <w:pPr>
              <w:pStyle w:val="TableParagraph"/>
              <w:spacing w:before="79"/>
              <w:ind w:left="462" w:right="457"/>
              <w:jc w:val="center"/>
              <w:rPr>
                <w:rFonts w:ascii="Cambria"/>
                <w:i/>
                <w:sz w:val="18"/>
              </w:rPr>
            </w:pPr>
            <w:r>
              <w:rPr>
                <w:rFonts w:ascii="Cambria"/>
                <w:i/>
                <w:color w:val="231F20"/>
                <w:w w:val="105"/>
                <w:sz w:val="18"/>
              </w:rPr>
              <w:t>Periodo</w:t>
            </w:r>
          </w:p>
        </w:tc>
        <w:tc>
          <w:tcPr>
            <w:tcW w:w="1795" w:type="dxa"/>
          </w:tcPr>
          <w:p>
            <w:pPr>
              <w:pStyle w:val="TableParagraph"/>
              <w:spacing w:before="79"/>
              <w:ind w:left="461" w:right="461"/>
              <w:jc w:val="center"/>
              <w:rPr>
                <w:rFonts w:ascii="Cambria"/>
                <w:i/>
                <w:sz w:val="18"/>
              </w:rPr>
            </w:pPr>
            <w:r>
              <w:rPr>
                <w:rFonts w:ascii="Cambria"/>
                <w:i/>
                <w:color w:val="231F20"/>
                <w:w w:val="110"/>
                <w:sz w:val="18"/>
              </w:rPr>
              <w:t>Pradera 1</w:t>
            </w:r>
          </w:p>
        </w:tc>
        <w:tc>
          <w:tcPr>
            <w:tcW w:w="1796" w:type="dxa"/>
          </w:tcPr>
          <w:p>
            <w:pPr>
              <w:pStyle w:val="TableParagraph"/>
              <w:spacing w:before="79"/>
              <w:ind w:left="462" w:right="462"/>
              <w:jc w:val="center"/>
              <w:rPr>
                <w:rFonts w:ascii="Cambria"/>
                <w:i/>
                <w:sz w:val="18"/>
              </w:rPr>
            </w:pPr>
            <w:r>
              <w:rPr>
                <w:rFonts w:ascii="Cambria"/>
                <w:i/>
                <w:color w:val="231F20"/>
                <w:w w:val="110"/>
                <w:sz w:val="18"/>
              </w:rPr>
              <w:t>Pradera 2</w:t>
            </w:r>
          </w:p>
        </w:tc>
        <w:tc>
          <w:tcPr>
            <w:tcW w:w="1796" w:type="dxa"/>
          </w:tcPr>
          <w:p>
            <w:pPr>
              <w:pStyle w:val="TableParagraph"/>
              <w:spacing w:before="79"/>
              <w:ind w:left="462" w:right="462"/>
              <w:jc w:val="center"/>
              <w:rPr>
                <w:rFonts w:ascii="Cambria"/>
                <w:i/>
                <w:sz w:val="18"/>
              </w:rPr>
            </w:pPr>
            <w:r>
              <w:rPr>
                <w:rFonts w:ascii="Cambria"/>
                <w:i/>
                <w:color w:val="231F20"/>
                <w:w w:val="110"/>
                <w:sz w:val="18"/>
              </w:rPr>
              <w:t>Pradera 3</w:t>
            </w:r>
          </w:p>
        </w:tc>
        <w:tc>
          <w:tcPr>
            <w:tcW w:w="1715" w:type="dxa"/>
            <w:tcBorders>
              <w:right w:val="nil"/>
            </w:tcBorders>
          </w:tcPr>
          <w:p>
            <w:pPr>
              <w:pStyle w:val="TableParagraph"/>
              <w:spacing w:before="79"/>
              <w:ind w:left="452" w:right="456"/>
              <w:jc w:val="center"/>
              <w:rPr>
                <w:rFonts w:ascii="Cambria"/>
                <w:i/>
                <w:sz w:val="18"/>
              </w:rPr>
            </w:pPr>
            <w:r>
              <w:rPr>
                <w:rFonts w:ascii="Cambria"/>
                <w:i/>
                <w:color w:val="231F20"/>
                <w:w w:val="105"/>
                <w:sz w:val="18"/>
              </w:rPr>
              <w:t>Promedio</w:t>
            </w:r>
          </w:p>
        </w:tc>
      </w:tr>
      <w:tr>
        <w:trPr>
          <w:trHeight w:val="1461" w:hRule="exact"/>
        </w:trPr>
        <w:tc>
          <w:tcPr>
            <w:tcW w:w="1687" w:type="dxa"/>
            <w:tcBorders>
              <w:left w:val="nil"/>
            </w:tcBorders>
          </w:tcPr>
          <w:p>
            <w:pPr>
              <w:pStyle w:val="TableParagraph"/>
              <w:spacing w:line="319" w:lineRule="auto"/>
              <w:ind w:left="113" w:right="1280"/>
              <w:rPr>
                <w:sz w:val="17"/>
              </w:rPr>
            </w:pPr>
            <w:r>
              <w:rPr>
                <w:color w:val="231F20"/>
                <w:w w:val="105"/>
                <w:sz w:val="17"/>
              </w:rPr>
              <w:t>Jun Jul </w:t>
            </w:r>
            <w:r>
              <w:rPr>
                <w:color w:val="231F20"/>
                <w:sz w:val="17"/>
              </w:rPr>
              <w:t>Ago </w:t>
            </w:r>
            <w:r>
              <w:rPr>
                <w:color w:val="231F20"/>
                <w:w w:val="105"/>
                <w:sz w:val="17"/>
              </w:rPr>
              <w:t>Sep Oct</w:t>
            </w:r>
          </w:p>
        </w:tc>
        <w:tc>
          <w:tcPr>
            <w:tcW w:w="1795" w:type="dxa"/>
          </w:tcPr>
          <w:p>
            <w:pPr>
              <w:pStyle w:val="TableParagraph"/>
              <w:ind w:left="461" w:right="427"/>
              <w:jc w:val="center"/>
              <w:rPr>
                <w:sz w:val="17"/>
              </w:rPr>
            </w:pPr>
            <w:r>
              <w:rPr>
                <w:color w:val="231F20"/>
                <w:w w:val="110"/>
                <w:sz w:val="17"/>
              </w:rPr>
              <w:t>1138,9</w:t>
            </w:r>
          </w:p>
          <w:p>
            <w:pPr>
              <w:pStyle w:val="TableParagraph"/>
              <w:spacing w:before="69"/>
              <w:ind w:left="461" w:right="339"/>
              <w:jc w:val="center"/>
              <w:rPr>
                <w:sz w:val="17"/>
              </w:rPr>
            </w:pPr>
            <w:r>
              <w:rPr>
                <w:color w:val="231F20"/>
                <w:w w:val="110"/>
                <w:sz w:val="17"/>
              </w:rPr>
              <w:t>891,7</w:t>
            </w:r>
          </w:p>
          <w:p>
            <w:pPr>
              <w:pStyle w:val="TableParagraph"/>
              <w:spacing w:before="69"/>
              <w:ind w:left="461" w:right="403"/>
              <w:jc w:val="center"/>
              <w:rPr>
                <w:sz w:val="17"/>
              </w:rPr>
            </w:pPr>
            <w:r>
              <w:rPr>
                <w:color w:val="231F20"/>
                <w:w w:val="110"/>
                <w:sz w:val="17"/>
              </w:rPr>
              <w:t>1107,2</w:t>
            </w:r>
          </w:p>
          <w:p>
            <w:pPr>
              <w:pStyle w:val="TableParagraph"/>
              <w:spacing w:before="69"/>
              <w:ind w:left="461" w:right="438"/>
              <w:jc w:val="center"/>
              <w:rPr>
                <w:sz w:val="17"/>
              </w:rPr>
            </w:pPr>
            <w:r>
              <w:rPr>
                <w:color w:val="231F20"/>
                <w:w w:val="110"/>
                <w:sz w:val="17"/>
              </w:rPr>
              <w:t>1045,9</w:t>
            </w:r>
          </w:p>
          <w:p>
            <w:pPr>
              <w:pStyle w:val="TableParagraph"/>
              <w:spacing w:before="69"/>
              <w:ind w:left="461" w:right="339"/>
              <w:jc w:val="center"/>
              <w:rPr>
                <w:sz w:val="17"/>
              </w:rPr>
            </w:pPr>
            <w:r>
              <w:rPr>
                <w:color w:val="231F20"/>
                <w:w w:val="110"/>
                <w:sz w:val="17"/>
              </w:rPr>
              <w:t>786,8</w:t>
            </w:r>
          </w:p>
        </w:tc>
        <w:tc>
          <w:tcPr>
            <w:tcW w:w="1796" w:type="dxa"/>
          </w:tcPr>
          <w:p>
            <w:pPr>
              <w:pStyle w:val="TableParagraph"/>
              <w:ind w:left="462" w:right="424"/>
              <w:jc w:val="center"/>
              <w:rPr>
                <w:sz w:val="17"/>
              </w:rPr>
            </w:pPr>
            <w:r>
              <w:rPr>
                <w:color w:val="231F20"/>
                <w:w w:val="110"/>
                <w:sz w:val="17"/>
              </w:rPr>
              <w:t>1870,4</w:t>
            </w:r>
          </w:p>
          <w:p>
            <w:pPr>
              <w:pStyle w:val="TableParagraph"/>
              <w:spacing w:before="69"/>
              <w:ind w:left="462" w:right="435"/>
              <w:jc w:val="center"/>
              <w:rPr>
                <w:sz w:val="17"/>
              </w:rPr>
            </w:pPr>
            <w:r>
              <w:rPr>
                <w:color w:val="231F20"/>
                <w:w w:val="110"/>
                <w:sz w:val="17"/>
              </w:rPr>
              <w:t>2526,4</w:t>
            </w:r>
          </w:p>
          <w:p>
            <w:pPr>
              <w:pStyle w:val="TableParagraph"/>
              <w:spacing w:before="69"/>
              <w:ind w:left="462" w:right="434"/>
              <w:jc w:val="center"/>
              <w:rPr>
                <w:sz w:val="17"/>
              </w:rPr>
            </w:pPr>
            <w:r>
              <w:rPr>
                <w:color w:val="231F20"/>
                <w:w w:val="110"/>
                <w:sz w:val="17"/>
              </w:rPr>
              <w:t>2198,4</w:t>
            </w:r>
          </w:p>
          <w:p>
            <w:pPr>
              <w:pStyle w:val="TableParagraph"/>
              <w:spacing w:before="69"/>
              <w:ind w:left="462" w:right="438"/>
              <w:jc w:val="center"/>
              <w:rPr>
                <w:sz w:val="17"/>
              </w:rPr>
            </w:pPr>
            <w:r>
              <w:rPr>
                <w:color w:val="231F20"/>
                <w:w w:val="110"/>
                <w:sz w:val="17"/>
              </w:rPr>
              <w:t>1063,8</w:t>
            </w:r>
          </w:p>
          <w:p>
            <w:pPr>
              <w:pStyle w:val="TableParagraph"/>
              <w:spacing w:before="69"/>
              <w:ind w:left="462" w:right="424"/>
              <w:jc w:val="center"/>
              <w:rPr>
                <w:sz w:val="17"/>
              </w:rPr>
            </w:pPr>
            <w:r>
              <w:rPr>
                <w:color w:val="231F20"/>
                <w:w w:val="110"/>
                <w:sz w:val="17"/>
              </w:rPr>
              <w:t>1914,7</w:t>
            </w:r>
          </w:p>
        </w:tc>
        <w:tc>
          <w:tcPr>
            <w:tcW w:w="1796" w:type="dxa"/>
          </w:tcPr>
          <w:p>
            <w:pPr>
              <w:pStyle w:val="TableParagraph"/>
              <w:ind w:left="462" w:right="438"/>
              <w:jc w:val="center"/>
              <w:rPr>
                <w:sz w:val="17"/>
              </w:rPr>
            </w:pPr>
            <w:r>
              <w:rPr>
                <w:color w:val="231F20"/>
                <w:w w:val="110"/>
                <w:sz w:val="17"/>
              </w:rPr>
              <w:t>2208,3</w:t>
            </w:r>
          </w:p>
          <w:p>
            <w:pPr>
              <w:pStyle w:val="TableParagraph"/>
              <w:spacing w:before="69"/>
              <w:ind w:left="462" w:right="339"/>
              <w:jc w:val="center"/>
              <w:rPr>
                <w:sz w:val="17"/>
              </w:rPr>
            </w:pPr>
            <w:r>
              <w:rPr>
                <w:color w:val="231F20"/>
                <w:w w:val="110"/>
                <w:sz w:val="17"/>
              </w:rPr>
              <w:t>168,8</w:t>
            </w:r>
          </w:p>
          <w:p>
            <w:pPr>
              <w:pStyle w:val="TableParagraph"/>
              <w:spacing w:before="69"/>
              <w:ind w:left="462" w:right="431"/>
              <w:jc w:val="center"/>
              <w:rPr>
                <w:sz w:val="17"/>
              </w:rPr>
            </w:pPr>
            <w:r>
              <w:rPr>
                <w:color w:val="231F20"/>
                <w:w w:val="110"/>
                <w:sz w:val="17"/>
              </w:rPr>
              <w:t>1188,2</w:t>
            </w:r>
          </w:p>
          <w:p>
            <w:pPr>
              <w:pStyle w:val="TableParagraph"/>
              <w:spacing w:before="69"/>
              <w:ind w:left="462" w:right="346"/>
              <w:jc w:val="center"/>
              <w:rPr>
                <w:sz w:val="17"/>
              </w:rPr>
            </w:pPr>
            <w:r>
              <w:rPr>
                <w:color w:val="231F20"/>
                <w:w w:val="110"/>
                <w:sz w:val="17"/>
              </w:rPr>
              <w:t>446,6</w:t>
            </w:r>
          </w:p>
          <w:p>
            <w:pPr>
              <w:pStyle w:val="TableParagraph"/>
              <w:spacing w:before="69"/>
              <w:ind w:left="462" w:right="431"/>
              <w:jc w:val="center"/>
              <w:rPr>
                <w:sz w:val="17"/>
              </w:rPr>
            </w:pPr>
            <w:r>
              <w:rPr>
                <w:color w:val="231F20"/>
                <w:w w:val="110"/>
                <w:sz w:val="17"/>
              </w:rPr>
              <w:t>1002,7</w:t>
            </w:r>
          </w:p>
        </w:tc>
        <w:tc>
          <w:tcPr>
            <w:tcW w:w="1715" w:type="dxa"/>
            <w:tcBorders>
              <w:right w:val="nil"/>
            </w:tcBorders>
          </w:tcPr>
          <w:p>
            <w:pPr>
              <w:pStyle w:val="TableParagraph"/>
              <w:ind w:left="406" w:right="456"/>
              <w:jc w:val="center"/>
              <w:rPr>
                <w:sz w:val="17"/>
              </w:rPr>
            </w:pPr>
            <w:r>
              <w:rPr>
                <w:color w:val="231F20"/>
                <w:w w:val="110"/>
                <w:sz w:val="17"/>
              </w:rPr>
              <w:t>1739,2</w:t>
            </w:r>
          </w:p>
          <w:p>
            <w:pPr>
              <w:pStyle w:val="TableParagraph"/>
              <w:spacing w:before="69"/>
              <w:ind w:left="404" w:right="456"/>
              <w:jc w:val="center"/>
              <w:rPr>
                <w:sz w:val="17"/>
              </w:rPr>
            </w:pPr>
            <w:r>
              <w:rPr>
                <w:color w:val="231F20"/>
                <w:w w:val="110"/>
                <w:sz w:val="17"/>
              </w:rPr>
              <w:t>1195,4</w:t>
            </w:r>
          </w:p>
          <w:p>
            <w:pPr>
              <w:pStyle w:val="TableParagraph"/>
              <w:spacing w:before="69"/>
              <w:ind w:left="425" w:right="456"/>
              <w:jc w:val="center"/>
              <w:rPr>
                <w:sz w:val="17"/>
              </w:rPr>
            </w:pPr>
            <w:r>
              <w:rPr>
                <w:color w:val="231F20"/>
                <w:w w:val="110"/>
                <w:sz w:val="17"/>
              </w:rPr>
              <w:t>1497,9</w:t>
            </w:r>
          </w:p>
          <w:p>
            <w:pPr>
              <w:pStyle w:val="TableParagraph"/>
              <w:spacing w:before="69"/>
              <w:ind w:left="452" w:right="418"/>
              <w:jc w:val="center"/>
              <w:rPr>
                <w:sz w:val="17"/>
              </w:rPr>
            </w:pPr>
            <w:r>
              <w:rPr>
                <w:color w:val="231F20"/>
                <w:w w:val="110"/>
                <w:sz w:val="17"/>
              </w:rPr>
              <w:t>852,1</w:t>
            </w:r>
          </w:p>
          <w:p>
            <w:pPr>
              <w:pStyle w:val="TableParagraph"/>
              <w:spacing w:before="69"/>
              <w:ind w:left="404" w:right="456"/>
              <w:jc w:val="center"/>
              <w:rPr>
                <w:sz w:val="17"/>
              </w:rPr>
            </w:pPr>
            <w:r>
              <w:rPr>
                <w:color w:val="231F20"/>
                <w:w w:val="110"/>
                <w:sz w:val="17"/>
              </w:rPr>
              <w:t>1234,7</w:t>
            </w:r>
          </w:p>
        </w:tc>
      </w:tr>
      <w:tr>
        <w:trPr>
          <w:trHeight w:val="372" w:hRule="exact"/>
        </w:trPr>
        <w:tc>
          <w:tcPr>
            <w:tcW w:w="1687" w:type="dxa"/>
            <w:tcBorders>
              <w:left w:val="nil"/>
            </w:tcBorders>
          </w:tcPr>
          <w:p>
            <w:pPr>
              <w:pStyle w:val="TableParagraph"/>
              <w:spacing w:before="80"/>
              <w:ind w:left="462" w:right="457"/>
              <w:jc w:val="center"/>
              <w:rPr>
                <w:sz w:val="18"/>
              </w:rPr>
            </w:pPr>
            <w:r>
              <w:rPr>
                <w:color w:val="231F20"/>
                <w:w w:val="105"/>
                <w:sz w:val="18"/>
              </w:rPr>
              <w:t>ANF total</w:t>
            </w:r>
          </w:p>
        </w:tc>
        <w:tc>
          <w:tcPr>
            <w:tcW w:w="1795" w:type="dxa"/>
          </w:tcPr>
          <w:p>
            <w:pPr>
              <w:pStyle w:val="TableParagraph"/>
              <w:spacing w:before="80"/>
              <w:ind w:left="460" w:right="461"/>
              <w:jc w:val="center"/>
              <w:rPr>
                <w:sz w:val="18"/>
              </w:rPr>
            </w:pPr>
            <w:r>
              <w:rPr>
                <w:color w:val="231F20"/>
                <w:w w:val="115"/>
                <w:sz w:val="18"/>
              </w:rPr>
              <w:t>4970,5</w:t>
            </w:r>
          </w:p>
        </w:tc>
        <w:tc>
          <w:tcPr>
            <w:tcW w:w="1796" w:type="dxa"/>
          </w:tcPr>
          <w:p>
            <w:pPr>
              <w:pStyle w:val="TableParagraph"/>
              <w:spacing w:before="80"/>
              <w:ind w:left="462" w:right="462"/>
              <w:jc w:val="center"/>
              <w:rPr>
                <w:sz w:val="18"/>
              </w:rPr>
            </w:pPr>
            <w:r>
              <w:rPr>
                <w:color w:val="231F20"/>
                <w:w w:val="110"/>
                <w:sz w:val="18"/>
              </w:rPr>
              <w:t>9573,7</w:t>
            </w:r>
          </w:p>
        </w:tc>
        <w:tc>
          <w:tcPr>
            <w:tcW w:w="1796" w:type="dxa"/>
          </w:tcPr>
          <w:p>
            <w:pPr>
              <w:pStyle w:val="TableParagraph"/>
              <w:spacing w:before="80"/>
              <w:ind w:left="462" w:right="462"/>
              <w:jc w:val="center"/>
              <w:rPr>
                <w:sz w:val="18"/>
              </w:rPr>
            </w:pPr>
            <w:r>
              <w:rPr>
                <w:color w:val="231F20"/>
                <w:w w:val="110"/>
                <w:sz w:val="18"/>
              </w:rPr>
              <w:t>5013,8</w:t>
            </w:r>
          </w:p>
        </w:tc>
        <w:tc>
          <w:tcPr>
            <w:tcW w:w="1715" w:type="dxa"/>
            <w:tcBorders>
              <w:right w:val="nil"/>
            </w:tcBorders>
          </w:tcPr>
          <w:p>
            <w:pPr>
              <w:pStyle w:val="TableParagraph"/>
              <w:spacing w:before="80"/>
              <w:ind w:left="366" w:right="456"/>
              <w:jc w:val="center"/>
              <w:rPr>
                <w:sz w:val="18"/>
              </w:rPr>
            </w:pPr>
            <w:r>
              <w:rPr>
                <w:color w:val="231F20"/>
                <w:w w:val="115"/>
                <w:sz w:val="18"/>
              </w:rPr>
              <w:t>6519,4</w:t>
            </w:r>
          </w:p>
        </w:tc>
      </w:tr>
    </w:tbl>
    <w:p>
      <w:pPr>
        <w:spacing w:after="0"/>
        <w:jc w:val="center"/>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12"/>
          <w:sz w:val="18"/>
        </w:rPr>
        <w:t>7.         </w:t>
      </w:r>
      <w:r>
        <w:rPr>
          <w:color w:val="231F20"/>
          <w:spacing w:val="-8"/>
          <w:sz w:val="18"/>
        </w:rPr>
        <w:t> </w:t>
      </w:r>
      <w:r>
        <w:rPr>
          <w:color w:val="231F20"/>
          <w:sz w:val="18"/>
        </w:rPr>
        <w:t>La producción de bovinos de doble propósito en el trópico seco del centro de</w:t>
      </w:r>
      <w:r>
        <w:rPr>
          <w:color w:val="231F20"/>
          <w:spacing w:val="13"/>
          <w:sz w:val="18"/>
        </w:rPr>
        <w:t> </w:t>
      </w:r>
      <w:r>
        <w:rPr>
          <w:color w:val="231F20"/>
          <w:sz w:val="18"/>
        </w:rPr>
        <w:t>México...</w:t>
      </w:r>
      <w:r>
        <w:rPr>
          <w:color w:val="231F20"/>
          <w:sz w:val="22"/>
        </w:rPr>
        <w:tab/>
      </w:r>
      <w:r>
        <w:rPr>
          <w:color w:val="231F20"/>
          <w:spacing w:val="-9"/>
          <w:sz w:val="22"/>
        </w:rPr>
        <w:t>107</w:t>
      </w:r>
    </w:p>
    <w:p>
      <w:pPr>
        <w:spacing w:after="0"/>
        <w:jc w:val="left"/>
        <w:rPr>
          <w:sz w:val="22"/>
        </w:rPr>
        <w:sectPr>
          <w:pgSz w:w="11900" w:h="14450"/>
          <w:pgMar w:header="0" w:footer="222" w:top="420" w:bottom="420" w:left="0" w:right="0"/>
        </w:sectPr>
      </w:pPr>
    </w:p>
    <w:p>
      <w:pPr>
        <w:pStyle w:val="BodyText"/>
        <w:rPr>
          <w:sz w:val="18"/>
        </w:rPr>
      </w:pPr>
    </w:p>
    <w:p>
      <w:pPr>
        <w:spacing w:line="283" w:lineRule="auto" w:before="129"/>
        <w:ind w:left="1553" w:right="0" w:firstLine="0"/>
        <w:jc w:val="both"/>
        <w:rPr>
          <w:sz w:val="18"/>
        </w:rPr>
      </w:pPr>
      <w:r>
        <w:rPr>
          <w:color w:val="231F20"/>
          <w:sz w:val="18"/>
        </w:rPr>
        <w:t>Cuadro 4. Composición  química  (g/kg/MS)  de  prade- ras dominadas por pasto Estrella de África </w:t>
      </w:r>
      <w:r>
        <w:rPr>
          <w:i/>
          <w:color w:val="231F20"/>
          <w:sz w:val="18"/>
        </w:rPr>
        <w:t>(Cyndon ple- </w:t>
      </w:r>
      <w:r>
        <w:rPr>
          <w:i/>
          <w:color w:val="231F20"/>
          <w:sz w:val="18"/>
        </w:rPr>
        <w:t>chtostachyous)</w:t>
      </w:r>
      <w:r>
        <w:rPr>
          <w:color w:val="231F20"/>
          <w:sz w:val="18"/>
        </w:rPr>
        <w:t>, a partir de pastoreo  simulado.</w:t>
      </w:r>
    </w:p>
    <w:p>
      <w:pPr>
        <w:pStyle w:val="BodyText"/>
        <w:spacing w:before="7" w:after="1"/>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01"/>
        <w:gridCol w:w="1256"/>
      </w:tblGrid>
      <w:tr>
        <w:trPr>
          <w:trHeight w:val="369" w:hRule="exact"/>
        </w:trPr>
        <w:tc>
          <w:tcPr>
            <w:tcW w:w="2901" w:type="dxa"/>
            <w:tcBorders>
              <w:left w:val="nil"/>
            </w:tcBorders>
          </w:tcPr>
          <w:p>
            <w:pPr>
              <w:pStyle w:val="TableParagraph"/>
              <w:spacing w:before="79"/>
              <w:ind w:left="1094" w:right="1089"/>
              <w:jc w:val="center"/>
              <w:rPr>
                <w:rFonts w:ascii="Cambria"/>
                <w:i/>
                <w:sz w:val="18"/>
              </w:rPr>
            </w:pPr>
            <w:r>
              <w:rPr>
                <w:rFonts w:ascii="Cambria"/>
                <w:i/>
                <w:color w:val="231F20"/>
                <w:w w:val="105"/>
                <w:sz w:val="18"/>
              </w:rPr>
              <w:t>Variable</w:t>
            </w:r>
          </w:p>
        </w:tc>
        <w:tc>
          <w:tcPr>
            <w:tcW w:w="1256" w:type="dxa"/>
            <w:tcBorders>
              <w:right w:val="nil"/>
            </w:tcBorders>
          </w:tcPr>
          <w:p>
            <w:pPr>
              <w:pStyle w:val="TableParagraph"/>
              <w:spacing w:before="79"/>
              <w:ind w:left="237"/>
              <w:rPr>
                <w:rFonts w:ascii="Cambria"/>
                <w:i/>
                <w:sz w:val="18"/>
              </w:rPr>
            </w:pPr>
            <w:r>
              <w:rPr>
                <w:rFonts w:ascii="Cambria"/>
                <w:i/>
                <w:color w:val="231F20"/>
                <w:w w:val="105"/>
                <w:sz w:val="18"/>
              </w:rPr>
              <w:t>Promedio</w:t>
            </w:r>
          </w:p>
        </w:tc>
      </w:tr>
      <w:tr>
        <w:trPr>
          <w:trHeight w:val="354" w:hRule="exact"/>
        </w:trPr>
        <w:tc>
          <w:tcPr>
            <w:tcW w:w="2901" w:type="dxa"/>
            <w:tcBorders>
              <w:left w:val="nil"/>
            </w:tcBorders>
          </w:tcPr>
          <w:p>
            <w:pPr>
              <w:pStyle w:val="TableParagraph"/>
              <w:ind w:left="113"/>
              <w:rPr>
                <w:sz w:val="17"/>
              </w:rPr>
            </w:pPr>
            <w:r>
              <w:rPr>
                <w:color w:val="231F20"/>
                <w:sz w:val="17"/>
              </w:rPr>
              <w:t>Materia seca</w:t>
            </w:r>
          </w:p>
        </w:tc>
        <w:tc>
          <w:tcPr>
            <w:tcW w:w="1256" w:type="dxa"/>
            <w:tcBorders>
              <w:right w:val="nil"/>
            </w:tcBorders>
          </w:tcPr>
          <w:p>
            <w:pPr>
              <w:pStyle w:val="TableParagraph"/>
              <w:ind w:left="376"/>
              <w:rPr>
                <w:sz w:val="17"/>
              </w:rPr>
            </w:pPr>
            <w:r>
              <w:rPr>
                <w:color w:val="231F20"/>
                <w:w w:val="110"/>
                <w:sz w:val="17"/>
              </w:rPr>
              <w:t>261,0</w:t>
            </w:r>
          </w:p>
        </w:tc>
      </w:tr>
      <w:tr>
        <w:trPr>
          <w:trHeight w:val="354" w:hRule="exact"/>
        </w:trPr>
        <w:tc>
          <w:tcPr>
            <w:tcW w:w="2901" w:type="dxa"/>
            <w:tcBorders>
              <w:left w:val="nil"/>
            </w:tcBorders>
          </w:tcPr>
          <w:p>
            <w:pPr>
              <w:pStyle w:val="TableParagraph"/>
              <w:ind w:left="113"/>
              <w:rPr>
                <w:sz w:val="17"/>
              </w:rPr>
            </w:pPr>
            <w:r>
              <w:rPr>
                <w:color w:val="231F20"/>
                <w:sz w:val="17"/>
              </w:rPr>
              <w:t>Materia orgánica</w:t>
            </w:r>
          </w:p>
        </w:tc>
        <w:tc>
          <w:tcPr>
            <w:tcW w:w="1256" w:type="dxa"/>
            <w:tcBorders>
              <w:right w:val="nil"/>
            </w:tcBorders>
          </w:tcPr>
          <w:p>
            <w:pPr>
              <w:pStyle w:val="TableParagraph"/>
              <w:ind w:left="369"/>
              <w:rPr>
                <w:sz w:val="17"/>
              </w:rPr>
            </w:pPr>
            <w:r>
              <w:rPr>
                <w:color w:val="231F20"/>
                <w:w w:val="110"/>
                <w:sz w:val="17"/>
              </w:rPr>
              <w:t>240,2</w:t>
            </w:r>
          </w:p>
        </w:tc>
      </w:tr>
      <w:tr>
        <w:trPr>
          <w:trHeight w:val="354" w:hRule="exact"/>
        </w:trPr>
        <w:tc>
          <w:tcPr>
            <w:tcW w:w="2901" w:type="dxa"/>
            <w:tcBorders>
              <w:left w:val="nil"/>
            </w:tcBorders>
          </w:tcPr>
          <w:p>
            <w:pPr>
              <w:pStyle w:val="TableParagraph"/>
              <w:ind w:left="113"/>
              <w:rPr>
                <w:sz w:val="17"/>
              </w:rPr>
            </w:pPr>
            <w:r>
              <w:rPr>
                <w:color w:val="231F20"/>
                <w:sz w:val="17"/>
              </w:rPr>
              <w:t>Proteína cruda</w:t>
            </w:r>
          </w:p>
        </w:tc>
        <w:tc>
          <w:tcPr>
            <w:tcW w:w="1256" w:type="dxa"/>
            <w:tcBorders>
              <w:right w:val="nil"/>
            </w:tcBorders>
          </w:tcPr>
          <w:p>
            <w:pPr>
              <w:pStyle w:val="TableParagraph"/>
              <w:ind w:left="379"/>
              <w:rPr>
                <w:sz w:val="17"/>
              </w:rPr>
            </w:pPr>
            <w:r>
              <w:rPr>
                <w:color w:val="231F20"/>
                <w:w w:val="110"/>
                <w:sz w:val="17"/>
              </w:rPr>
              <w:t>111,3</w:t>
            </w:r>
          </w:p>
        </w:tc>
      </w:tr>
      <w:tr>
        <w:trPr>
          <w:trHeight w:val="354" w:hRule="exact"/>
        </w:trPr>
        <w:tc>
          <w:tcPr>
            <w:tcW w:w="2901" w:type="dxa"/>
            <w:tcBorders>
              <w:left w:val="nil"/>
            </w:tcBorders>
          </w:tcPr>
          <w:p>
            <w:pPr>
              <w:pStyle w:val="TableParagraph"/>
              <w:ind w:left="113"/>
              <w:rPr>
                <w:sz w:val="17"/>
              </w:rPr>
            </w:pPr>
            <w:r>
              <w:rPr>
                <w:color w:val="231F20"/>
                <w:sz w:val="17"/>
              </w:rPr>
              <w:t>Fibra detergente neutro</w:t>
            </w:r>
          </w:p>
        </w:tc>
        <w:tc>
          <w:tcPr>
            <w:tcW w:w="1256" w:type="dxa"/>
            <w:tcBorders>
              <w:right w:val="nil"/>
            </w:tcBorders>
          </w:tcPr>
          <w:p>
            <w:pPr>
              <w:pStyle w:val="TableParagraph"/>
              <w:ind w:left="366"/>
              <w:rPr>
                <w:sz w:val="17"/>
              </w:rPr>
            </w:pPr>
            <w:r>
              <w:rPr>
                <w:color w:val="231F20"/>
                <w:w w:val="110"/>
                <w:sz w:val="17"/>
              </w:rPr>
              <w:t>645,5</w:t>
            </w:r>
          </w:p>
        </w:tc>
      </w:tr>
      <w:tr>
        <w:trPr>
          <w:trHeight w:val="354" w:hRule="exact"/>
        </w:trPr>
        <w:tc>
          <w:tcPr>
            <w:tcW w:w="2901" w:type="dxa"/>
            <w:tcBorders>
              <w:left w:val="nil"/>
            </w:tcBorders>
          </w:tcPr>
          <w:p>
            <w:pPr>
              <w:pStyle w:val="TableParagraph"/>
              <w:ind w:left="113"/>
              <w:rPr>
                <w:sz w:val="17"/>
              </w:rPr>
            </w:pPr>
            <w:r>
              <w:rPr>
                <w:color w:val="231F20"/>
                <w:sz w:val="17"/>
              </w:rPr>
              <w:t>Fibra detergente ácido</w:t>
            </w:r>
          </w:p>
        </w:tc>
        <w:tc>
          <w:tcPr>
            <w:tcW w:w="1256" w:type="dxa"/>
            <w:tcBorders>
              <w:right w:val="nil"/>
            </w:tcBorders>
          </w:tcPr>
          <w:p>
            <w:pPr>
              <w:pStyle w:val="TableParagraph"/>
              <w:ind w:left="369"/>
              <w:rPr>
                <w:sz w:val="17"/>
              </w:rPr>
            </w:pPr>
            <w:r>
              <w:rPr>
                <w:color w:val="231F20"/>
                <w:w w:val="110"/>
                <w:sz w:val="17"/>
              </w:rPr>
              <w:t>386,0</w:t>
            </w:r>
          </w:p>
        </w:tc>
      </w:tr>
      <w:tr>
        <w:trPr>
          <w:trHeight w:val="354" w:hRule="exact"/>
        </w:trPr>
        <w:tc>
          <w:tcPr>
            <w:tcW w:w="2901" w:type="dxa"/>
            <w:tcBorders>
              <w:left w:val="nil"/>
            </w:tcBorders>
          </w:tcPr>
          <w:p>
            <w:pPr>
              <w:pStyle w:val="TableParagraph"/>
              <w:ind w:left="113"/>
              <w:rPr>
                <w:sz w:val="17"/>
              </w:rPr>
            </w:pPr>
            <w:r>
              <w:rPr>
                <w:color w:val="231F20"/>
                <w:sz w:val="17"/>
              </w:rPr>
              <w:t>Digestibilidad de la materia orgánica</w:t>
            </w:r>
          </w:p>
        </w:tc>
        <w:tc>
          <w:tcPr>
            <w:tcW w:w="1256" w:type="dxa"/>
            <w:tcBorders>
              <w:right w:val="nil"/>
            </w:tcBorders>
          </w:tcPr>
          <w:p>
            <w:pPr>
              <w:pStyle w:val="TableParagraph"/>
              <w:ind w:left="376"/>
              <w:rPr>
                <w:sz w:val="17"/>
              </w:rPr>
            </w:pPr>
            <w:r>
              <w:rPr>
                <w:color w:val="231F20"/>
                <w:w w:val="110"/>
                <w:sz w:val="17"/>
              </w:rPr>
              <w:t>572,5</w:t>
            </w:r>
          </w:p>
        </w:tc>
      </w:tr>
      <w:tr>
        <w:trPr>
          <w:trHeight w:val="354" w:hRule="exact"/>
        </w:trPr>
        <w:tc>
          <w:tcPr>
            <w:tcW w:w="2901" w:type="dxa"/>
            <w:tcBorders>
              <w:left w:val="nil"/>
            </w:tcBorders>
          </w:tcPr>
          <w:p>
            <w:pPr>
              <w:pStyle w:val="TableParagraph"/>
              <w:ind w:left="113"/>
              <w:rPr>
                <w:sz w:val="17"/>
              </w:rPr>
            </w:pPr>
            <w:r>
              <w:rPr>
                <w:color w:val="231F20"/>
                <w:sz w:val="17"/>
              </w:rPr>
              <w:t>Energía  metabolizable (MJ)</w:t>
            </w:r>
          </w:p>
        </w:tc>
        <w:tc>
          <w:tcPr>
            <w:tcW w:w="1256" w:type="dxa"/>
            <w:tcBorders>
              <w:right w:val="nil"/>
            </w:tcBorders>
          </w:tcPr>
          <w:p>
            <w:pPr>
              <w:pStyle w:val="TableParagraph"/>
              <w:ind w:left="542" w:right="432"/>
              <w:jc w:val="center"/>
              <w:rPr>
                <w:sz w:val="17"/>
              </w:rPr>
            </w:pPr>
            <w:r>
              <w:rPr>
                <w:color w:val="231F20"/>
                <w:w w:val="110"/>
                <w:sz w:val="17"/>
              </w:rPr>
              <w:t>9,0</w:t>
            </w:r>
          </w:p>
        </w:tc>
      </w:tr>
    </w:tbl>
    <w:p>
      <w:pPr>
        <w:pStyle w:val="BodyText"/>
        <w:rPr>
          <w:sz w:val="18"/>
        </w:rPr>
      </w:pPr>
    </w:p>
    <w:p>
      <w:pPr>
        <w:pStyle w:val="BodyText"/>
        <w:rPr>
          <w:sz w:val="18"/>
        </w:rPr>
      </w:pPr>
    </w:p>
    <w:p>
      <w:pPr>
        <w:pStyle w:val="BodyText"/>
        <w:spacing w:before="9"/>
        <w:rPr>
          <w:sz w:val="21"/>
        </w:rPr>
      </w:pPr>
    </w:p>
    <w:p>
      <w:pPr>
        <w:pStyle w:val="BodyText"/>
        <w:spacing w:line="261" w:lineRule="auto"/>
        <w:ind w:left="1553"/>
        <w:jc w:val="both"/>
      </w:pPr>
      <w:r>
        <w:rPr>
          <w:color w:val="231F20"/>
          <w:w w:val="105"/>
        </w:rPr>
        <w:t>(julio-noviembre) en 2008 y 2009, se muestra en el</w:t>
      </w:r>
      <w:r>
        <w:rPr>
          <w:color w:val="231F20"/>
          <w:spacing w:val="-13"/>
          <w:w w:val="105"/>
        </w:rPr>
        <w:t> </w:t>
      </w:r>
      <w:r>
        <w:rPr>
          <w:color w:val="231F20"/>
          <w:w w:val="105"/>
        </w:rPr>
        <w:t>Cuadro</w:t>
      </w:r>
      <w:r>
        <w:rPr>
          <w:color w:val="231F20"/>
          <w:spacing w:val="-13"/>
          <w:w w:val="105"/>
        </w:rPr>
        <w:t> </w:t>
      </w:r>
      <w:r>
        <w:rPr>
          <w:color w:val="231F20"/>
          <w:w w:val="105"/>
        </w:rPr>
        <w:t>3.</w:t>
      </w:r>
      <w:r>
        <w:rPr>
          <w:color w:val="231F20"/>
          <w:spacing w:val="-13"/>
          <w:w w:val="105"/>
        </w:rPr>
        <w:t> </w:t>
      </w:r>
      <w:r>
        <w:rPr>
          <w:color w:val="231F20"/>
          <w:w w:val="105"/>
        </w:rPr>
        <w:t>El</w:t>
      </w:r>
      <w:r>
        <w:rPr>
          <w:color w:val="231F20"/>
          <w:spacing w:val="-13"/>
          <w:w w:val="105"/>
        </w:rPr>
        <w:t> </w:t>
      </w:r>
      <w:r>
        <w:rPr>
          <w:color w:val="231F20"/>
          <w:w w:val="105"/>
        </w:rPr>
        <w:t>promedio</w:t>
      </w:r>
      <w:r>
        <w:rPr>
          <w:color w:val="231F20"/>
          <w:spacing w:val="-13"/>
          <w:w w:val="105"/>
        </w:rPr>
        <w:t> </w:t>
      </w:r>
      <w:r>
        <w:rPr>
          <w:color w:val="231F20"/>
          <w:w w:val="105"/>
        </w:rPr>
        <w:t>de</w:t>
      </w:r>
      <w:r>
        <w:rPr>
          <w:color w:val="231F20"/>
          <w:spacing w:val="-13"/>
          <w:w w:val="105"/>
        </w:rPr>
        <w:t> </w:t>
      </w:r>
      <w:r>
        <w:rPr>
          <w:color w:val="231F20"/>
          <w:w w:val="105"/>
        </w:rPr>
        <w:t>producción</w:t>
      </w:r>
      <w:r>
        <w:rPr>
          <w:color w:val="231F20"/>
          <w:spacing w:val="-13"/>
          <w:w w:val="105"/>
        </w:rPr>
        <w:t> </w:t>
      </w:r>
      <w:r>
        <w:rPr>
          <w:color w:val="231F20"/>
          <w:w w:val="105"/>
        </w:rPr>
        <w:t>de</w:t>
      </w:r>
      <w:r>
        <w:rPr>
          <w:color w:val="231F20"/>
          <w:spacing w:val="-13"/>
          <w:w w:val="105"/>
        </w:rPr>
        <w:t> </w:t>
      </w:r>
      <w:r>
        <w:rPr>
          <w:color w:val="231F20"/>
          <w:w w:val="105"/>
        </w:rPr>
        <w:t>forraje para la época de lluvias (de junio a octubre) de los años 2008  y  2009  fue  de  6467  kg/MS/ha, lo que representa un moderado potencial, mien- tras</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Zacazonapan</w:t>
      </w:r>
      <w:r>
        <w:rPr>
          <w:color w:val="231F20"/>
          <w:spacing w:val="-12"/>
          <w:w w:val="105"/>
        </w:rPr>
        <w:t> </w:t>
      </w:r>
      <w:r>
        <w:rPr>
          <w:color w:val="231F20"/>
          <w:w w:val="105"/>
        </w:rPr>
        <w:t>se</w:t>
      </w:r>
      <w:r>
        <w:rPr>
          <w:color w:val="231F20"/>
          <w:spacing w:val="-12"/>
          <w:w w:val="105"/>
        </w:rPr>
        <w:t> </w:t>
      </w:r>
      <w:r>
        <w:rPr>
          <w:color w:val="231F20"/>
          <w:w w:val="105"/>
        </w:rPr>
        <w:t>estimaron</w:t>
      </w:r>
      <w:r>
        <w:rPr>
          <w:color w:val="231F20"/>
          <w:spacing w:val="-12"/>
          <w:w w:val="105"/>
        </w:rPr>
        <w:t> </w:t>
      </w:r>
      <w:r>
        <w:rPr>
          <w:color w:val="231F20"/>
          <w:w w:val="105"/>
        </w:rPr>
        <w:t>produccio- nes máximas de </w:t>
      </w:r>
      <w:r>
        <w:rPr>
          <w:color w:val="231F20"/>
          <w:spacing w:val="-4"/>
          <w:w w:val="105"/>
        </w:rPr>
        <w:t>9573,7 </w:t>
      </w:r>
      <w:r>
        <w:rPr>
          <w:color w:val="231F20"/>
          <w:w w:val="105"/>
        </w:rPr>
        <w:t>kg/MS/ha, lo que indica el</w:t>
      </w:r>
      <w:r>
        <w:rPr>
          <w:color w:val="231F20"/>
          <w:spacing w:val="-15"/>
          <w:w w:val="105"/>
        </w:rPr>
        <w:t> </w:t>
      </w:r>
      <w:r>
        <w:rPr>
          <w:color w:val="231F20"/>
          <w:w w:val="105"/>
        </w:rPr>
        <w:t>potencial</w:t>
      </w:r>
      <w:r>
        <w:rPr>
          <w:color w:val="231F20"/>
          <w:spacing w:val="-15"/>
          <w:w w:val="105"/>
        </w:rPr>
        <w:t> </w:t>
      </w:r>
      <w:r>
        <w:rPr>
          <w:color w:val="231F20"/>
          <w:w w:val="105"/>
        </w:rPr>
        <w:t>de</w:t>
      </w:r>
      <w:r>
        <w:rPr>
          <w:color w:val="231F20"/>
          <w:spacing w:val="-15"/>
          <w:w w:val="105"/>
        </w:rPr>
        <w:t> </w:t>
      </w:r>
      <w:r>
        <w:rPr>
          <w:color w:val="231F20"/>
          <w:w w:val="105"/>
        </w:rPr>
        <w:t>este</w:t>
      </w:r>
      <w:r>
        <w:rPr>
          <w:color w:val="231F20"/>
          <w:spacing w:val="-15"/>
          <w:w w:val="105"/>
        </w:rPr>
        <w:t> </w:t>
      </w:r>
      <w:r>
        <w:rPr>
          <w:color w:val="231F20"/>
          <w:w w:val="105"/>
        </w:rPr>
        <w:t>tipo</w:t>
      </w:r>
      <w:r>
        <w:rPr>
          <w:color w:val="231F20"/>
          <w:spacing w:val="-15"/>
          <w:w w:val="105"/>
        </w:rPr>
        <w:t> </w:t>
      </w:r>
      <w:r>
        <w:rPr>
          <w:color w:val="231F20"/>
          <w:w w:val="105"/>
        </w:rPr>
        <w:t>de</w:t>
      </w:r>
      <w:r>
        <w:rPr>
          <w:color w:val="231F20"/>
          <w:spacing w:val="-15"/>
          <w:w w:val="105"/>
        </w:rPr>
        <w:t> </w:t>
      </w:r>
      <w:r>
        <w:rPr>
          <w:color w:val="231F20"/>
          <w:w w:val="105"/>
        </w:rPr>
        <w:t>praderas.</w:t>
      </w:r>
    </w:p>
    <w:p>
      <w:pPr>
        <w:pStyle w:val="BodyText"/>
        <w:spacing w:line="261" w:lineRule="auto" w:before="112"/>
        <w:ind w:left="1553"/>
        <w:jc w:val="both"/>
      </w:pPr>
      <w:r>
        <w:rPr>
          <w:color w:val="231F20"/>
        </w:rPr>
        <w:t>Sin </w:t>
      </w:r>
      <w:r>
        <w:rPr>
          <w:color w:val="231F20"/>
          <w:spacing w:val="-3"/>
        </w:rPr>
        <w:t>embargo, </w:t>
      </w:r>
      <w:r>
        <w:rPr>
          <w:color w:val="231F20"/>
        </w:rPr>
        <w:t>las </w:t>
      </w:r>
      <w:r>
        <w:rPr>
          <w:color w:val="231F20"/>
          <w:spacing w:val="-3"/>
        </w:rPr>
        <w:t>principales desventajas </w:t>
      </w:r>
      <w:r>
        <w:rPr>
          <w:color w:val="231F20"/>
        </w:rPr>
        <w:t>que en ge- </w:t>
      </w:r>
      <w:r>
        <w:rPr>
          <w:color w:val="231F20"/>
          <w:spacing w:val="-3"/>
        </w:rPr>
        <w:t>neral presentan </w:t>
      </w:r>
      <w:r>
        <w:rPr>
          <w:color w:val="231F20"/>
        </w:rPr>
        <w:t>los </w:t>
      </w:r>
      <w:r>
        <w:rPr>
          <w:color w:val="231F20"/>
          <w:spacing w:val="-3"/>
        </w:rPr>
        <w:t>pastos tropicales, </w:t>
      </w:r>
      <w:r>
        <w:rPr>
          <w:color w:val="231F20"/>
        </w:rPr>
        <w:t>y en </w:t>
      </w:r>
      <w:r>
        <w:rPr>
          <w:color w:val="231F20"/>
          <w:spacing w:val="-3"/>
        </w:rPr>
        <w:t>particular </w:t>
      </w:r>
      <w:r>
        <w:rPr>
          <w:color w:val="231F20"/>
        </w:rPr>
        <w:t>el </w:t>
      </w:r>
      <w:r>
        <w:rPr>
          <w:color w:val="231F20"/>
          <w:spacing w:val="-3"/>
        </w:rPr>
        <w:t>pasto Estrella </w:t>
      </w:r>
      <w:r>
        <w:rPr>
          <w:color w:val="231F20"/>
        </w:rPr>
        <w:t>de </w:t>
      </w:r>
      <w:r>
        <w:rPr>
          <w:color w:val="231F20"/>
          <w:spacing w:val="-3"/>
        </w:rPr>
        <w:t>África, </w:t>
      </w:r>
      <w:r>
        <w:rPr>
          <w:color w:val="231F20"/>
        </w:rPr>
        <w:t>es su </w:t>
      </w:r>
      <w:r>
        <w:rPr>
          <w:color w:val="231F20"/>
          <w:spacing w:val="-3"/>
        </w:rPr>
        <w:t>bajo valor nutritivo (Cuadro </w:t>
      </w:r>
      <w:r>
        <w:rPr>
          <w:color w:val="231F20"/>
        </w:rPr>
        <w:t>4). Los </w:t>
      </w:r>
      <w:r>
        <w:rPr>
          <w:color w:val="231F20"/>
          <w:spacing w:val="-3"/>
        </w:rPr>
        <w:t>valores promedio </w:t>
      </w:r>
      <w:r>
        <w:rPr>
          <w:color w:val="231F20"/>
        </w:rPr>
        <w:t>de </w:t>
      </w:r>
      <w:r>
        <w:rPr>
          <w:color w:val="231F20"/>
          <w:spacing w:val="-3"/>
        </w:rPr>
        <w:t>proteína cruda </w:t>
      </w:r>
      <w:r>
        <w:rPr>
          <w:color w:val="231F20"/>
        </w:rPr>
        <w:t>se </w:t>
      </w:r>
      <w:r>
        <w:rPr>
          <w:color w:val="231F20"/>
          <w:spacing w:val="-3"/>
        </w:rPr>
        <w:t>consideran bajos, </w:t>
      </w:r>
      <w:r>
        <w:rPr>
          <w:color w:val="231F20"/>
        </w:rPr>
        <w:t>lo </w:t>
      </w:r>
      <w:r>
        <w:rPr>
          <w:color w:val="231F20"/>
          <w:spacing w:val="-3"/>
        </w:rPr>
        <w:t>cual puede </w:t>
      </w:r>
      <w:r>
        <w:rPr>
          <w:color w:val="231F20"/>
        </w:rPr>
        <w:t>ser </w:t>
      </w:r>
      <w:r>
        <w:rPr>
          <w:color w:val="231F20"/>
          <w:spacing w:val="-3"/>
        </w:rPr>
        <w:t>limitante para cubrir </w:t>
      </w:r>
      <w:r>
        <w:rPr>
          <w:color w:val="231F20"/>
        </w:rPr>
        <w:t>los </w:t>
      </w:r>
      <w:r>
        <w:rPr>
          <w:color w:val="231F20"/>
          <w:spacing w:val="-3"/>
        </w:rPr>
        <w:t>requerimientos </w:t>
      </w:r>
      <w:r>
        <w:rPr>
          <w:color w:val="231F20"/>
        </w:rPr>
        <w:t>de </w:t>
      </w:r>
      <w:r>
        <w:rPr>
          <w:color w:val="231F20"/>
          <w:spacing w:val="-3"/>
        </w:rPr>
        <w:t>este nutriente </w:t>
      </w:r>
      <w:r>
        <w:rPr>
          <w:color w:val="231F20"/>
        </w:rPr>
        <w:t>de </w:t>
      </w:r>
      <w:r>
        <w:rPr>
          <w:color w:val="231F20"/>
          <w:spacing w:val="-3"/>
        </w:rPr>
        <w:t>una vaca </w:t>
      </w:r>
      <w:r>
        <w:rPr>
          <w:color w:val="231F20"/>
        </w:rPr>
        <w:t>en </w:t>
      </w:r>
      <w:r>
        <w:rPr>
          <w:color w:val="231F20"/>
          <w:spacing w:val="-3"/>
        </w:rPr>
        <w:t>lactación. </w:t>
      </w:r>
      <w:r>
        <w:rPr>
          <w:color w:val="231F20"/>
          <w:spacing w:val="-4"/>
        </w:rPr>
        <w:t>Por </w:t>
      </w:r>
      <w:r>
        <w:rPr>
          <w:color w:val="231F20"/>
          <w:spacing w:val="-3"/>
        </w:rPr>
        <w:t>otro lado, </w:t>
      </w:r>
      <w:r>
        <w:rPr>
          <w:color w:val="231F20"/>
        </w:rPr>
        <w:t>los </w:t>
      </w:r>
      <w:r>
        <w:rPr>
          <w:color w:val="231F20"/>
          <w:spacing w:val="-3"/>
        </w:rPr>
        <w:t>valores </w:t>
      </w:r>
      <w:r>
        <w:rPr>
          <w:color w:val="231F20"/>
        </w:rPr>
        <w:t>de </w:t>
      </w:r>
      <w:r>
        <w:rPr>
          <w:color w:val="231F20"/>
          <w:spacing w:val="-3"/>
        </w:rPr>
        <w:t>fibra detergente neutro </w:t>
      </w:r>
      <w:r>
        <w:rPr>
          <w:color w:val="231F20"/>
        </w:rPr>
        <w:t>(FDN) y fibra </w:t>
      </w:r>
      <w:r>
        <w:rPr>
          <w:color w:val="231F20"/>
          <w:spacing w:val="-3"/>
        </w:rPr>
        <w:t>ácido detergente </w:t>
      </w:r>
      <w:r>
        <w:rPr>
          <w:color w:val="231F20"/>
          <w:spacing w:val="-5"/>
        </w:rPr>
        <w:t>(FAD) </w:t>
      </w:r>
      <w:r>
        <w:rPr>
          <w:color w:val="231F20"/>
        </w:rPr>
        <w:t>son </w:t>
      </w:r>
      <w:r>
        <w:rPr>
          <w:color w:val="231F20"/>
          <w:spacing w:val="-3"/>
        </w:rPr>
        <w:t>menores </w:t>
      </w:r>
      <w:r>
        <w:rPr>
          <w:color w:val="231F20"/>
        </w:rPr>
        <w:t>que los </w:t>
      </w:r>
      <w:r>
        <w:rPr>
          <w:color w:val="231F20"/>
          <w:spacing w:val="-3"/>
        </w:rPr>
        <w:t>reportados </w:t>
      </w:r>
      <w:r>
        <w:rPr>
          <w:color w:val="231F20"/>
        </w:rPr>
        <w:t>en la </w:t>
      </w:r>
      <w:r>
        <w:rPr>
          <w:color w:val="231F20"/>
          <w:spacing w:val="-3"/>
        </w:rPr>
        <w:t>lite- ratura nacional. </w:t>
      </w:r>
      <w:r>
        <w:rPr>
          <w:color w:val="231F20"/>
        </w:rPr>
        <w:t>La </w:t>
      </w:r>
      <w:r>
        <w:rPr>
          <w:color w:val="231F20"/>
          <w:spacing w:val="-3"/>
        </w:rPr>
        <w:t>digestibilidad </w:t>
      </w:r>
      <w:r>
        <w:rPr>
          <w:color w:val="231F20"/>
        </w:rPr>
        <w:t>de </w:t>
      </w:r>
      <w:r>
        <w:rPr>
          <w:color w:val="231F20"/>
          <w:spacing w:val="-3"/>
        </w:rPr>
        <w:t>este forraje es baja, promediando </w:t>
      </w:r>
      <w:r>
        <w:rPr>
          <w:color w:val="231F20"/>
          <w:spacing w:val="-5"/>
        </w:rPr>
        <w:t>572,5 </w:t>
      </w:r>
      <w:r>
        <w:rPr>
          <w:color w:val="231F20"/>
          <w:spacing w:val="-3"/>
        </w:rPr>
        <w:t>g/kg/MS. </w:t>
      </w:r>
      <w:r>
        <w:rPr>
          <w:color w:val="231F20"/>
        </w:rPr>
        <w:t>La </w:t>
      </w:r>
      <w:r>
        <w:rPr>
          <w:color w:val="231F20"/>
          <w:spacing w:val="-3"/>
        </w:rPr>
        <w:t>energía </w:t>
      </w:r>
      <w:r>
        <w:rPr>
          <w:color w:val="231F20"/>
        </w:rPr>
        <w:t>me- </w:t>
      </w:r>
      <w:r>
        <w:rPr>
          <w:color w:val="231F20"/>
          <w:spacing w:val="-3"/>
        </w:rPr>
        <w:t>tabolizable promedio </w:t>
      </w:r>
      <w:r>
        <w:rPr>
          <w:color w:val="231F20"/>
        </w:rPr>
        <w:t>fue de 9,0  </w:t>
      </w:r>
      <w:r>
        <w:rPr>
          <w:color w:val="231F20"/>
          <w:spacing w:val="-3"/>
        </w:rPr>
        <w:t>MJ/kg/MS.</w:t>
      </w:r>
    </w:p>
    <w:p>
      <w:pPr>
        <w:pStyle w:val="BodyText"/>
        <w:spacing w:before="9"/>
        <w:rPr>
          <w:sz w:val="27"/>
        </w:rPr>
      </w:pPr>
    </w:p>
    <w:p>
      <w:pPr>
        <w:spacing w:before="0"/>
        <w:ind w:left="1553" w:right="0" w:firstLine="0"/>
        <w:jc w:val="both"/>
        <w:rPr>
          <w:i/>
          <w:sz w:val="20"/>
        </w:rPr>
      </w:pPr>
      <w:r>
        <w:rPr>
          <w:i/>
          <w:color w:val="231F20"/>
          <w:w w:val="105"/>
          <w:sz w:val="20"/>
        </w:rPr>
        <w:t>Época de estiaje</w:t>
      </w:r>
    </w:p>
    <w:p>
      <w:pPr>
        <w:pStyle w:val="BodyText"/>
        <w:spacing w:line="261" w:lineRule="auto" w:before="134"/>
        <w:ind w:left="1553"/>
        <w:jc w:val="both"/>
      </w:pPr>
      <w:r>
        <w:rPr>
          <w:color w:val="231F20"/>
        </w:rPr>
        <w:t>En la época de estiaje (diciembre-junio), el pasto disponible en los potreros es escaso y de mala calidad, por lo que los productores tienen la ne-</w:t>
      </w:r>
    </w:p>
    <w:p>
      <w:pPr>
        <w:pStyle w:val="BodyText"/>
        <w:spacing w:before="3"/>
        <w:rPr>
          <w:sz w:val="28"/>
        </w:rPr>
      </w:pPr>
      <w:r>
        <w:rPr/>
        <w:br w:type="column"/>
      </w:r>
      <w:r>
        <w:rPr>
          <w:sz w:val="28"/>
        </w:rPr>
      </w:r>
    </w:p>
    <w:p>
      <w:pPr>
        <w:pStyle w:val="BodyText"/>
        <w:spacing w:line="259" w:lineRule="auto"/>
        <w:ind w:left="413" w:right="1551"/>
        <w:jc w:val="both"/>
      </w:pPr>
      <w:r>
        <w:rPr>
          <w:color w:val="231F20"/>
        </w:rPr>
        <w:t>cesidad de suplementar concentrados a las vacas en lactación en cantidades que oscilan entre 4 y      9 kg por vaca y día. El suplemento se compone     de una mezcla de un 50% de mazorca de maíz molida (producida dentro de las unidades de pro- ducción, incluye hoja, grano y olote) y un 50% de concentrado comercial </w:t>
      </w:r>
      <w:r>
        <w:rPr>
          <w:color w:val="231F20"/>
          <w:spacing w:val="-3"/>
        </w:rPr>
        <w:t>(18% </w:t>
      </w:r>
      <w:r>
        <w:rPr>
          <w:color w:val="231F20"/>
        </w:rPr>
        <w:t>de proteína cruda). Los productores utilizan esta mezcla con el objeti- vo de eliminar costos por concepto de compra de concentrados, lo que les permite reducir la depen- dencia de granos para la alimentación animal en  un </w:t>
      </w:r>
      <w:r>
        <w:rPr>
          <w:color w:val="231F20"/>
          <w:spacing w:val="32"/>
        </w:rPr>
        <w:t> </w:t>
      </w:r>
      <w:r>
        <w:rPr>
          <w:color w:val="231F20"/>
        </w:rPr>
        <w:t>50%.</w:t>
      </w:r>
    </w:p>
    <w:p>
      <w:pPr>
        <w:pStyle w:val="BodyText"/>
        <w:spacing w:line="259" w:lineRule="auto" w:before="112"/>
        <w:ind w:left="413" w:right="1551"/>
        <w:jc w:val="both"/>
      </w:pPr>
      <w:r>
        <w:rPr>
          <w:color w:val="231F20"/>
        </w:rPr>
        <w:t>El concentrado que los productores han venido utilizando a partir de la mezcla de maíz con con- centrado comercial contiene un 14% de proteína cruda, y según la literatura internacional, las vacas en el primer tercio de la lactación requieren un mínimo del 16% de proteína cruda en la dieta. Por tanto, se propuso evaluar la respuesta productiva y la viabilidad económica de tres tipos de concentra- dos con dos cantidades de proteína cruda, 14% y 16%,  en la época de estiaje en    Zacazonapan.</w:t>
      </w:r>
    </w:p>
    <w:p>
      <w:pPr>
        <w:pStyle w:val="BodyText"/>
        <w:spacing w:line="259" w:lineRule="auto" w:before="112"/>
        <w:ind w:left="413" w:right="1551"/>
        <w:jc w:val="both"/>
      </w:pPr>
      <w:r>
        <w:rPr>
          <w:color w:val="231F20"/>
        </w:rPr>
        <w:t>Los tratamientos consistieron en: 1) tratamiento control con suplemento del productor (mezcla de maíz-mazorca con concentrado comercial 50:50, con 140 g/kg de proteína cruda) (CPr); 2) trata- miento CPr más 70 g de pasta de soya para una cantidad de proteína cruda de 160 g/kg/MS (CE);  y</w:t>
      </w:r>
    </w:p>
    <w:p>
      <w:pPr>
        <w:pStyle w:val="BodyText"/>
        <w:spacing w:line="259" w:lineRule="auto"/>
        <w:ind w:left="413" w:right="1551"/>
        <w:jc w:val="both"/>
      </w:pPr>
      <w:r>
        <w:rPr>
          <w:color w:val="231F20"/>
        </w:rPr>
        <w:t>3) un concentrado comercial (160 g/kg/MS) (CC). Cada vaca recibió 5 kg del suplemento durante la ordeña. La respuesta productiva a los diferentes suplementos se observa en el Cuadro 5. No hubo diferencias significativas (p&lt; 0,05) en las variables de respuesta animal para los tratamientos. El pro- medio de producción de leche fue de 6,8 kg por vaca y día. Los contenidos de grasa fueron bajos (20,8 g/kg), mientras que los contenidos de pro- teína se encontraron dentro de los valores norma- les. El promedio de peso fue de 495 kg, con una condición corporal de 1,6  puntos.</w:t>
      </w:r>
    </w:p>
    <w:p>
      <w:pPr>
        <w:pStyle w:val="BodyText"/>
        <w:spacing w:line="259" w:lineRule="auto" w:before="112"/>
        <w:ind w:left="413" w:right="1553"/>
        <w:jc w:val="both"/>
      </w:pPr>
      <w:r>
        <w:rPr>
          <w:color w:val="231F20"/>
        </w:rPr>
        <w:t>En el Cuadro 6 se observan los costos y retornos para los tratamientos de suplementación. El   costo</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285" w:val="left" w:leader="none"/>
        </w:tabs>
        <w:spacing w:before="64"/>
        <w:ind w:left="1551" w:right="0" w:firstLine="0"/>
        <w:jc w:val="left"/>
        <w:rPr>
          <w:sz w:val="12"/>
        </w:rPr>
      </w:pPr>
      <w:r>
        <w:rPr>
          <w:color w:val="231F20"/>
          <w:spacing w:val="-3"/>
          <w:w w:val="120"/>
          <w:sz w:val="22"/>
        </w:rPr>
        <w:t>108</w:t>
        <w:tab/>
      </w:r>
      <w:r>
        <w:rPr>
          <w:color w:val="231F20"/>
          <w:w w:val="120"/>
          <w:sz w:val="18"/>
        </w:rPr>
        <w:t>SECCIÓN 2.  B. S</w:t>
      </w:r>
      <w:r>
        <w:rPr>
          <w:color w:val="231F20"/>
          <w:w w:val="120"/>
          <w:sz w:val="12"/>
        </w:rPr>
        <w:t>iStemaS de doBle</w:t>
      </w:r>
      <w:r>
        <w:rPr>
          <w:color w:val="231F20"/>
          <w:spacing w:val="18"/>
          <w:w w:val="120"/>
          <w:sz w:val="12"/>
        </w:rPr>
        <w:t> </w:t>
      </w:r>
      <w:r>
        <w:rPr>
          <w:color w:val="231F20"/>
          <w:w w:val="120"/>
          <w:sz w:val="12"/>
        </w:rPr>
        <w:t>propóSito</w:t>
      </w:r>
    </w:p>
    <w:p>
      <w:pPr>
        <w:pStyle w:val="BodyText"/>
        <w:spacing w:before="9"/>
        <w:rPr>
          <w:sz w:val="22"/>
        </w:rPr>
      </w:pPr>
    </w:p>
    <w:p>
      <w:pPr>
        <w:spacing w:line="283" w:lineRule="auto" w:before="71"/>
        <w:ind w:left="1551" w:right="2063" w:firstLine="0"/>
        <w:jc w:val="left"/>
        <w:rPr>
          <w:sz w:val="18"/>
        </w:rPr>
      </w:pPr>
      <w:r>
        <w:rPr>
          <w:color w:val="231F20"/>
          <w:sz w:val="18"/>
        </w:rPr>
        <w:t>Cuadro 5. Promedio de cuadrados mínimos de la respuesta animal al uso de concentrados con diferente nivel de proteína cruda.</w:t>
      </w:r>
    </w:p>
    <w:p>
      <w:pPr>
        <w:pStyle w:val="BodyText"/>
        <w:spacing w:before="7" w:after="1"/>
        <w:rPr>
          <w:sz w:val="8"/>
        </w:rPr>
      </w:pPr>
    </w:p>
    <w:tbl>
      <w:tblPr>
        <w:tblW w:w="0" w:type="auto"/>
        <w:jc w:val="left"/>
        <w:tblInd w:w="154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13"/>
        <w:gridCol w:w="1134"/>
        <w:gridCol w:w="1134"/>
        <w:gridCol w:w="1134"/>
        <w:gridCol w:w="1134"/>
        <w:gridCol w:w="1134"/>
      </w:tblGrid>
      <w:tr>
        <w:trPr>
          <w:trHeight w:val="369" w:hRule="exact"/>
        </w:trPr>
        <w:tc>
          <w:tcPr>
            <w:tcW w:w="3113" w:type="dxa"/>
            <w:tcBorders>
              <w:left w:val="nil"/>
            </w:tcBorders>
          </w:tcPr>
          <w:p>
            <w:pPr>
              <w:pStyle w:val="TableParagraph"/>
              <w:spacing w:before="79"/>
              <w:ind w:left="1036" w:right="1031"/>
              <w:jc w:val="center"/>
              <w:rPr>
                <w:rFonts w:ascii="Cambria"/>
                <w:i/>
                <w:sz w:val="18"/>
              </w:rPr>
            </w:pPr>
            <w:r>
              <w:rPr>
                <w:rFonts w:ascii="Cambria"/>
                <w:i/>
                <w:color w:val="231F20"/>
                <w:w w:val="105"/>
                <w:sz w:val="18"/>
              </w:rPr>
              <w:t>Tratamiento</w:t>
            </w:r>
          </w:p>
        </w:tc>
        <w:tc>
          <w:tcPr>
            <w:tcW w:w="1134" w:type="dxa"/>
          </w:tcPr>
          <w:p>
            <w:pPr>
              <w:pStyle w:val="TableParagraph"/>
              <w:spacing w:before="79"/>
              <w:ind w:left="107" w:right="107"/>
              <w:jc w:val="center"/>
              <w:rPr>
                <w:rFonts w:ascii="Cambria"/>
                <w:i/>
                <w:sz w:val="18"/>
              </w:rPr>
            </w:pPr>
            <w:r>
              <w:rPr>
                <w:rFonts w:ascii="Cambria"/>
                <w:i/>
                <w:color w:val="231F20"/>
                <w:sz w:val="18"/>
              </w:rPr>
              <w:t>CPr</w:t>
            </w:r>
          </w:p>
        </w:tc>
        <w:tc>
          <w:tcPr>
            <w:tcW w:w="1134" w:type="dxa"/>
          </w:tcPr>
          <w:p>
            <w:pPr>
              <w:pStyle w:val="TableParagraph"/>
              <w:spacing w:before="79"/>
              <w:ind w:right="451"/>
              <w:jc w:val="right"/>
              <w:rPr>
                <w:rFonts w:ascii="Cambria"/>
                <w:i/>
                <w:sz w:val="18"/>
              </w:rPr>
            </w:pPr>
            <w:r>
              <w:rPr>
                <w:rFonts w:ascii="Cambria"/>
                <w:i/>
                <w:color w:val="231F20"/>
                <w:sz w:val="18"/>
              </w:rPr>
              <w:t>CE</w:t>
            </w:r>
          </w:p>
        </w:tc>
        <w:tc>
          <w:tcPr>
            <w:tcW w:w="1134" w:type="dxa"/>
          </w:tcPr>
          <w:p>
            <w:pPr>
              <w:pStyle w:val="TableParagraph"/>
              <w:spacing w:before="79"/>
              <w:ind w:left="449"/>
              <w:rPr>
                <w:rFonts w:ascii="Cambria"/>
                <w:i/>
                <w:sz w:val="18"/>
              </w:rPr>
            </w:pPr>
            <w:r>
              <w:rPr>
                <w:rFonts w:ascii="Cambria"/>
                <w:i/>
                <w:color w:val="231F20"/>
                <w:w w:val="115"/>
                <w:sz w:val="18"/>
              </w:rPr>
              <w:t>CC</w:t>
            </w:r>
          </w:p>
        </w:tc>
        <w:tc>
          <w:tcPr>
            <w:tcW w:w="1134" w:type="dxa"/>
          </w:tcPr>
          <w:p>
            <w:pPr>
              <w:pStyle w:val="TableParagraph"/>
              <w:spacing w:before="79"/>
              <w:ind w:left="107" w:right="107"/>
              <w:jc w:val="center"/>
              <w:rPr>
                <w:rFonts w:ascii="Cambria"/>
                <w:i/>
                <w:sz w:val="18"/>
              </w:rPr>
            </w:pPr>
            <w:r>
              <w:rPr>
                <w:rFonts w:ascii="Cambria"/>
                <w:i/>
                <w:color w:val="231F20"/>
                <w:w w:val="105"/>
                <w:sz w:val="18"/>
              </w:rPr>
              <w:t>Prom.</w:t>
            </w:r>
          </w:p>
        </w:tc>
        <w:tc>
          <w:tcPr>
            <w:tcW w:w="1134" w:type="dxa"/>
            <w:tcBorders>
              <w:right w:val="nil"/>
            </w:tcBorders>
          </w:tcPr>
          <w:p>
            <w:pPr>
              <w:pStyle w:val="TableParagraph"/>
              <w:spacing w:before="79"/>
              <w:ind w:left="370" w:right="371"/>
              <w:jc w:val="center"/>
              <w:rPr>
                <w:rFonts w:ascii="Cambria"/>
                <w:i/>
                <w:sz w:val="18"/>
              </w:rPr>
            </w:pPr>
            <w:r>
              <w:rPr>
                <w:rFonts w:ascii="Cambria"/>
                <w:i/>
                <w:color w:val="231F20"/>
                <w:sz w:val="18"/>
              </w:rPr>
              <w:t>EEM</w:t>
            </w:r>
          </w:p>
        </w:tc>
      </w:tr>
      <w:tr>
        <w:trPr>
          <w:trHeight w:val="354" w:hRule="exact"/>
        </w:trPr>
        <w:tc>
          <w:tcPr>
            <w:tcW w:w="3113" w:type="dxa"/>
            <w:tcBorders>
              <w:left w:val="nil"/>
            </w:tcBorders>
          </w:tcPr>
          <w:p>
            <w:pPr>
              <w:pStyle w:val="TableParagraph"/>
              <w:ind w:left="113"/>
              <w:rPr>
                <w:sz w:val="17"/>
              </w:rPr>
            </w:pPr>
            <w:r>
              <w:rPr>
                <w:color w:val="231F20"/>
                <w:w w:val="105"/>
                <w:sz w:val="17"/>
              </w:rPr>
              <w:t>Leche (kg/vaca/d</w:t>
            </w:r>
            <w:r>
              <w:rPr>
                <w:color w:val="231F20"/>
                <w:w w:val="105"/>
                <w:position w:val="6"/>
                <w:sz w:val="10"/>
              </w:rPr>
              <w:t>-1</w:t>
            </w:r>
            <w:r>
              <w:rPr>
                <w:color w:val="231F20"/>
                <w:w w:val="105"/>
                <w:sz w:val="17"/>
              </w:rPr>
              <w:t>)</w:t>
            </w:r>
          </w:p>
        </w:tc>
        <w:tc>
          <w:tcPr>
            <w:tcW w:w="1134" w:type="dxa"/>
          </w:tcPr>
          <w:p>
            <w:pPr>
              <w:pStyle w:val="TableParagraph"/>
              <w:ind w:left="107" w:right="58"/>
              <w:jc w:val="center"/>
              <w:rPr>
                <w:sz w:val="17"/>
              </w:rPr>
            </w:pPr>
            <w:r>
              <w:rPr>
                <w:color w:val="231F20"/>
                <w:w w:val="110"/>
                <w:sz w:val="17"/>
              </w:rPr>
              <w:t>6,7</w:t>
            </w:r>
          </w:p>
        </w:tc>
        <w:tc>
          <w:tcPr>
            <w:tcW w:w="1134" w:type="dxa"/>
          </w:tcPr>
          <w:p>
            <w:pPr>
              <w:pStyle w:val="TableParagraph"/>
              <w:ind w:right="425"/>
              <w:jc w:val="right"/>
              <w:rPr>
                <w:sz w:val="17"/>
              </w:rPr>
            </w:pPr>
            <w:r>
              <w:rPr>
                <w:color w:val="231F20"/>
                <w:w w:val="105"/>
                <w:sz w:val="17"/>
              </w:rPr>
              <w:t>6,7</w:t>
            </w:r>
          </w:p>
        </w:tc>
        <w:tc>
          <w:tcPr>
            <w:tcW w:w="1134" w:type="dxa"/>
          </w:tcPr>
          <w:p>
            <w:pPr>
              <w:pStyle w:val="TableParagraph"/>
              <w:ind w:left="476"/>
              <w:rPr>
                <w:sz w:val="17"/>
              </w:rPr>
            </w:pPr>
            <w:r>
              <w:rPr>
                <w:color w:val="231F20"/>
                <w:w w:val="110"/>
                <w:sz w:val="17"/>
              </w:rPr>
              <w:t>6,9</w:t>
            </w:r>
          </w:p>
        </w:tc>
        <w:tc>
          <w:tcPr>
            <w:tcW w:w="1134" w:type="dxa"/>
          </w:tcPr>
          <w:p>
            <w:pPr>
              <w:pStyle w:val="TableParagraph"/>
              <w:ind w:left="107" w:right="44"/>
              <w:jc w:val="center"/>
              <w:rPr>
                <w:sz w:val="17"/>
              </w:rPr>
            </w:pPr>
            <w:r>
              <w:rPr>
                <w:color w:val="231F20"/>
                <w:w w:val="110"/>
                <w:sz w:val="17"/>
              </w:rPr>
              <w:t>6,8</w:t>
            </w:r>
          </w:p>
        </w:tc>
        <w:tc>
          <w:tcPr>
            <w:tcW w:w="1134" w:type="dxa"/>
            <w:tcBorders>
              <w:right w:val="nil"/>
            </w:tcBorders>
          </w:tcPr>
          <w:p>
            <w:pPr>
              <w:pStyle w:val="TableParagraph"/>
              <w:ind w:right="320"/>
              <w:jc w:val="right"/>
              <w:rPr>
                <w:sz w:val="17"/>
              </w:rPr>
            </w:pPr>
            <w:r>
              <w:rPr>
                <w:color w:val="231F20"/>
                <w:w w:val="110"/>
                <w:sz w:val="17"/>
              </w:rPr>
              <w:t>0,26</w:t>
            </w:r>
          </w:p>
        </w:tc>
      </w:tr>
      <w:tr>
        <w:trPr>
          <w:trHeight w:val="354" w:hRule="exact"/>
        </w:trPr>
        <w:tc>
          <w:tcPr>
            <w:tcW w:w="3113" w:type="dxa"/>
            <w:tcBorders>
              <w:left w:val="nil"/>
            </w:tcBorders>
          </w:tcPr>
          <w:p>
            <w:pPr>
              <w:pStyle w:val="TableParagraph"/>
              <w:ind w:left="113"/>
              <w:rPr>
                <w:sz w:val="17"/>
              </w:rPr>
            </w:pPr>
            <w:r>
              <w:rPr>
                <w:color w:val="231F20"/>
                <w:w w:val="105"/>
                <w:sz w:val="17"/>
              </w:rPr>
              <w:t>Grasa (g/kg)</w:t>
            </w:r>
          </w:p>
        </w:tc>
        <w:tc>
          <w:tcPr>
            <w:tcW w:w="1134" w:type="dxa"/>
          </w:tcPr>
          <w:p>
            <w:pPr>
              <w:pStyle w:val="TableParagraph"/>
              <w:ind w:left="99" w:right="107"/>
              <w:jc w:val="center"/>
              <w:rPr>
                <w:sz w:val="17"/>
              </w:rPr>
            </w:pPr>
            <w:r>
              <w:rPr>
                <w:color w:val="231F20"/>
                <w:w w:val="110"/>
                <w:sz w:val="17"/>
              </w:rPr>
              <w:t>22,9</w:t>
            </w:r>
          </w:p>
        </w:tc>
        <w:tc>
          <w:tcPr>
            <w:tcW w:w="1134" w:type="dxa"/>
          </w:tcPr>
          <w:p>
            <w:pPr>
              <w:pStyle w:val="TableParagraph"/>
              <w:ind w:right="400"/>
              <w:jc w:val="right"/>
              <w:rPr>
                <w:sz w:val="17"/>
              </w:rPr>
            </w:pPr>
            <w:r>
              <w:rPr>
                <w:color w:val="231F20"/>
                <w:w w:val="110"/>
                <w:sz w:val="17"/>
              </w:rPr>
              <w:t>22,0</w:t>
            </w:r>
          </w:p>
        </w:tc>
        <w:tc>
          <w:tcPr>
            <w:tcW w:w="1134" w:type="dxa"/>
          </w:tcPr>
          <w:p>
            <w:pPr>
              <w:pStyle w:val="TableParagraph"/>
              <w:ind w:left="391"/>
              <w:rPr>
                <w:sz w:val="17"/>
              </w:rPr>
            </w:pPr>
            <w:r>
              <w:rPr>
                <w:color w:val="231F20"/>
                <w:w w:val="110"/>
                <w:sz w:val="17"/>
              </w:rPr>
              <w:t>17,4</w:t>
            </w:r>
          </w:p>
        </w:tc>
        <w:tc>
          <w:tcPr>
            <w:tcW w:w="1134" w:type="dxa"/>
          </w:tcPr>
          <w:p>
            <w:pPr>
              <w:pStyle w:val="TableParagraph"/>
              <w:ind w:left="99" w:right="107"/>
              <w:jc w:val="center"/>
              <w:rPr>
                <w:sz w:val="17"/>
              </w:rPr>
            </w:pPr>
            <w:r>
              <w:rPr>
                <w:color w:val="231F20"/>
                <w:w w:val="110"/>
                <w:sz w:val="17"/>
              </w:rPr>
              <w:t>20,8</w:t>
            </w:r>
          </w:p>
        </w:tc>
        <w:tc>
          <w:tcPr>
            <w:tcW w:w="1134" w:type="dxa"/>
            <w:tcBorders>
              <w:right w:val="nil"/>
            </w:tcBorders>
          </w:tcPr>
          <w:p>
            <w:pPr>
              <w:pStyle w:val="TableParagraph"/>
              <w:ind w:right="320"/>
              <w:jc w:val="right"/>
              <w:rPr>
                <w:sz w:val="17"/>
              </w:rPr>
            </w:pPr>
            <w:r>
              <w:rPr>
                <w:color w:val="231F20"/>
                <w:w w:val="110"/>
                <w:sz w:val="17"/>
              </w:rPr>
              <w:t>1,56</w:t>
            </w:r>
          </w:p>
        </w:tc>
      </w:tr>
      <w:tr>
        <w:trPr>
          <w:trHeight w:val="354" w:hRule="exact"/>
        </w:trPr>
        <w:tc>
          <w:tcPr>
            <w:tcW w:w="3113" w:type="dxa"/>
            <w:tcBorders>
              <w:left w:val="nil"/>
            </w:tcBorders>
          </w:tcPr>
          <w:p>
            <w:pPr>
              <w:pStyle w:val="TableParagraph"/>
              <w:ind w:left="113"/>
              <w:rPr>
                <w:sz w:val="17"/>
              </w:rPr>
            </w:pPr>
            <w:r>
              <w:rPr>
                <w:color w:val="231F20"/>
                <w:w w:val="105"/>
                <w:sz w:val="17"/>
              </w:rPr>
              <w:t>Proteína (g/kg)</w:t>
            </w:r>
          </w:p>
        </w:tc>
        <w:tc>
          <w:tcPr>
            <w:tcW w:w="1134" w:type="dxa"/>
          </w:tcPr>
          <w:p>
            <w:pPr>
              <w:pStyle w:val="TableParagraph"/>
              <w:ind w:left="99" w:right="107"/>
              <w:jc w:val="center"/>
              <w:rPr>
                <w:sz w:val="17"/>
              </w:rPr>
            </w:pPr>
            <w:r>
              <w:rPr>
                <w:color w:val="231F20"/>
                <w:w w:val="110"/>
                <w:sz w:val="17"/>
              </w:rPr>
              <w:t>31,0</w:t>
            </w:r>
          </w:p>
        </w:tc>
        <w:tc>
          <w:tcPr>
            <w:tcW w:w="1134" w:type="dxa"/>
          </w:tcPr>
          <w:p>
            <w:pPr>
              <w:pStyle w:val="TableParagraph"/>
              <w:ind w:right="400"/>
              <w:jc w:val="right"/>
              <w:rPr>
                <w:sz w:val="17"/>
              </w:rPr>
            </w:pPr>
            <w:r>
              <w:rPr>
                <w:color w:val="231F20"/>
                <w:w w:val="110"/>
                <w:sz w:val="17"/>
              </w:rPr>
              <w:t>30,8</w:t>
            </w:r>
          </w:p>
        </w:tc>
        <w:tc>
          <w:tcPr>
            <w:tcW w:w="1134" w:type="dxa"/>
          </w:tcPr>
          <w:p>
            <w:pPr>
              <w:pStyle w:val="TableParagraph"/>
              <w:ind w:left="391"/>
              <w:rPr>
                <w:sz w:val="17"/>
              </w:rPr>
            </w:pPr>
            <w:r>
              <w:rPr>
                <w:color w:val="231F20"/>
                <w:w w:val="110"/>
                <w:sz w:val="17"/>
              </w:rPr>
              <w:t>31,3</w:t>
            </w:r>
          </w:p>
        </w:tc>
        <w:tc>
          <w:tcPr>
            <w:tcW w:w="1134" w:type="dxa"/>
          </w:tcPr>
          <w:p>
            <w:pPr>
              <w:pStyle w:val="TableParagraph"/>
              <w:ind w:left="99" w:right="107"/>
              <w:jc w:val="center"/>
              <w:rPr>
                <w:sz w:val="17"/>
              </w:rPr>
            </w:pPr>
            <w:r>
              <w:rPr>
                <w:color w:val="231F20"/>
                <w:w w:val="110"/>
                <w:sz w:val="17"/>
              </w:rPr>
              <w:t>31,0</w:t>
            </w:r>
          </w:p>
        </w:tc>
        <w:tc>
          <w:tcPr>
            <w:tcW w:w="1134" w:type="dxa"/>
            <w:tcBorders>
              <w:right w:val="nil"/>
            </w:tcBorders>
          </w:tcPr>
          <w:p>
            <w:pPr>
              <w:pStyle w:val="TableParagraph"/>
              <w:ind w:right="320"/>
              <w:jc w:val="right"/>
              <w:rPr>
                <w:sz w:val="17"/>
              </w:rPr>
            </w:pPr>
            <w:r>
              <w:rPr>
                <w:color w:val="231F20"/>
                <w:w w:val="110"/>
                <w:sz w:val="17"/>
              </w:rPr>
              <w:t>0,32</w:t>
            </w:r>
          </w:p>
        </w:tc>
      </w:tr>
      <w:tr>
        <w:trPr>
          <w:trHeight w:val="354" w:hRule="exact"/>
        </w:trPr>
        <w:tc>
          <w:tcPr>
            <w:tcW w:w="3113" w:type="dxa"/>
            <w:tcBorders>
              <w:left w:val="nil"/>
            </w:tcBorders>
          </w:tcPr>
          <w:p>
            <w:pPr>
              <w:pStyle w:val="TableParagraph"/>
              <w:ind w:left="113"/>
              <w:rPr>
                <w:sz w:val="17"/>
              </w:rPr>
            </w:pPr>
            <w:r>
              <w:rPr>
                <w:color w:val="231F20"/>
                <w:w w:val="110"/>
                <w:sz w:val="17"/>
              </w:rPr>
              <w:t>NUL (mg/dl)</w:t>
            </w:r>
          </w:p>
        </w:tc>
        <w:tc>
          <w:tcPr>
            <w:tcW w:w="1134" w:type="dxa"/>
          </w:tcPr>
          <w:p>
            <w:pPr>
              <w:pStyle w:val="TableParagraph"/>
              <w:ind w:left="99" w:right="107"/>
              <w:jc w:val="center"/>
              <w:rPr>
                <w:sz w:val="17"/>
              </w:rPr>
            </w:pPr>
            <w:r>
              <w:rPr>
                <w:color w:val="231F20"/>
                <w:w w:val="110"/>
                <w:sz w:val="17"/>
              </w:rPr>
              <w:t>23,3</w:t>
            </w:r>
          </w:p>
        </w:tc>
        <w:tc>
          <w:tcPr>
            <w:tcW w:w="1134" w:type="dxa"/>
          </w:tcPr>
          <w:p>
            <w:pPr>
              <w:pStyle w:val="TableParagraph"/>
              <w:ind w:right="400"/>
              <w:jc w:val="right"/>
              <w:rPr>
                <w:sz w:val="17"/>
              </w:rPr>
            </w:pPr>
            <w:r>
              <w:rPr>
                <w:color w:val="231F20"/>
                <w:w w:val="110"/>
                <w:sz w:val="17"/>
              </w:rPr>
              <w:t>22,4</w:t>
            </w:r>
          </w:p>
        </w:tc>
        <w:tc>
          <w:tcPr>
            <w:tcW w:w="1134" w:type="dxa"/>
          </w:tcPr>
          <w:p>
            <w:pPr>
              <w:pStyle w:val="TableParagraph"/>
              <w:ind w:left="391"/>
              <w:rPr>
                <w:sz w:val="17"/>
              </w:rPr>
            </w:pPr>
            <w:r>
              <w:rPr>
                <w:color w:val="231F20"/>
                <w:w w:val="110"/>
                <w:sz w:val="17"/>
              </w:rPr>
              <w:t>29,7</w:t>
            </w:r>
          </w:p>
        </w:tc>
        <w:tc>
          <w:tcPr>
            <w:tcW w:w="1134" w:type="dxa"/>
          </w:tcPr>
          <w:p>
            <w:pPr>
              <w:pStyle w:val="TableParagraph"/>
              <w:ind w:left="99" w:right="107"/>
              <w:jc w:val="center"/>
              <w:rPr>
                <w:sz w:val="17"/>
              </w:rPr>
            </w:pPr>
            <w:r>
              <w:rPr>
                <w:color w:val="231F20"/>
                <w:w w:val="110"/>
                <w:sz w:val="17"/>
              </w:rPr>
              <w:t>25,1</w:t>
            </w:r>
          </w:p>
        </w:tc>
        <w:tc>
          <w:tcPr>
            <w:tcW w:w="1134" w:type="dxa"/>
            <w:tcBorders>
              <w:right w:val="nil"/>
            </w:tcBorders>
          </w:tcPr>
          <w:p>
            <w:pPr>
              <w:pStyle w:val="TableParagraph"/>
              <w:ind w:right="320"/>
              <w:jc w:val="right"/>
              <w:rPr>
                <w:sz w:val="17"/>
              </w:rPr>
            </w:pPr>
            <w:r>
              <w:rPr>
                <w:color w:val="231F20"/>
                <w:w w:val="110"/>
                <w:sz w:val="17"/>
              </w:rPr>
              <w:t>2,58</w:t>
            </w:r>
          </w:p>
        </w:tc>
      </w:tr>
      <w:tr>
        <w:trPr>
          <w:trHeight w:val="354" w:hRule="exact"/>
        </w:trPr>
        <w:tc>
          <w:tcPr>
            <w:tcW w:w="3113" w:type="dxa"/>
            <w:tcBorders>
              <w:left w:val="nil"/>
            </w:tcBorders>
          </w:tcPr>
          <w:p>
            <w:pPr>
              <w:pStyle w:val="TableParagraph"/>
              <w:ind w:left="113"/>
              <w:rPr>
                <w:sz w:val="17"/>
              </w:rPr>
            </w:pPr>
            <w:r>
              <w:rPr>
                <w:color w:val="231F20"/>
                <w:w w:val="105"/>
                <w:sz w:val="17"/>
              </w:rPr>
              <w:t>Peso (kg/vaca/d)</w:t>
            </w:r>
          </w:p>
        </w:tc>
        <w:tc>
          <w:tcPr>
            <w:tcW w:w="1134" w:type="dxa"/>
          </w:tcPr>
          <w:p>
            <w:pPr>
              <w:pStyle w:val="TableParagraph"/>
              <w:ind w:left="102" w:right="107"/>
              <w:jc w:val="center"/>
              <w:rPr>
                <w:sz w:val="17"/>
              </w:rPr>
            </w:pPr>
            <w:r>
              <w:rPr>
                <w:color w:val="231F20"/>
                <w:w w:val="115"/>
                <w:sz w:val="17"/>
              </w:rPr>
              <w:t>491</w:t>
            </w:r>
          </w:p>
        </w:tc>
        <w:tc>
          <w:tcPr>
            <w:tcW w:w="1134" w:type="dxa"/>
          </w:tcPr>
          <w:p>
            <w:pPr>
              <w:pStyle w:val="TableParagraph"/>
              <w:ind w:right="421"/>
              <w:jc w:val="right"/>
              <w:rPr>
                <w:sz w:val="17"/>
              </w:rPr>
            </w:pPr>
            <w:r>
              <w:rPr>
                <w:color w:val="231F20"/>
                <w:w w:val="115"/>
                <w:sz w:val="17"/>
              </w:rPr>
              <w:t>491</w:t>
            </w:r>
          </w:p>
        </w:tc>
        <w:tc>
          <w:tcPr>
            <w:tcW w:w="1134" w:type="dxa"/>
          </w:tcPr>
          <w:p>
            <w:pPr>
              <w:pStyle w:val="TableParagraph"/>
              <w:ind w:left="414"/>
              <w:rPr>
                <w:sz w:val="17"/>
              </w:rPr>
            </w:pPr>
            <w:r>
              <w:rPr>
                <w:color w:val="231F20"/>
                <w:w w:val="115"/>
                <w:sz w:val="17"/>
              </w:rPr>
              <w:t>503</w:t>
            </w:r>
          </w:p>
        </w:tc>
        <w:tc>
          <w:tcPr>
            <w:tcW w:w="1134" w:type="dxa"/>
          </w:tcPr>
          <w:p>
            <w:pPr>
              <w:pStyle w:val="TableParagraph"/>
              <w:ind w:left="107" w:right="107"/>
              <w:jc w:val="center"/>
              <w:rPr>
                <w:sz w:val="17"/>
              </w:rPr>
            </w:pPr>
            <w:r>
              <w:rPr>
                <w:color w:val="231F20"/>
                <w:w w:val="115"/>
                <w:sz w:val="17"/>
              </w:rPr>
              <w:t>495</w:t>
            </w:r>
          </w:p>
        </w:tc>
        <w:tc>
          <w:tcPr>
            <w:tcW w:w="1134" w:type="dxa"/>
            <w:tcBorders>
              <w:right w:val="nil"/>
            </w:tcBorders>
          </w:tcPr>
          <w:p>
            <w:pPr>
              <w:pStyle w:val="TableParagraph"/>
              <w:ind w:right="310"/>
              <w:jc w:val="right"/>
              <w:rPr>
                <w:sz w:val="17"/>
              </w:rPr>
            </w:pPr>
            <w:r>
              <w:rPr>
                <w:color w:val="231F20"/>
                <w:w w:val="110"/>
                <w:sz w:val="17"/>
              </w:rPr>
              <w:t>12,40</w:t>
            </w:r>
          </w:p>
        </w:tc>
      </w:tr>
      <w:tr>
        <w:trPr>
          <w:trHeight w:val="354" w:hRule="exact"/>
        </w:trPr>
        <w:tc>
          <w:tcPr>
            <w:tcW w:w="3113" w:type="dxa"/>
            <w:tcBorders>
              <w:left w:val="nil"/>
            </w:tcBorders>
          </w:tcPr>
          <w:p>
            <w:pPr>
              <w:pStyle w:val="TableParagraph"/>
              <w:ind w:left="113"/>
              <w:rPr>
                <w:sz w:val="17"/>
              </w:rPr>
            </w:pPr>
            <w:r>
              <w:rPr>
                <w:color w:val="231F20"/>
                <w:w w:val="105"/>
                <w:sz w:val="17"/>
              </w:rPr>
              <w:t>Condición corporal (1-5 puntos)</w:t>
            </w:r>
          </w:p>
        </w:tc>
        <w:tc>
          <w:tcPr>
            <w:tcW w:w="1134" w:type="dxa"/>
          </w:tcPr>
          <w:p>
            <w:pPr>
              <w:pStyle w:val="TableParagraph"/>
              <w:ind w:left="107" w:right="44"/>
              <w:jc w:val="center"/>
              <w:rPr>
                <w:sz w:val="17"/>
              </w:rPr>
            </w:pPr>
            <w:r>
              <w:rPr>
                <w:color w:val="231F20"/>
                <w:w w:val="110"/>
                <w:sz w:val="17"/>
              </w:rPr>
              <w:t>1,5</w:t>
            </w:r>
          </w:p>
        </w:tc>
        <w:tc>
          <w:tcPr>
            <w:tcW w:w="1134" w:type="dxa"/>
          </w:tcPr>
          <w:p>
            <w:pPr>
              <w:pStyle w:val="TableParagraph"/>
              <w:ind w:right="425"/>
              <w:jc w:val="right"/>
              <w:rPr>
                <w:sz w:val="17"/>
              </w:rPr>
            </w:pPr>
            <w:r>
              <w:rPr>
                <w:color w:val="231F20"/>
                <w:w w:val="105"/>
                <w:sz w:val="17"/>
              </w:rPr>
              <w:t>1,7</w:t>
            </w:r>
          </w:p>
        </w:tc>
        <w:tc>
          <w:tcPr>
            <w:tcW w:w="1134" w:type="dxa"/>
          </w:tcPr>
          <w:p>
            <w:pPr>
              <w:pStyle w:val="TableParagraph"/>
              <w:ind w:left="476"/>
              <w:rPr>
                <w:sz w:val="17"/>
              </w:rPr>
            </w:pPr>
            <w:r>
              <w:rPr>
                <w:color w:val="231F20"/>
                <w:w w:val="110"/>
                <w:sz w:val="17"/>
              </w:rPr>
              <w:t>1,5</w:t>
            </w:r>
          </w:p>
        </w:tc>
        <w:tc>
          <w:tcPr>
            <w:tcW w:w="1134" w:type="dxa"/>
          </w:tcPr>
          <w:p>
            <w:pPr>
              <w:pStyle w:val="TableParagraph"/>
              <w:ind w:left="107" w:right="44"/>
              <w:jc w:val="center"/>
              <w:rPr>
                <w:sz w:val="17"/>
              </w:rPr>
            </w:pPr>
            <w:r>
              <w:rPr>
                <w:color w:val="231F20"/>
                <w:w w:val="110"/>
                <w:sz w:val="17"/>
              </w:rPr>
              <w:t>1,6</w:t>
            </w:r>
          </w:p>
        </w:tc>
        <w:tc>
          <w:tcPr>
            <w:tcW w:w="1134" w:type="dxa"/>
            <w:tcBorders>
              <w:right w:val="nil"/>
            </w:tcBorders>
          </w:tcPr>
          <w:p>
            <w:pPr>
              <w:pStyle w:val="TableParagraph"/>
              <w:ind w:right="317"/>
              <w:jc w:val="right"/>
              <w:rPr>
                <w:sz w:val="17"/>
              </w:rPr>
            </w:pPr>
            <w:r>
              <w:rPr>
                <w:color w:val="231F20"/>
                <w:w w:val="110"/>
                <w:sz w:val="17"/>
              </w:rPr>
              <w:t>0,02</w:t>
            </w:r>
          </w:p>
        </w:tc>
      </w:tr>
    </w:tbl>
    <w:p>
      <w:pPr>
        <w:spacing w:line="261" w:lineRule="auto" w:before="77"/>
        <w:ind w:left="1665" w:right="1655" w:firstLine="0"/>
        <w:jc w:val="left"/>
        <w:rPr>
          <w:sz w:val="15"/>
        </w:rPr>
      </w:pPr>
      <w:r>
        <w:rPr>
          <w:color w:val="231F20"/>
          <w:w w:val="105"/>
          <w:sz w:val="15"/>
        </w:rPr>
        <w:t>CPr:</w:t>
      </w:r>
      <w:r>
        <w:rPr>
          <w:color w:val="231F20"/>
          <w:spacing w:val="-11"/>
          <w:w w:val="105"/>
          <w:sz w:val="15"/>
        </w:rPr>
        <w:t> </w:t>
      </w:r>
      <w:r>
        <w:rPr>
          <w:color w:val="231F20"/>
          <w:w w:val="105"/>
          <w:sz w:val="15"/>
        </w:rPr>
        <w:t>concentrado</w:t>
      </w:r>
      <w:r>
        <w:rPr>
          <w:color w:val="231F20"/>
          <w:spacing w:val="-11"/>
          <w:w w:val="105"/>
          <w:sz w:val="15"/>
        </w:rPr>
        <w:t> </w:t>
      </w:r>
      <w:r>
        <w:rPr>
          <w:color w:val="231F20"/>
          <w:w w:val="105"/>
          <w:sz w:val="15"/>
        </w:rPr>
        <w:t>del</w:t>
      </w:r>
      <w:r>
        <w:rPr>
          <w:color w:val="231F20"/>
          <w:spacing w:val="-11"/>
          <w:w w:val="105"/>
          <w:sz w:val="15"/>
        </w:rPr>
        <w:t> </w:t>
      </w:r>
      <w:r>
        <w:rPr>
          <w:color w:val="231F20"/>
          <w:w w:val="105"/>
          <w:sz w:val="15"/>
        </w:rPr>
        <w:t>productor</w:t>
      </w:r>
      <w:r>
        <w:rPr>
          <w:color w:val="231F20"/>
          <w:spacing w:val="-11"/>
          <w:w w:val="105"/>
          <w:sz w:val="15"/>
        </w:rPr>
        <w:t> </w:t>
      </w:r>
      <w:r>
        <w:rPr>
          <w:color w:val="231F20"/>
          <w:w w:val="105"/>
          <w:sz w:val="15"/>
        </w:rPr>
        <w:t>(maíz-mazorca</w:t>
      </w:r>
      <w:r>
        <w:rPr>
          <w:color w:val="231F20"/>
          <w:spacing w:val="-11"/>
          <w:w w:val="105"/>
          <w:sz w:val="15"/>
        </w:rPr>
        <w:t> </w:t>
      </w:r>
      <w:r>
        <w:rPr>
          <w:color w:val="231F20"/>
          <w:w w:val="105"/>
          <w:sz w:val="15"/>
        </w:rPr>
        <w:t>y</w:t>
      </w:r>
      <w:r>
        <w:rPr>
          <w:color w:val="231F20"/>
          <w:spacing w:val="-11"/>
          <w:w w:val="105"/>
          <w:sz w:val="15"/>
        </w:rPr>
        <w:t> </w:t>
      </w:r>
      <w:r>
        <w:rPr>
          <w:color w:val="231F20"/>
          <w:w w:val="105"/>
          <w:sz w:val="15"/>
        </w:rPr>
        <w:t>concentrado</w:t>
      </w:r>
      <w:r>
        <w:rPr>
          <w:color w:val="231F20"/>
          <w:spacing w:val="-11"/>
          <w:w w:val="105"/>
          <w:sz w:val="15"/>
        </w:rPr>
        <w:t> </w:t>
      </w:r>
      <w:r>
        <w:rPr>
          <w:color w:val="231F20"/>
          <w:w w:val="105"/>
          <w:sz w:val="15"/>
        </w:rPr>
        <w:t>comercial</w:t>
      </w:r>
      <w:r>
        <w:rPr>
          <w:color w:val="231F20"/>
          <w:spacing w:val="-11"/>
          <w:w w:val="105"/>
          <w:sz w:val="15"/>
        </w:rPr>
        <w:t> </w:t>
      </w:r>
      <w:r>
        <w:rPr>
          <w:color w:val="231F20"/>
          <w:w w:val="105"/>
          <w:sz w:val="15"/>
        </w:rPr>
        <w:t>50:50);</w:t>
      </w:r>
      <w:r>
        <w:rPr>
          <w:color w:val="231F20"/>
          <w:spacing w:val="-11"/>
          <w:w w:val="105"/>
          <w:sz w:val="15"/>
        </w:rPr>
        <w:t> </w:t>
      </w:r>
      <w:r>
        <w:rPr>
          <w:color w:val="231F20"/>
          <w:w w:val="105"/>
          <w:sz w:val="15"/>
        </w:rPr>
        <w:t>CE:</w:t>
      </w:r>
      <w:r>
        <w:rPr>
          <w:color w:val="231F20"/>
          <w:spacing w:val="-11"/>
          <w:w w:val="105"/>
          <w:sz w:val="15"/>
        </w:rPr>
        <w:t> </w:t>
      </w:r>
      <w:r>
        <w:rPr>
          <w:color w:val="231F20"/>
          <w:w w:val="105"/>
          <w:sz w:val="15"/>
        </w:rPr>
        <w:t>concentrado</w:t>
      </w:r>
      <w:r>
        <w:rPr>
          <w:color w:val="231F20"/>
          <w:spacing w:val="-11"/>
          <w:w w:val="105"/>
          <w:sz w:val="15"/>
        </w:rPr>
        <w:t> </w:t>
      </w:r>
      <w:r>
        <w:rPr>
          <w:color w:val="231F20"/>
          <w:w w:val="105"/>
          <w:sz w:val="15"/>
        </w:rPr>
        <w:t>experimental</w:t>
      </w:r>
      <w:r>
        <w:rPr>
          <w:color w:val="231F20"/>
          <w:spacing w:val="-11"/>
          <w:w w:val="105"/>
          <w:sz w:val="15"/>
        </w:rPr>
        <w:t> </w:t>
      </w:r>
      <w:r>
        <w:rPr>
          <w:color w:val="231F20"/>
          <w:w w:val="105"/>
          <w:sz w:val="15"/>
        </w:rPr>
        <w:t>(CPr</w:t>
      </w:r>
      <w:r>
        <w:rPr>
          <w:color w:val="231F20"/>
          <w:spacing w:val="-11"/>
          <w:w w:val="105"/>
          <w:sz w:val="15"/>
        </w:rPr>
        <w:t> </w:t>
      </w:r>
      <w:r>
        <w:rPr>
          <w:color w:val="231F20"/>
          <w:w w:val="105"/>
          <w:sz w:val="15"/>
        </w:rPr>
        <w:t>más</w:t>
      </w:r>
      <w:r>
        <w:rPr>
          <w:color w:val="231F20"/>
          <w:spacing w:val="-11"/>
          <w:w w:val="105"/>
          <w:sz w:val="15"/>
        </w:rPr>
        <w:t> </w:t>
      </w:r>
      <w:r>
        <w:rPr>
          <w:color w:val="231F20"/>
          <w:spacing w:val="-4"/>
          <w:w w:val="105"/>
          <w:sz w:val="15"/>
        </w:rPr>
        <w:t>70</w:t>
      </w:r>
      <w:r>
        <w:rPr>
          <w:color w:val="231F20"/>
          <w:spacing w:val="-11"/>
          <w:w w:val="105"/>
          <w:sz w:val="15"/>
        </w:rPr>
        <w:t> </w:t>
      </w:r>
      <w:r>
        <w:rPr>
          <w:color w:val="231F20"/>
          <w:w w:val="105"/>
          <w:sz w:val="15"/>
        </w:rPr>
        <w:t>g</w:t>
      </w:r>
      <w:r>
        <w:rPr>
          <w:color w:val="231F20"/>
          <w:spacing w:val="-11"/>
          <w:w w:val="105"/>
          <w:sz w:val="15"/>
        </w:rPr>
        <w:t> </w:t>
      </w:r>
      <w:r>
        <w:rPr>
          <w:color w:val="231F20"/>
          <w:w w:val="105"/>
          <w:sz w:val="15"/>
        </w:rPr>
        <w:t>de</w:t>
      </w:r>
      <w:r>
        <w:rPr>
          <w:color w:val="231F20"/>
          <w:spacing w:val="-11"/>
          <w:w w:val="105"/>
          <w:sz w:val="15"/>
        </w:rPr>
        <w:t> </w:t>
      </w:r>
      <w:r>
        <w:rPr>
          <w:color w:val="231F20"/>
          <w:w w:val="105"/>
          <w:sz w:val="15"/>
        </w:rPr>
        <w:t>pasta</w:t>
      </w:r>
      <w:r>
        <w:rPr>
          <w:color w:val="231F20"/>
          <w:spacing w:val="-11"/>
          <w:w w:val="105"/>
          <w:sz w:val="15"/>
        </w:rPr>
        <w:t> </w:t>
      </w:r>
      <w:r>
        <w:rPr>
          <w:color w:val="231F20"/>
          <w:w w:val="105"/>
          <w:sz w:val="15"/>
        </w:rPr>
        <w:t>de soya);</w:t>
      </w:r>
      <w:r>
        <w:rPr>
          <w:color w:val="231F20"/>
          <w:spacing w:val="-11"/>
          <w:w w:val="105"/>
          <w:sz w:val="15"/>
        </w:rPr>
        <w:t> </w:t>
      </w:r>
      <w:r>
        <w:rPr>
          <w:color w:val="231F20"/>
          <w:w w:val="105"/>
          <w:sz w:val="15"/>
        </w:rPr>
        <w:t>CC:</w:t>
      </w:r>
      <w:r>
        <w:rPr>
          <w:color w:val="231F20"/>
          <w:spacing w:val="-11"/>
          <w:w w:val="105"/>
          <w:sz w:val="15"/>
        </w:rPr>
        <w:t> </w:t>
      </w:r>
      <w:r>
        <w:rPr>
          <w:color w:val="231F20"/>
          <w:w w:val="105"/>
          <w:sz w:val="15"/>
        </w:rPr>
        <w:t>concentrado</w:t>
      </w:r>
      <w:r>
        <w:rPr>
          <w:color w:val="231F20"/>
          <w:spacing w:val="-11"/>
          <w:w w:val="105"/>
          <w:sz w:val="15"/>
        </w:rPr>
        <w:t> </w:t>
      </w:r>
      <w:r>
        <w:rPr>
          <w:color w:val="231F20"/>
          <w:w w:val="105"/>
          <w:sz w:val="15"/>
        </w:rPr>
        <w:t>comercial;</w:t>
      </w:r>
      <w:r>
        <w:rPr>
          <w:color w:val="231F20"/>
          <w:spacing w:val="-11"/>
          <w:w w:val="105"/>
          <w:sz w:val="15"/>
        </w:rPr>
        <w:t> </w:t>
      </w:r>
      <w:r>
        <w:rPr>
          <w:color w:val="231F20"/>
          <w:w w:val="105"/>
          <w:sz w:val="15"/>
        </w:rPr>
        <w:t>Prom.:</w:t>
      </w:r>
      <w:r>
        <w:rPr>
          <w:color w:val="231F20"/>
          <w:spacing w:val="-11"/>
          <w:w w:val="105"/>
          <w:sz w:val="15"/>
        </w:rPr>
        <w:t> </w:t>
      </w:r>
      <w:r>
        <w:rPr>
          <w:color w:val="231F20"/>
          <w:w w:val="105"/>
          <w:sz w:val="15"/>
        </w:rPr>
        <w:t>promedio;</w:t>
      </w:r>
      <w:r>
        <w:rPr>
          <w:color w:val="231F20"/>
          <w:spacing w:val="-11"/>
          <w:w w:val="105"/>
          <w:sz w:val="15"/>
        </w:rPr>
        <w:t> </w:t>
      </w:r>
      <w:r>
        <w:rPr>
          <w:color w:val="231F20"/>
          <w:w w:val="105"/>
          <w:sz w:val="15"/>
        </w:rPr>
        <w:t>EEM:</w:t>
      </w:r>
      <w:r>
        <w:rPr>
          <w:color w:val="231F20"/>
          <w:spacing w:val="-11"/>
          <w:w w:val="105"/>
          <w:sz w:val="15"/>
        </w:rPr>
        <w:t> </w:t>
      </w:r>
      <w:r>
        <w:rPr>
          <w:color w:val="231F20"/>
          <w:w w:val="105"/>
          <w:sz w:val="15"/>
        </w:rPr>
        <w:t>error</w:t>
      </w:r>
      <w:r>
        <w:rPr>
          <w:color w:val="231F20"/>
          <w:spacing w:val="-11"/>
          <w:w w:val="105"/>
          <w:sz w:val="15"/>
        </w:rPr>
        <w:t> </w:t>
      </w:r>
      <w:r>
        <w:rPr>
          <w:color w:val="231F20"/>
          <w:w w:val="105"/>
          <w:sz w:val="15"/>
        </w:rPr>
        <w:t>estándar</w:t>
      </w:r>
      <w:r>
        <w:rPr>
          <w:color w:val="231F20"/>
          <w:spacing w:val="-11"/>
          <w:w w:val="105"/>
          <w:sz w:val="15"/>
        </w:rPr>
        <w:t> </w:t>
      </w:r>
      <w:r>
        <w:rPr>
          <w:color w:val="231F20"/>
          <w:w w:val="105"/>
          <w:sz w:val="15"/>
        </w:rPr>
        <w:t>de</w:t>
      </w:r>
      <w:r>
        <w:rPr>
          <w:color w:val="231F20"/>
          <w:spacing w:val="-11"/>
          <w:w w:val="105"/>
          <w:sz w:val="15"/>
        </w:rPr>
        <w:t> </w:t>
      </w:r>
      <w:r>
        <w:rPr>
          <w:color w:val="231F20"/>
          <w:w w:val="105"/>
          <w:sz w:val="15"/>
        </w:rPr>
        <w:t>la</w:t>
      </w:r>
      <w:r>
        <w:rPr>
          <w:color w:val="231F20"/>
          <w:spacing w:val="-11"/>
          <w:w w:val="105"/>
          <w:sz w:val="15"/>
        </w:rPr>
        <w:t> </w:t>
      </w:r>
      <w:r>
        <w:rPr>
          <w:color w:val="231F20"/>
          <w:w w:val="105"/>
          <w:sz w:val="15"/>
        </w:rPr>
        <w:t>media;</w:t>
      </w:r>
      <w:r>
        <w:rPr>
          <w:color w:val="231F20"/>
          <w:spacing w:val="-11"/>
          <w:w w:val="105"/>
          <w:sz w:val="15"/>
        </w:rPr>
        <w:t> </w:t>
      </w:r>
      <w:r>
        <w:rPr>
          <w:color w:val="231F20"/>
          <w:w w:val="105"/>
          <w:sz w:val="15"/>
        </w:rPr>
        <w:t>NUL:</w:t>
      </w:r>
      <w:r>
        <w:rPr>
          <w:color w:val="231F20"/>
          <w:spacing w:val="-11"/>
          <w:w w:val="105"/>
          <w:sz w:val="15"/>
        </w:rPr>
        <w:t> </w:t>
      </w:r>
      <w:r>
        <w:rPr>
          <w:color w:val="231F20"/>
          <w:w w:val="105"/>
          <w:sz w:val="15"/>
        </w:rPr>
        <w:t>nitrógeno</w:t>
      </w:r>
      <w:r>
        <w:rPr>
          <w:color w:val="231F20"/>
          <w:spacing w:val="-11"/>
          <w:w w:val="105"/>
          <w:sz w:val="15"/>
        </w:rPr>
        <w:t> </w:t>
      </w:r>
      <w:r>
        <w:rPr>
          <w:color w:val="231F20"/>
          <w:w w:val="105"/>
          <w:sz w:val="15"/>
        </w:rPr>
        <w:t>ureico</w:t>
      </w:r>
      <w:r>
        <w:rPr>
          <w:color w:val="231F20"/>
          <w:spacing w:val="-11"/>
          <w:w w:val="105"/>
          <w:sz w:val="15"/>
        </w:rPr>
        <w:t> </w:t>
      </w:r>
      <w:r>
        <w:rPr>
          <w:color w:val="231F20"/>
          <w:w w:val="105"/>
          <w:sz w:val="15"/>
        </w:rPr>
        <w:t>en</w:t>
      </w:r>
      <w:r>
        <w:rPr>
          <w:color w:val="231F20"/>
          <w:spacing w:val="-11"/>
          <w:w w:val="105"/>
          <w:sz w:val="15"/>
        </w:rPr>
        <w:t> </w:t>
      </w:r>
      <w:r>
        <w:rPr>
          <w:color w:val="231F20"/>
          <w:w w:val="105"/>
          <w:sz w:val="15"/>
        </w:rPr>
        <w:t>leche.</w:t>
      </w:r>
    </w:p>
    <w:p>
      <w:pPr>
        <w:pStyle w:val="BodyText"/>
        <w:rPr>
          <w:sz w:val="14"/>
        </w:rPr>
      </w:pPr>
    </w:p>
    <w:p>
      <w:pPr>
        <w:pStyle w:val="BodyText"/>
        <w:spacing w:before="6"/>
        <w:rPr>
          <w:sz w:val="14"/>
        </w:rPr>
      </w:pPr>
    </w:p>
    <w:p>
      <w:pPr>
        <w:spacing w:before="1"/>
        <w:ind w:left="1551" w:right="2503" w:firstLine="0"/>
        <w:jc w:val="left"/>
        <w:rPr>
          <w:sz w:val="18"/>
        </w:rPr>
      </w:pPr>
      <w:r>
        <w:rPr>
          <w:color w:val="231F20"/>
          <w:sz w:val="18"/>
        </w:rPr>
        <w:t>Cuadro 6.       Costo por kilo de leche debido al uso de concentrados.</w:t>
      </w:r>
    </w:p>
    <w:p>
      <w:pPr>
        <w:pStyle w:val="BodyText"/>
        <w:spacing w:before="10"/>
        <w:rPr>
          <w:sz w:val="11"/>
        </w:rPr>
      </w:pPr>
    </w:p>
    <w:tbl>
      <w:tblPr>
        <w:tblW w:w="0" w:type="auto"/>
        <w:jc w:val="left"/>
        <w:tblInd w:w="154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687"/>
        <w:gridCol w:w="1701"/>
        <w:gridCol w:w="1701"/>
        <w:gridCol w:w="1701"/>
      </w:tblGrid>
      <w:tr>
        <w:trPr>
          <w:trHeight w:val="369" w:hRule="exact"/>
        </w:trPr>
        <w:tc>
          <w:tcPr>
            <w:tcW w:w="3687" w:type="dxa"/>
            <w:tcBorders>
              <w:left w:val="nil"/>
            </w:tcBorders>
          </w:tcPr>
          <w:p>
            <w:pPr>
              <w:pStyle w:val="TableParagraph"/>
              <w:spacing w:before="79"/>
              <w:ind w:left="1323" w:right="1318"/>
              <w:jc w:val="center"/>
              <w:rPr>
                <w:rFonts w:ascii="Cambria"/>
                <w:i/>
                <w:sz w:val="18"/>
              </w:rPr>
            </w:pPr>
            <w:r>
              <w:rPr>
                <w:rFonts w:ascii="Cambria"/>
                <w:i/>
                <w:color w:val="231F20"/>
                <w:w w:val="105"/>
                <w:sz w:val="18"/>
              </w:rPr>
              <w:t>Tratamiento</w:t>
            </w:r>
          </w:p>
        </w:tc>
        <w:tc>
          <w:tcPr>
            <w:tcW w:w="1701" w:type="dxa"/>
          </w:tcPr>
          <w:p>
            <w:pPr>
              <w:pStyle w:val="TableParagraph"/>
              <w:spacing w:before="79"/>
              <w:ind w:left="517" w:right="517"/>
              <w:jc w:val="center"/>
              <w:rPr>
                <w:rFonts w:ascii="Cambria"/>
                <w:i/>
                <w:sz w:val="18"/>
              </w:rPr>
            </w:pPr>
            <w:r>
              <w:rPr>
                <w:rFonts w:ascii="Cambria"/>
                <w:i/>
                <w:color w:val="231F20"/>
                <w:sz w:val="18"/>
              </w:rPr>
              <w:t>CPr</w:t>
            </w:r>
          </w:p>
        </w:tc>
        <w:tc>
          <w:tcPr>
            <w:tcW w:w="1701" w:type="dxa"/>
          </w:tcPr>
          <w:p>
            <w:pPr>
              <w:pStyle w:val="TableParagraph"/>
              <w:spacing w:before="79"/>
              <w:ind w:left="517" w:right="514"/>
              <w:jc w:val="center"/>
              <w:rPr>
                <w:rFonts w:ascii="Cambria"/>
                <w:i/>
                <w:sz w:val="18"/>
              </w:rPr>
            </w:pPr>
            <w:r>
              <w:rPr>
                <w:rFonts w:ascii="Cambria"/>
                <w:i/>
                <w:color w:val="231F20"/>
                <w:w w:val="105"/>
                <w:sz w:val="18"/>
              </w:rPr>
              <w:t>CE</w:t>
            </w:r>
          </w:p>
        </w:tc>
        <w:tc>
          <w:tcPr>
            <w:tcW w:w="1701" w:type="dxa"/>
            <w:tcBorders>
              <w:right w:val="nil"/>
            </w:tcBorders>
          </w:tcPr>
          <w:p>
            <w:pPr>
              <w:pStyle w:val="TableParagraph"/>
              <w:spacing w:before="79"/>
              <w:ind w:left="541" w:right="545"/>
              <w:jc w:val="center"/>
              <w:rPr>
                <w:rFonts w:ascii="Cambria"/>
                <w:i/>
                <w:sz w:val="18"/>
              </w:rPr>
            </w:pPr>
            <w:r>
              <w:rPr>
                <w:rFonts w:ascii="Cambria"/>
                <w:i/>
                <w:color w:val="231F20"/>
                <w:w w:val="115"/>
                <w:sz w:val="18"/>
              </w:rPr>
              <w:t>CC</w:t>
            </w:r>
          </w:p>
        </w:tc>
      </w:tr>
      <w:tr>
        <w:trPr>
          <w:trHeight w:val="354" w:hRule="exact"/>
        </w:trPr>
        <w:tc>
          <w:tcPr>
            <w:tcW w:w="3687" w:type="dxa"/>
            <w:tcBorders>
              <w:left w:val="nil"/>
            </w:tcBorders>
          </w:tcPr>
          <w:p>
            <w:pPr>
              <w:pStyle w:val="TableParagraph"/>
              <w:ind w:left="113"/>
              <w:rPr>
                <w:sz w:val="17"/>
              </w:rPr>
            </w:pPr>
            <w:r>
              <w:rPr>
                <w:color w:val="231F20"/>
                <w:sz w:val="17"/>
              </w:rPr>
              <w:t>Costo por kg de  concentrado</w:t>
            </w:r>
          </w:p>
        </w:tc>
        <w:tc>
          <w:tcPr>
            <w:tcW w:w="1701" w:type="dxa"/>
          </w:tcPr>
          <w:p>
            <w:pPr>
              <w:pStyle w:val="TableParagraph"/>
              <w:ind w:left="517" w:right="517"/>
              <w:jc w:val="center"/>
              <w:rPr>
                <w:sz w:val="17"/>
              </w:rPr>
            </w:pPr>
            <w:r>
              <w:rPr>
                <w:color w:val="231F20"/>
                <w:w w:val="105"/>
                <w:sz w:val="17"/>
              </w:rPr>
              <w:t>$3,3</w:t>
            </w:r>
          </w:p>
        </w:tc>
        <w:tc>
          <w:tcPr>
            <w:tcW w:w="1701" w:type="dxa"/>
          </w:tcPr>
          <w:p>
            <w:pPr>
              <w:pStyle w:val="TableParagraph"/>
              <w:ind w:left="517" w:right="517"/>
              <w:jc w:val="center"/>
              <w:rPr>
                <w:sz w:val="17"/>
              </w:rPr>
            </w:pPr>
            <w:r>
              <w:rPr>
                <w:color w:val="231F20"/>
                <w:w w:val="105"/>
                <w:sz w:val="17"/>
              </w:rPr>
              <w:t>$3,4</w:t>
            </w:r>
          </w:p>
        </w:tc>
        <w:tc>
          <w:tcPr>
            <w:tcW w:w="1701" w:type="dxa"/>
            <w:tcBorders>
              <w:right w:val="nil"/>
            </w:tcBorders>
          </w:tcPr>
          <w:p>
            <w:pPr>
              <w:pStyle w:val="TableParagraph"/>
              <w:ind w:left="541" w:right="545"/>
              <w:jc w:val="center"/>
              <w:rPr>
                <w:sz w:val="17"/>
              </w:rPr>
            </w:pPr>
            <w:r>
              <w:rPr>
                <w:color w:val="231F20"/>
                <w:w w:val="105"/>
                <w:sz w:val="17"/>
              </w:rPr>
              <w:t>$4,0</w:t>
            </w:r>
          </w:p>
        </w:tc>
      </w:tr>
      <w:tr>
        <w:trPr>
          <w:trHeight w:val="354" w:hRule="exact"/>
        </w:trPr>
        <w:tc>
          <w:tcPr>
            <w:tcW w:w="3687" w:type="dxa"/>
            <w:tcBorders>
              <w:left w:val="nil"/>
            </w:tcBorders>
          </w:tcPr>
          <w:p>
            <w:pPr>
              <w:pStyle w:val="TableParagraph"/>
              <w:ind w:left="113"/>
              <w:rPr>
                <w:sz w:val="17"/>
              </w:rPr>
            </w:pPr>
            <w:r>
              <w:rPr>
                <w:color w:val="231F20"/>
                <w:sz w:val="17"/>
              </w:rPr>
              <w:t>Costo total del concentrado</w:t>
            </w:r>
          </w:p>
        </w:tc>
        <w:tc>
          <w:tcPr>
            <w:tcW w:w="1701" w:type="dxa"/>
          </w:tcPr>
          <w:p>
            <w:pPr>
              <w:pStyle w:val="TableParagraph"/>
              <w:ind w:left="517" w:right="517"/>
              <w:jc w:val="center"/>
              <w:rPr>
                <w:sz w:val="17"/>
              </w:rPr>
            </w:pPr>
            <w:r>
              <w:rPr>
                <w:color w:val="231F20"/>
                <w:w w:val="110"/>
                <w:sz w:val="17"/>
              </w:rPr>
              <w:t>$6153</w:t>
            </w:r>
          </w:p>
        </w:tc>
        <w:tc>
          <w:tcPr>
            <w:tcW w:w="1701" w:type="dxa"/>
          </w:tcPr>
          <w:p>
            <w:pPr>
              <w:pStyle w:val="TableParagraph"/>
              <w:ind w:left="517" w:right="517"/>
              <w:jc w:val="center"/>
              <w:rPr>
                <w:sz w:val="17"/>
              </w:rPr>
            </w:pPr>
            <w:r>
              <w:rPr>
                <w:color w:val="231F20"/>
                <w:w w:val="110"/>
                <w:sz w:val="17"/>
              </w:rPr>
              <w:t>$6506</w:t>
            </w:r>
          </w:p>
        </w:tc>
        <w:tc>
          <w:tcPr>
            <w:tcW w:w="1701" w:type="dxa"/>
            <w:tcBorders>
              <w:right w:val="nil"/>
            </w:tcBorders>
          </w:tcPr>
          <w:p>
            <w:pPr>
              <w:pStyle w:val="TableParagraph"/>
              <w:ind w:left="541" w:right="545"/>
              <w:jc w:val="center"/>
              <w:rPr>
                <w:sz w:val="17"/>
              </w:rPr>
            </w:pPr>
            <w:r>
              <w:rPr>
                <w:color w:val="231F20"/>
                <w:w w:val="110"/>
                <w:sz w:val="17"/>
              </w:rPr>
              <w:t>$7560</w:t>
            </w:r>
          </w:p>
        </w:tc>
      </w:tr>
      <w:tr>
        <w:trPr>
          <w:trHeight w:val="354" w:hRule="exact"/>
        </w:trPr>
        <w:tc>
          <w:tcPr>
            <w:tcW w:w="3687" w:type="dxa"/>
            <w:tcBorders>
              <w:left w:val="nil"/>
            </w:tcBorders>
          </w:tcPr>
          <w:p>
            <w:pPr>
              <w:pStyle w:val="TableParagraph"/>
              <w:ind w:left="113"/>
              <w:rPr>
                <w:sz w:val="17"/>
              </w:rPr>
            </w:pPr>
            <w:r>
              <w:rPr>
                <w:color w:val="231F20"/>
                <w:sz w:val="17"/>
              </w:rPr>
              <w:t>Kg leche/tratamiento</w:t>
            </w:r>
          </w:p>
        </w:tc>
        <w:tc>
          <w:tcPr>
            <w:tcW w:w="1701" w:type="dxa"/>
          </w:tcPr>
          <w:p>
            <w:pPr>
              <w:pStyle w:val="TableParagraph"/>
              <w:ind w:left="517" w:right="518"/>
              <w:jc w:val="center"/>
              <w:rPr>
                <w:sz w:val="17"/>
              </w:rPr>
            </w:pPr>
            <w:r>
              <w:rPr>
                <w:color w:val="231F20"/>
                <w:w w:val="115"/>
                <w:sz w:val="17"/>
              </w:rPr>
              <w:t>2523</w:t>
            </w:r>
          </w:p>
        </w:tc>
        <w:tc>
          <w:tcPr>
            <w:tcW w:w="1701" w:type="dxa"/>
          </w:tcPr>
          <w:p>
            <w:pPr>
              <w:pStyle w:val="TableParagraph"/>
              <w:ind w:left="517" w:right="517"/>
              <w:jc w:val="center"/>
              <w:rPr>
                <w:sz w:val="17"/>
              </w:rPr>
            </w:pPr>
            <w:r>
              <w:rPr>
                <w:color w:val="231F20"/>
                <w:w w:val="115"/>
                <w:sz w:val="17"/>
              </w:rPr>
              <w:t>2514</w:t>
            </w:r>
          </w:p>
        </w:tc>
        <w:tc>
          <w:tcPr>
            <w:tcW w:w="1701" w:type="dxa"/>
            <w:tcBorders>
              <w:right w:val="nil"/>
            </w:tcBorders>
          </w:tcPr>
          <w:p>
            <w:pPr>
              <w:pStyle w:val="TableParagraph"/>
              <w:ind w:left="541" w:right="544"/>
              <w:jc w:val="center"/>
              <w:rPr>
                <w:sz w:val="17"/>
              </w:rPr>
            </w:pPr>
            <w:r>
              <w:rPr>
                <w:color w:val="231F20"/>
                <w:w w:val="115"/>
                <w:sz w:val="17"/>
              </w:rPr>
              <w:t>2596</w:t>
            </w:r>
          </w:p>
        </w:tc>
      </w:tr>
      <w:tr>
        <w:trPr>
          <w:trHeight w:val="354" w:hRule="exact"/>
        </w:trPr>
        <w:tc>
          <w:tcPr>
            <w:tcW w:w="3687" w:type="dxa"/>
            <w:tcBorders>
              <w:left w:val="nil"/>
            </w:tcBorders>
          </w:tcPr>
          <w:p>
            <w:pPr>
              <w:pStyle w:val="TableParagraph"/>
              <w:ind w:left="113"/>
              <w:rPr>
                <w:sz w:val="17"/>
              </w:rPr>
            </w:pPr>
            <w:r>
              <w:rPr>
                <w:color w:val="231F20"/>
                <w:sz w:val="17"/>
              </w:rPr>
              <w:t>Total de retornos en efectivo</w:t>
            </w:r>
          </w:p>
        </w:tc>
        <w:tc>
          <w:tcPr>
            <w:tcW w:w="1701" w:type="dxa"/>
          </w:tcPr>
          <w:p>
            <w:pPr>
              <w:pStyle w:val="TableParagraph"/>
              <w:ind w:left="517" w:right="522"/>
              <w:jc w:val="center"/>
              <w:rPr>
                <w:sz w:val="17"/>
              </w:rPr>
            </w:pPr>
            <w:r>
              <w:rPr>
                <w:color w:val="231F20"/>
                <w:w w:val="110"/>
                <w:sz w:val="17"/>
              </w:rPr>
              <w:t>$12 615</w:t>
            </w:r>
          </w:p>
        </w:tc>
        <w:tc>
          <w:tcPr>
            <w:tcW w:w="1701" w:type="dxa"/>
          </w:tcPr>
          <w:p>
            <w:pPr>
              <w:pStyle w:val="TableParagraph"/>
              <w:ind w:left="517" w:right="522"/>
              <w:jc w:val="center"/>
              <w:rPr>
                <w:sz w:val="17"/>
              </w:rPr>
            </w:pPr>
            <w:r>
              <w:rPr>
                <w:color w:val="231F20"/>
                <w:w w:val="110"/>
                <w:sz w:val="17"/>
              </w:rPr>
              <w:t>$12 570</w:t>
            </w:r>
          </w:p>
        </w:tc>
        <w:tc>
          <w:tcPr>
            <w:tcW w:w="1701" w:type="dxa"/>
            <w:tcBorders>
              <w:right w:val="nil"/>
            </w:tcBorders>
          </w:tcPr>
          <w:p>
            <w:pPr>
              <w:pStyle w:val="TableParagraph"/>
              <w:ind w:left="541" w:right="545"/>
              <w:jc w:val="center"/>
              <w:rPr>
                <w:sz w:val="17"/>
              </w:rPr>
            </w:pPr>
            <w:r>
              <w:rPr>
                <w:color w:val="231F20"/>
                <w:w w:val="110"/>
                <w:sz w:val="17"/>
              </w:rPr>
              <w:t>$12980</w:t>
            </w:r>
          </w:p>
        </w:tc>
      </w:tr>
      <w:tr>
        <w:trPr>
          <w:trHeight w:val="354" w:hRule="exact"/>
        </w:trPr>
        <w:tc>
          <w:tcPr>
            <w:tcW w:w="3687" w:type="dxa"/>
            <w:tcBorders>
              <w:left w:val="nil"/>
            </w:tcBorders>
          </w:tcPr>
          <w:p>
            <w:pPr>
              <w:pStyle w:val="TableParagraph"/>
              <w:ind w:left="113"/>
              <w:rPr>
                <w:sz w:val="17"/>
              </w:rPr>
            </w:pPr>
            <w:r>
              <w:rPr>
                <w:color w:val="231F20"/>
                <w:sz w:val="17"/>
              </w:rPr>
              <w:t>Margen bruto</w:t>
            </w:r>
          </w:p>
        </w:tc>
        <w:tc>
          <w:tcPr>
            <w:tcW w:w="1701" w:type="dxa"/>
          </w:tcPr>
          <w:p>
            <w:pPr>
              <w:pStyle w:val="TableParagraph"/>
              <w:ind w:left="517" w:right="517"/>
              <w:jc w:val="center"/>
              <w:rPr>
                <w:sz w:val="17"/>
              </w:rPr>
            </w:pPr>
            <w:r>
              <w:rPr>
                <w:color w:val="231F20"/>
                <w:w w:val="110"/>
                <w:sz w:val="17"/>
              </w:rPr>
              <w:t>$6462</w:t>
            </w:r>
          </w:p>
        </w:tc>
        <w:tc>
          <w:tcPr>
            <w:tcW w:w="1701" w:type="dxa"/>
          </w:tcPr>
          <w:p>
            <w:pPr>
              <w:pStyle w:val="TableParagraph"/>
              <w:ind w:left="517" w:right="517"/>
              <w:jc w:val="center"/>
              <w:rPr>
                <w:sz w:val="17"/>
              </w:rPr>
            </w:pPr>
            <w:r>
              <w:rPr>
                <w:color w:val="231F20"/>
                <w:w w:val="110"/>
                <w:sz w:val="17"/>
              </w:rPr>
              <w:t>$6065</w:t>
            </w:r>
          </w:p>
        </w:tc>
        <w:tc>
          <w:tcPr>
            <w:tcW w:w="1701" w:type="dxa"/>
            <w:tcBorders>
              <w:right w:val="nil"/>
            </w:tcBorders>
          </w:tcPr>
          <w:p>
            <w:pPr>
              <w:pStyle w:val="TableParagraph"/>
              <w:ind w:left="539" w:right="545"/>
              <w:jc w:val="center"/>
              <w:rPr>
                <w:sz w:val="17"/>
              </w:rPr>
            </w:pPr>
            <w:r>
              <w:rPr>
                <w:color w:val="231F20"/>
                <w:w w:val="110"/>
                <w:sz w:val="17"/>
              </w:rPr>
              <w:t>$5420</w:t>
            </w:r>
          </w:p>
        </w:tc>
      </w:tr>
      <w:tr>
        <w:trPr>
          <w:trHeight w:val="354" w:hRule="exact"/>
        </w:trPr>
        <w:tc>
          <w:tcPr>
            <w:tcW w:w="3687" w:type="dxa"/>
            <w:tcBorders>
              <w:left w:val="nil"/>
            </w:tcBorders>
          </w:tcPr>
          <w:p>
            <w:pPr>
              <w:pStyle w:val="TableParagraph"/>
              <w:ind w:left="113"/>
              <w:rPr>
                <w:sz w:val="17"/>
              </w:rPr>
            </w:pPr>
            <w:r>
              <w:rPr>
                <w:color w:val="231F20"/>
                <w:sz w:val="17"/>
              </w:rPr>
              <w:t>Relación gasto en efectivo/retorno</w:t>
            </w:r>
          </w:p>
        </w:tc>
        <w:tc>
          <w:tcPr>
            <w:tcW w:w="1701" w:type="dxa"/>
          </w:tcPr>
          <w:p>
            <w:pPr>
              <w:pStyle w:val="TableParagraph"/>
              <w:ind w:left="517" w:right="517"/>
              <w:jc w:val="center"/>
              <w:rPr>
                <w:sz w:val="17"/>
              </w:rPr>
            </w:pPr>
            <w:r>
              <w:rPr>
                <w:color w:val="231F20"/>
                <w:w w:val="110"/>
                <w:sz w:val="17"/>
              </w:rPr>
              <w:t>0,49</w:t>
            </w:r>
          </w:p>
        </w:tc>
        <w:tc>
          <w:tcPr>
            <w:tcW w:w="1701" w:type="dxa"/>
          </w:tcPr>
          <w:p>
            <w:pPr>
              <w:pStyle w:val="TableParagraph"/>
              <w:ind w:left="517" w:right="517"/>
              <w:jc w:val="center"/>
              <w:rPr>
                <w:sz w:val="17"/>
              </w:rPr>
            </w:pPr>
            <w:r>
              <w:rPr>
                <w:color w:val="231F20"/>
                <w:w w:val="110"/>
                <w:sz w:val="17"/>
              </w:rPr>
              <w:t>0,52</w:t>
            </w:r>
          </w:p>
        </w:tc>
        <w:tc>
          <w:tcPr>
            <w:tcW w:w="1701" w:type="dxa"/>
            <w:tcBorders>
              <w:right w:val="nil"/>
            </w:tcBorders>
          </w:tcPr>
          <w:p>
            <w:pPr>
              <w:pStyle w:val="TableParagraph"/>
              <w:ind w:left="541" w:right="545"/>
              <w:jc w:val="center"/>
              <w:rPr>
                <w:sz w:val="17"/>
              </w:rPr>
            </w:pPr>
            <w:r>
              <w:rPr>
                <w:color w:val="231F20"/>
                <w:w w:val="110"/>
                <w:sz w:val="17"/>
              </w:rPr>
              <w:t>0,58</w:t>
            </w:r>
          </w:p>
        </w:tc>
      </w:tr>
      <w:tr>
        <w:trPr>
          <w:trHeight w:val="354" w:hRule="exact"/>
        </w:trPr>
        <w:tc>
          <w:tcPr>
            <w:tcW w:w="3687" w:type="dxa"/>
            <w:tcBorders>
              <w:left w:val="nil"/>
            </w:tcBorders>
          </w:tcPr>
          <w:p>
            <w:pPr>
              <w:pStyle w:val="TableParagraph"/>
              <w:ind w:left="113"/>
              <w:rPr>
                <w:sz w:val="17"/>
              </w:rPr>
            </w:pPr>
            <w:r>
              <w:rPr>
                <w:color w:val="231F20"/>
                <w:w w:val="105"/>
                <w:sz w:val="17"/>
              </w:rPr>
              <w:t>Costo de producción $/kg de leche</w:t>
            </w:r>
          </w:p>
        </w:tc>
        <w:tc>
          <w:tcPr>
            <w:tcW w:w="1701" w:type="dxa"/>
          </w:tcPr>
          <w:p>
            <w:pPr>
              <w:pStyle w:val="TableParagraph"/>
              <w:ind w:left="517" w:right="517"/>
              <w:jc w:val="center"/>
              <w:rPr>
                <w:sz w:val="17"/>
              </w:rPr>
            </w:pPr>
            <w:r>
              <w:rPr>
                <w:color w:val="231F20"/>
                <w:w w:val="105"/>
                <w:sz w:val="17"/>
              </w:rPr>
              <w:t>$2,4</w:t>
            </w:r>
          </w:p>
        </w:tc>
        <w:tc>
          <w:tcPr>
            <w:tcW w:w="1701" w:type="dxa"/>
          </w:tcPr>
          <w:p>
            <w:pPr>
              <w:pStyle w:val="TableParagraph"/>
              <w:ind w:left="517" w:right="517"/>
              <w:jc w:val="center"/>
              <w:rPr>
                <w:sz w:val="17"/>
              </w:rPr>
            </w:pPr>
            <w:r>
              <w:rPr>
                <w:color w:val="231F20"/>
                <w:w w:val="105"/>
                <w:sz w:val="17"/>
              </w:rPr>
              <w:t>$2,6</w:t>
            </w:r>
          </w:p>
        </w:tc>
        <w:tc>
          <w:tcPr>
            <w:tcW w:w="1701" w:type="dxa"/>
            <w:tcBorders>
              <w:right w:val="nil"/>
            </w:tcBorders>
          </w:tcPr>
          <w:p>
            <w:pPr>
              <w:pStyle w:val="TableParagraph"/>
              <w:ind w:left="541" w:right="545"/>
              <w:jc w:val="center"/>
              <w:rPr>
                <w:sz w:val="17"/>
              </w:rPr>
            </w:pPr>
            <w:r>
              <w:rPr>
                <w:color w:val="231F20"/>
                <w:w w:val="105"/>
                <w:sz w:val="17"/>
              </w:rPr>
              <w:t>$2,9</w:t>
            </w:r>
          </w:p>
        </w:tc>
      </w:tr>
      <w:tr>
        <w:trPr>
          <w:trHeight w:val="354" w:hRule="exact"/>
        </w:trPr>
        <w:tc>
          <w:tcPr>
            <w:tcW w:w="3687" w:type="dxa"/>
            <w:tcBorders>
              <w:left w:val="nil"/>
            </w:tcBorders>
          </w:tcPr>
          <w:p>
            <w:pPr>
              <w:pStyle w:val="TableParagraph"/>
              <w:ind w:left="113"/>
              <w:rPr>
                <w:sz w:val="17"/>
              </w:rPr>
            </w:pPr>
            <w:r>
              <w:rPr>
                <w:color w:val="231F20"/>
                <w:sz w:val="17"/>
              </w:rPr>
              <w:t>Precio de venta $/kg de  leche</w:t>
            </w:r>
          </w:p>
        </w:tc>
        <w:tc>
          <w:tcPr>
            <w:tcW w:w="1701" w:type="dxa"/>
          </w:tcPr>
          <w:p>
            <w:pPr>
              <w:pStyle w:val="TableParagraph"/>
              <w:ind w:left="517" w:right="517"/>
              <w:jc w:val="center"/>
              <w:rPr>
                <w:sz w:val="17"/>
              </w:rPr>
            </w:pPr>
            <w:r>
              <w:rPr>
                <w:color w:val="231F20"/>
                <w:w w:val="105"/>
                <w:sz w:val="17"/>
              </w:rPr>
              <w:t>$5,0</w:t>
            </w:r>
          </w:p>
        </w:tc>
        <w:tc>
          <w:tcPr>
            <w:tcW w:w="1701" w:type="dxa"/>
          </w:tcPr>
          <w:p>
            <w:pPr>
              <w:pStyle w:val="TableParagraph"/>
              <w:ind w:left="517" w:right="517"/>
              <w:jc w:val="center"/>
              <w:rPr>
                <w:sz w:val="17"/>
              </w:rPr>
            </w:pPr>
            <w:r>
              <w:rPr>
                <w:color w:val="231F20"/>
                <w:w w:val="105"/>
                <w:sz w:val="17"/>
              </w:rPr>
              <w:t>$5,0</w:t>
            </w:r>
          </w:p>
        </w:tc>
        <w:tc>
          <w:tcPr>
            <w:tcW w:w="1701" w:type="dxa"/>
            <w:tcBorders>
              <w:right w:val="nil"/>
            </w:tcBorders>
          </w:tcPr>
          <w:p>
            <w:pPr>
              <w:pStyle w:val="TableParagraph"/>
              <w:ind w:left="541" w:right="545"/>
              <w:jc w:val="center"/>
              <w:rPr>
                <w:sz w:val="17"/>
              </w:rPr>
            </w:pPr>
            <w:r>
              <w:rPr>
                <w:color w:val="231F20"/>
                <w:w w:val="105"/>
                <w:sz w:val="17"/>
              </w:rPr>
              <w:t>$5,0</w:t>
            </w:r>
          </w:p>
        </w:tc>
      </w:tr>
      <w:tr>
        <w:trPr>
          <w:trHeight w:val="354" w:hRule="exact"/>
        </w:trPr>
        <w:tc>
          <w:tcPr>
            <w:tcW w:w="3687" w:type="dxa"/>
            <w:tcBorders>
              <w:left w:val="nil"/>
            </w:tcBorders>
          </w:tcPr>
          <w:p>
            <w:pPr>
              <w:pStyle w:val="TableParagraph"/>
              <w:ind w:left="113"/>
              <w:rPr>
                <w:sz w:val="17"/>
              </w:rPr>
            </w:pPr>
            <w:r>
              <w:rPr>
                <w:color w:val="231F20"/>
                <w:sz w:val="17"/>
              </w:rPr>
              <w:t>Margen de ganancia $/kg  leche</w:t>
            </w:r>
          </w:p>
        </w:tc>
        <w:tc>
          <w:tcPr>
            <w:tcW w:w="1701" w:type="dxa"/>
          </w:tcPr>
          <w:p>
            <w:pPr>
              <w:pStyle w:val="TableParagraph"/>
              <w:ind w:left="517" w:right="517"/>
              <w:jc w:val="center"/>
              <w:rPr>
                <w:sz w:val="17"/>
              </w:rPr>
            </w:pPr>
            <w:r>
              <w:rPr>
                <w:color w:val="231F20"/>
                <w:w w:val="105"/>
                <w:sz w:val="17"/>
              </w:rPr>
              <w:t>$2,6</w:t>
            </w:r>
          </w:p>
        </w:tc>
        <w:tc>
          <w:tcPr>
            <w:tcW w:w="1701" w:type="dxa"/>
          </w:tcPr>
          <w:p>
            <w:pPr>
              <w:pStyle w:val="TableParagraph"/>
              <w:ind w:left="517" w:right="517"/>
              <w:jc w:val="center"/>
              <w:rPr>
                <w:sz w:val="17"/>
              </w:rPr>
            </w:pPr>
            <w:r>
              <w:rPr>
                <w:color w:val="231F20"/>
                <w:w w:val="105"/>
                <w:sz w:val="17"/>
              </w:rPr>
              <w:t>$2,4</w:t>
            </w:r>
          </w:p>
        </w:tc>
        <w:tc>
          <w:tcPr>
            <w:tcW w:w="1701" w:type="dxa"/>
            <w:tcBorders>
              <w:right w:val="nil"/>
            </w:tcBorders>
          </w:tcPr>
          <w:p>
            <w:pPr>
              <w:pStyle w:val="TableParagraph"/>
              <w:ind w:left="541" w:right="545"/>
              <w:jc w:val="center"/>
              <w:rPr>
                <w:sz w:val="17"/>
              </w:rPr>
            </w:pPr>
            <w:r>
              <w:rPr>
                <w:color w:val="231F20"/>
                <w:w w:val="105"/>
                <w:sz w:val="17"/>
              </w:rPr>
              <w:t>$2,1</w:t>
            </w:r>
          </w:p>
        </w:tc>
      </w:tr>
    </w:tbl>
    <w:p>
      <w:pPr>
        <w:spacing w:before="77"/>
        <w:ind w:left="1664" w:right="2503" w:firstLine="0"/>
        <w:jc w:val="left"/>
        <w:rPr>
          <w:sz w:val="15"/>
        </w:rPr>
      </w:pPr>
      <w:r>
        <w:rPr>
          <w:color w:val="231F20"/>
          <w:sz w:val="15"/>
        </w:rPr>
        <w:t>CPr: concentrado del productor; CE: concentrado experimental; CC: concentrado   comercial.</w:t>
      </w:r>
    </w:p>
    <w:p>
      <w:pPr>
        <w:pStyle w:val="BodyText"/>
        <w:spacing w:before="7"/>
        <w:rPr>
          <w:sz w:val="29"/>
        </w:rPr>
      </w:pPr>
    </w:p>
    <w:p>
      <w:pPr>
        <w:spacing w:after="0"/>
        <w:rPr>
          <w:sz w:val="29"/>
        </w:rPr>
        <w:sectPr>
          <w:pgSz w:w="11900" w:h="14450"/>
          <w:pgMar w:header="0" w:footer="222" w:top="420" w:bottom="420" w:left="0" w:right="0"/>
        </w:sectPr>
      </w:pPr>
    </w:p>
    <w:p>
      <w:pPr>
        <w:pStyle w:val="BodyText"/>
        <w:spacing w:line="259" w:lineRule="auto" w:before="68"/>
        <w:ind w:left="1553"/>
        <w:jc w:val="both"/>
      </w:pPr>
      <w:r>
        <w:rPr>
          <w:color w:val="231F20"/>
        </w:rPr>
        <w:t>del CPr fue el más bajo ($3,3), mientras  que  el más caro fue el CC   </w:t>
      </w:r>
      <w:r>
        <w:rPr>
          <w:color w:val="231F20"/>
          <w:spacing w:val="10"/>
        </w:rPr>
        <w:t> </w:t>
      </w:r>
      <w:r>
        <w:rPr>
          <w:color w:val="231F20"/>
        </w:rPr>
        <w:t>($4,0).</w:t>
      </w:r>
    </w:p>
    <w:p>
      <w:pPr>
        <w:pStyle w:val="BodyText"/>
        <w:spacing w:line="259" w:lineRule="auto" w:before="112"/>
        <w:ind w:left="1553"/>
        <w:jc w:val="both"/>
      </w:pPr>
      <w:r>
        <w:rPr>
          <w:color w:val="231F20"/>
        </w:rPr>
        <w:t>El costo por kilo de leche producido por concepto de uso de concentrados fue de $2,4, $2,6 y $2,9   (el CPr supuso menores costos de    </w:t>
      </w:r>
      <w:r>
        <w:rPr>
          <w:color w:val="231F20"/>
          <w:spacing w:val="1"/>
        </w:rPr>
        <w:t> </w:t>
      </w:r>
      <w:r>
        <w:rPr>
          <w:color w:val="231F20"/>
        </w:rPr>
        <w:t>producción).</w:t>
      </w:r>
    </w:p>
    <w:p>
      <w:pPr>
        <w:pStyle w:val="BodyText"/>
        <w:spacing w:line="259" w:lineRule="auto" w:before="112"/>
        <w:ind w:left="1553"/>
        <w:jc w:val="both"/>
      </w:pPr>
      <w:r>
        <w:rPr>
          <w:color w:val="231F20"/>
        </w:rPr>
        <w:t>El resultado anterior muestra que el productor participante tiene una amplia experiencia sobre la cantidad de suplemento a ofrecer a sus vacas, que permite desarrollar estrategias de  suplementación</w:t>
      </w:r>
    </w:p>
    <w:p>
      <w:pPr>
        <w:pStyle w:val="BodyText"/>
        <w:spacing w:line="271" w:lineRule="auto" w:before="68"/>
        <w:ind w:left="412" w:right="1551"/>
        <w:jc w:val="both"/>
      </w:pPr>
      <w:r>
        <w:rPr/>
        <w:br w:type="column"/>
      </w:r>
      <w:r>
        <w:rPr>
          <w:color w:val="231F20"/>
        </w:rPr>
        <w:t>económicas, sin afectar a los rendimientos produc- tivos de los animales. Sin embargo, hay cosas que  el productor puede aprender y que aún es posible mejorar. Por ejemplo, el productor no sabía que al mezclar concentrado comercial al </w:t>
      </w:r>
      <w:r>
        <w:rPr>
          <w:color w:val="231F20"/>
          <w:spacing w:val="-3"/>
        </w:rPr>
        <w:t>18% </w:t>
      </w:r>
      <w:r>
        <w:rPr>
          <w:color w:val="231F20"/>
        </w:rPr>
        <w:t>de proteí- na</w:t>
      </w:r>
      <w:r>
        <w:rPr>
          <w:color w:val="231F20"/>
          <w:spacing w:val="-5"/>
        </w:rPr>
        <w:t> </w:t>
      </w:r>
      <w:r>
        <w:rPr>
          <w:color w:val="231F20"/>
        </w:rPr>
        <w:t>cruda</w:t>
      </w:r>
      <w:r>
        <w:rPr>
          <w:color w:val="231F20"/>
          <w:spacing w:val="-5"/>
        </w:rPr>
        <w:t> </w:t>
      </w:r>
      <w:r>
        <w:rPr>
          <w:color w:val="231F20"/>
        </w:rPr>
        <w:t>con</w:t>
      </w:r>
      <w:r>
        <w:rPr>
          <w:color w:val="231F20"/>
          <w:spacing w:val="-5"/>
        </w:rPr>
        <w:t> </w:t>
      </w:r>
      <w:r>
        <w:rPr>
          <w:color w:val="231F20"/>
        </w:rPr>
        <w:t>maíz-mazorca,</w:t>
      </w:r>
      <w:r>
        <w:rPr>
          <w:color w:val="231F20"/>
          <w:spacing w:val="-5"/>
        </w:rPr>
        <w:t> </w:t>
      </w:r>
      <w:r>
        <w:rPr>
          <w:color w:val="231F20"/>
        </w:rPr>
        <w:t>la</w:t>
      </w:r>
      <w:r>
        <w:rPr>
          <w:color w:val="231F20"/>
          <w:spacing w:val="-5"/>
        </w:rPr>
        <w:t> </w:t>
      </w:r>
      <w:r>
        <w:rPr>
          <w:color w:val="231F20"/>
        </w:rPr>
        <w:t>cantidad</w:t>
      </w:r>
      <w:r>
        <w:rPr>
          <w:color w:val="231F20"/>
          <w:spacing w:val="-5"/>
        </w:rPr>
        <w:t> </w:t>
      </w:r>
      <w:r>
        <w:rPr>
          <w:color w:val="231F20"/>
        </w:rPr>
        <w:t>de</w:t>
      </w:r>
      <w:r>
        <w:rPr>
          <w:color w:val="231F20"/>
          <w:spacing w:val="-5"/>
        </w:rPr>
        <w:t> </w:t>
      </w:r>
      <w:r>
        <w:rPr>
          <w:color w:val="231F20"/>
        </w:rPr>
        <w:t>proteína cruda resultante era del </w:t>
      </w:r>
      <w:r>
        <w:rPr>
          <w:color w:val="231F20"/>
          <w:spacing w:val="13"/>
        </w:rPr>
        <w:t> </w:t>
      </w:r>
      <w:r>
        <w:rPr>
          <w:color w:val="231F20"/>
          <w:spacing w:val="-3"/>
        </w:rPr>
        <w:t>14%.</w:t>
      </w:r>
    </w:p>
    <w:p>
      <w:pPr>
        <w:pStyle w:val="BodyText"/>
        <w:spacing w:line="271" w:lineRule="auto" w:before="114"/>
        <w:ind w:left="412" w:right="1551"/>
        <w:jc w:val="both"/>
      </w:pPr>
      <w:r>
        <w:rPr>
          <w:color w:val="231F20"/>
        </w:rPr>
        <w:t>La estrategia de alimentación del productor de- pende  en  un  50%  de  concentrado  comercial,  lo</w:t>
      </w:r>
    </w:p>
    <w:p>
      <w:pPr>
        <w:spacing w:after="0" w:line="27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12"/>
          <w:sz w:val="18"/>
        </w:rPr>
        <w:t>7.         </w:t>
      </w:r>
      <w:r>
        <w:rPr>
          <w:color w:val="231F20"/>
          <w:spacing w:val="-8"/>
          <w:sz w:val="18"/>
        </w:rPr>
        <w:t> </w:t>
      </w:r>
      <w:r>
        <w:rPr>
          <w:color w:val="231F20"/>
          <w:sz w:val="18"/>
        </w:rPr>
        <w:t>La producción de bovinos de doble propósito en el trópico seco del centro de</w:t>
      </w:r>
      <w:r>
        <w:rPr>
          <w:color w:val="231F20"/>
          <w:spacing w:val="13"/>
          <w:sz w:val="18"/>
        </w:rPr>
        <w:t> </w:t>
      </w:r>
      <w:r>
        <w:rPr>
          <w:color w:val="231F20"/>
          <w:sz w:val="18"/>
        </w:rPr>
        <w:t>México...</w:t>
      </w:r>
      <w:r>
        <w:rPr>
          <w:color w:val="231F20"/>
          <w:sz w:val="22"/>
        </w:rPr>
        <w:tab/>
      </w:r>
      <w:r>
        <w:rPr>
          <w:color w:val="231F20"/>
          <w:spacing w:val="-3"/>
          <w:sz w:val="22"/>
        </w:rPr>
        <w:t>109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cual la hace susceptible a variaciones del precio  del grano, para el que se tiene proyectado un in- cremento significativo. Utilizar pasta de</w:t>
      </w:r>
      <w:r>
        <w:rPr>
          <w:color w:val="231F20"/>
          <w:spacing w:val="33"/>
        </w:rPr>
        <w:t> </w:t>
      </w:r>
      <w:r>
        <w:rPr>
          <w:color w:val="231F20"/>
        </w:rPr>
        <w:t>soya</w:t>
      </w:r>
      <w:r>
        <w:rPr>
          <w:color w:val="231F20"/>
          <w:spacing w:val="6"/>
        </w:rPr>
        <w:t> </w:t>
      </w:r>
      <w:r>
        <w:rPr>
          <w:color w:val="231F20"/>
        </w:rPr>
        <w:t>como</w:t>
      </w:r>
      <w:r>
        <w:rPr>
          <w:color w:val="231F20"/>
          <w:w w:val="104"/>
        </w:rPr>
        <w:t> </w:t>
      </w:r>
      <w:r>
        <w:rPr>
          <w:color w:val="231F20"/>
        </w:rPr>
        <w:t>fuente de proteína cruda de buena calidad permi- tiría reducir la dependencia de granos del 50% a menos del 20%, y las fluctuaciones en el precio internacional de la soya impactarían en menor gra- do en los costos de producción de  los  sistemas que utilizan este tipo de</w:t>
      </w:r>
      <w:r>
        <w:rPr>
          <w:color w:val="231F20"/>
          <w:spacing w:val="35"/>
        </w:rPr>
        <w:t> </w:t>
      </w:r>
      <w:r>
        <w:rPr>
          <w:color w:val="231F20"/>
        </w:rPr>
        <w:t>estrategias.</w:t>
      </w:r>
    </w:p>
    <w:p>
      <w:pPr>
        <w:pStyle w:val="BodyText"/>
        <w:spacing w:line="256" w:lineRule="auto" w:before="113"/>
        <w:ind w:left="1553"/>
        <w:jc w:val="both"/>
      </w:pPr>
      <w:r>
        <w:rPr>
          <w:color w:val="231F20"/>
          <w:spacing w:val="-3"/>
        </w:rPr>
        <w:t>También  </w:t>
      </w:r>
      <w:r>
        <w:rPr>
          <w:color w:val="231F20"/>
        </w:rPr>
        <w:t>se encontró que el CPr y el CC genera-  ron más cantidad de nitrógeno ureico en la leche (NUL). La relevancia de esto es que el </w:t>
      </w:r>
      <w:r>
        <w:rPr>
          <w:color w:val="231F20"/>
          <w:spacing w:val="2"/>
        </w:rPr>
        <w:t>NUL </w:t>
      </w:r>
      <w:r>
        <w:rPr>
          <w:color w:val="231F20"/>
        </w:rPr>
        <w:t>está altamente correlacionado con el nitrógeno que se excreta en la orina y las heces. En sistemas intensi- vos de producción de carne y leche existe una gran presión por reducir la excreción de nitrógeno y fós- foro, por el impacto negativo que estos elementos producen en el ambiente. Por tanto, se requiere realizar mucha investigación sobre la eficiencia de la utilización de nitrógeno contenido en los dife- rentes concentrados usados por los  productores de doble propósito, y determinar el impacto que tiene su excreción en el ambiente donde se desa- rrollan estos sistemas de </w:t>
      </w:r>
      <w:r>
        <w:rPr>
          <w:color w:val="231F20"/>
          <w:spacing w:val="9"/>
        </w:rPr>
        <w:t> </w:t>
      </w:r>
      <w:r>
        <w:rPr>
          <w:color w:val="231F20"/>
        </w:rPr>
        <w:t>producción.</w:t>
      </w:r>
    </w:p>
    <w:p>
      <w:pPr>
        <w:pStyle w:val="BodyText"/>
      </w:pPr>
    </w:p>
    <w:p>
      <w:pPr>
        <w:pStyle w:val="BodyText"/>
        <w:spacing w:before="152"/>
        <w:ind w:left="1553"/>
        <w:jc w:val="both"/>
      </w:pPr>
      <w:r>
        <w:rPr>
          <w:color w:val="231F20"/>
          <w:w w:val="110"/>
        </w:rPr>
        <w:t>COSTO  DE PRODUCCIÓN DE LA  LECHE</w:t>
      </w:r>
    </w:p>
    <w:p>
      <w:pPr>
        <w:pStyle w:val="BodyText"/>
        <w:spacing w:line="256" w:lineRule="auto" w:before="130"/>
        <w:ind w:left="1553"/>
        <w:jc w:val="both"/>
      </w:pPr>
      <w:r>
        <w:rPr>
          <w:color w:val="231F20"/>
          <w:w w:val="105"/>
        </w:rPr>
        <w:t>Con el objetivo de estimar los costos de produc- 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leche,</w:t>
      </w:r>
      <w:r>
        <w:rPr>
          <w:color w:val="231F20"/>
          <w:spacing w:val="-6"/>
          <w:w w:val="105"/>
        </w:rPr>
        <w:t> </w:t>
      </w:r>
      <w:r>
        <w:rPr>
          <w:color w:val="231F20"/>
          <w:w w:val="105"/>
        </w:rPr>
        <w:t>en</w:t>
      </w:r>
      <w:r>
        <w:rPr>
          <w:color w:val="231F20"/>
          <w:spacing w:val="-6"/>
          <w:w w:val="105"/>
        </w:rPr>
        <w:t> </w:t>
      </w:r>
      <w:r>
        <w:rPr>
          <w:color w:val="231F20"/>
          <w:w w:val="105"/>
        </w:rPr>
        <w:t>2008</w:t>
      </w:r>
      <w:r>
        <w:rPr>
          <w:color w:val="231F20"/>
          <w:spacing w:val="-6"/>
          <w:w w:val="105"/>
        </w:rPr>
        <w:t> </w:t>
      </w:r>
      <w:r>
        <w:rPr>
          <w:color w:val="231F20"/>
          <w:w w:val="105"/>
        </w:rPr>
        <w:t>se</w:t>
      </w:r>
      <w:r>
        <w:rPr>
          <w:color w:val="231F20"/>
          <w:spacing w:val="-6"/>
          <w:w w:val="105"/>
        </w:rPr>
        <w:t> </w:t>
      </w:r>
      <w:r>
        <w:rPr>
          <w:color w:val="231F20"/>
          <w:w w:val="105"/>
        </w:rPr>
        <w:t>realizó</w:t>
      </w:r>
      <w:r>
        <w:rPr>
          <w:color w:val="231F20"/>
          <w:spacing w:val="-6"/>
          <w:w w:val="105"/>
        </w:rPr>
        <w:t> </w:t>
      </w:r>
      <w:r>
        <w:rPr>
          <w:color w:val="231F20"/>
          <w:w w:val="105"/>
        </w:rPr>
        <w:t>un</w:t>
      </w:r>
      <w:r>
        <w:rPr>
          <w:color w:val="231F20"/>
          <w:spacing w:val="-6"/>
          <w:w w:val="105"/>
        </w:rPr>
        <w:t> </w:t>
      </w:r>
      <w:r>
        <w:rPr>
          <w:color w:val="231F20"/>
          <w:w w:val="105"/>
        </w:rPr>
        <w:t>seguimien- to</w:t>
      </w:r>
      <w:r>
        <w:rPr>
          <w:color w:val="231F20"/>
          <w:spacing w:val="-10"/>
          <w:w w:val="105"/>
        </w:rPr>
        <w:t> </w:t>
      </w:r>
      <w:r>
        <w:rPr>
          <w:color w:val="231F20"/>
          <w:w w:val="105"/>
        </w:rPr>
        <w:t>mensual</w:t>
      </w:r>
      <w:r>
        <w:rPr>
          <w:color w:val="231F20"/>
          <w:spacing w:val="-10"/>
          <w:w w:val="105"/>
        </w:rPr>
        <w:t> </w:t>
      </w:r>
      <w:r>
        <w:rPr>
          <w:color w:val="231F20"/>
          <w:w w:val="105"/>
        </w:rPr>
        <w:t>a</w:t>
      </w:r>
      <w:r>
        <w:rPr>
          <w:color w:val="231F20"/>
          <w:spacing w:val="-10"/>
          <w:w w:val="105"/>
        </w:rPr>
        <w:t> </w:t>
      </w:r>
      <w:r>
        <w:rPr>
          <w:color w:val="231F20"/>
          <w:spacing w:val="-5"/>
          <w:w w:val="105"/>
        </w:rPr>
        <w:t>10</w:t>
      </w:r>
      <w:r>
        <w:rPr>
          <w:color w:val="231F20"/>
          <w:spacing w:val="-10"/>
          <w:w w:val="105"/>
        </w:rPr>
        <w:t> </w:t>
      </w:r>
      <w:r>
        <w:rPr>
          <w:color w:val="231F20"/>
          <w:w w:val="105"/>
        </w:rPr>
        <w:t>unidades</w:t>
      </w:r>
      <w:r>
        <w:rPr>
          <w:color w:val="231F20"/>
          <w:spacing w:val="-10"/>
          <w:w w:val="105"/>
        </w:rPr>
        <w:t> </w:t>
      </w:r>
      <w:r>
        <w:rPr>
          <w:color w:val="231F20"/>
          <w:w w:val="105"/>
        </w:rPr>
        <w:t>de</w:t>
      </w:r>
      <w:r>
        <w:rPr>
          <w:color w:val="231F20"/>
          <w:spacing w:val="-10"/>
          <w:w w:val="105"/>
        </w:rPr>
        <w:t> </w:t>
      </w:r>
      <w:r>
        <w:rPr>
          <w:color w:val="231F20"/>
          <w:w w:val="105"/>
        </w:rPr>
        <w:t>producción</w:t>
      </w:r>
      <w:r>
        <w:rPr>
          <w:color w:val="231F20"/>
          <w:spacing w:val="-10"/>
          <w:w w:val="105"/>
        </w:rPr>
        <w:t> </w:t>
      </w:r>
      <w:r>
        <w:rPr>
          <w:color w:val="231F20"/>
          <w:w w:val="105"/>
        </w:rPr>
        <w:t>de</w:t>
      </w:r>
      <w:r>
        <w:rPr>
          <w:color w:val="231F20"/>
          <w:spacing w:val="-10"/>
          <w:w w:val="105"/>
        </w:rPr>
        <w:t> </w:t>
      </w:r>
      <w:r>
        <w:rPr>
          <w:color w:val="231F20"/>
          <w:w w:val="105"/>
        </w:rPr>
        <w:t>doble propósito. Los resultados se muestran en el Cua- dro</w:t>
      </w:r>
      <w:r>
        <w:rPr>
          <w:color w:val="231F20"/>
          <w:spacing w:val="-8"/>
          <w:w w:val="105"/>
        </w:rPr>
        <w:t> </w:t>
      </w:r>
      <w:r>
        <w:rPr>
          <w:color w:val="231F20"/>
          <w:spacing w:val="-13"/>
          <w:w w:val="105"/>
        </w:rPr>
        <w:t>7,</w:t>
      </w:r>
      <w:r>
        <w:rPr>
          <w:color w:val="231F20"/>
          <w:spacing w:val="-8"/>
          <w:w w:val="105"/>
        </w:rPr>
        <w:t> </w:t>
      </w:r>
      <w:r>
        <w:rPr>
          <w:color w:val="231F20"/>
          <w:w w:val="105"/>
        </w:rPr>
        <w:t>donde</w:t>
      </w:r>
      <w:r>
        <w:rPr>
          <w:color w:val="231F20"/>
          <w:spacing w:val="-8"/>
          <w:w w:val="105"/>
        </w:rPr>
        <w:t> </w:t>
      </w:r>
      <w:r>
        <w:rPr>
          <w:color w:val="231F20"/>
          <w:w w:val="105"/>
        </w:rPr>
        <w:t>los</w:t>
      </w:r>
      <w:r>
        <w:rPr>
          <w:color w:val="231F20"/>
          <w:spacing w:val="-8"/>
          <w:w w:val="105"/>
        </w:rPr>
        <w:t> </w:t>
      </w:r>
      <w:r>
        <w:rPr>
          <w:color w:val="231F20"/>
          <w:w w:val="105"/>
        </w:rPr>
        <w:t>encabezados</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columnas</w:t>
      </w:r>
      <w:r>
        <w:rPr>
          <w:color w:val="231F20"/>
          <w:spacing w:val="-8"/>
          <w:w w:val="105"/>
        </w:rPr>
        <w:t> </w:t>
      </w:r>
      <w:r>
        <w:rPr>
          <w:color w:val="231F20"/>
          <w:w w:val="105"/>
        </w:rPr>
        <w:t>co- rresponden a cada unidad de producción y en</w:t>
      </w:r>
      <w:r>
        <w:rPr>
          <w:color w:val="231F20"/>
          <w:spacing w:val="-15"/>
          <w:w w:val="105"/>
        </w:rPr>
        <w:t> </w:t>
      </w:r>
      <w:r>
        <w:rPr>
          <w:color w:val="231F20"/>
          <w:w w:val="105"/>
        </w:rPr>
        <w:t>las hileras se presentan las variables agrupadas en factores, como escala, sistema, precios y costos, medidas</w:t>
      </w:r>
      <w:r>
        <w:rPr>
          <w:color w:val="231F20"/>
          <w:spacing w:val="-20"/>
          <w:w w:val="105"/>
        </w:rPr>
        <w:t> </w:t>
      </w:r>
      <w:r>
        <w:rPr>
          <w:color w:val="231F20"/>
          <w:w w:val="105"/>
        </w:rPr>
        <w:t>sumarias</w:t>
      </w:r>
      <w:r>
        <w:rPr>
          <w:color w:val="231F20"/>
          <w:spacing w:val="-20"/>
          <w:w w:val="105"/>
        </w:rPr>
        <w:t> </w:t>
      </w:r>
      <w:r>
        <w:rPr>
          <w:color w:val="231F20"/>
          <w:w w:val="105"/>
        </w:rPr>
        <w:t>y</w:t>
      </w:r>
      <w:r>
        <w:rPr>
          <w:color w:val="231F20"/>
          <w:spacing w:val="-20"/>
          <w:w w:val="105"/>
        </w:rPr>
        <w:t> </w:t>
      </w:r>
      <w:r>
        <w:rPr>
          <w:color w:val="231F20"/>
          <w:w w:val="105"/>
        </w:rPr>
        <w:t>costos</w:t>
      </w:r>
      <w:r>
        <w:rPr>
          <w:color w:val="231F20"/>
          <w:spacing w:val="-20"/>
          <w:w w:val="105"/>
        </w:rPr>
        <w:t> </w:t>
      </w:r>
      <w:r>
        <w:rPr>
          <w:color w:val="231F20"/>
          <w:w w:val="105"/>
        </w:rPr>
        <w:t>totales.</w:t>
      </w:r>
    </w:p>
    <w:p>
      <w:pPr>
        <w:pStyle w:val="BodyText"/>
        <w:spacing w:line="256" w:lineRule="auto" w:before="113"/>
        <w:ind w:left="1553"/>
        <w:jc w:val="both"/>
      </w:pPr>
      <w:r>
        <w:rPr>
          <w:color w:val="231F20"/>
        </w:rPr>
        <w:t>El costo de producción promedio por litro de leche fue de $3,50. Si se divide el costo por época del año, se tiene que en la época de secas el costo fue de $4,40, mayor que el precio pagado al produc- tor, que fue de $4,00, mientras que en la época de lluvias fue de  $2,50.</w:t>
      </w:r>
    </w:p>
    <w:p>
      <w:pPr>
        <w:pStyle w:val="BodyText"/>
        <w:spacing w:before="3"/>
        <w:rPr>
          <w:sz w:val="28"/>
        </w:rPr>
      </w:pPr>
      <w:r>
        <w:rPr/>
        <w:br w:type="column"/>
      </w:r>
      <w:r>
        <w:rPr>
          <w:sz w:val="28"/>
        </w:rPr>
      </w:r>
    </w:p>
    <w:p>
      <w:pPr>
        <w:pStyle w:val="BodyText"/>
        <w:spacing w:line="261" w:lineRule="auto"/>
        <w:ind w:left="412" w:right="1551"/>
        <w:jc w:val="both"/>
      </w:pPr>
      <w:r>
        <w:rPr>
          <w:color w:val="231F20"/>
        </w:rPr>
        <w:t>En el Cuadro 7 también se observa que las unida- des de producción 1 y 6 obtuvieron el mayor pre- cio pagado en relación al resto de los productores ($4,62 y $4,35 por litro). En el primer caso, es un productor que a mediados de 2008 decidió co- mercializar directamente el 50% de su producción de leche (precio de venta $6,0 el litro), mientras que el restante 50% lo transformó en queso, por   el que obtuvo </w:t>
      </w:r>
      <w:r>
        <w:rPr>
          <w:color w:val="231F20"/>
          <w:spacing w:val="-4"/>
        </w:rPr>
        <w:t>$120 </w:t>
      </w:r>
      <w:r>
        <w:rPr>
          <w:color w:val="231F20"/>
        </w:rPr>
        <w:t>por kilo. En el caso de la uni- dad de producción 6, a partir de agosto de 2008 comercializó la leche directamente y obtuvo </w:t>
      </w:r>
      <w:r>
        <w:rPr>
          <w:color w:val="231F20"/>
          <w:spacing w:val="41"/>
        </w:rPr>
        <w:t> </w:t>
      </w:r>
      <w:r>
        <w:rPr>
          <w:color w:val="231F20"/>
        </w:rPr>
        <w:t>entre</w:t>
      </w:r>
    </w:p>
    <w:p>
      <w:pPr>
        <w:pStyle w:val="BodyText"/>
        <w:spacing w:line="261" w:lineRule="auto" w:before="1"/>
        <w:ind w:left="412" w:right="1551"/>
        <w:jc w:val="both"/>
      </w:pPr>
      <w:r>
        <w:rPr>
          <w:color w:val="231F20"/>
        </w:rPr>
        <w:t>$4,50 y $5,00, principalmente fuera de la comu- nidad, a diferencia del resto de los productores.     El costo de los concentrados (mezcla de con- centrado comercial y maíz molido propio) osciló entre $2,00 y $3,60 el kilo. La crisis energética y alimentaria ocasionó, a finales de </w:t>
      </w:r>
      <w:r>
        <w:rPr>
          <w:color w:val="231F20"/>
          <w:spacing w:val="-4"/>
        </w:rPr>
        <w:t>2007 </w:t>
      </w:r>
      <w:r>
        <w:rPr>
          <w:color w:val="231F20"/>
        </w:rPr>
        <w:t>y durante todo 2008, que el precio del maíz y de los granos en general se incrementara de forma significativa. El  precio  del  concentrado  comercial  osciló</w:t>
      </w:r>
      <w:r>
        <w:rPr>
          <w:color w:val="231F20"/>
          <w:spacing w:val="38"/>
        </w:rPr>
        <w:t> </w:t>
      </w:r>
      <w:r>
        <w:rPr>
          <w:color w:val="231F20"/>
        </w:rPr>
        <w:t>entre</w:t>
      </w:r>
    </w:p>
    <w:p>
      <w:pPr>
        <w:pStyle w:val="BodyText"/>
        <w:spacing w:line="261" w:lineRule="auto" w:before="1"/>
        <w:ind w:left="412" w:right="1551"/>
        <w:jc w:val="both"/>
      </w:pPr>
      <w:r>
        <w:rPr>
          <w:color w:val="231F20"/>
        </w:rPr>
        <w:t>$3,50 y $4,40 por kilo,  mientras  que  el  del  kilo de maíz osciló entre $2,00 y $2,30. Es importante recordar que la mayor parte de los productores utilizan maíz producido en la misma unidad de producción para la alimentación del ganado. En este caso, y para efectos de determinar los costos de producción por litro de leche, se consideró un costo de oportunidad del kilo de maíz de acuerdo con el precio de </w:t>
      </w:r>
      <w:r>
        <w:rPr>
          <w:color w:val="231F20"/>
          <w:spacing w:val="27"/>
        </w:rPr>
        <w:t> </w:t>
      </w:r>
      <w:r>
        <w:rPr>
          <w:color w:val="231F20"/>
        </w:rPr>
        <w:t>mercado.</w:t>
      </w:r>
    </w:p>
    <w:p>
      <w:pPr>
        <w:pStyle w:val="BodyText"/>
        <w:spacing w:line="261" w:lineRule="auto" w:before="114"/>
        <w:ind w:left="412" w:right="1551"/>
        <w:jc w:val="both"/>
      </w:pPr>
      <w:r>
        <w:rPr>
          <w:color w:val="231F20"/>
        </w:rPr>
        <w:t>En el Cuadro 8 se muestra la proporción que re- presenta cada rubro en el costo del litro de leche, en el cual se observa que los concentrados y la mano de obra suponen el 86% del costo de pro- ducción. El resto de los rubros solamente repre- sentan el 14%  del costo total de   producción.</w:t>
      </w:r>
    </w:p>
    <w:p>
      <w:pPr>
        <w:pStyle w:val="BodyText"/>
        <w:spacing w:line="261" w:lineRule="auto" w:before="114"/>
        <w:ind w:left="412" w:right="1551"/>
        <w:jc w:val="both"/>
      </w:pPr>
      <w:r>
        <w:rPr>
          <w:color w:val="231F20"/>
        </w:rPr>
        <w:t>Debido a que al menos el 50% de  la  mano  de  obra es familiar, y no se hacen erogaciones en efectivo en este rubro porque los miembros de la familia gozan de las ganancias del sistema, el costo de los concentrados es el más significativo en el costo</w:t>
      </w:r>
      <w:r>
        <w:rPr>
          <w:color w:val="231F20"/>
          <w:spacing w:val="24"/>
        </w:rPr>
        <w:t> </w:t>
      </w:r>
      <w:r>
        <w:rPr>
          <w:color w:val="231F20"/>
        </w:rPr>
        <w:t>total</w:t>
      </w:r>
      <w:r>
        <w:rPr>
          <w:color w:val="231F20"/>
          <w:spacing w:val="24"/>
        </w:rPr>
        <w:t> </w:t>
      </w:r>
      <w:r>
        <w:rPr>
          <w:color w:val="231F20"/>
        </w:rPr>
        <w:t>de</w:t>
      </w:r>
      <w:r>
        <w:rPr>
          <w:color w:val="231F20"/>
          <w:spacing w:val="24"/>
        </w:rPr>
        <w:t> </w:t>
      </w:r>
      <w:r>
        <w:rPr>
          <w:color w:val="231F20"/>
        </w:rPr>
        <w:t>producción</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litro</w:t>
      </w:r>
      <w:r>
        <w:rPr>
          <w:color w:val="231F20"/>
          <w:spacing w:val="24"/>
        </w:rPr>
        <w:t> </w:t>
      </w:r>
      <w:r>
        <w:rPr>
          <w:color w:val="231F20"/>
        </w:rPr>
        <w:t>de</w:t>
      </w:r>
      <w:r>
        <w:rPr>
          <w:color w:val="231F20"/>
          <w:spacing w:val="24"/>
        </w:rPr>
        <w:t> </w:t>
      </w:r>
      <w:r>
        <w:rPr>
          <w:color w:val="231F20"/>
        </w:rPr>
        <w:t>leche,</w:t>
      </w:r>
      <w:r>
        <w:rPr>
          <w:color w:val="231F20"/>
          <w:spacing w:val="24"/>
        </w:rPr>
        <w:t> </w:t>
      </w:r>
      <w:r>
        <w:rPr>
          <w:color w:val="231F20"/>
        </w:rPr>
        <w:t>lo</w:t>
      </w:r>
    </w:p>
    <w:p>
      <w:pPr>
        <w:spacing w:after="0" w:line="261" w:lineRule="auto"/>
        <w:jc w:val="both"/>
        <w:sectPr>
          <w:type w:val="continuous"/>
          <w:pgSz w:w="11900" w:h="14450"/>
          <w:pgMar w:top="420" w:bottom="420" w:left="0" w:right="0"/>
          <w:cols w:num="2" w:equalWidth="0">
            <w:col w:w="5722" w:space="40"/>
            <w:col w:w="6138"/>
          </w:cols>
        </w:sectPr>
      </w:pPr>
    </w:p>
    <w:p>
      <w:pPr>
        <w:pStyle w:val="BodyText"/>
        <w:tabs>
          <w:tab w:pos="14023" w:val="left" w:leader="none"/>
        </w:tabs>
        <w:ind w:left="417"/>
      </w:pPr>
      <w:r>
        <w:rPr/>
        <w:pict>
          <v:line style="position:absolute;mso-position-horizontal-relative:page;mso-position-vertical-relative:page;z-index:2776" from="701.31488pt,579.755981pt" to="701.31488pt,594.755981pt" stroked="true" strokeweight=".25pt" strokecolor="#000000">
            <w10:wrap type="none"/>
          </v:line>
        </w:pict>
      </w:r>
      <w:r>
        <w:rPr/>
        <w:pict>
          <v:line style="position:absolute;mso-position-horizontal-relative:page;mso-position-vertical-relative:page;z-index:2800" from="20.999901pt,579.755981pt" to="20.999901pt,594.755981pt" stroked="true" strokeweight=".25pt" strokecolor="#000000">
            <w10:wrap type="none"/>
          </v:line>
        </w:pict>
      </w:r>
      <w:r>
        <w:rPr/>
        <w:pict>
          <v:line style="position:absolute;mso-position-horizontal-relative:page;mso-position-vertical-relative:page;z-index:2872" from="707.31488pt,573.755981pt" to="722.31488pt,573.755981pt" stroked="true" strokeweight=".25pt" strokecolor="#000000">
            <w10:wrap type="none"/>
          </v:line>
        </w:pict>
      </w:r>
      <w:r>
        <w:rPr/>
        <w:pict>
          <v:line style="position:absolute;mso-position-horizontal-relative:page;mso-position-vertical-relative:page;z-index:-494008" from="14.9999pt,573.755981pt" to="-.0001pt,573.755981pt" stroked="true" strokeweight=".25pt" strokecolor="#000000">
            <w10:wrap type="none"/>
          </v:line>
        </w:pict>
      </w:r>
      <w:r>
        <w:rPr/>
        <w:pict>
          <v:group style="width:.25pt;height:15.25pt;mso-position-horizontal-relative:char;mso-position-vertical-relative:line" coordorigin="0,0" coordsize="5,305">
            <v:line style="position:absolute" from="3,303" to="3,3" stroked="true" strokeweight=".25pt" strokecolor="#000000"/>
          </v:group>
        </w:pict>
      </w:r>
      <w:r>
        <w:rPr/>
      </w:r>
      <w:r>
        <w:rPr/>
        <w:tab/>
      </w:r>
      <w:r>
        <w:rPr/>
        <w:pict>
          <v:group style="width:.25pt;height:15.25pt;mso-position-horizontal-relative:char;mso-position-vertical-relative:line" coordorigin="0,0" coordsize="5,305">
            <v:line style="position:absolute" from="3,303" to="2,3" stroked="true" strokeweight=".25pt" strokecolor="#000000"/>
          </v:group>
        </w:pict>
      </w:r>
      <w:r>
        <w:rPr/>
      </w:r>
    </w:p>
    <w:p>
      <w:pPr>
        <w:pStyle w:val="BodyText"/>
      </w:pPr>
    </w:p>
    <w:p>
      <w:pPr>
        <w:pStyle w:val="BodyText"/>
      </w:pPr>
    </w:p>
    <w:p>
      <w:pPr>
        <w:pStyle w:val="BodyText"/>
      </w:pPr>
    </w:p>
    <w:p>
      <w:pPr>
        <w:pStyle w:val="BodyText"/>
        <w:spacing w:before="3"/>
        <w:rPr>
          <w:sz w:val="24"/>
        </w:rPr>
      </w:pPr>
    </w:p>
    <w:p>
      <w:pPr>
        <w:spacing w:before="72"/>
        <w:ind w:left="1440" w:right="0" w:firstLine="0"/>
        <w:jc w:val="left"/>
        <w:rPr>
          <w:sz w:val="18"/>
        </w:rPr>
      </w:pPr>
      <w:r>
        <w:rPr/>
        <w:pict>
          <v:line style="position:absolute;mso-position-horizontal-relative:page;mso-position-vertical-relative:paragraph;z-index:-494152" from="262.511802pt,39.169665pt" to="72.068802pt,18.821665pt" stroked="true" strokeweight=".5pt" strokecolor="#231f20">
            <w10:wrap type="none"/>
          </v:line>
        </w:pict>
      </w:r>
      <w:r>
        <w:rPr/>
        <w:pict>
          <v:line style="position:absolute;mso-position-horizontal-relative:page;mso-position-vertical-relative:paragraph;z-index:2824" from="707.31488pt,-48.420937pt" to="722.31488pt,-48.420937pt" stroked="true" strokeweight=".25pt" strokecolor="#000000">
            <w10:wrap type="none"/>
          </v:line>
        </w:pict>
      </w:r>
      <w:r>
        <w:rPr/>
        <w:pict>
          <v:line style="position:absolute;mso-position-horizontal-relative:page;mso-position-vertical-relative:paragraph;z-index:2848" from="14.9999pt,-48.420937pt" to="-.0001pt,-48.420937pt" stroked="true" strokeweight=".25pt" strokecolor="#000000">
            <w10:wrap type="none"/>
          </v:line>
        </w:pict>
      </w:r>
      <w:r>
        <w:rPr/>
        <w:pict>
          <v:shape style="position:absolute;margin-left:649.359863pt;margin-top:7.159765pt;width:13pt;height:19.9pt;mso-position-horizontal-relative:page;mso-position-vertical-relative:paragraph;z-index:2920" type="#_x0000_t202" filled="false" stroked="false">
            <v:textbox inset="0,0,0,0" style="layout-flow:vertical">
              <w:txbxContent>
                <w:p>
                  <w:pPr>
                    <w:spacing w:line="252" w:lineRule="exact" w:before="0"/>
                    <w:ind w:left="20" w:right="-138" w:firstLine="0"/>
                    <w:jc w:val="left"/>
                    <w:rPr>
                      <w:sz w:val="22"/>
                    </w:rPr>
                  </w:pPr>
                  <w:r>
                    <w:rPr>
                      <w:color w:val="231F20"/>
                      <w:spacing w:val="-9"/>
                      <w:w w:val="115"/>
                      <w:sz w:val="22"/>
                    </w:rPr>
                    <w:t>110</w:t>
                  </w:r>
                </w:p>
              </w:txbxContent>
            </v:textbox>
            <w10:wrap type="none"/>
          </v:shape>
        </w:pict>
      </w:r>
      <w:r>
        <w:rPr>
          <w:color w:val="231F20"/>
          <w:w w:val="105"/>
          <w:sz w:val="18"/>
        </w:rPr>
        <w:t>Cuadro 7.   Concentrado de análisis económico de diez unidades de producción de doble propósito de Zacazonapan (2008).</w:t>
      </w:r>
    </w:p>
    <w:p>
      <w:pPr>
        <w:pStyle w:val="BodyText"/>
        <w:spacing w:before="2"/>
        <w:rPr>
          <w:sz w:val="7"/>
        </w:rPr>
      </w:pPr>
    </w:p>
    <w:tbl>
      <w:tblPr>
        <w:tblW w:w="0" w:type="auto"/>
        <w:jc w:val="left"/>
        <w:tblInd w:w="143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93"/>
        <w:gridCol w:w="737"/>
        <w:gridCol w:w="737"/>
        <w:gridCol w:w="737"/>
        <w:gridCol w:w="737"/>
        <w:gridCol w:w="737"/>
        <w:gridCol w:w="737"/>
        <w:gridCol w:w="737"/>
        <w:gridCol w:w="737"/>
        <w:gridCol w:w="737"/>
        <w:gridCol w:w="737"/>
      </w:tblGrid>
      <w:tr>
        <w:trPr>
          <w:trHeight w:val="420" w:hRule="exact"/>
        </w:trPr>
        <w:tc>
          <w:tcPr>
            <w:tcW w:w="3793" w:type="dxa"/>
            <w:tcBorders>
              <w:left w:val="nil"/>
            </w:tcBorders>
          </w:tcPr>
          <w:p>
            <w:pPr>
              <w:pStyle w:val="TableParagraph"/>
              <w:spacing w:line="184" w:lineRule="exact" w:before="26"/>
              <w:ind w:left="1817"/>
              <w:rPr>
                <w:rFonts w:ascii="Cambria" w:hAnsi="Cambria"/>
                <w:i/>
                <w:sz w:val="16"/>
              </w:rPr>
            </w:pPr>
            <w:r>
              <w:rPr>
                <w:rFonts w:ascii="Cambria" w:hAnsi="Cambria"/>
                <w:i/>
                <w:color w:val="231F20"/>
                <w:w w:val="105"/>
                <w:sz w:val="16"/>
              </w:rPr>
              <w:t>UNIDAD  DE PRODUCCIÓN</w:t>
            </w:r>
          </w:p>
          <w:p>
            <w:pPr>
              <w:pStyle w:val="TableParagraph"/>
              <w:spacing w:line="184" w:lineRule="exact" w:before="0"/>
              <w:ind w:left="63"/>
              <w:rPr>
                <w:rFonts w:ascii="Cambria"/>
                <w:i/>
                <w:sz w:val="16"/>
              </w:rPr>
            </w:pPr>
            <w:r>
              <w:rPr>
                <w:rFonts w:ascii="Cambria"/>
                <w:i/>
                <w:color w:val="231F20"/>
                <w:w w:val="105"/>
                <w:sz w:val="16"/>
              </w:rPr>
              <w:t>ESCALA</w:t>
            </w:r>
          </w:p>
        </w:tc>
        <w:tc>
          <w:tcPr>
            <w:tcW w:w="737" w:type="dxa"/>
          </w:tcPr>
          <w:p>
            <w:pPr>
              <w:pStyle w:val="TableParagraph"/>
              <w:spacing w:before="105"/>
              <w:ind w:left="196"/>
              <w:rPr>
                <w:rFonts w:ascii="Cambria"/>
                <w:i/>
                <w:sz w:val="18"/>
              </w:rPr>
            </w:pPr>
            <w:r>
              <w:rPr>
                <w:rFonts w:ascii="Cambria"/>
                <w:i/>
                <w:color w:val="231F20"/>
                <w:w w:val="105"/>
                <w:sz w:val="18"/>
              </w:rPr>
              <w:t>UP1</w:t>
            </w:r>
          </w:p>
        </w:tc>
        <w:tc>
          <w:tcPr>
            <w:tcW w:w="737" w:type="dxa"/>
          </w:tcPr>
          <w:p>
            <w:pPr>
              <w:pStyle w:val="TableParagraph"/>
              <w:spacing w:before="105"/>
              <w:ind w:left="196"/>
              <w:rPr>
                <w:rFonts w:ascii="Cambria"/>
                <w:i/>
                <w:sz w:val="18"/>
              </w:rPr>
            </w:pPr>
            <w:r>
              <w:rPr>
                <w:rFonts w:ascii="Cambria"/>
                <w:i/>
                <w:color w:val="231F20"/>
                <w:w w:val="105"/>
                <w:sz w:val="18"/>
              </w:rPr>
              <w:t>UP2</w:t>
            </w:r>
          </w:p>
        </w:tc>
        <w:tc>
          <w:tcPr>
            <w:tcW w:w="737" w:type="dxa"/>
          </w:tcPr>
          <w:p>
            <w:pPr>
              <w:pStyle w:val="TableParagraph"/>
              <w:spacing w:before="105"/>
              <w:ind w:left="196"/>
              <w:rPr>
                <w:rFonts w:ascii="Cambria"/>
                <w:i/>
                <w:sz w:val="18"/>
              </w:rPr>
            </w:pPr>
            <w:r>
              <w:rPr>
                <w:rFonts w:ascii="Cambria"/>
                <w:i/>
                <w:color w:val="231F20"/>
                <w:w w:val="105"/>
                <w:sz w:val="18"/>
              </w:rPr>
              <w:t>UP3</w:t>
            </w:r>
          </w:p>
        </w:tc>
        <w:tc>
          <w:tcPr>
            <w:tcW w:w="737" w:type="dxa"/>
          </w:tcPr>
          <w:p>
            <w:pPr>
              <w:pStyle w:val="TableParagraph"/>
              <w:spacing w:before="105"/>
              <w:ind w:left="196"/>
              <w:rPr>
                <w:rFonts w:ascii="Cambria"/>
                <w:i/>
                <w:sz w:val="18"/>
              </w:rPr>
            </w:pPr>
            <w:r>
              <w:rPr>
                <w:rFonts w:ascii="Cambria"/>
                <w:i/>
                <w:color w:val="231F20"/>
                <w:w w:val="105"/>
                <w:sz w:val="18"/>
              </w:rPr>
              <w:t>UP4</w:t>
            </w:r>
          </w:p>
        </w:tc>
        <w:tc>
          <w:tcPr>
            <w:tcW w:w="737" w:type="dxa"/>
          </w:tcPr>
          <w:p>
            <w:pPr>
              <w:pStyle w:val="TableParagraph"/>
              <w:spacing w:before="105"/>
              <w:ind w:left="196"/>
              <w:rPr>
                <w:rFonts w:ascii="Cambria"/>
                <w:i/>
                <w:sz w:val="18"/>
              </w:rPr>
            </w:pPr>
            <w:r>
              <w:rPr>
                <w:rFonts w:ascii="Cambria"/>
                <w:i/>
                <w:color w:val="231F20"/>
                <w:w w:val="105"/>
                <w:sz w:val="18"/>
              </w:rPr>
              <w:t>UP5</w:t>
            </w:r>
          </w:p>
        </w:tc>
        <w:tc>
          <w:tcPr>
            <w:tcW w:w="737" w:type="dxa"/>
          </w:tcPr>
          <w:p>
            <w:pPr>
              <w:pStyle w:val="TableParagraph"/>
              <w:spacing w:before="105"/>
              <w:ind w:left="196"/>
              <w:rPr>
                <w:rFonts w:ascii="Cambria"/>
                <w:i/>
                <w:sz w:val="18"/>
              </w:rPr>
            </w:pPr>
            <w:r>
              <w:rPr>
                <w:rFonts w:ascii="Cambria"/>
                <w:i/>
                <w:color w:val="231F20"/>
                <w:w w:val="105"/>
                <w:sz w:val="18"/>
              </w:rPr>
              <w:t>UP6</w:t>
            </w:r>
          </w:p>
        </w:tc>
        <w:tc>
          <w:tcPr>
            <w:tcW w:w="737" w:type="dxa"/>
          </w:tcPr>
          <w:p>
            <w:pPr>
              <w:pStyle w:val="TableParagraph"/>
              <w:spacing w:before="105"/>
              <w:ind w:left="196"/>
              <w:rPr>
                <w:rFonts w:ascii="Cambria"/>
                <w:i/>
                <w:sz w:val="18"/>
              </w:rPr>
            </w:pPr>
            <w:r>
              <w:rPr>
                <w:rFonts w:ascii="Cambria"/>
                <w:i/>
                <w:color w:val="231F20"/>
                <w:w w:val="105"/>
                <w:sz w:val="18"/>
              </w:rPr>
              <w:t>UP7</w:t>
            </w:r>
          </w:p>
        </w:tc>
        <w:tc>
          <w:tcPr>
            <w:tcW w:w="737" w:type="dxa"/>
          </w:tcPr>
          <w:p>
            <w:pPr>
              <w:pStyle w:val="TableParagraph"/>
              <w:spacing w:before="105"/>
              <w:ind w:left="196"/>
              <w:rPr>
                <w:rFonts w:ascii="Cambria"/>
                <w:i/>
                <w:sz w:val="18"/>
              </w:rPr>
            </w:pPr>
            <w:r>
              <w:rPr>
                <w:rFonts w:ascii="Cambria"/>
                <w:i/>
                <w:color w:val="231F20"/>
                <w:w w:val="105"/>
                <w:sz w:val="18"/>
              </w:rPr>
              <w:t>UP8</w:t>
            </w:r>
          </w:p>
        </w:tc>
        <w:tc>
          <w:tcPr>
            <w:tcW w:w="737" w:type="dxa"/>
          </w:tcPr>
          <w:p>
            <w:pPr>
              <w:pStyle w:val="TableParagraph"/>
              <w:spacing w:before="105"/>
              <w:ind w:left="196"/>
              <w:rPr>
                <w:rFonts w:ascii="Cambria"/>
                <w:i/>
                <w:sz w:val="18"/>
              </w:rPr>
            </w:pPr>
            <w:r>
              <w:rPr>
                <w:rFonts w:ascii="Cambria"/>
                <w:i/>
                <w:color w:val="231F20"/>
                <w:w w:val="105"/>
                <w:sz w:val="18"/>
              </w:rPr>
              <w:t>UP9</w:t>
            </w:r>
          </w:p>
        </w:tc>
        <w:tc>
          <w:tcPr>
            <w:tcW w:w="737" w:type="dxa"/>
            <w:tcBorders>
              <w:right w:val="nil"/>
            </w:tcBorders>
          </w:tcPr>
          <w:p>
            <w:pPr>
              <w:pStyle w:val="TableParagraph"/>
              <w:spacing w:before="105"/>
              <w:ind w:right="152"/>
              <w:jc w:val="right"/>
              <w:rPr>
                <w:rFonts w:ascii="Cambria"/>
                <w:i/>
                <w:sz w:val="18"/>
              </w:rPr>
            </w:pPr>
            <w:r>
              <w:rPr>
                <w:rFonts w:ascii="Cambria"/>
                <w:i/>
                <w:color w:val="231F20"/>
                <w:w w:val="105"/>
                <w:sz w:val="18"/>
              </w:rPr>
              <w:t>UP10</w:t>
            </w:r>
          </w:p>
        </w:tc>
      </w:tr>
      <w:tr>
        <w:trPr>
          <w:trHeight w:val="273" w:hRule="exact"/>
        </w:trPr>
        <w:tc>
          <w:tcPr>
            <w:tcW w:w="3793" w:type="dxa"/>
            <w:tcBorders>
              <w:left w:val="nil"/>
              <w:bottom w:val="nil"/>
            </w:tcBorders>
          </w:tcPr>
          <w:p>
            <w:pPr>
              <w:pStyle w:val="TableParagraph"/>
              <w:spacing w:before="17"/>
              <w:ind w:left="56"/>
              <w:rPr>
                <w:sz w:val="17"/>
              </w:rPr>
            </w:pPr>
            <w:r>
              <w:rPr>
                <w:color w:val="231F20"/>
                <w:sz w:val="17"/>
              </w:rPr>
              <w:t>Nº total de animales   (cabezas)</w:t>
            </w:r>
          </w:p>
        </w:tc>
        <w:tc>
          <w:tcPr>
            <w:tcW w:w="737" w:type="dxa"/>
            <w:tcBorders>
              <w:bottom w:val="nil"/>
            </w:tcBorders>
          </w:tcPr>
          <w:p>
            <w:pPr>
              <w:pStyle w:val="TableParagraph"/>
              <w:spacing w:before="17"/>
              <w:ind w:right="106"/>
              <w:jc w:val="right"/>
              <w:rPr>
                <w:sz w:val="17"/>
              </w:rPr>
            </w:pPr>
            <w:r>
              <w:rPr>
                <w:color w:val="231F20"/>
                <w:w w:val="115"/>
                <w:sz w:val="17"/>
              </w:rPr>
              <w:t>82</w:t>
            </w:r>
          </w:p>
        </w:tc>
        <w:tc>
          <w:tcPr>
            <w:tcW w:w="737" w:type="dxa"/>
            <w:tcBorders>
              <w:bottom w:val="nil"/>
            </w:tcBorders>
          </w:tcPr>
          <w:p>
            <w:pPr>
              <w:pStyle w:val="TableParagraph"/>
              <w:spacing w:before="17"/>
              <w:ind w:right="106"/>
              <w:jc w:val="right"/>
              <w:rPr>
                <w:sz w:val="17"/>
              </w:rPr>
            </w:pPr>
            <w:r>
              <w:rPr>
                <w:color w:val="231F20"/>
                <w:w w:val="115"/>
                <w:sz w:val="17"/>
              </w:rPr>
              <w:t>60</w:t>
            </w:r>
          </w:p>
        </w:tc>
        <w:tc>
          <w:tcPr>
            <w:tcW w:w="737" w:type="dxa"/>
            <w:tcBorders>
              <w:bottom w:val="nil"/>
            </w:tcBorders>
          </w:tcPr>
          <w:p>
            <w:pPr>
              <w:pStyle w:val="TableParagraph"/>
              <w:spacing w:before="17"/>
              <w:ind w:right="109"/>
              <w:jc w:val="right"/>
              <w:rPr>
                <w:sz w:val="17"/>
              </w:rPr>
            </w:pPr>
            <w:r>
              <w:rPr>
                <w:color w:val="231F20"/>
                <w:w w:val="115"/>
                <w:sz w:val="17"/>
              </w:rPr>
              <w:t>28</w:t>
            </w:r>
          </w:p>
        </w:tc>
        <w:tc>
          <w:tcPr>
            <w:tcW w:w="737" w:type="dxa"/>
            <w:tcBorders>
              <w:bottom w:val="nil"/>
            </w:tcBorders>
          </w:tcPr>
          <w:p>
            <w:pPr>
              <w:pStyle w:val="TableParagraph"/>
              <w:spacing w:before="17"/>
              <w:ind w:right="109"/>
              <w:jc w:val="right"/>
              <w:rPr>
                <w:sz w:val="17"/>
              </w:rPr>
            </w:pPr>
            <w:r>
              <w:rPr>
                <w:color w:val="231F20"/>
                <w:w w:val="115"/>
                <w:sz w:val="17"/>
              </w:rPr>
              <w:t>50</w:t>
            </w:r>
          </w:p>
        </w:tc>
        <w:tc>
          <w:tcPr>
            <w:tcW w:w="737" w:type="dxa"/>
            <w:tcBorders>
              <w:bottom w:val="nil"/>
            </w:tcBorders>
          </w:tcPr>
          <w:p>
            <w:pPr>
              <w:pStyle w:val="TableParagraph"/>
              <w:spacing w:before="17"/>
              <w:ind w:right="109"/>
              <w:jc w:val="right"/>
              <w:rPr>
                <w:sz w:val="17"/>
              </w:rPr>
            </w:pPr>
            <w:r>
              <w:rPr>
                <w:color w:val="231F20"/>
                <w:w w:val="115"/>
                <w:sz w:val="17"/>
              </w:rPr>
              <w:t>67</w:t>
            </w:r>
          </w:p>
        </w:tc>
        <w:tc>
          <w:tcPr>
            <w:tcW w:w="737" w:type="dxa"/>
            <w:tcBorders>
              <w:bottom w:val="nil"/>
            </w:tcBorders>
          </w:tcPr>
          <w:p>
            <w:pPr>
              <w:pStyle w:val="TableParagraph"/>
              <w:spacing w:before="17"/>
              <w:ind w:right="106"/>
              <w:jc w:val="right"/>
              <w:rPr>
                <w:sz w:val="17"/>
              </w:rPr>
            </w:pPr>
            <w:r>
              <w:rPr>
                <w:color w:val="231F20"/>
                <w:w w:val="115"/>
                <w:sz w:val="17"/>
              </w:rPr>
              <w:t>244</w:t>
            </w:r>
          </w:p>
        </w:tc>
        <w:tc>
          <w:tcPr>
            <w:tcW w:w="737" w:type="dxa"/>
            <w:tcBorders>
              <w:bottom w:val="nil"/>
            </w:tcBorders>
          </w:tcPr>
          <w:p>
            <w:pPr>
              <w:pStyle w:val="TableParagraph"/>
              <w:spacing w:before="17"/>
              <w:ind w:right="109"/>
              <w:jc w:val="right"/>
              <w:rPr>
                <w:sz w:val="17"/>
              </w:rPr>
            </w:pPr>
            <w:r>
              <w:rPr>
                <w:color w:val="231F20"/>
                <w:w w:val="115"/>
                <w:sz w:val="17"/>
              </w:rPr>
              <w:t>24</w:t>
            </w:r>
          </w:p>
        </w:tc>
        <w:tc>
          <w:tcPr>
            <w:tcW w:w="737" w:type="dxa"/>
            <w:tcBorders>
              <w:bottom w:val="nil"/>
            </w:tcBorders>
          </w:tcPr>
          <w:p>
            <w:pPr>
              <w:pStyle w:val="TableParagraph"/>
              <w:spacing w:before="17"/>
              <w:ind w:right="106"/>
              <w:jc w:val="right"/>
              <w:rPr>
                <w:sz w:val="17"/>
              </w:rPr>
            </w:pPr>
            <w:r>
              <w:rPr>
                <w:color w:val="231F20"/>
                <w:w w:val="115"/>
                <w:sz w:val="17"/>
              </w:rPr>
              <w:t>63</w:t>
            </w:r>
          </w:p>
        </w:tc>
        <w:tc>
          <w:tcPr>
            <w:tcW w:w="737" w:type="dxa"/>
            <w:tcBorders>
              <w:bottom w:val="nil"/>
            </w:tcBorders>
          </w:tcPr>
          <w:p>
            <w:pPr>
              <w:pStyle w:val="TableParagraph"/>
              <w:spacing w:before="17"/>
              <w:ind w:right="109"/>
              <w:jc w:val="right"/>
              <w:rPr>
                <w:sz w:val="17"/>
              </w:rPr>
            </w:pPr>
            <w:r>
              <w:rPr>
                <w:color w:val="231F20"/>
                <w:w w:val="115"/>
                <w:sz w:val="17"/>
              </w:rPr>
              <w:t>20</w:t>
            </w:r>
          </w:p>
        </w:tc>
        <w:tc>
          <w:tcPr>
            <w:tcW w:w="737" w:type="dxa"/>
            <w:tcBorders>
              <w:bottom w:val="nil"/>
              <w:right w:val="nil"/>
            </w:tcBorders>
          </w:tcPr>
          <w:p>
            <w:pPr>
              <w:pStyle w:val="TableParagraph"/>
              <w:spacing w:before="17"/>
              <w:ind w:right="114"/>
              <w:jc w:val="right"/>
              <w:rPr>
                <w:sz w:val="17"/>
              </w:rPr>
            </w:pPr>
            <w:r>
              <w:rPr>
                <w:color w:val="231F20"/>
                <w:w w:val="115"/>
                <w:sz w:val="17"/>
              </w:rPr>
              <w:t>56</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w w:val="105"/>
                <w:sz w:val="17"/>
              </w:rPr>
              <w:t>Nº de vacas (cabezas)</w:t>
            </w:r>
          </w:p>
        </w:tc>
        <w:tc>
          <w:tcPr>
            <w:tcW w:w="737" w:type="dxa"/>
            <w:tcBorders>
              <w:top w:val="nil"/>
              <w:bottom w:val="nil"/>
            </w:tcBorders>
          </w:tcPr>
          <w:p>
            <w:pPr>
              <w:pStyle w:val="TableParagraph"/>
              <w:spacing w:before="25"/>
              <w:ind w:right="109"/>
              <w:jc w:val="right"/>
              <w:rPr>
                <w:sz w:val="17"/>
              </w:rPr>
            </w:pPr>
            <w:r>
              <w:rPr>
                <w:color w:val="231F20"/>
                <w:w w:val="115"/>
                <w:sz w:val="17"/>
              </w:rPr>
              <w:t>30</w:t>
            </w:r>
          </w:p>
        </w:tc>
        <w:tc>
          <w:tcPr>
            <w:tcW w:w="737" w:type="dxa"/>
            <w:tcBorders>
              <w:top w:val="nil"/>
              <w:bottom w:val="nil"/>
            </w:tcBorders>
          </w:tcPr>
          <w:p>
            <w:pPr>
              <w:pStyle w:val="TableParagraph"/>
              <w:spacing w:before="25"/>
              <w:ind w:right="109"/>
              <w:jc w:val="right"/>
              <w:rPr>
                <w:sz w:val="17"/>
              </w:rPr>
            </w:pPr>
            <w:r>
              <w:rPr>
                <w:color w:val="231F20"/>
                <w:w w:val="115"/>
                <w:sz w:val="17"/>
              </w:rPr>
              <w:t>39</w:t>
            </w:r>
          </w:p>
        </w:tc>
        <w:tc>
          <w:tcPr>
            <w:tcW w:w="737" w:type="dxa"/>
            <w:tcBorders>
              <w:top w:val="nil"/>
              <w:bottom w:val="nil"/>
            </w:tcBorders>
          </w:tcPr>
          <w:p>
            <w:pPr>
              <w:pStyle w:val="TableParagraph"/>
              <w:spacing w:before="25"/>
              <w:ind w:right="113"/>
              <w:jc w:val="right"/>
              <w:rPr>
                <w:sz w:val="17"/>
              </w:rPr>
            </w:pPr>
            <w:r>
              <w:rPr>
                <w:color w:val="231F20"/>
                <w:w w:val="115"/>
                <w:sz w:val="17"/>
              </w:rPr>
              <w:t>16</w:t>
            </w:r>
          </w:p>
        </w:tc>
        <w:tc>
          <w:tcPr>
            <w:tcW w:w="737" w:type="dxa"/>
            <w:tcBorders>
              <w:top w:val="nil"/>
              <w:bottom w:val="nil"/>
            </w:tcBorders>
          </w:tcPr>
          <w:p>
            <w:pPr>
              <w:pStyle w:val="TableParagraph"/>
              <w:spacing w:before="25"/>
              <w:ind w:right="109"/>
              <w:jc w:val="right"/>
              <w:rPr>
                <w:sz w:val="17"/>
              </w:rPr>
            </w:pPr>
            <w:r>
              <w:rPr>
                <w:color w:val="231F20"/>
                <w:w w:val="115"/>
                <w:sz w:val="17"/>
              </w:rPr>
              <w:t>25</w:t>
            </w:r>
          </w:p>
        </w:tc>
        <w:tc>
          <w:tcPr>
            <w:tcW w:w="737" w:type="dxa"/>
            <w:tcBorders>
              <w:top w:val="nil"/>
              <w:bottom w:val="nil"/>
            </w:tcBorders>
          </w:tcPr>
          <w:p>
            <w:pPr>
              <w:pStyle w:val="TableParagraph"/>
              <w:spacing w:before="25"/>
              <w:ind w:right="109"/>
              <w:jc w:val="right"/>
              <w:rPr>
                <w:sz w:val="17"/>
              </w:rPr>
            </w:pPr>
            <w:r>
              <w:rPr>
                <w:color w:val="231F20"/>
                <w:w w:val="115"/>
                <w:sz w:val="17"/>
              </w:rPr>
              <w:t>22</w:t>
            </w:r>
          </w:p>
        </w:tc>
        <w:tc>
          <w:tcPr>
            <w:tcW w:w="737" w:type="dxa"/>
            <w:tcBorders>
              <w:top w:val="nil"/>
              <w:bottom w:val="nil"/>
            </w:tcBorders>
          </w:tcPr>
          <w:p>
            <w:pPr>
              <w:pStyle w:val="TableParagraph"/>
              <w:spacing w:before="25"/>
              <w:ind w:right="109"/>
              <w:jc w:val="right"/>
              <w:rPr>
                <w:sz w:val="17"/>
              </w:rPr>
            </w:pPr>
            <w:r>
              <w:rPr>
                <w:color w:val="231F20"/>
                <w:w w:val="115"/>
                <w:sz w:val="17"/>
              </w:rPr>
              <w:t>30</w:t>
            </w:r>
          </w:p>
        </w:tc>
        <w:tc>
          <w:tcPr>
            <w:tcW w:w="737" w:type="dxa"/>
            <w:tcBorders>
              <w:top w:val="nil"/>
              <w:bottom w:val="nil"/>
            </w:tcBorders>
          </w:tcPr>
          <w:p>
            <w:pPr>
              <w:pStyle w:val="TableParagraph"/>
              <w:spacing w:before="25"/>
              <w:ind w:right="113"/>
              <w:jc w:val="right"/>
              <w:rPr>
                <w:sz w:val="17"/>
              </w:rPr>
            </w:pPr>
            <w:r>
              <w:rPr>
                <w:color w:val="231F20"/>
                <w:w w:val="115"/>
                <w:sz w:val="17"/>
              </w:rPr>
              <w:t>15</w:t>
            </w:r>
          </w:p>
        </w:tc>
        <w:tc>
          <w:tcPr>
            <w:tcW w:w="737" w:type="dxa"/>
            <w:tcBorders>
              <w:top w:val="nil"/>
              <w:bottom w:val="nil"/>
            </w:tcBorders>
          </w:tcPr>
          <w:p>
            <w:pPr>
              <w:pStyle w:val="TableParagraph"/>
              <w:spacing w:before="25"/>
              <w:ind w:right="109"/>
              <w:jc w:val="right"/>
              <w:rPr>
                <w:sz w:val="17"/>
              </w:rPr>
            </w:pPr>
            <w:r>
              <w:rPr>
                <w:color w:val="231F20"/>
                <w:w w:val="115"/>
                <w:sz w:val="17"/>
              </w:rPr>
              <w:t>30</w:t>
            </w:r>
          </w:p>
        </w:tc>
        <w:tc>
          <w:tcPr>
            <w:tcW w:w="737" w:type="dxa"/>
            <w:tcBorders>
              <w:top w:val="nil"/>
              <w:bottom w:val="nil"/>
            </w:tcBorders>
          </w:tcPr>
          <w:p>
            <w:pPr>
              <w:pStyle w:val="TableParagraph"/>
              <w:spacing w:before="25"/>
              <w:ind w:right="106"/>
              <w:jc w:val="right"/>
              <w:rPr>
                <w:sz w:val="17"/>
              </w:rPr>
            </w:pPr>
            <w:r>
              <w:rPr>
                <w:color w:val="231F20"/>
                <w:w w:val="115"/>
                <w:sz w:val="17"/>
              </w:rPr>
              <w:t>9</w:t>
            </w:r>
          </w:p>
        </w:tc>
        <w:tc>
          <w:tcPr>
            <w:tcW w:w="737" w:type="dxa"/>
            <w:tcBorders>
              <w:top w:val="nil"/>
              <w:bottom w:val="nil"/>
              <w:right w:val="nil"/>
            </w:tcBorders>
          </w:tcPr>
          <w:p>
            <w:pPr>
              <w:pStyle w:val="TableParagraph"/>
              <w:spacing w:before="25"/>
              <w:ind w:right="111"/>
              <w:jc w:val="right"/>
              <w:rPr>
                <w:sz w:val="17"/>
              </w:rPr>
            </w:pPr>
            <w:r>
              <w:rPr>
                <w:color w:val="231F20"/>
                <w:w w:val="115"/>
                <w:sz w:val="17"/>
              </w:rPr>
              <w:t>42</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Área forrajera total (ha)</w:t>
            </w:r>
          </w:p>
        </w:tc>
        <w:tc>
          <w:tcPr>
            <w:tcW w:w="737" w:type="dxa"/>
            <w:tcBorders>
              <w:top w:val="nil"/>
              <w:bottom w:val="nil"/>
            </w:tcBorders>
          </w:tcPr>
          <w:p>
            <w:pPr>
              <w:pStyle w:val="TableParagraph"/>
              <w:spacing w:before="25"/>
              <w:ind w:right="106"/>
              <w:jc w:val="right"/>
              <w:rPr>
                <w:sz w:val="17"/>
              </w:rPr>
            </w:pPr>
            <w:r>
              <w:rPr>
                <w:color w:val="231F20"/>
                <w:w w:val="115"/>
                <w:sz w:val="17"/>
              </w:rPr>
              <w:t>40</w:t>
            </w:r>
          </w:p>
        </w:tc>
        <w:tc>
          <w:tcPr>
            <w:tcW w:w="737" w:type="dxa"/>
            <w:tcBorders>
              <w:top w:val="nil"/>
              <w:bottom w:val="nil"/>
            </w:tcBorders>
          </w:tcPr>
          <w:p>
            <w:pPr>
              <w:pStyle w:val="TableParagraph"/>
              <w:spacing w:before="25"/>
              <w:ind w:right="106"/>
              <w:jc w:val="right"/>
              <w:rPr>
                <w:sz w:val="17"/>
              </w:rPr>
            </w:pPr>
            <w:r>
              <w:rPr>
                <w:color w:val="231F20"/>
                <w:w w:val="115"/>
                <w:sz w:val="17"/>
              </w:rPr>
              <w:t>60</w:t>
            </w:r>
          </w:p>
        </w:tc>
        <w:tc>
          <w:tcPr>
            <w:tcW w:w="737" w:type="dxa"/>
            <w:tcBorders>
              <w:top w:val="nil"/>
              <w:bottom w:val="nil"/>
            </w:tcBorders>
          </w:tcPr>
          <w:p>
            <w:pPr>
              <w:pStyle w:val="TableParagraph"/>
              <w:spacing w:before="25"/>
              <w:ind w:right="113"/>
              <w:jc w:val="right"/>
              <w:rPr>
                <w:sz w:val="17"/>
              </w:rPr>
            </w:pPr>
            <w:r>
              <w:rPr>
                <w:color w:val="231F20"/>
                <w:w w:val="115"/>
                <w:sz w:val="17"/>
              </w:rPr>
              <w:t>14</w:t>
            </w:r>
          </w:p>
        </w:tc>
        <w:tc>
          <w:tcPr>
            <w:tcW w:w="737" w:type="dxa"/>
            <w:tcBorders>
              <w:top w:val="nil"/>
              <w:bottom w:val="nil"/>
            </w:tcBorders>
          </w:tcPr>
          <w:p>
            <w:pPr>
              <w:pStyle w:val="TableParagraph"/>
              <w:spacing w:before="25"/>
              <w:ind w:right="109"/>
              <w:jc w:val="right"/>
              <w:rPr>
                <w:sz w:val="17"/>
              </w:rPr>
            </w:pPr>
            <w:r>
              <w:rPr>
                <w:color w:val="231F20"/>
                <w:w w:val="115"/>
                <w:sz w:val="17"/>
              </w:rPr>
              <w:t>32</w:t>
            </w:r>
          </w:p>
        </w:tc>
        <w:tc>
          <w:tcPr>
            <w:tcW w:w="737" w:type="dxa"/>
            <w:tcBorders>
              <w:top w:val="nil"/>
              <w:bottom w:val="nil"/>
            </w:tcBorders>
          </w:tcPr>
          <w:p>
            <w:pPr>
              <w:pStyle w:val="TableParagraph"/>
              <w:spacing w:before="25"/>
              <w:ind w:right="106"/>
              <w:jc w:val="right"/>
              <w:rPr>
                <w:sz w:val="17"/>
              </w:rPr>
            </w:pPr>
            <w:r>
              <w:rPr>
                <w:color w:val="231F20"/>
                <w:w w:val="115"/>
                <w:sz w:val="17"/>
              </w:rPr>
              <w:t>60</w:t>
            </w:r>
          </w:p>
        </w:tc>
        <w:tc>
          <w:tcPr>
            <w:tcW w:w="737" w:type="dxa"/>
            <w:tcBorders>
              <w:top w:val="nil"/>
              <w:bottom w:val="nil"/>
            </w:tcBorders>
          </w:tcPr>
          <w:p>
            <w:pPr>
              <w:pStyle w:val="TableParagraph"/>
              <w:spacing w:before="25"/>
              <w:ind w:right="106"/>
              <w:jc w:val="right"/>
              <w:rPr>
                <w:sz w:val="17"/>
              </w:rPr>
            </w:pPr>
            <w:r>
              <w:rPr>
                <w:color w:val="231F20"/>
                <w:w w:val="115"/>
                <w:sz w:val="17"/>
              </w:rPr>
              <w:t>300</w:t>
            </w:r>
          </w:p>
        </w:tc>
        <w:tc>
          <w:tcPr>
            <w:tcW w:w="737" w:type="dxa"/>
            <w:tcBorders>
              <w:top w:val="nil"/>
              <w:bottom w:val="nil"/>
            </w:tcBorders>
          </w:tcPr>
          <w:p>
            <w:pPr>
              <w:pStyle w:val="TableParagraph"/>
              <w:spacing w:before="25"/>
              <w:ind w:right="106"/>
              <w:jc w:val="right"/>
              <w:rPr>
                <w:sz w:val="17"/>
              </w:rPr>
            </w:pPr>
            <w:r>
              <w:rPr>
                <w:color w:val="231F20"/>
                <w:w w:val="115"/>
                <w:sz w:val="17"/>
              </w:rPr>
              <w:t>48</w:t>
            </w:r>
          </w:p>
        </w:tc>
        <w:tc>
          <w:tcPr>
            <w:tcW w:w="737" w:type="dxa"/>
            <w:tcBorders>
              <w:top w:val="nil"/>
              <w:bottom w:val="nil"/>
            </w:tcBorders>
          </w:tcPr>
          <w:p>
            <w:pPr>
              <w:pStyle w:val="TableParagraph"/>
              <w:spacing w:before="25"/>
              <w:ind w:right="109"/>
              <w:jc w:val="right"/>
              <w:rPr>
                <w:sz w:val="17"/>
              </w:rPr>
            </w:pPr>
            <w:r>
              <w:rPr>
                <w:color w:val="231F20"/>
                <w:w w:val="115"/>
                <w:sz w:val="17"/>
              </w:rPr>
              <w:t>50</w:t>
            </w:r>
          </w:p>
        </w:tc>
        <w:tc>
          <w:tcPr>
            <w:tcW w:w="737" w:type="dxa"/>
            <w:tcBorders>
              <w:top w:val="nil"/>
              <w:bottom w:val="nil"/>
            </w:tcBorders>
          </w:tcPr>
          <w:p>
            <w:pPr>
              <w:pStyle w:val="TableParagraph"/>
              <w:spacing w:before="25"/>
              <w:ind w:right="113"/>
              <w:jc w:val="right"/>
              <w:rPr>
                <w:sz w:val="17"/>
              </w:rPr>
            </w:pPr>
            <w:r>
              <w:rPr>
                <w:color w:val="231F20"/>
                <w:w w:val="115"/>
                <w:sz w:val="17"/>
              </w:rPr>
              <w:t>12</w:t>
            </w:r>
          </w:p>
        </w:tc>
        <w:tc>
          <w:tcPr>
            <w:tcW w:w="737" w:type="dxa"/>
            <w:tcBorders>
              <w:top w:val="nil"/>
              <w:bottom w:val="nil"/>
              <w:right w:val="nil"/>
            </w:tcBorders>
          </w:tcPr>
          <w:p>
            <w:pPr>
              <w:pStyle w:val="TableParagraph"/>
              <w:spacing w:before="25"/>
              <w:ind w:right="114"/>
              <w:jc w:val="right"/>
              <w:rPr>
                <w:sz w:val="17"/>
              </w:rPr>
            </w:pPr>
            <w:r>
              <w:rPr>
                <w:color w:val="231F20"/>
                <w:w w:val="115"/>
                <w:sz w:val="17"/>
              </w:rPr>
              <w:t>67</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Concentrados  utilizados (kg/año)</w:t>
            </w:r>
          </w:p>
        </w:tc>
        <w:tc>
          <w:tcPr>
            <w:tcW w:w="737" w:type="dxa"/>
            <w:tcBorders>
              <w:top w:val="nil"/>
              <w:bottom w:val="nil"/>
            </w:tcBorders>
          </w:tcPr>
          <w:p>
            <w:pPr>
              <w:pStyle w:val="TableParagraph"/>
              <w:spacing w:before="25"/>
              <w:ind w:right="106"/>
              <w:jc w:val="right"/>
              <w:rPr>
                <w:sz w:val="17"/>
              </w:rPr>
            </w:pPr>
            <w:r>
              <w:rPr>
                <w:color w:val="231F20"/>
                <w:w w:val="115"/>
                <w:sz w:val="17"/>
              </w:rPr>
              <w:t>20060</w:t>
            </w:r>
          </w:p>
        </w:tc>
        <w:tc>
          <w:tcPr>
            <w:tcW w:w="737" w:type="dxa"/>
            <w:tcBorders>
              <w:top w:val="nil"/>
              <w:bottom w:val="nil"/>
            </w:tcBorders>
          </w:tcPr>
          <w:p>
            <w:pPr>
              <w:pStyle w:val="TableParagraph"/>
              <w:spacing w:before="25"/>
              <w:ind w:right="106"/>
              <w:jc w:val="right"/>
              <w:rPr>
                <w:sz w:val="17"/>
              </w:rPr>
            </w:pPr>
            <w:r>
              <w:rPr>
                <w:color w:val="231F20"/>
                <w:w w:val="115"/>
                <w:sz w:val="17"/>
              </w:rPr>
              <w:t>13888</w:t>
            </w:r>
          </w:p>
        </w:tc>
        <w:tc>
          <w:tcPr>
            <w:tcW w:w="737" w:type="dxa"/>
            <w:tcBorders>
              <w:top w:val="nil"/>
              <w:bottom w:val="nil"/>
            </w:tcBorders>
          </w:tcPr>
          <w:p>
            <w:pPr>
              <w:pStyle w:val="TableParagraph"/>
              <w:spacing w:before="25"/>
              <w:ind w:right="106"/>
              <w:jc w:val="right"/>
              <w:rPr>
                <w:sz w:val="17"/>
              </w:rPr>
            </w:pPr>
            <w:r>
              <w:rPr>
                <w:color w:val="231F20"/>
                <w:w w:val="115"/>
                <w:sz w:val="17"/>
              </w:rPr>
              <w:t>47040</w:t>
            </w:r>
          </w:p>
        </w:tc>
        <w:tc>
          <w:tcPr>
            <w:tcW w:w="737" w:type="dxa"/>
            <w:tcBorders>
              <w:top w:val="nil"/>
              <w:bottom w:val="nil"/>
            </w:tcBorders>
          </w:tcPr>
          <w:p>
            <w:pPr>
              <w:pStyle w:val="TableParagraph"/>
              <w:spacing w:before="25"/>
              <w:ind w:right="106"/>
              <w:jc w:val="right"/>
              <w:rPr>
                <w:sz w:val="17"/>
              </w:rPr>
            </w:pPr>
            <w:r>
              <w:rPr>
                <w:color w:val="231F20"/>
                <w:w w:val="115"/>
                <w:sz w:val="17"/>
              </w:rPr>
              <w:t>17920</w:t>
            </w:r>
          </w:p>
        </w:tc>
        <w:tc>
          <w:tcPr>
            <w:tcW w:w="737" w:type="dxa"/>
            <w:tcBorders>
              <w:top w:val="nil"/>
              <w:bottom w:val="nil"/>
            </w:tcBorders>
          </w:tcPr>
          <w:p>
            <w:pPr>
              <w:pStyle w:val="TableParagraph"/>
              <w:spacing w:before="25"/>
              <w:ind w:right="106"/>
              <w:jc w:val="right"/>
              <w:rPr>
                <w:sz w:val="17"/>
              </w:rPr>
            </w:pPr>
            <w:r>
              <w:rPr>
                <w:color w:val="231F20"/>
                <w:w w:val="115"/>
                <w:sz w:val="17"/>
              </w:rPr>
              <w:t>16360</w:t>
            </w:r>
          </w:p>
        </w:tc>
        <w:tc>
          <w:tcPr>
            <w:tcW w:w="737" w:type="dxa"/>
            <w:tcBorders>
              <w:top w:val="nil"/>
              <w:bottom w:val="nil"/>
            </w:tcBorders>
          </w:tcPr>
          <w:p>
            <w:pPr>
              <w:pStyle w:val="TableParagraph"/>
              <w:spacing w:before="25"/>
              <w:ind w:right="106"/>
              <w:jc w:val="right"/>
              <w:rPr>
                <w:sz w:val="17"/>
              </w:rPr>
            </w:pPr>
            <w:r>
              <w:rPr>
                <w:color w:val="231F20"/>
                <w:w w:val="115"/>
                <w:sz w:val="17"/>
              </w:rPr>
              <w:t>16800</w:t>
            </w:r>
          </w:p>
        </w:tc>
        <w:tc>
          <w:tcPr>
            <w:tcW w:w="737" w:type="dxa"/>
            <w:tcBorders>
              <w:top w:val="nil"/>
              <w:bottom w:val="nil"/>
            </w:tcBorders>
          </w:tcPr>
          <w:p>
            <w:pPr>
              <w:pStyle w:val="TableParagraph"/>
              <w:spacing w:before="25"/>
              <w:ind w:right="106"/>
              <w:jc w:val="right"/>
              <w:rPr>
                <w:sz w:val="17"/>
              </w:rPr>
            </w:pPr>
            <w:r>
              <w:rPr>
                <w:color w:val="231F20"/>
                <w:w w:val="115"/>
                <w:sz w:val="17"/>
              </w:rPr>
              <w:t>26800</w:t>
            </w:r>
          </w:p>
        </w:tc>
        <w:tc>
          <w:tcPr>
            <w:tcW w:w="737" w:type="dxa"/>
            <w:tcBorders>
              <w:top w:val="nil"/>
              <w:bottom w:val="nil"/>
            </w:tcBorders>
          </w:tcPr>
          <w:p>
            <w:pPr>
              <w:pStyle w:val="TableParagraph"/>
              <w:spacing w:before="25"/>
              <w:ind w:right="106"/>
              <w:jc w:val="right"/>
              <w:rPr>
                <w:sz w:val="17"/>
              </w:rPr>
            </w:pPr>
            <w:r>
              <w:rPr>
                <w:color w:val="231F20"/>
                <w:w w:val="115"/>
                <w:sz w:val="17"/>
              </w:rPr>
              <w:t>8896</w:t>
            </w:r>
          </w:p>
        </w:tc>
        <w:tc>
          <w:tcPr>
            <w:tcW w:w="737" w:type="dxa"/>
            <w:tcBorders>
              <w:top w:val="nil"/>
              <w:bottom w:val="nil"/>
            </w:tcBorders>
          </w:tcPr>
          <w:p>
            <w:pPr>
              <w:pStyle w:val="TableParagraph"/>
              <w:spacing w:before="25"/>
              <w:ind w:right="113"/>
              <w:jc w:val="right"/>
              <w:rPr>
                <w:sz w:val="17"/>
              </w:rPr>
            </w:pPr>
            <w:r>
              <w:rPr>
                <w:color w:val="231F20"/>
                <w:w w:val="115"/>
                <w:sz w:val="17"/>
              </w:rPr>
              <w:t>13 470</w:t>
            </w:r>
          </w:p>
        </w:tc>
        <w:tc>
          <w:tcPr>
            <w:tcW w:w="737" w:type="dxa"/>
            <w:tcBorders>
              <w:top w:val="nil"/>
              <w:bottom w:val="nil"/>
              <w:right w:val="nil"/>
            </w:tcBorders>
          </w:tcPr>
          <w:p>
            <w:pPr>
              <w:pStyle w:val="TableParagraph"/>
              <w:spacing w:before="25"/>
              <w:ind w:right="111"/>
              <w:jc w:val="right"/>
              <w:rPr>
                <w:sz w:val="17"/>
              </w:rPr>
            </w:pPr>
            <w:r>
              <w:rPr>
                <w:color w:val="231F20"/>
                <w:w w:val="115"/>
                <w:sz w:val="17"/>
              </w:rPr>
              <w:t>21 240</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Concentrados  época  estiaje (kg/vaca)</w:t>
            </w:r>
          </w:p>
        </w:tc>
        <w:tc>
          <w:tcPr>
            <w:tcW w:w="737" w:type="dxa"/>
            <w:tcBorders>
              <w:top w:val="nil"/>
              <w:bottom w:val="nil"/>
            </w:tcBorders>
          </w:tcPr>
          <w:p>
            <w:pPr>
              <w:pStyle w:val="TableParagraph"/>
              <w:spacing w:before="25"/>
              <w:ind w:right="106"/>
              <w:jc w:val="right"/>
              <w:rPr>
                <w:sz w:val="17"/>
              </w:rPr>
            </w:pPr>
            <w:r>
              <w:rPr>
                <w:color w:val="231F20"/>
                <w:w w:val="115"/>
                <w:sz w:val="17"/>
              </w:rPr>
              <w:t>12660</w:t>
            </w:r>
          </w:p>
        </w:tc>
        <w:tc>
          <w:tcPr>
            <w:tcW w:w="737" w:type="dxa"/>
            <w:tcBorders>
              <w:top w:val="nil"/>
              <w:bottom w:val="nil"/>
            </w:tcBorders>
          </w:tcPr>
          <w:p>
            <w:pPr>
              <w:pStyle w:val="TableParagraph"/>
              <w:spacing w:before="25"/>
              <w:ind w:right="113"/>
              <w:jc w:val="right"/>
              <w:rPr>
                <w:sz w:val="17"/>
              </w:rPr>
            </w:pPr>
            <w:r>
              <w:rPr>
                <w:color w:val="231F20"/>
                <w:w w:val="115"/>
                <w:sz w:val="17"/>
              </w:rPr>
              <w:t>10 416</w:t>
            </w:r>
          </w:p>
        </w:tc>
        <w:tc>
          <w:tcPr>
            <w:tcW w:w="737" w:type="dxa"/>
            <w:tcBorders>
              <w:top w:val="nil"/>
              <w:bottom w:val="nil"/>
            </w:tcBorders>
          </w:tcPr>
          <w:p>
            <w:pPr>
              <w:pStyle w:val="TableParagraph"/>
              <w:spacing w:before="25"/>
              <w:ind w:right="109"/>
              <w:jc w:val="right"/>
              <w:rPr>
                <w:sz w:val="17"/>
              </w:rPr>
            </w:pPr>
            <w:r>
              <w:rPr>
                <w:color w:val="231F20"/>
                <w:w w:val="115"/>
                <w:sz w:val="17"/>
              </w:rPr>
              <w:t>23 520</w:t>
            </w:r>
          </w:p>
        </w:tc>
        <w:tc>
          <w:tcPr>
            <w:tcW w:w="737" w:type="dxa"/>
            <w:tcBorders>
              <w:top w:val="nil"/>
              <w:bottom w:val="nil"/>
            </w:tcBorders>
          </w:tcPr>
          <w:p>
            <w:pPr>
              <w:pStyle w:val="TableParagraph"/>
              <w:spacing w:before="25"/>
              <w:ind w:right="106"/>
              <w:jc w:val="right"/>
              <w:rPr>
                <w:sz w:val="17"/>
              </w:rPr>
            </w:pPr>
            <w:r>
              <w:rPr>
                <w:color w:val="231F20"/>
                <w:w w:val="115"/>
                <w:sz w:val="17"/>
              </w:rPr>
              <w:t>13440</w:t>
            </w:r>
          </w:p>
        </w:tc>
        <w:tc>
          <w:tcPr>
            <w:tcW w:w="737" w:type="dxa"/>
            <w:tcBorders>
              <w:top w:val="nil"/>
              <w:bottom w:val="nil"/>
            </w:tcBorders>
          </w:tcPr>
          <w:p>
            <w:pPr>
              <w:pStyle w:val="TableParagraph"/>
              <w:spacing w:before="25"/>
              <w:ind w:right="106"/>
              <w:jc w:val="right"/>
              <w:rPr>
                <w:sz w:val="17"/>
              </w:rPr>
            </w:pPr>
            <w:r>
              <w:rPr>
                <w:color w:val="231F20"/>
                <w:w w:val="115"/>
                <w:sz w:val="17"/>
              </w:rPr>
              <w:t>12040</w:t>
            </w:r>
          </w:p>
        </w:tc>
        <w:tc>
          <w:tcPr>
            <w:tcW w:w="737" w:type="dxa"/>
            <w:tcBorders>
              <w:top w:val="nil"/>
              <w:bottom w:val="nil"/>
            </w:tcBorders>
          </w:tcPr>
          <w:p>
            <w:pPr>
              <w:pStyle w:val="TableParagraph"/>
              <w:spacing w:before="25"/>
              <w:ind w:right="106"/>
              <w:jc w:val="right"/>
              <w:rPr>
                <w:sz w:val="17"/>
              </w:rPr>
            </w:pPr>
            <w:r>
              <w:rPr>
                <w:color w:val="231F20"/>
                <w:w w:val="115"/>
                <w:sz w:val="17"/>
              </w:rPr>
              <w:t>14400</w:t>
            </w:r>
          </w:p>
        </w:tc>
        <w:tc>
          <w:tcPr>
            <w:tcW w:w="737" w:type="dxa"/>
            <w:tcBorders>
              <w:top w:val="nil"/>
              <w:bottom w:val="nil"/>
            </w:tcBorders>
          </w:tcPr>
          <w:p>
            <w:pPr>
              <w:pStyle w:val="TableParagraph"/>
              <w:spacing w:before="25"/>
              <w:ind w:right="109"/>
              <w:jc w:val="right"/>
              <w:rPr>
                <w:sz w:val="17"/>
              </w:rPr>
            </w:pPr>
            <w:r>
              <w:rPr>
                <w:color w:val="231F20"/>
                <w:w w:val="115"/>
                <w:sz w:val="17"/>
              </w:rPr>
              <w:t>20 520</w:t>
            </w:r>
          </w:p>
        </w:tc>
        <w:tc>
          <w:tcPr>
            <w:tcW w:w="737" w:type="dxa"/>
            <w:tcBorders>
              <w:top w:val="nil"/>
              <w:bottom w:val="nil"/>
            </w:tcBorders>
          </w:tcPr>
          <w:p>
            <w:pPr>
              <w:pStyle w:val="TableParagraph"/>
              <w:spacing w:before="25"/>
              <w:ind w:right="106"/>
              <w:jc w:val="right"/>
              <w:rPr>
                <w:sz w:val="17"/>
              </w:rPr>
            </w:pPr>
            <w:r>
              <w:rPr>
                <w:color w:val="231F20"/>
                <w:w w:val="115"/>
                <w:sz w:val="17"/>
              </w:rPr>
              <w:t>8448</w:t>
            </w:r>
          </w:p>
        </w:tc>
        <w:tc>
          <w:tcPr>
            <w:tcW w:w="737" w:type="dxa"/>
            <w:tcBorders>
              <w:top w:val="nil"/>
              <w:bottom w:val="nil"/>
            </w:tcBorders>
          </w:tcPr>
          <w:p>
            <w:pPr>
              <w:pStyle w:val="TableParagraph"/>
              <w:spacing w:before="25"/>
              <w:ind w:right="109"/>
              <w:jc w:val="right"/>
              <w:rPr>
                <w:sz w:val="17"/>
              </w:rPr>
            </w:pPr>
            <w:r>
              <w:rPr>
                <w:color w:val="231F20"/>
                <w:w w:val="115"/>
                <w:sz w:val="17"/>
              </w:rPr>
              <w:t>11 525</w:t>
            </w:r>
          </w:p>
        </w:tc>
        <w:tc>
          <w:tcPr>
            <w:tcW w:w="737" w:type="dxa"/>
            <w:tcBorders>
              <w:top w:val="nil"/>
              <w:bottom w:val="nil"/>
              <w:right w:val="nil"/>
            </w:tcBorders>
          </w:tcPr>
          <w:p>
            <w:pPr>
              <w:pStyle w:val="TableParagraph"/>
              <w:spacing w:before="25"/>
              <w:ind w:right="111"/>
              <w:jc w:val="right"/>
              <w:rPr>
                <w:sz w:val="17"/>
              </w:rPr>
            </w:pPr>
            <w:r>
              <w:rPr>
                <w:color w:val="231F20"/>
                <w:w w:val="115"/>
                <w:sz w:val="17"/>
              </w:rPr>
              <w:t>14 160</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Concentrados  época  lluvias (kg/vaca)</w:t>
            </w:r>
          </w:p>
        </w:tc>
        <w:tc>
          <w:tcPr>
            <w:tcW w:w="737" w:type="dxa"/>
            <w:tcBorders>
              <w:top w:val="nil"/>
              <w:bottom w:val="nil"/>
            </w:tcBorders>
          </w:tcPr>
          <w:p>
            <w:pPr>
              <w:pStyle w:val="TableParagraph"/>
              <w:spacing w:before="25"/>
              <w:ind w:right="106"/>
              <w:jc w:val="right"/>
              <w:rPr>
                <w:sz w:val="17"/>
              </w:rPr>
            </w:pPr>
            <w:r>
              <w:rPr>
                <w:color w:val="231F20"/>
                <w:w w:val="115"/>
                <w:sz w:val="17"/>
              </w:rPr>
              <w:t>7400</w:t>
            </w:r>
          </w:p>
        </w:tc>
        <w:tc>
          <w:tcPr>
            <w:tcW w:w="737" w:type="dxa"/>
            <w:tcBorders>
              <w:top w:val="nil"/>
              <w:bottom w:val="nil"/>
            </w:tcBorders>
          </w:tcPr>
          <w:p>
            <w:pPr>
              <w:pStyle w:val="TableParagraph"/>
              <w:spacing w:before="25"/>
              <w:ind w:right="113"/>
              <w:jc w:val="right"/>
              <w:rPr>
                <w:sz w:val="17"/>
              </w:rPr>
            </w:pPr>
            <w:r>
              <w:rPr>
                <w:color w:val="231F20"/>
                <w:w w:val="115"/>
                <w:sz w:val="17"/>
              </w:rPr>
              <w:t>3472</w:t>
            </w:r>
          </w:p>
        </w:tc>
        <w:tc>
          <w:tcPr>
            <w:tcW w:w="737" w:type="dxa"/>
            <w:tcBorders>
              <w:top w:val="nil"/>
              <w:bottom w:val="nil"/>
            </w:tcBorders>
          </w:tcPr>
          <w:p>
            <w:pPr>
              <w:pStyle w:val="TableParagraph"/>
              <w:spacing w:before="25"/>
              <w:ind w:right="109"/>
              <w:jc w:val="right"/>
              <w:rPr>
                <w:sz w:val="17"/>
              </w:rPr>
            </w:pPr>
            <w:r>
              <w:rPr>
                <w:color w:val="231F20"/>
                <w:w w:val="115"/>
                <w:sz w:val="17"/>
              </w:rPr>
              <w:t>23 520</w:t>
            </w:r>
          </w:p>
        </w:tc>
        <w:tc>
          <w:tcPr>
            <w:tcW w:w="737" w:type="dxa"/>
            <w:tcBorders>
              <w:top w:val="nil"/>
              <w:bottom w:val="nil"/>
            </w:tcBorders>
          </w:tcPr>
          <w:p>
            <w:pPr>
              <w:pStyle w:val="TableParagraph"/>
              <w:spacing w:before="25"/>
              <w:ind w:right="106"/>
              <w:jc w:val="right"/>
              <w:rPr>
                <w:sz w:val="17"/>
              </w:rPr>
            </w:pPr>
            <w:r>
              <w:rPr>
                <w:color w:val="231F20"/>
                <w:w w:val="115"/>
                <w:sz w:val="17"/>
              </w:rPr>
              <w:t>4480</w:t>
            </w:r>
          </w:p>
        </w:tc>
        <w:tc>
          <w:tcPr>
            <w:tcW w:w="737" w:type="dxa"/>
            <w:tcBorders>
              <w:top w:val="nil"/>
              <w:bottom w:val="nil"/>
            </w:tcBorders>
          </w:tcPr>
          <w:p>
            <w:pPr>
              <w:pStyle w:val="TableParagraph"/>
              <w:spacing w:before="25"/>
              <w:ind w:right="109"/>
              <w:jc w:val="right"/>
              <w:rPr>
                <w:sz w:val="17"/>
              </w:rPr>
            </w:pPr>
            <w:r>
              <w:rPr>
                <w:color w:val="231F20"/>
                <w:w w:val="115"/>
                <w:sz w:val="17"/>
              </w:rPr>
              <w:t>4320</w:t>
            </w:r>
          </w:p>
        </w:tc>
        <w:tc>
          <w:tcPr>
            <w:tcW w:w="737" w:type="dxa"/>
            <w:tcBorders>
              <w:top w:val="nil"/>
              <w:bottom w:val="nil"/>
            </w:tcBorders>
          </w:tcPr>
          <w:p>
            <w:pPr>
              <w:pStyle w:val="TableParagraph"/>
              <w:spacing w:before="25"/>
              <w:ind w:right="106"/>
              <w:jc w:val="right"/>
              <w:rPr>
                <w:sz w:val="17"/>
              </w:rPr>
            </w:pPr>
            <w:r>
              <w:rPr>
                <w:color w:val="231F20"/>
                <w:w w:val="115"/>
                <w:sz w:val="17"/>
              </w:rPr>
              <w:t>2400</w:t>
            </w:r>
          </w:p>
        </w:tc>
        <w:tc>
          <w:tcPr>
            <w:tcW w:w="737" w:type="dxa"/>
            <w:tcBorders>
              <w:top w:val="nil"/>
              <w:bottom w:val="nil"/>
            </w:tcBorders>
          </w:tcPr>
          <w:p>
            <w:pPr>
              <w:pStyle w:val="TableParagraph"/>
              <w:spacing w:before="25"/>
              <w:ind w:right="106"/>
              <w:jc w:val="right"/>
              <w:rPr>
                <w:sz w:val="17"/>
              </w:rPr>
            </w:pPr>
            <w:r>
              <w:rPr>
                <w:color w:val="231F20"/>
                <w:w w:val="115"/>
                <w:sz w:val="17"/>
              </w:rPr>
              <w:t>6280</w:t>
            </w:r>
          </w:p>
        </w:tc>
        <w:tc>
          <w:tcPr>
            <w:tcW w:w="737" w:type="dxa"/>
            <w:tcBorders>
              <w:top w:val="nil"/>
              <w:bottom w:val="nil"/>
            </w:tcBorders>
          </w:tcPr>
          <w:p>
            <w:pPr>
              <w:pStyle w:val="TableParagraph"/>
              <w:spacing w:before="25"/>
              <w:ind w:right="106"/>
              <w:jc w:val="right"/>
              <w:rPr>
                <w:sz w:val="17"/>
              </w:rPr>
            </w:pPr>
            <w:r>
              <w:rPr>
                <w:color w:val="231F20"/>
                <w:w w:val="115"/>
                <w:sz w:val="17"/>
              </w:rPr>
              <w:t>448</w:t>
            </w:r>
          </w:p>
        </w:tc>
        <w:tc>
          <w:tcPr>
            <w:tcW w:w="737" w:type="dxa"/>
            <w:tcBorders>
              <w:top w:val="nil"/>
              <w:bottom w:val="nil"/>
            </w:tcBorders>
          </w:tcPr>
          <w:p>
            <w:pPr>
              <w:pStyle w:val="TableParagraph"/>
              <w:spacing w:before="25"/>
              <w:ind w:right="106"/>
              <w:jc w:val="right"/>
              <w:rPr>
                <w:sz w:val="17"/>
              </w:rPr>
            </w:pPr>
            <w:r>
              <w:rPr>
                <w:color w:val="231F20"/>
                <w:w w:val="115"/>
                <w:sz w:val="17"/>
              </w:rPr>
              <w:t>1945</w:t>
            </w:r>
          </w:p>
        </w:tc>
        <w:tc>
          <w:tcPr>
            <w:tcW w:w="737" w:type="dxa"/>
            <w:tcBorders>
              <w:top w:val="nil"/>
              <w:bottom w:val="nil"/>
              <w:right w:val="nil"/>
            </w:tcBorders>
          </w:tcPr>
          <w:p>
            <w:pPr>
              <w:pStyle w:val="TableParagraph"/>
              <w:spacing w:before="25"/>
              <w:ind w:right="111"/>
              <w:jc w:val="right"/>
              <w:rPr>
                <w:sz w:val="17"/>
              </w:rPr>
            </w:pPr>
            <w:r>
              <w:rPr>
                <w:color w:val="231F20"/>
                <w:w w:val="115"/>
                <w:sz w:val="17"/>
              </w:rPr>
              <w:t>7080</w:t>
            </w:r>
          </w:p>
        </w:tc>
      </w:tr>
      <w:tr>
        <w:trPr>
          <w:trHeight w:val="244" w:hRule="exact"/>
        </w:trPr>
        <w:tc>
          <w:tcPr>
            <w:tcW w:w="3793" w:type="dxa"/>
            <w:tcBorders>
              <w:top w:val="nil"/>
              <w:left w:val="nil"/>
            </w:tcBorders>
          </w:tcPr>
          <w:p>
            <w:pPr>
              <w:pStyle w:val="TableParagraph"/>
              <w:spacing w:before="25"/>
              <w:ind w:left="56"/>
              <w:rPr>
                <w:sz w:val="17"/>
              </w:rPr>
            </w:pPr>
            <w:r>
              <w:rPr>
                <w:color w:val="231F20"/>
                <w:sz w:val="17"/>
              </w:rPr>
              <w:t>Producción total de leche anual   (l/año)</w:t>
            </w:r>
          </w:p>
        </w:tc>
        <w:tc>
          <w:tcPr>
            <w:tcW w:w="737" w:type="dxa"/>
            <w:tcBorders>
              <w:top w:val="nil"/>
            </w:tcBorders>
          </w:tcPr>
          <w:p>
            <w:pPr>
              <w:pStyle w:val="TableParagraph"/>
              <w:spacing w:before="25"/>
              <w:ind w:right="106"/>
              <w:jc w:val="right"/>
              <w:rPr>
                <w:sz w:val="17"/>
              </w:rPr>
            </w:pPr>
            <w:r>
              <w:rPr>
                <w:color w:val="231F20"/>
                <w:w w:val="115"/>
                <w:sz w:val="17"/>
              </w:rPr>
              <w:t>47067</w:t>
            </w:r>
          </w:p>
        </w:tc>
        <w:tc>
          <w:tcPr>
            <w:tcW w:w="737" w:type="dxa"/>
            <w:tcBorders>
              <w:top w:val="nil"/>
            </w:tcBorders>
          </w:tcPr>
          <w:p>
            <w:pPr>
              <w:pStyle w:val="TableParagraph"/>
              <w:spacing w:before="25"/>
              <w:ind w:right="109"/>
              <w:jc w:val="right"/>
              <w:rPr>
                <w:sz w:val="17"/>
              </w:rPr>
            </w:pPr>
            <w:r>
              <w:rPr>
                <w:color w:val="231F20"/>
                <w:w w:val="115"/>
                <w:sz w:val="17"/>
              </w:rPr>
              <w:t>35 624</w:t>
            </w:r>
          </w:p>
        </w:tc>
        <w:tc>
          <w:tcPr>
            <w:tcW w:w="737" w:type="dxa"/>
            <w:tcBorders>
              <w:top w:val="nil"/>
            </w:tcBorders>
          </w:tcPr>
          <w:p>
            <w:pPr>
              <w:pStyle w:val="TableParagraph"/>
              <w:spacing w:before="25"/>
              <w:ind w:right="106"/>
              <w:jc w:val="right"/>
              <w:rPr>
                <w:sz w:val="17"/>
              </w:rPr>
            </w:pPr>
            <w:r>
              <w:rPr>
                <w:color w:val="231F20"/>
                <w:w w:val="115"/>
                <w:sz w:val="17"/>
              </w:rPr>
              <w:t>16 752</w:t>
            </w:r>
          </w:p>
        </w:tc>
        <w:tc>
          <w:tcPr>
            <w:tcW w:w="737" w:type="dxa"/>
            <w:tcBorders>
              <w:top w:val="nil"/>
            </w:tcBorders>
          </w:tcPr>
          <w:p>
            <w:pPr>
              <w:pStyle w:val="TableParagraph"/>
              <w:spacing w:before="25"/>
              <w:ind w:right="109"/>
              <w:jc w:val="right"/>
              <w:rPr>
                <w:sz w:val="17"/>
              </w:rPr>
            </w:pPr>
            <w:r>
              <w:rPr>
                <w:color w:val="231F20"/>
                <w:w w:val="115"/>
                <w:sz w:val="17"/>
              </w:rPr>
              <w:t>54 820</w:t>
            </w:r>
          </w:p>
        </w:tc>
        <w:tc>
          <w:tcPr>
            <w:tcW w:w="737" w:type="dxa"/>
            <w:tcBorders>
              <w:top w:val="nil"/>
            </w:tcBorders>
          </w:tcPr>
          <w:p>
            <w:pPr>
              <w:pStyle w:val="TableParagraph"/>
              <w:spacing w:before="25"/>
              <w:ind w:right="109"/>
              <w:jc w:val="right"/>
              <w:rPr>
                <w:sz w:val="17"/>
              </w:rPr>
            </w:pPr>
            <w:r>
              <w:rPr>
                <w:color w:val="231F20"/>
                <w:w w:val="115"/>
                <w:sz w:val="17"/>
              </w:rPr>
              <w:t>37 720</w:t>
            </w:r>
          </w:p>
        </w:tc>
        <w:tc>
          <w:tcPr>
            <w:tcW w:w="737" w:type="dxa"/>
            <w:tcBorders>
              <w:top w:val="nil"/>
            </w:tcBorders>
          </w:tcPr>
          <w:p>
            <w:pPr>
              <w:pStyle w:val="TableParagraph"/>
              <w:spacing w:before="25"/>
              <w:ind w:right="106"/>
              <w:jc w:val="right"/>
              <w:rPr>
                <w:sz w:val="17"/>
              </w:rPr>
            </w:pPr>
            <w:r>
              <w:rPr>
                <w:color w:val="231F20"/>
                <w:w w:val="115"/>
                <w:sz w:val="17"/>
              </w:rPr>
              <w:t>29 570</w:t>
            </w:r>
          </w:p>
        </w:tc>
        <w:tc>
          <w:tcPr>
            <w:tcW w:w="737" w:type="dxa"/>
            <w:tcBorders>
              <w:top w:val="nil"/>
            </w:tcBorders>
          </w:tcPr>
          <w:p>
            <w:pPr>
              <w:pStyle w:val="TableParagraph"/>
              <w:spacing w:before="25"/>
              <w:ind w:right="109"/>
              <w:jc w:val="right"/>
              <w:rPr>
                <w:sz w:val="17"/>
              </w:rPr>
            </w:pPr>
            <w:r>
              <w:rPr>
                <w:color w:val="231F20"/>
                <w:w w:val="115"/>
                <w:sz w:val="17"/>
              </w:rPr>
              <w:t>20 954</w:t>
            </w:r>
          </w:p>
        </w:tc>
        <w:tc>
          <w:tcPr>
            <w:tcW w:w="737" w:type="dxa"/>
            <w:tcBorders>
              <w:top w:val="nil"/>
            </w:tcBorders>
          </w:tcPr>
          <w:p>
            <w:pPr>
              <w:pStyle w:val="TableParagraph"/>
              <w:spacing w:before="25"/>
              <w:ind w:right="109"/>
              <w:jc w:val="right"/>
              <w:rPr>
                <w:sz w:val="17"/>
              </w:rPr>
            </w:pPr>
            <w:r>
              <w:rPr>
                <w:color w:val="231F20"/>
                <w:w w:val="115"/>
                <w:sz w:val="17"/>
              </w:rPr>
              <w:t>20 423</w:t>
            </w:r>
          </w:p>
        </w:tc>
        <w:tc>
          <w:tcPr>
            <w:tcW w:w="737" w:type="dxa"/>
            <w:tcBorders>
              <w:top w:val="nil"/>
            </w:tcBorders>
          </w:tcPr>
          <w:p>
            <w:pPr>
              <w:pStyle w:val="TableParagraph"/>
              <w:spacing w:before="25"/>
              <w:ind w:right="113"/>
              <w:jc w:val="right"/>
              <w:rPr>
                <w:sz w:val="17"/>
              </w:rPr>
            </w:pPr>
            <w:r>
              <w:rPr>
                <w:color w:val="231F20"/>
                <w:w w:val="115"/>
                <w:sz w:val="17"/>
              </w:rPr>
              <w:t>24 019</w:t>
            </w:r>
          </w:p>
        </w:tc>
        <w:tc>
          <w:tcPr>
            <w:tcW w:w="737" w:type="dxa"/>
            <w:tcBorders>
              <w:top w:val="nil"/>
              <w:right w:val="nil"/>
            </w:tcBorders>
          </w:tcPr>
          <w:p>
            <w:pPr>
              <w:pStyle w:val="TableParagraph"/>
              <w:spacing w:before="25"/>
              <w:ind w:right="118"/>
              <w:jc w:val="right"/>
              <w:rPr>
                <w:sz w:val="17"/>
              </w:rPr>
            </w:pPr>
            <w:r>
              <w:rPr>
                <w:color w:val="231F20"/>
                <w:w w:val="115"/>
                <w:sz w:val="17"/>
              </w:rPr>
              <w:t>36 115</w:t>
            </w:r>
          </w:p>
        </w:tc>
      </w:tr>
    </w:tbl>
    <w:p>
      <w:pPr>
        <w:spacing w:before="25" w:after="6"/>
        <w:ind w:left="1497" w:right="0" w:firstLine="0"/>
        <w:jc w:val="left"/>
        <w:rPr>
          <w:sz w:val="17"/>
        </w:rPr>
      </w:pPr>
      <w:r>
        <w:rPr>
          <w:color w:val="231F20"/>
          <w:w w:val="110"/>
          <w:sz w:val="17"/>
        </w:rPr>
        <w:t>SISTEMA</w:t>
      </w:r>
    </w:p>
    <w:tbl>
      <w:tblPr>
        <w:tblW w:w="0" w:type="auto"/>
        <w:jc w:val="left"/>
        <w:tblInd w:w="143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93"/>
        <w:gridCol w:w="737"/>
        <w:gridCol w:w="737"/>
        <w:gridCol w:w="737"/>
        <w:gridCol w:w="737"/>
        <w:gridCol w:w="737"/>
        <w:gridCol w:w="737"/>
        <w:gridCol w:w="737"/>
        <w:gridCol w:w="737"/>
        <w:gridCol w:w="737"/>
        <w:gridCol w:w="737"/>
      </w:tblGrid>
      <w:tr>
        <w:trPr>
          <w:trHeight w:val="273" w:hRule="exact"/>
        </w:trPr>
        <w:tc>
          <w:tcPr>
            <w:tcW w:w="3793" w:type="dxa"/>
            <w:tcBorders>
              <w:left w:val="nil"/>
              <w:bottom w:val="nil"/>
            </w:tcBorders>
          </w:tcPr>
          <w:p>
            <w:pPr>
              <w:pStyle w:val="TableParagraph"/>
              <w:spacing w:before="17"/>
              <w:ind w:left="56"/>
              <w:rPr>
                <w:sz w:val="17"/>
              </w:rPr>
            </w:pPr>
            <w:r>
              <w:rPr>
                <w:color w:val="231F20"/>
                <w:sz w:val="17"/>
              </w:rPr>
              <w:t>Área forrajera por animal  (vaca/ha)</w:t>
            </w:r>
          </w:p>
        </w:tc>
        <w:tc>
          <w:tcPr>
            <w:tcW w:w="737" w:type="dxa"/>
            <w:tcBorders>
              <w:bottom w:val="nil"/>
            </w:tcBorders>
          </w:tcPr>
          <w:p>
            <w:pPr>
              <w:pStyle w:val="TableParagraph"/>
              <w:spacing w:before="17"/>
              <w:ind w:left="10" w:right="10"/>
              <w:jc w:val="center"/>
              <w:rPr>
                <w:sz w:val="17"/>
              </w:rPr>
            </w:pPr>
            <w:r>
              <w:rPr>
                <w:color w:val="231F20"/>
                <w:w w:val="110"/>
                <w:sz w:val="17"/>
              </w:rPr>
              <w:t>2,0</w:t>
            </w:r>
          </w:p>
        </w:tc>
        <w:tc>
          <w:tcPr>
            <w:tcW w:w="737" w:type="dxa"/>
            <w:tcBorders>
              <w:bottom w:val="nil"/>
            </w:tcBorders>
          </w:tcPr>
          <w:p>
            <w:pPr>
              <w:pStyle w:val="TableParagraph"/>
              <w:spacing w:before="17"/>
              <w:ind w:left="246"/>
              <w:rPr>
                <w:sz w:val="17"/>
              </w:rPr>
            </w:pPr>
            <w:r>
              <w:rPr>
                <w:color w:val="231F20"/>
                <w:w w:val="110"/>
                <w:sz w:val="17"/>
              </w:rPr>
              <w:t>1,0</w:t>
            </w:r>
          </w:p>
        </w:tc>
        <w:tc>
          <w:tcPr>
            <w:tcW w:w="737" w:type="dxa"/>
            <w:tcBorders>
              <w:bottom w:val="nil"/>
            </w:tcBorders>
          </w:tcPr>
          <w:p>
            <w:pPr>
              <w:pStyle w:val="TableParagraph"/>
              <w:spacing w:before="17"/>
              <w:ind w:left="10" w:right="10"/>
              <w:jc w:val="center"/>
              <w:rPr>
                <w:sz w:val="17"/>
              </w:rPr>
            </w:pPr>
            <w:r>
              <w:rPr>
                <w:color w:val="231F20"/>
                <w:w w:val="110"/>
                <w:sz w:val="17"/>
              </w:rPr>
              <w:t>2,0</w:t>
            </w:r>
          </w:p>
        </w:tc>
        <w:tc>
          <w:tcPr>
            <w:tcW w:w="737" w:type="dxa"/>
            <w:tcBorders>
              <w:bottom w:val="nil"/>
            </w:tcBorders>
          </w:tcPr>
          <w:p>
            <w:pPr>
              <w:pStyle w:val="TableParagraph"/>
              <w:spacing w:before="17"/>
              <w:ind w:left="10" w:right="10"/>
              <w:jc w:val="center"/>
              <w:rPr>
                <w:sz w:val="17"/>
              </w:rPr>
            </w:pPr>
            <w:r>
              <w:rPr>
                <w:color w:val="231F20"/>
                <w:w w:val="110"/>
                <w:sz w:val="17"/>
              </w:rPr>
              <w:t>1,6</w:t>
            </w:r>
          </w:p>
        </w:tc>
        <w:tc>
          <w:tcPr>
            <w:tcW w:w="737" w:type="dxa"/>
            <w:tcBorders>
              <w:bottom w:val="nil"/>
            </w:tcBorders>
          </w:tcPr>
          <w:p>
            <w:pPr>
              <w:pStyle w:val="TableParagraph"/>
              <w:spacing w:before="17"/>
              <w:ind w:left="10" w:right="10"/>
              <w:jc w:val="center"/>
              <w:rPr>
                <w:sz w:val="17"/>
              </w:rPr>
            </w:pPr>
            <w:r>
              <w:rPr>
                <w:color w:val="231F20"/>
                <w:w w:val="110"/>
                <w:sz w:val="17"/>
              </w:rPr>
              <w:t>1,1</w:t>
            </w:r>
          </w:p>
        </w:tc>
        <w:tc>
          <w:tcPr>
            <w:tcW w:w="737" w:type="dxa"/>
            <w:tcBorders>
              <w:bottom w:val="nil"/>
            </w:tcBorders>
          </w:tcPr>
          <w:p>
            <w:pPr>
              <w:pStyle w:val="TableParagraph"/>
              <w:spacing w:before="17"/>
              <w:ind w:left="10" w:right="10"/>
              <w:jc w:val="center"/>
              <w:rPr>
                <w:sz w:val="17"/>
              </w:rPr>
            </w:pPr>
            <w:r>
              <w:rPr>
                <w:color w:val="231F20"/>
                <w:w w:val="110"/>
                <w:sz w:val="17"/>
              </w:rPr>
              <w:t>0,8</w:t>
            </w:r>
          </w:p>
        </w:tc>
        <w:tc>
          <w:tcPr>
            <w:tcW w:w="737" w:type="dxa"/>
            <w:tcBorders>
              <w:bottom w:val="nil"/>
            </w:tcBorders>
          </w:tcPr>
          <w:p>
            <w:pPr>
              <w:pStyle w:val="TableParagraph"/>
              <w:spacing w:before="17"/>
              <w:ind w:left="246"/>
              <w:rPr>
                <w:sz w:val="17"/>
              </w:rPr>
            </w:pPr>
            <w:r>
              <w:rPr>
                <w:color w:val="231F20"/>
                <w:w w:val="110"/>
                <w:sz w:val="17"/>
              </w:rPr>
              <w:t>0,5</w:t>
            </w:r>
          </w:p>
        </w:tc>
        <w:tc>
          <w:tcPr>
            <w:tcW w:w="737" w:type="dxa"/>
            <w:tcBorders>
              <w:bottom w:val="nil"/>
            </w:tcBorders>
          </w:tcPr>
          <w:p>
            <w:pPr>
              <w:pStyle w:val="TableParagraph"/>
              <w:spacing w:before="17"/>
              <w:ind w:right="244"/>
              <w:jc w:val="right"/>
              <w:rPr>
                <w:sz w:val="17"/>
              </w:rPr>
            </w:pPr>
            <w:r>
              <w:rPr>
                <w:color w:val="231F20"/>
                <w:w w:val="105"/>
                <w:sz w:val="17"/>
              </w:rPr>
              <w:t>1,3</w:t>
            </w:r>
          </w:p>
        </w:tc>
        <w:tc>
          <w:tcPr>
            <w:tcW w:w="737" w:type="dxa"/>
            <w:tcBorders>
              <w:bottom w:val="nil"/>
            </w:tcBorders>
          </w:tcPr>
          <w:p>
            <w:pPr>
              <w:pStyle w:val="TableParagraph"/>
              <w:spacing w:before="17"/>
              <w:ind w:left="4" w:right="10"/>
              <w:jc w:val="center"/>
              <w:rPr>
                <w:sz w:val="17"/>
              </w:rPr>
            </w:pPr>
            <w:r>
              <w:rPr>
                <w:color w:val="231F20"/>
                <w:w w:val="110"/>
                <w:sz w:val="17"/>
              </w:rPr>
              <w:t>1,7</w:t>
            </w:r>
          </w:p>
        </w:tc>
        <w:tc>
          <w:tcPr>
            <w:tcW w:w="737" w:type="dxa"/>
            <w:tcBorders>
              <w:bottom w:val="nil"/>
              <w:right w:val="nil"/>
            </w:tcBorders>
          </w:tcPr>
          <w:p>
            <w:pPr>
              <w:pStyle w:val="TableParagraph"/>
              <w:spacing w:before="17"/>
              <w:ind w:left="246"/>
              <w:rPr>
                <w:sz w:val="17"/>
              </w:rPr>
            </w:pPr>
            <w:r>
              <w:rPr>
                <w:color w:val="231F20"/>
                <w:w w:val="110"/>
                <w:sz w:val="17"/>
              </w:rPr>
              <w:t>0,8</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w w:val="105"/>
                <w:sz w:val="17"/>
              </w:rPr>
              <w:t>Concentrados (kg/vaca/año)</w:t>
            </w:r>
          </w:p>
        </w:tc>
        <w:tc>
          <w:tcPr>
            <w:tcW w:w="737" w:type="dxa"/>
            <w:tcBorders>
              <w:top w:val="nil"/>
              <w:bottom w:val="nil"/>
            </w:tcBorders>
          </w:tcPr>
          <w:p>
            <w:pPr>
              <w:pStyle w:val="TableParagraph"/>
              <w:spacing w:before="25"/>
              <w:ind w:left="10" w:right="10"/>
              <w:jc w:val="center"/>
              <w:rPr>
                <w:sz w:val="17"/>
              </w:rPr>
            </w:pPr>
            <w:r>
              <w:rPr>
                <w:color w:val="231F20"/>
                <w:w w:val="115"/>
                <w:sz w:val="17"/>
              </w:rPr>
              <w:t>668</w:t>
            </w:r>
          </w:p>
        </w:tc>
        <w:tc>
          <w:tcPr>
            <w:tcW w:w="737" w:type="dxa"/>
            <w:tcBorders>
              <w:top w:val="nil"/>
              <w:bottom w:val="nil"/>
            </w:tcBorders>
          </w:tcPr>
          <w:p>
            <w:pPr>
              <w:pStyle w:val="TableParagraph"/>
              <w:spacing w:before="25"/>
              <w:ind w:left="218"/>
              <w:rPr>
                <w:sz w:val="17"/>
              </w:rPr>
            </w:pPr>
            <w:r>
              <w:rPr>
                <w:color w:val="231F20"/>
                <w:w w:val="115"/>
                <w:sz w:val="17"/>
              </w:rPr>
              <w:t>356</w:t>
            </w:r>
          </w:p>
        </w:tc>
        <w:tc>
          <w:tcPr>
            <w:tcW w:w="737" w:type="dxa"/>
            <w:tcBorders>
              <w:top w:val="nil"/>
              <w:bottom w:val="nil"/>
            </w:tcBorders>
          </w:tcPr>
          <w:p>
            <w:pPr>
              <w:pStyle w:val="TableParagraph"/>
              <w:spacing w:before="25"/>
              <w:ind w:left="10" w:right="10"/>
              <w:jc w:val="center"/>
              <w:rPr>
                <w:sz w:val="17"/>
              </w:rPr>
            </w:pPr>
            <w:r>
              <w:rPr>
                <w:color w:val="231F20"/>
                <w:w w:val="115"/>
                <w:sz w:val="17"/>
              </w:rPr>
              <w:t>2940</w:t>
            </w:r>
          </w:p>
        </w:tc>
        <w:tc>
          <w:tcPr>
            <w:tcW w:w="737" w:type="dxa"/>
            <w:tcBorders>
              <w:top w:val="nil"/>
              <w:bottom w:val="nil"/>
            </w:tcBorders>
          </w:tcPr>
          <w:p>
            <w:pPr>
              <w:pStyle w:val="TableParagraph"/>
              <w:spacing w:before="25"/>
              <w:ind w:left="5" w:right="10"/>
              <w:jc w:val="center"/>
              <w:rPr>
                <w:sz w:val="17"/>
              </w:rPr>
            </w:pPr>
            <w:r>
              <w:rPr>
                <w:color w:val="231F20"/>
                <w:w w:val="115"/>
                <w:sz w:val="17"/>
              </w:rPr>
              <w:t>716</w:t>
            </w:r>
          </w:p>
        </w:tc>
        <w:tc>
          <w:tcPr>
            <w:tcW w:w="737" w:type="dxa"/>
            <w:tcBorders>
              <w:top w:val="nil"/>
              <w:bottom w:val="nil"/>
            </w:tcBorders>
          </w:tcPr>
          <w:p>
            <w:pPr>
              <w:pStyle w:val="TableParagraph"/>
              <w:spacing w:before="25"/>
              <w:ind w:left="10" w:right="10"/>
              <w:jc w:val="center"/>
              <w:rPr>
                <w:sz w:val="17"/>
              </w:rPr>
            </w:pPr>
            <w:r>
              <w:rPr>
                <w:color w:val="231F20"/>
                <w:w w:val="115"/>
                <w:sz w:val="17"/>
              </w:rPr>
              <w:t>743</w:t>
            </w:r>
          </w:p>
        </w:tc>
        <w:tc>
          <w:tcPr>
            <w:tcW w:w="737" w:type="dxa"/>
            <w:tcBorders>
              <w:top w:val="nil"/>
              <w:bottom w:val="nil"/>
            </w:tcBorders>
          </w:tcPr>
          <w:p>
            <w:pPr>
              <w:pStyle w:val="TableParagraph"/>
              <w:spacing w:before="25"/>
              <w:ind w:left="10" w:right="10"/>
              <w:jc w:val="center"/>
              <w:rPr>
                <w:sz w:val="17"/>
              </w:rPr>
            </w:pPr>
            <w:r>
              <w:rPr>
                <w:color w:val="231F20"/>
                <w:w w:val="115"/>
                <w:sz w:val="17"/>
              </w:rPr>
              <w:t>560</w:t>
            </w:r>
          </w:p>
        </w:tc>
        <w:tc>
          <w:tcPr>
            <w:tcW w:w="737" w:type="dxa"/>
            <w:tcBorders>
              <w:top w:val="nil"/>
              <w:bottom w:val="nil"/>
            </w:tcBorders>
          </w:tcPr>
          <w:p>
            <w:pPr>
              <w:pStyle w:val="TableParagraph"/>
              <w:spacing w:before="25"/>
              <w:ind w:left="172"/>
              <w:rPr>
                <w:sz w:val="17"/>
              </w:rPr>
            </w:pPr>
            <w:r>
              <w:rPr>
                <w:color w:val="231F20"/>
                <w:w w:val="115"/>
                <w:sz w:val="17"/>
              </w:rPr>
              <w:t>1786</w:t>
            </w:r>
          </w:p>
        </w:tc>
        <w:tc>
          <w:tcPr>
            <w:tcW w:w="737" w:type="dxa"/>
            <w:tcBorders>
              <w:top w:val="nil"/>
              <w:bottom w:val="nil"/>
            </w:tcBorders>
          </w:tcPr>
          <w:p>
            <w:pPr>
              <w:pStyle w:val="TableParagraph"/>
              <w:spacing w:before="25"/>
              <w:ind w:right="214"/>
              <w:jc w:val="right"/>
              <w:rPr>
                <w:sz w:val="17"/>
              </w:rPr>
            </w:pPr>
            <w:r>
              <w:rPr>
                <w:color w:val="231F20"/>
                <w:w w:val="115"/>
                <w:sz w:val="17"/>
              </w:rPr>
              <w:t>296</w:t>
            </w:r>
          </w:p>
        </w:tc>
        <w:tc>
          <w:tcPr>
            <w:tcW w:w="737" w:type="dxa"/>
            <w:tcBorders>
              <w:top w:val="nil"/>
              <w:bottom w:val="nil"/>
            </w:tcBorders>
          </w:tcPr>
          <w:p>
            <w:pPr>
              <w:pStyle w:val="TableParagraph"/>
              <w:spacing w:before="25"/>
              <w:ind w:left="10" w:right="10"/>
              <w:jc w:val="center"/>
              <w:rPr>
                <w:sz w:val="17"/>
              </w:rPr>
            </w:pPr>
            <w:r>
              <w:rPr>
                <w:color w:val="231F20"/>
                <w:w w:val="115"/>
                <w:sz w:val="17"/>
              </w:rPr>
              <w:t>1496</w:t>
            </w:r>
          </w:p>
        </w:tc>
        <w:tc>
          <w:tcPr>
            <w:tcW w:w="737" w:type="dxa"/>
            <w:tcBorders>
              <w:top w:val="nil"/>
              <w:bottom w:val="nil"/>
              <w:right w:val="nil"/>
            </w:tcBorders>
          </w:tcPr>
          <w:p>
            <w:pPr>
              <w:pStyle w:val="TableParagraph"/>
              <w:spacing w:before="25"/>
              <w:ind w:left="216"/>
              <w:rPr>
                <w:sz w:val="17"/>
              </w:rPr>
            </w:pPr>
            <w:r>
              <w:rPr>
                <w:color w:val="231F20"/>
                <w:w w:val="115"/>
                <w:sz w:val="17"/>
              </w:rPr>
              <w:t>505</w:t>
            </w:r>
          </w:p>
        </w:tc>
      </w:tr>
      <w:tr>
        <w:trPr>
          <w:trHeight w:val="244" w:hRule="exact"/>
        </w:trPr>
        <w:tc>
          <w:tcPr>
            <w:tcW w:w="3793" w:type="dxa"/>
            <w:tcBorders>
              <w:top w:val="nil"/>
              <w:left w:val="nil"/>
            </w:tcBorders>
          </w:tcPr>
          <w:p>
            <w:pPr>
              <w:pStyle w:val="TableParagraph"/>
              <w:spacing w:before="25"/>
              <w:ind w:left="56"/>
              <w:rPr>
                <w:sz w:val="17"/>
              </w:rPr>
            </w:pPr>
            <w:r>
              <w:rPr>
                <w:color w:val="231F20"/>
                <w:sz w:val="17"/>
              </w:rPr>
              <w:t>Litro de leche/kg concentrado   (l/kg)</w:t>
            </w:r>
          </w:p>
        </w:tc>
        <w:tc>
          <w:tcPr>
            <w:tcW w:w="737" w:type="dxa"/>
            <w:tcBorders>
              <w:top w:val="nil"/>
            </w:tcBorders>
          </w:tcPr>
          <w:p>
            <w:pPr>
              <w:pStyle w:val="TableParagraph"/>
              <w:spacing w:before="25"/>
              <w:ind w:left="10" w:right="10"/>
              <w:jc w:val="center"/>
              <w:rPr>
                <w:sz w:val="17"/>
              </w:rPr>
            </w:pPr>
            <w:r>
              <w:rPr>
                <w:color w:val="231F20"/>
                <w:w w:val="110"/>
                <w:sz w:val="17"/>
              </w:rPr>
              <w:t>2,35</w:t>
            </w:r>
          </w:p>
        </w:tc>
        <w:tc>
          <w:tcPr>
            <w:tcW w:w="737" w:type="dxa"/>
            <w:tcBorders>
              <w:top w:val="nil"/>
            </w:tcBorders>
          </w:tcPr>
          <w:p>
            <w:pPr>
              <w:pStyle w:val="TableParagraph"/>
              <w:spacing w:before="25"/>
              <w:ind w:left="198"/>
              <w:rPr>
                <w:sz w:val="17"/>
              </w:rPr>
            </w:pPr>
            <w:r>
              <w:rPr>
                <w:color w:val="231F20"/>
                <w:w w:val="110"/>
                <w:sz w:val="17"/>
              </w:rPr>
              <w:t>2,57</w:t>
            </w:r>
          </w:p>
        </w:tc>
        <w:tc>
          <w:tcPr>
            <w:tcW w:w="737" w:type="dxa"/>
            <w:tcBorders>
              <w:top w:val="nil"/>
            </w:tcBorders>
          </w:tcPr>
          <w:p>
            <w:pPr>
              <w:pStyle w:val="TableParagraph"/>
              <w:spacing w:before="25"/>
              <w:ind w:left="10" w:right="10"/>
              <w:jc w:val="center"/>
              <w:rPr>
                <w:sz w:val="17"/>
              </w:rPr>
            </w:pPr>
            <w:r>
              <w:rPr>
                <w:color w:val="231F20"/>
                <w:w w:val="110"/>
                <w:sz w:val="17"/>
              </w:rPr>
              <w:t>0,36</w:t>
            </w:r>
          </w:p>
        </w:tc>
        <w:tc>
          <w:tcPr>
            <w:tcW w:w="737" w:type="dxa"/>
            <w:tcBorders>
              <w:top w:val="nil"/>
            </w:tcBorders>
          </w:tcPr>
          <w:p>
            <w:pPr>
              <w:pStyle w:val="TableParagraph"/>
              <w:spacing w:before="25"/>
              <w:ind w:left="10" w:right="10"/>
              <w:jc w:val="center"/>
              <w:rPr>
                <w:sz w:val="17"/>
              </w:rPr>
            </w:pPr>
            <w:r>
              <w:rPr>
                <w:color w:val="231F20"/>
                <w:w w:val="110"/>
                <w:sz w:val="17"/>
              </w:rPr>
              <w:t>3,06</w:t>
            </w:r>
          </w:p>
        </w:tc>
        <w:tc>
          <w:tcPr>
            <w:tcW w:w="737" w:type="dxa"/>
            <w:tcBorders>
              <w:top w:val="nil"/>
            </w:tcBorders>
          </w:tcPr>
          <w:p>
            <w:pPr>
              <w:pStyle w:val="TableParagraph"/>
              <w:spacing w:before="25"/>
              <w:ind w:left="10" w:right="10"/>
              <w:jc w:val="center"/>
              <w:rPr>
                <w:sz w:val="17"/>
              </w:rPr>
            </w:pPr>
            <w:r>
              <w:rPr>
                <w:color w:val="231F20"/>
                <w:w w:val="110"/>
                <w:sz w:val="17"/>
              </w:rPr>
              <w:t>2,31</w:t>
            </w:r>
          </w:p>
        </w:tc>
        <w:tc>
          <w:tcPr>
            <w:tcW w:w="737" w:type="dxa"/>
            <w:tcBorders>
              <w:top w:val="nil"/>
            </w:tcBorders>
          </w:tcPr>
          <w:p>
            <w:pPr>
              <w:pStyle w:val="TableParagraph"/>
              <w:spacing w:before="25"/>
              <w:ind w:left="5" w:right="10"/>
              <w:jc w:val="center"/>
              <w:rPr>
                <w:sz w:val="17"/>
              </w:rPr>
            </w:pPr>
            <w:r>
              <w:rPr>
                <w:color w:val="231F20"/>
                <w:w w:val="110"/>
                <w:sz w:val="17"/>
              </w:rPr>
              <w:t>1,76</w:t>
            </w:r>
          </w:p>
        </w:tc>
        <w:tc>
          <w:tcPr>
            <w:tcW w:w="737" w:type="dxa"/>
            <w:tcBorders>
              <w:top w:val="nil"/>
            </w:tcBorders>
          </w:tcPr>
          <w:p>
            <w:pPr>
              <w:pStyle w:val="TableParagraph"/>
              <w:spacing w:before="25"/>
              <w:ind w:left="204"/>
              <w:rPr>
                <w:sz w:val="17"/>
              </w:rPr>
            </w:pPr>
            <w:r>
              <w:rPr>
                <w:color w:val="231F20"/>
                <w:w w:val="110"/>
                <w:sz w:val="17"/>
              </w:rPr>
              <w:t>0,78</w:t>
            </w:r>
          </w:p>
        </w:tc>
        <w:tc>
          <w:tcPr>
            <w:tcW w:w="737" w:type="dxa"/>
            <w:tcBorders>
              <w:top w:val="nil"/>
            </w:tcBorders>
          </w:tcPr>
          <w:p>
            <w:pPr>
              <w:pStyle w:val="TableParagraph"/>
              <w:spacing w:before="25"/>
              <w:ind w:right="196"/>
              <w:jc w:val="right"/>
              <w:rPr>
                <w:sz w:val="17"/>
              </w:rPr>
            </w:pPr>
            <w:r>
              <w:rPr>
                <w:color w:val="231F20"/>
                <w:w w:val="110"/>
                <w:sz w:val="17"/>
              </w:rPr>
              <w:t>2,30</w:t>
            </w:r>
          </w:p>
        </w:tc>
        <w:tc>
          <w:tcPr>
            <w:tcW w:w="737" w:type="dxa"/>
            <w:tcBorders>
              <w:top w:val="nil"/>
            </w:tcBorders>
          </w:tcPr>
          <w:p>
            <w:pPr>
              <w:pStyle w:val="TableParagraph"/>
              <w:spacing w:before="25"/>
              <w:ind w:left="5" w:right="10"/>
              <w:jc w:val="center"/>
              <w:rPr>
                <w:sz w:val="17"/>
              </w:rPr>
            </w:pPr>
            <w:r>
              <w:rPr>
                <w:color w:val="231F20"/>
                <w:w w:val="110"/>
                <w:sz w:val="17"/>
              </w:rPr>
              <w:t>1,78</w:t>
            </w:r>
          </w:p>
        </w:tc>
        <w:tc>
          <w:tcPr>
            <w:tcW w:w="737" w:type="dxa"/>
            <w:tcBorders>
              <w:top w:val="nil"/>
              <w:right w:val="nil"/>
            </w:tcBorders>
          </w:tcPr>
          <w:p>
            <w:pPr>
              <w:pStyle w:val="TableParagraph"/>
              <w:spacing w:before="25"/>
              <w:ind w:left="204"/>
              <w:rPr>
                <w:sz w:val="17"/>
              </w:rPr>
            </w:pPr>
            <w:r>
              <w:rPr>
                <w:color w:val="231F20"/>
                <w:w w:val="110"/>
                <w:sz w:val="17"/>
              </w:rPr>
              <w:t>1,70</w:t>
            </w:r>
          </w:p>
        </w:tc>
      </w:tr>
    </w:tbl>
    <w:p>
      <w:pPr>
        <w:spacing w:before="24" w:after="6"/>
        <w:ind w:left="1497" w:right="0" w:firstLine="0"/>
        <w:jc w:val="left"/>
        <w:rPr>
          <w:sz w:val="17"/>
        </w:rPr>
      </w:pPr>
      <w:r>
        <w:rPr>
          <w:color w:val="231F20"/>
          <w:w w:val="115"/>
          <w:sz w:val="17"/>
        </w:rPr>
        <w:t>PRECIOS Y COSTOS</w:t>
      </w:r>
    </w:p>
    <w:tbl>
      <w:tblPr>
        <w:tblW w:w="0" w:type="auto"/>
        <w:jc w:val="left"/>
        <w:tblInd w:w="143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93"/>
        <w:gridCol w:w="737"/>
        <w:gridCol w:w="737"/>
        <w:gridCol w:w="737"/>
        <w:gridCol w:w="737"/>
        <w:gridCol w:w="737"/>
        <w:gridCol w:w="737"/>
        <w:gridCol w:w="737"/>
        <w:gridCol w:w="737"/>
        <w:gridCol w:w="737"/>
        <w:gridCol w:w="737"/>
      </w:tblGrid>
      <w:tr>
        <w:trPr>
          <w:trHeight w:val="273" w:hRule="exact"/>
        </w:trPr>
        <w:tc>
          <w:tcPr>
            <w:tcW w:w="3793" w:type="dxa"/>
            <w:tcBorders>
              <w:left w:val="nil"/>
              <w:bottom w:val="nil"/>
            </w:tcBorders>
          </w:tcPr>
          <w:p>
            <w:pPr>
              <w:pStyle w:val="TableParagraph"/>
              <w:spacing w:before="17"/>
              <w:ind w:left="56"/>
              <w:rPr>
                <w:sz w:val="17"/>
              </w:rPr>
            </w:pPr>
            <w:r>
              <w:rPr>
                <w:color w:val="231F20"/>
                <w:w w:val="105"/>
                <w:sz w:val="17"/>
              </w:rPr>
              <w:t>Leche, precio de venta ($/l)</w:t>
            </w:r>
          </w:p>
        </w:tc>
        <w:tc>
          <w:tcPr>
            <w:tcW w:w="737" w:type="dxa"/>
            <w:tcBorders>
              <w:bottom w:val="nil"/>
            </w:tcBorders>
          </w:tcPr>
          <w:p>
            <w:pPr>
              <w:pStyle w:val="TableParagraph"/>
              <w:spacing w:before="17"/>
              <w:ind w:left="246"/>
              <w:rPr>
                <w:sz w:val="17"/>
              </w:rPr>
            </w:pPr>
            <w:r>
              <w:rPr>
                <w:color w:val="231F20"/>
                <w:w w:val="110"/>
                <w:sz w:val="17"/>
              </w:rPr>
              <w:t>4,6</w:t>
            </w:r>
          </w:p>
        </w:tc>
        <w:tc>
          <w:tcPr>
            <w:tcW w:w="737" w:type="dxa"/>
            <w:tcBorders>
              <w:bottom w:val="nil"/>
            </w:tcBorders>
          </w:tcPr>
          <w:p>
            <w:pPr>
              <w:pStyle w:val="TableParagraph"/>
              <w:spacing w:before="17"/>
              <w:ind w:left="246"/>
              <w:rPr>
                <w:sz w:val="17"/>
              </w:rPr>
            </w:pPr>
            <w:r>
              <w:rPr>
                <w:color w:val="231F20"/>
                <w:w w:val="110"/>
                <w:sz w:val="17"/>
              </w:rPr>
              <w:t>4,0</w:t>
            </w:r>
          </w:p>
        </w:tc>
        <w:tc>
          <w:tcPr>
            <w:tcW w:w="737" w:type="dxa"/>
            <w:tcBorders>
              <w:bottom w:val="nil"/>
            </w:tcBorders>
          </w:tcPr>
          <w:p>
            <w:pPr>
              <w:pStyle w:val="TableParagraph"/>
              <w:spacing w:before="17"/>
              <w:ind w:left="246"/>
              <w:rPr>
                <w:sz w:val="17"/>
              </w:rPr>
            </w:pPr>
            <w:r>
              <w:rPr>
                <w:color w:val="231F20"/>
                <w:w w:val="110"/>
                <w:sz w:val="17"/>
              </w:rPr>
              <w:t>4,0</w:t>
            </w:r>
          </w:p>
        </w:tc>
        <w:tc>
          <w:tcPr>
            <w:tcW w:w="737" w:type="dxa"/>
            <w:tcBorders>
              <w:bottom w:val="nil"/>
            </w:tcBorders>
          </w:tcPr>
          <w:p>
            <w:pPr>
              <w:pStyle w:val="TableParagraph"/>
              <w:spacing w:before="17"/>
              <w:ind w:left="10" w:right="10"/>
              <w:jc w:val="center"/>
              <w:rPr>
                <w:sz w:val="17"/>
              </w:rPr>
            </w:pPr>
            <w:r>
              <w:rPr>
                <w:color w:val="231F20"/>
                <w:w w:val="110"/>
                <w:sz w:val="17"/>
              </w:rPr>
              <w:t>4,0</w:t>
            </w:r>
          </w:p>
        </w:tc>
        <w:tc>
          <w:tcPr>
            <w:tcW w:w="737" w:type="dxa"/>
            <w:tcBorders>
              <w:bottom w:val="nil"/>
            </w:tcBorders>
          </w:tcPr>
          <w:p>
            <w:pPr>
              <w:pStyle w:val="TableParagraph"/>
              <w:spacing w:before="17"/>
              <w:ind w:left="10" w:right="10"/>
              <w:jc w:val="center"/>
              <w:rPr>
                <w:sz w:val="17"/>
              </w:rPr>
            </w:pPr>
            <w:r>
              <w:rPr>
                <w:color w:val="231F20"/>
                <w:w w:val="110"/>
                <w:sz w:val="17"/>
              </w:rPr>
              <w:t>4,0</w:t>
            </w:r>
          </w:p>
        </w:tc>
        <w:tc>
          <w:tcPr>
            <w:tcW w:w="737" w:type="dxa"/>
            <w:tcBorders>
              <w:bottom w:val="nil"/>
            </w:tcBorders>
          </w:tcPr>
          <w:p>
            <w:pPr>
              <w:pStyle w:val="TableParagraph"/>
              <w:spacing w:before="17"/>
              <w:ind w:left="246"/>
              <w:rPr>
                <w:sz w:val="17"/>
              </w:rPr>
            </w:pPr>
            <w:r>
              <w:rPr>
                <w:color w:val="231F20"/>
                <w:w w:val="110"/>
                <w:sz w:val="17"/>
              </w:rPr>
              <w:t>4,4</w:t>
            </w:r>
          </w:p>
        </w:tc>
        <w:tc>
          <w:tcPr>
            <w:tcW w:w="737" w:type="dxa"/>
            <w:tcBorders>
              <w:bottom w:val="nil"/>
            </w:tcBorders>
          </w:tcPr>
          <w:p>
            <w:pPr>
              <w:pStyle w:val="TableParagraph"/>
              <w:spacing w:before="17"/>
              <w:ind w:left="246"/>
              <w:rPr>
                <w:sz w:val="17"/>
              </w:rPr>
            </w:pPr>
            <w:r>
              <w:rPr>
                <w:color w:val="231F20"/>
                <w:w w:val="110"/>
                <w:sz w:val="17"/>
              </w:rPr>
              <w:t>4,0</w:t>
            </w:r>
          </w:p>
        </w:tc>
        <w:tc>
          <w:tcPr>
            <w:tcW w:w="737" w:type="dxa"/>
            <w:tcBorders>
              <w:bottom w:val="nil"/>
            </w:tcBorders>
          </w:tcPr>
          <w:p>
            <w:pPr>
              <w:pStyle w:val="TableParagraph"/>
              <w:spacing w:before="17"/>
              <w:ind w:left="10" w:right="10"/>
              <w:jc w:val="center"/>
              <w:rPr>
                <w:sz w:val="17"/>
              </w:rPr>
            </w:pPr>
            <w:r>
              <w:rPr>
                <w:color w:val="231F20"/>
                <w:w w:val="110"/>
                <w:sz w:val="17"/>
              </w:rPr>
              <w:t>4,0</w:t>
            </w:r>
          </w:p>
        </w:tc>
        <w:tc>
          <w:tcPr>
            <w:tcW w:w="737" w:type="dxa"/>
            <w:tcBorders>
              <w:bottom w:val="nil"/>
            </w:tcBorders>
          </w:tcPr>
          <w:p>
            <w:pPr>
              <w:pStyle w:val="TableParagraph"/>
              <w:spacing w:before="17"/>
              <w:ind w:left="10" w:right="10"/>
              <w:jc w:val="center"/>
              <w:rPr>
                <w:sz w:val="17"/>
              </w:rPr>
            </w:pPr>
            <w:r>
              <w:rPr>
                <w:color w:val="231F20"/>
                <w:w w:val="110"/>
                <w:sz w:val="17"/>
              </w:rPr>
              <w:t>4,0</w:t>
            </w:r>
          </w:p>
        </w:tc>
        <w:tc>
          <w:tcPr>
            <w:tcW w:w="737" w:type="dxa"/>
            <w:tcBorders>
              <w:bottom w:val="nil"/>
              <w:right w:val="nil"/>
            </w:tcBorders>
          </w:tcPr>
          <w:p>
            <w:pPr>
              <w:pStyle w:val="TableParagraph"/>
              <w:spacing w:before="17"/>
              <w:ind w:left="246"/>
              <w:rPr>
                <w:sz w:val="17"/>
              </w:rPr>
            </w:pPr>
            <w:r>
              <w:rPr>
                <w:color w:val="231F20"/>
                <w:w w:val="110"/>
                <w:sz w:val="17"/>
              </w:rPr>
              <w:t>4,0</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w w:val="105"/>
                <w:sz w:val="17"/>
              </w:rPr>
              <w:t>Concentrado ($/kg)</w:t>
            </w:r>
          </w:p>
        </w:tc>
        <w:tc>
          <w:tcPr>
            <w:tcW w:w="737" w:type="dxa"/>
            <w:tcBorders>
              <w:top w:val="nil"/>
              <w:bottom w:val="nil"/>
            </w:tcBorders>
          </w:tcPr>
          <w:p>
            <w:pPr>
              <w:pStyle w:val="TableParagraph"/>
              <w:spacing w:before="25"/>
              <w:ind w:left="246"/>
              <w:rPr>
                <w:sz w:val="17"/>
              </w:rPr>
            </w:pPr>
            <w:r>
              <w:rPr>
                <w:color w:val="231F20"/>
                <w:w w:val="110"/>
                <w:sz w:val="17"/>
              </w:rPr>
              <w:t>2,8</w:t>
            </w:r>
          </w:p>
        </w:tc>
        <w:tc>
          <w:tcPr>
            <w:tcW w:w="737" w:type="dxa"/>
            <w:tcBorders>
              <w:top w:val="nil"/>
              <w:bottom w:val="nil"/>
            </w:tcBorders>
          </w:tcPr>
          <w:p>
            <w:pPr>
              <w:pStyle w:val="TableParagraph"/>
              <w:spacing w:before="25"/>
              <w:ind w:left="246"/>
              <w:rPr>
                <w:sz w:val="17"/>
              </w:rPr>
            </w:pPr>
            <w:r>
              <w:rPr>
                <w:color w:val="231F20"/>
                <w:w w:val="110"/>
                <w:sz w:val="17"/>
              </w:rPr>
              <w:t>2,3</w:t>
            </w:r>
          </w:p>
        </w:tc>
        <w:tc>
          <w:tcPr>
            <w:tcW w:w="737" w:type="dxa"/>
            <w:tcBorders>
              <w:top w:val="nil"/>
              <w:bottom w:val="nil"/>
            </w:tcBorders>
          </w:tcPr>
          <w:p>
            <w:pPr>
              <w:pStyle w:val="TableParagraph"/>
              <w:spacing w:before="25"/>
              <w:ind w:left="246"/>
              <w:rPr>
                <w:sz w:val="17"/>
              </w:rPr>
            </w:pPr>
            <w:r>
              <w:rPr>
                <w:color w:val="231F20"/>
                <w:w w:val="110"/>
                <w:sz w:val="17"/>
              </w:rPr>
              <w:t>3,0</w:t>
            </w:r>
          </w:p>
        </w:tc>
        <w:tc>
          <w:tcPr>
            <w:tcW w:w="737" w:type="dxa"/>
            <w:tcBorders>
              <w:top w:val="nil"/>
              <w:bottom w:val="nil"/>
            </w:tcBorders>
          </w:tcPr>
          <w:p>
            <w:pPr>
              <w:pStyle w:val="TableParagraph"/>
              <w:spacing w:before="25"/>
              <w:ind w:left="10" w:right="10"/>
              <w:jc w:val="center"/>
              <w:rPr>
                <w:sz w:val="17"/>
              </w:rPr>
            </w:pPr>
            <w:r>
              <w:rPr>
                <w:color w:val="231F20"/>
                <w:w w:val="110"/>
                <w:sz w:val="17"/>
              </w:rPr>
              <w:t>3,1</w:t>
            </w:r>
          </w:p>
        </w:tc>
        <w:tc>
          <w:tcPr>
            <w:tcW w:w="737" w:type="dxa"/>
            <w:tcBorders>
              <w:top w:val="nil"/>
              <w:bottom w:val="nil"/>
            </w:tcBorders>
          </w:tcPr>
          <w:p>
            <w:pPr>
              <w:pStyle w:val="TableParagraph"/>
              <w:spacing w:before="25"/>
              <w:ind w:left="10" w:right="10"/>
              <w:jc w:val="center"/>
              <w:rPr>
                <w:sz w:val="17"/>
              </w:rPr>
            </w:pPr>
            <w:r>
              <w:rPr>
                <w:color w:val="231F20"/>
                <w:w w:val="110"/>
                <w:sz w:val="17"/>
              </w:rPr>
              <w:t>2,5</w:t>
            </w:r>
          </w:p>
        </w:tc>
        <w:tc>
          <w:tcPr>
            <w:tcW w:w="737" w:type="dxa"/>
            <w:tcBorders>
              <w:top w:val="nil"/>
              <w:bottom w:val="nil"/>
            </w:tcBorders>
          </w:tcPr>
          <w:p>
            <w:pPr>
              <w:pStyle w:val="TableParagraph"/>
              <w:spacing w:before="25"/>
              <w:ind w:left="246"/>
              <w:rPr>
                <w:sz w:val="17"/>
              </w:rPr>
            </w:pPr>
            <w:r>
              <w:rPr>
                <w:color w:val="231F20"/>
                <w:w w:val="110"/>
                <w:sz w:val="17"/>
              </w:rPr>
              <w:t>2,0</w:t>
            </w:r>
          </w:p>
        </w:tc>
        <w:tc>
          <w:tcPr>
            <w:tcW w:w="737" w:type="dxa"/>
            <w:tcBorders>
              <w:top w:val="nil"/>
              <w:bottom w:val="nil"/>
            </w:tcBorders>
          </w:tcPr>
          <w:p>
            <w:pPr>
              <w:pStyle w:val="TableParagraph"/>
              <w:spacing w:before="25"/>
              <w:ind w:left="246"/>
              <w:rPr>
                <w:sz w:val="17"/>
              </w:rPr>
            </w:pPr>
            <w:r>
              <w:rPr>
                <w:color w:val="231F20"/>
                <w:w w:val="110"/>
                <w:sz w:val="17"/>
              </w:rPr>
              <w:t>2,4</w:t>
            </w:r>
          </w:p>
        </w:tc>
        <w:tc>
          <w:tcPr>
            <w:tcW w:w="737" w:type="dxa"/>
            <w:tcBorders>
              <w:top w:val="nil"/>
              <w:bottom w:val="nil"/>
            </w:tcBorders>
          </w:tcPr>
          <w:p>
            <w:pPr>
              <w:pStyle w:val="TableParagraph"/>
              <w:spacing w:before="25"/>
              <w:ind w:left="10" w:right="10"/>
              <w:jc w:val="center"/>
              <w:rPr>
                <w:sz w:val="17"/>
              </w:rPr>
            </w:pPr>
            <w:r>
              <w:rPr>
                <w:color w:val="231F20"/>
                <w:w w:val="110"/>
                <w:sz w:val="17"/>
              </w:rPr>
              <w:t>2,2</w:t>
            </w:r>
          </w:p>
        </w:tc>
        <w:tc>
          <w:tcPr>
            <w:tcW w:w="737" w:type="dxa"/>
            <w:tcBorders>
              <w:top w:val="nil"/>
              <w:bottom w:val="nil"/>
            </w:tcBorders>
          </w:tcPr>
          <w:p>
            <w:pPr>
              <w:pStyle w:val="TableParagraph"/>
              <w:spacing w:before="25"/>
              <w:ind w:left="10" w:right="10"/>
              <w:jc w:val="center"/>
              <w:rPr>
                <w:sz w:val="17"/>
              </w:rPr>
            </w:pPr>
            <w:r>
              <w:rPr>
                <w:color w:val="231F20"/>
                <w:w w:val="110"/>
                <w:sz w:val="17"/>
              </w:rPr>
              <w:t>3,6</w:t>
            </w:r>
          </w:p>
        </w:tc>
        <w:tc>
          <w:tcPr>
            <w:tcW w:w="737" w:type="dxa"/>
            <w:tcBorders>
              <w:top w:val="nil"/>
              <w:bottom w:val="nil"/>
              <w:right w:val="nil"/>
            </w:tcBorders>
          </w:tcPr>
          <w:p>
            <w:pPr>
              <w:pStyle w:val="TableParagraph"/>
              <w:spacing w:before="25"/>
              <w:ind w:left="246"/>
              <w:rPr>
                <w:sz w:val="17"/>
              </w:rPr>
            </w:pPr>
            <w:r>
              <w:rPr>
                <w:color w:val="231F20"/>
                <w:w w:val="110"/>
                <w:sz w:val="17"/>
              </w:rPr>
              <w:t>3,1</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Razón:  precio  leche/concentrado ($l/$kg)</w:t>
            </w:r>
          </w:p>
        </w:tc>
        <w:tc>
          <w:tcPr>
            <w:tcW w:w="737" w:type="dxa"/>
            <w:tcBorders>
              <w:top w:val="nil"/>
              <w:bottom w:val="nil"/>
            </w:tcBorders>
          </w:tcPr>
          <w:p>
            <w:pPr>
              <w:pStyle w:val="TableParagraph"/>
              <w:spacing w:before="25"/>
              <w:ind w:left="246"/>
              <w:rPr>
                <w:sz w:val="17"/>
              </w:rPr>
            </w:pPr>
            <w:r>
              <w:rPr>
                <w:color w:val="231F20"/>
                <w:w w:val="110"/>
                <w:sz w:val="17"/>
              </w:rPr>
              <w:t>1,6</w:t>
            </w:r>
          </w:p>
        </w:tc>
        <w:tc>
          <w:tcPr>
            <w:tcW w:w="737" w:type="dxa"/>
            <w:tcBorders>
              <w:top w:val="nil"/>
              <w:bottom w:val="nil"/>
            </w:tcBorders>
          </w:tcPr>
          <w:p>
            <w:pPr>
              <w:pStyle w:val="TableParagraph"/>
              <w:spacing w:before="25"/>
              <w:ind w:left="250"/>
              <w:rPr>
                <w:sz w:val="17"/>
              </w:rPr>
            </w:pPr>
            <w:r>
              <w:rPr>
                <w:color w:val="231F20"/>
                <w:w w:val="110"/>
                <w:sz w:val="17"/>
              </w:rPr>
              <w:t>1,7</w:t>
            </w:r>
          </w:p>
        </w:tc>
        <w:tc>
          <w:tcPr>
            <w:tcW w:w="737" w:type="dxa"/>
            <w:tcBorders>
              <w:top w:val="nil"/>
              <w:bottom w:val="nil"/>
            </w:tcBorders>
          </w:tcPr>
          <w:p>
            <w:pPr>
              <w:pStyle w:val="TableParagraph"/>
              <w:spacing w:before="25"/>
              <w:ind w:left="246"/>
              <w:rPr>
                <w:sz w:val="17"/>
              </w:rPr>
            </w:pPr>
            <w:r>
              <w:rPr>
                <w:color w:val="231F20"/>
                <w:w w:val="110"/>
                <w:sz w:val="17"/>
              </w:rPr>
              <w:t>1,3</w:t>
            </w:r>
          </w:p>
        </w:tc>
        <w:tc>
          <w:tcPr>
            <w:tcW w:w="737" w:type="dxa"/>
            <w:tcBorders>
              <w:top w:val="nil"/>
              <w:bottom w:val="nil"/>
            </w:tcBorders>
          </w:tcPr>
          <w:p>
            <w:pPr>
              <w:pStyle w:val="TableParagraph"/>
              <w:spacing w:before="25"/>
              <w:ind w:left="10" w:right="10"/>
              <w:jc w:val="center"/>
              <w:rPr>
                <w:sz w:val="17"/>
              </w:rPr>
            </w:pPr>
            <w:r>
              <w:rPr>
                <w:color w:val="231F20"/>
                <w:w w:val="110"/>
                <w:sz w:val="17"/>
              </w:rPr>
              <w:t>1,3</w:t>
            </w:r>
          </w:p>
        </w:tc>
        <w:tc>
          <w:tcPr>
            <w:tcW w:w="737" w:type="dxa"/>
            <w:tcBorders>
              <w:top w:val="nil"/>
              <w:bottom w:val="nil"/>
            </w:tcBorders>
          </w:tcPr>
          <w:p>
            <w:pPr>
              <w:pStyle w:val="TableParagraph"/>
              <w:spacing w:before="25"/>
              <w:ind w:left="10" w:right="10"/>
              <w:jc w:val="center"/>
              <w:rPr>
                <w:sz w:val="17"/>
              </w:rPr>
            </w:pPr>
            <w:r>
              <w:rPr>
                <w:color w:val="231F20"/>
                <w:w w:val="110"/>
                <w:sz w:val="17"/>
              </w:rPr>
              <w:t>1,6</w:t>
            </w:r>
          </w:p>
        </w:tc>
        <w:tc>
          <w:tcPr>
            <w:tcW w:w="737" w:type="dxa"/>
            <w:tcBorders>
              <w:top w:val="nil"/>
              <w:bottom w:val="nil"/>
            </w:tcBorders>
          </w:tcPr>
          <w:p>
            <w:pPr>
              <w:pStyle w:val="TableParagraph"/>
              <w:spacing w:before="25"/>
              <w:ind w:left="246"/>
              <w:rPr>
                <w:sz w:val="17"/>
              </w:rPr>
            </w:pPr>
            <w:r>
              <w:rPr>
                <w:color w:val="231F20"/>
                <w:w w:val="110"/>
                <w:sz w:val="17"/>
              </w:rPr>
              <w:t>2,2</w:t>
            </w:r>
          </w:p>
        </w:tc>
        <w:tc>
          <w:tcPr>
            <w:tcW w:w="737" w:type="dxa"/>
            <w:tcBorders>
              <w:top w:val="nil"/>
              <w:bottom w:val="nil"/>
            </w:tcBorders>
          </w:tcPr>
          <w:p>
            <w:pPr>
              <w:pStyle w:val="TableParagraph"/>
              <w:spacing w:before="25"/>
              <w:ind w:left="250"/>
              <w:rPr>
                <w:sz w:val="17"/>
              </w:rPr>
            </w:pPr>
            <w:r>
              <w:rPr>
                <w:color w:val="231F20"/>
                <w:w w:val="110"/>
                <w:sz w:val="17"/>
              </w:rPr>
              <w:t>1,7</w:t>
            </w:r>
          </w:p>
        </w:tc>
        <w:tc>
          <w:tcPr>
            <w:tcW w:w="737" w:type="dxa"/>
            <w:tcBorders>
              <w:top w:val="nil"/>
              <w:bottom w:val="nil"/>
            </w:tcBorders>
          </w:tcPr>
          <w:p>
            <w:pPr>
              <w:pStyle w:val="TableParagraph"/>
              <w:spacing w:before="25"/>
              <w:ind w:left="10" w:right="10"/>
              <w:jc w:val="center"/>
              <w:rPr>
                <w:sz w:val="17"/>
              </w:rPr>
            </w:pPr>
            <w:r>
              <w:rPr>
                <w:color w:val="231F20"/>
                <w:w w:val="110"/>
                <w:sz w:val="17"/>
              </w:rPr>
              <w:t>1,9</w:t>
            </w:r>
          </w:p>
        </w:tc>
        <w:tc>
          <w:tcPr>
            <w:tcW w:w="737" w:type="dxa"/>
            <w:tcBorders>
              <w:top w:val="nil"/>
              <w:bottom w:val="nil"/>
            </w:tcBorders>
          </w:tcPr>
          <w:p>
            <w:pPr>
              <w:pStyle w:val="TableParagraph"/>
              <w:spacing w:before="25"/>
              <w:ind w:left="10" w:right="10"/>
              <w:jc w:val="center"/>
              <w:rPr>
                <w:sz w:val="17"/>
              </w:rPr>
            </w:pPr>
            <w:r>
              <w:rPr>
                <w:color w:val="231F20"/>
                <w:w w:val="110"/>
                <w:sz w:val="17"/>
              </w:rPr>
              <w:t>1,1</w:t>
            </w:r>
          </w:p>
        </w:tc>
        <w:tc>
          <w:tcPr>
            <w:tcW w:w="737" w:type="dxa"/>
            <w:tcBorders>
              <w:top w:val="nil"/>
              <w:bottom w:val="nil"/>
              <w:right w:val="nil"/>
            </w:tcBorders>
          </w:tcPr>
          <w:p>
            <w:pPr>
              <w:pStyle w:val="TableParagraph"/>
              <w:spacing w:before="25"/>
              <w:ind w:left="246"/>
              <w:rPr>
                <w:sz w:val="17"/>
              </w:rPr>
            </w:pPr>
            <w:r>
              <w:rPr>
                <w:color w:val="231F20"/>
                <w:w w:val="110"/>
                <w:sz w:val="17"/>
              </w:rPr>
              <w:t>1,3</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Costo mano de obra contratada permanente    ($/d)</w:t>
            </w:r>
          </w:p>
        </w:tc>
        <w:tc>
          <w:tcPr>
            <w:tcW w:w="737" w:type="dxa"/>
            <w:tcBorders>
              <w:top w:val="nil"/>
              <w:bottom w:val="nil"/>
            </w:tcBorders>
          </w:tcPr>
          <w:p>
            <w:pPr>
              <w:pStyle w:val="TableParagraph"/>
              <w:spacing w:before="25"/>
              <w:ind w:left="218"/>
              <w:rPr>
                <w:sz w:val="17"/>
              </w:rPr>
            </w:pPr>
            <w:r>
              <w:rPr>
                <w:color w:val="231F20"/>
                <w:w w:val="115"/>
                <w:sz w:val="17"/>
              </w:rPr>
              <w:t>105</w:t>
            </w:r>
          </w:p>
        </w:tc>
        <w:tc>
          <w:tcPr>
            <w:tcW w:w="737" w:type="dxa"/>
            <w:tcBorders>
              <w:top w:val="nil"/>
              <w:bottom w:val="nil"/>
            </w:tcBorders>
          </w:tcPr>
          <w:p>
            <w:pPr>
              <w:pStyle w:val="TableParagraph"/>
              <w:spacing w:before="25"/>
              <w:ind w:left="218"/>
              <w:rPr>
                <w:sz w:val="17"/>
              </w:rPr>
            </w:pPr>
            <w:r>
              <w:rPr>
                <w:color w:val="231F20"/>
                <w:w w:val="115"/>
                <w:sz w:val="17"/>
              </w:rPr>
              <w:t>100</w:t>
            </w:r>
          </w:p>
        </w:tc>
        <w:tc>
          <w:tcPr>
            <w:tcW w:w="737" w:type="dxa"/>
            <w:tcBorders>
              <w:top w:val="nil"/>
              <w:bottom w:val="nil"/>
            </w:tcBorders>
          </w:tcPr>
          <w:p>
            <w:pPr/>
          </w:p>
        </w:tc>
        <w:tc>
          <w:tcPr>
            <w:tcW w:w="737" w:type="dxa"/>
            <w:tcBorders>
              <w:top w:val="nil"/>
              <w:bottom w:val="nil"/>
            </w:tcBorders>
          </w:tcPr>
          <w:p>
            <w:pPr>
              <w:pStyle w:val="TableParagraph"/>
              <w:spacing w:before="25"/>
              <w:ind w:left="5" w:right="10"/>
              <w:jc w:val="center"/>
              <w:rPr>
                <w:sz w:val="17"/>
              </w:rPr>
            </w:pPr>
            <w:r>
              <w:rPr>
                <w:color w:val="231F20"/>
                <w:w w:val="115"/>
                <w:sz w:val="17"/>
              </w:rPr>
              <w:t>116</w:t>
            </w:r>
          </w:p>
        </w:tc>
        <w:tc>
          <w:tcPr>
            <w:tcW w:w="737" w:type="dxa"/>
            <w:tcBorders>
              <w:top w:val="nil"/>
              <w:bottom w:val="nil"/>
            </w:tcBorders>
          </w:tcPr>
          <w:p>
            <w:pPr>
              <w:pStyle w:val="TableParagraph"/>
              <w:spacing w:before="25"/>
              <w:ind w:left="10" w:right="10"/>
              <w:jc w:val="center"/>
              <w:rPr>
                <w:sz w:val="17"/>
              </w:rPr>
            </w:pPr>
            <w:r>
              <w:rPr>
                <w:color w:val="231F20"/>
                <w:w w:val="115"/>
                <w:sz w:val="17"/>
              </w:rPr>
              <w:t>100</w:t>
            </w:r>
          </w:p>
        </w:tc>
        <w:tc>
          <w:tcPr>
            <w:tcW w:w="737" w:type="dxa"/>
            <w:tcBorders>
              <w:top w:val="nil"/>
              <w:bottom w:val="nil"/>
            </w:tcBorders>
          </w:tcPr>
          <w:p>
            <w:pPr>
              <w:pStyle w:val="TableParagraph"/>
              <w:spacing w:before="25"/>
              <w:ind w:left="264"/>
              <w:rPr>
                <w:sz w:val="17"/>
              </w:rPr>
            </w:pPr>
            <w:r>
              <w:rPr>
                <w:color w:val="231F20"/>
                <w:w w:val="115"/>
                <w:sz w:val="17"/>
              </w:rPr>
              <w:t>43</w:t>
            </w:r>
          </w:p>
        </w:tc>
        <w:tc>
          <w:tcPr>
            <w:tcW w:w="737" w:type="dxa"/>
            <w:tcBorders>
              <w:top w:val="nil"/>
              <w:bottom w:val="nil"/>
            </w:tcBorders>
          </w:tcPr>
          <w:p>
            <w:pPr>
              <w:pStyle w:val="TableParagraph"/>
              <w:spacing w:before="25"/>
              <w:ind w:left="218"/>
              <w:rPr>
                <w:sz w:val="17"/>
              </w:rPr>
            </w:pPr>
            <w:r>
              <w:rPr>
                <w:color w:val="231F20"/>
                <w:w w:val="115"/>
                <w:sz w:val="17"/>
              </w:rPr>
              <w:t>100</w:t>
            </w:r>
          </w:p>
        </w:tc>
        <w:tc>
          <w:tcPr>
            <w:tcW w:w="737" w:type="dxa"/>
            <w:tcBorders>
              <w:top w:val="nil"/>
              <w:bottom w:val="nil"/>
            </w:tcBorders>
          </w:tcPr>
          <w:p>
            <w:pPr>
              <w:pStyle w:val="TableParagraph"/>
              <w:spacing w:before="25"/>
              <w:ind w:left="10" w:right="10"/>
              <w:jc w:val="center"/>
              <w:rPr>
                <w:sz w:val="17"/>
              </w:rPr>
            </w:pPr>
            <w:r>
              <w:rPr>
                <w:color w:val="231F20"/>
                <w:w w:val="115"/>
                <w:sz w:val="17"/>
              </w:rPr>
              <w:t>129</w:t>
            </w:r>
          </w:p>
        </w:tc>
        <w:tc>
          <w:tcPr>
            <w:tcW w:w="737" w:type="dxa"/>
            <w:tcBorders>
              <w:top w:val="nil"/>
              <w:bottom w:val="nil"/>
            </w:tcBorders>
          </w:tcPr>
          <w:p>
            <w:pPr>
              <w:pStyle w:val="TableParagraph"/>
              <w:spacing w:before="25"/>
              <w:ind w:left="10" w:right="10"/>
              <w:jc w:val="center"/>
              <w:rPr>
                <w:sz w:val="17"/>
              </w:rPr>
            </w:pPr>
            <w:r>
              <w:rPr>
                <w:color w:val="231F20"/>
                <w:w w:val="115"/>
                <w:sz w:val="17"/>
              </w:rPr>
              <w:t>126</w:t>
            </w:r>
          </w:p>
        </w:tc>
        <w:tc>
          <w:tcPr>
            <w:tcW w:w="737" w:type="dxa"/>
            <w:tcBorders>
              <w:top w:val="nil"/>
              <w:bottom w:val="nil"/>
              <w:right w:val="nil"/>
            </w:tcBorders>
          </w:tcPr>
          <w:p>
            <w:pPr>
              <w:pStyle w:val="TableParagraph"/>
              <w:spacing w:before="25"/>
              <w:ind w:left="218"/>
              <w:rPr>
                <w:sz w:val="17"/>
              </w:rPr>
            </w:pPr>
            <w:r>
              <w:rPr>
                <w:color w:val="231F20"/>
                <w:w w:val="115"/>
                <w:sz w:val="17"/>
              </w:rPr>
              <w:t>100</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w w:val="105"/>
                <w:sz w:val="17"/>
              </w:rPr>
              <w:t>Costo mano de obra familiar ($/d)</w:t>
            </w:r>
          </w:p>
        </w:tc>
        <w:tc>
          <w:tcPr>
            <w:tcW w:w="737" w:type="dxa"/>
            <w:tcBorders>
              <w:top w:val="nil"/>
              <w:bottom w:val="nil"/>
            </w:tcBorders>
          </w:tcPr>
          <w:p>
            <w:pPr>
              <w:pStyle w:val="TableParagraph"/>
              <w:spacing w:before="25"/>
              <w:ind w:left="221"/>
              <w:rPr>
                <w:sz w:val="17"/>
              </w:rPr>
            </w:pPr>
            <w:r>
              <w:rPr>
                <w:color w:val="231F20"/>
                <w:w w:val="115"/>
                <w:sz w:val="17"/>
              </w:rPr>
              <w:t>110</w:t>
            </w:r>
          </w:p>
        </w:tc>
        <w:tc>
          <w:tcPr>
            <w:tcW w:w="737" w:type="dxa"/>
            <w:tcBorders>
              <w:top w:val="nil"/>
              <w:bottom w:val="nil"/>
            </w:tcBorders>
          </w:tcPr>
          <w:p>
            <w:pPr>
              <w:pStyle w:val="TableParagraph"/>
              <w:spacing w:before="25"/>
              <w:ind w:left="219"/>
              <w:rPr>
                <w:sz w:val="17"/>
              </w:rPr>
            </w:pPr>
            <w:r>
              <w:rPr>
                <w:color w:val="231F20"/>
                <w:w w:val="115"/>
                <w:sz w:val="17"/>
              </w:rPr>
              <w:t>120</w:t>
            </w:r>
          </w:p>
        </w:tc>
        <w:tc>
          <w:tcPr>
            <w:tcW w:w="737" w:type="dxa"/>
            <w:tcBorders>
              <w:top w:val="nil"/>
              <w:bottom w:val="nil"/>
            </w:tcBorders>
          </w:tcPr>
          <w:p>
            <w:pPr>
              <w:pStyle w:val="TableParagraph"/>
              <w:spacing w:before="25"/>
              <w:ind w:left="221"/>
              <w:rPr>
                <w:sz w:val="17"/>
              </w:rPr>
            </w:pPr>
            <w:r>
              <w:rPr>
                <w:color w:val="231F20"/>
                <w:w w:val="115"/>
                <w:sz w:val="17"/>
              </w:rPr>
              <w:t>114</w:t>
            </w:r>
          </w:p>
        </w:tc>
        <w:tc>
          <w:tcPr>
            <w:tcW w:w="737" w:type="dxa"/>
            <w:tcBorders>
              <w:top w:val="nil"/>
              <w:bottom w:val="nil"/>
            </w:tcBorders>
          </w:tcPr>
          <w:p>
            <w:pPr>
              <w:pStyle w:val="TableParagraph"/>
              <w:spacing w:before="25"/>
              <w:ind w:left="5" w:right="10"/>
              <w:jc w:val="center"/>
              <w:rPr>
                <w:sz w:val="17"/>
              </w:rPr>
            </w:pPr>
            <w:r>
              <w:rPr>
                <w:color w:val="231F20"/>
                <w:w w:val="115"/>
                <w:sz w:val="17"/>
              </w:rPr>
              <w:t>116</w:t>
            </w:r>
          </w:p>
        </w:tc>
        <w:tc>
          <w:tcPr>
            <w:tcW w:w="737" w:type="dxa"/>
            <w:tcBorders>
              <w:top w:val="nil"/>
              <w:bottom w:val="nil"/>
            </w:tcBorders>
          </w:tcPr>
          <w:p>
            <w:pPr>
              <w:pStyle w:val="TableParagraph"/>
              <w:spacing w:before="25"/>
              <w:ind w:left="10" w:right="10"/>
              <w:jc w:val="center"/>
              <w:rPr>
                <w:sz w:val="17"/>
              </w:rPr>
            </w:pPr>
            <w:r>
              <w:rPr>
                <w:color w:val="231F20"/>
                <w:w w:val="115"/>
                <w:sz w:val="17"/>
              </w:rPr>
              <w:t>121</w:t>
            </w:r>
          </w:p>
        </w:tc>
        <w:tc>
          <w:tcPr>
            <w:tcW w:w="737" w:type="dxa"/>
            <w:tcBorders>
              <w:top w:val="nil"/>
              <w:bottom w:val="nil"/>
            </w:tcBorders>
          </w:tcPr>
          <w:p>
            <w:pPr>
              <w:pStyle w:val="TableParagraph"/>
              <w:spacing w:before="25"/>
              <w:ind w:left="219"/>
              <w:rPr>
                <w:sz w:val="17"/>
              </w:rPr>
            </w:pPr>
            <w:r>
              <w:rPr>
                <w:color w:val="231F20"/>
                <w:w w:val="115"/>
                <w:sz w:val="17"/>
              </w:rPr>
              <w:t>120</w:t>
            </w:r>
          </w:p>
        </w:tc>
        <w:tc>
          <w:tcPr>
            <w:tcW w:w="737" w:type="dxa"/>
            <w:tcBorders>
              <w:top w:val="nil"/>
              <w:bottom w:val="nil"/>
            </w:tcBorders>
          </w:tcPr>
          <w:p>
            <w:pPr/>
          </w:p>
        </w:tc>
        <w:tc>
          <w:tcPr>
            <w:tcW w:w="737" w:type="dxa"/>
            <w:tcBorders>
              <w:top w:val="nil"/>
              <w:bottom w:val="nil"/>
            </w:tcBorders>
          </w:tcPr>
          <w:p>
            <w:pPr>
              <w:pStyle w:val="TableParagraph"/>
              <w:spacing w:before="25"/>
              <w:ind w:left="10" w:right="10"/>
              <w:jc w:val="center"/>
              <w:rPr>
                <w:sz w:val="17"/>
              </w:rPr>
            </w:pPr>
            <w:r>
              <w:rPr>
                <w:color w:val="231F20"/>
                <w:w w:val="115"/>
                <w:sz w:val="17"/>
              </w:rPr>
              <w:t>100</w:t>
            </w:r>
          </w:p>
        </w:tc>
        <w:tc>
          <w:tcPr>
            <w:tcW w:w="737" w:type="dxa"/>
            <w:tcBorders>
              <w:top w:val="nil"/>
              <w:bottom w:val="nil"/>
            </w:tcBorders>
          </w:tcPr>
          <w:p>
            <w:pPr>
              <w:pStyle w:val="TableParagraph"/>
              <w:spacing w:before="25"/>
              <w:ind w:left="10" w:right="10"/>
              <w:jc w:val="center"/>
              <w:rPr>
                <w:sz w:val="17"/>
              </w:rPr>
            </w:pPr>
            <w:r>
              <w:rPr>
                <w:color w:val="231F20"/>
                <w:w w:val="115"/>
                <w:sz w:val="17"/>
              </w:rPr>
              <w:t>92</w:t>
            </w:r>
          </w:p>
        </w:tc>
        <w:tc>
          <w:tcPr>
            <w:tcW w:w="737" w:type="dxa"/>
            <w:tcBorders>
              <w:top w:val="nil"/>
              <w:bottom w:val="nil"/>
              <w:right w:val="nil"/>
            </w:tcBorders>
          </w:tcPr>
          <w:p>
            <w:pPr/>
          </w:p>
        </w:tc>
      </w:tr>
      <w:tr>
        <w:trPr>
          <w:trHeight w:val="244" w:hRule="exact"/>
        </w:trPr>
        <w:tc>
          <w:tcPr>
            <w:tcW w:w="3793" w:type="dxa"/>
            <w:tcBorders>
              <w:top w:val="nil"/>
              <w:left w:val="nil"/>
            </w:tcBorders>
          </w:tcPr>
          <w:p>
            <w:pPr>
              <w:pStyle w:val="TableParagraph"/>
              <w:spacing w:before="25"/>
              <w:ind w:left="56"/>
              <w:rPr>
                <w:sz w:val="17"/>
              </w:rPr>
            </w:pPr>
            <w:r>
              <w:rPr>
                <w:color w:val="231F20"/>
                <w:sz w:val="17"/>
              </w:rPr>
              <w:t>Costo de producir leche   ($/l)</w:t>
            </w:r>
          </w:p>
        </w:tc>
        <w:tc>
          <w:tcPr>
            <w:tcW w:w="737" w:type="dxa"/>
            <w:tcBorders>
              <w:top w:val="nil"/>
            </w:tcBorders>
          </w:tcPr>
          <w:p>
            <w:pPr>
              <w:pStyle w:val="TableParagraph"/>
              <w:spacing w:before="25"/>
              <w:ind w:left="246"/>
              <w:rPr>
                <w:sz w:val="17"/>
              </w:rPr>
            </w:pPr>
            <w:r>
              <w:rPr>
                <w:color w:val="231F20"/>
                <w:w w:val="110"/>
                <w:sz w:val="17"/>
              </w:rPr>
              <w:t>3,5</w:t>
            </w:r>
          </w:p>
        </w:tc>
        <w:tc>
          <w:tcPr>
            <w:tcW w:w="737" w:type="dxa"/>
            <w:tcBorders>
              <w:top w:val="nil"/>
            </w:tcBorders>
          </w:tcPr>
          <w:p>
            <w:pPr>
              <w:pStyle w:val="TableParagraph"/>
              <w:spacing w:before="25"/>
              <w:ind w:left="246"/>
              <w:rPr>
                <w:sz w:val="17"/>
              </w:rPr>
            </w:pPr>
            <w:r>
              <w:rPr>
                <w:color w:val="231F20"/>
                <w:w w:val="110"/>
                <w:sz w:val="17"/>
              </w:rPr>
              <w:t>3,3</w:t>
            </w:r>
          </w:p>
        </w:tc>
        <w:tc>
          <w:tcPr>
            <w:tcW w:w="737" w:type="dxa"/>
            <w:tcBorders>
              <w:top w:val="nil"/>
            </w:tcBorders>
          </w:tcPr>
          <w:p>
            <w:pPr>
              <w:pStyle w:val="TableParagraph"/>
              <w:spacing w:before="25"/>
              <w:ind w:left="200"/>
              <w:rPr>
                <w:sz w:val="17"/>
              </w:rPr>
            </w:pPr>
            <w:r>
              <w:rPr>
                <w:color w:val="231F20"/>
                <w:w w:val="110"/>
                <w:sz w:val="17"/>
              </w:rPr>
              <w:t>11,3</w:t>
            </w:r>
          </w:p>
        </w:tc>
        <w:tc>
          <w:tcPr>
            <w:tcW w:w="737" w:type="dxa"/>
            <w:tcBorders>
              <w:top w:val="nil"/>
            </w:tcBorders>
          </w:tcPr>
          <w:p>
            <w:pPr>
              <w:pStyle w:val="TableParagraph"/>
              <w:spacing w:before="25"/>
              <w:ind w:left="10" w:right="10"/>
              <w:jc w:val="center"/>
              <w:rPr>
                <w:sz w:val="17"/>
              </w:rPr>
            </w:pPr>
            <w:r>
              <w:rPr>
                <w:color w:val="231F20"/>
                <w:w w:val="110"/>
                <w:sz w:val="17"/>
              </w:rPr>
              <w:t>3,3</w:t>
            </w:r>
          </w:p>
        </w:tc>
        <w:tc>
          <w:tcPr>
            <w:tcW w:w="737" w:type="dxa"/>
            <w:tcBorders>
              <w:top w:val="nil"/>
            </w:tcBorders>
          </w:tcPr>
          <w:p>
            <w:pPr>
              <w:pStyle w:val="TableParagraph"/>
              <w:spacing w:before="25"/>
              <w:ind w:left="10" w:right="10"/>
              <w:jc w:val="center"/>
              <w:rPr>
                <w:sz w:val="17"/>
              </w:rPr>
            </w:pPr>
            <w:r>
              <w:rPr>
                <w:color w:val="231F20"/>
                <w:w w:val="110"/>
                <w:sz w:val="17"/>
              </w:rPr>
              <w:t>3,8</w:t>
            </w:r>
          </w:p>
        </w:tc>
        <w:tc>
          <w:tcPr>
            <w:tcW w:w="737" w:type="dxa"/>
            <w:tcBorders>
              <w:top w:val="nil"/>
            </w:tcBorders>
          </w:tcPr>
          <w:p>
            <w:pPr>
              <w:pStyle w:val="TableParagraph"/>
              <w:spacing w:before="25"/>
              <w:ind w:left="246"/>
              <w:rPr>
                <w:sz w:val="17"/>
              </w:rPr>
            </w:pPr>
            <w:r>
              <w:rPr>
                <w:color w:val="231F20"/>
                <w:w w:val="110"/>
                <w:sz w:val="17"/>
              </w:rPr>
              <w:t>3,6</w:t>
            </w:r>
          </w:p>
        </w:tc>
        <w:tc>
          <w:tcPr>
            <w:tcW w:w="737" w:type="dxa"/>
            <w:tcBorders>
              <w:top w:val="nil"/>
            </w:tcBorders>
          </w:tcPr>
          <w:p>
            <w:pPr>
              <w:pStyle w:val="TableParagraph"/>
              <w:spacing w:before="25"/>
              <w:ind w:left="246"/>
              <w:rPr>
                <w:sz w:val="17"/>
              </w:rPr>
            </w:pPr>
            <w:r>
              <w:rPr>
                <w:color w:val="231F20"/>
                <w:w w:val="110"/>
                <w:sz w:val="17"/>
              </w:rPr>
              <w:t>6,1</w:t>
            </w:r>
          </w:p>
        </w:tc>
        <w:tc>
          <w:tcPr>
            <w:tcW w:w="737" w:type="dxa"/>
            <w:tcBorders>
              <w:top w:val="nil"/>
            </w:tcBorders>
          </w:tcPr>
          <w:p>
            <w:pPr>
              <w:pStyle w:val="TableParagraph"/>
              <w:spacing w:before="25"/>
              <w:ind w:left="10" w:right="10"/>
              <w:jc w:val="center"/>
              <w:rPr>
                <w:sz w:val="17"/>
              </w:rPr>
            </w:pPr>
            <w:r>
              <w:rPr>
                <w:color w:val="231F20"/>
                <w:w w:val="110"/>
                <w:sz w:val="17"/>
              </w:rPr>
              <w:t>4,3</w:t>
            </w:r>
          </w:p>
        </w:tc>
        <w:tc>
          <w:tcPr>
            <w:tcW w:w="737" w:type="dxa"/>
            <w:tcBorders>
              <w:top w:val="nil"/>
            </w:tcBorders>
          </w:tcPr>
          <w:p>
            <w:pPr>
              <w:pStyle w:val="TableParagraph"/>
              <w:spacing w:before="25"/>
              <w:ind w:left="10" w:right="10"/>
              <w:jc w:val="center"/>
              <w:rPr>
                <w:sz w:val="17"/>
              </w:rPr>
            </w:pPr>
            <w:r>
              <w:rPr>
                <w:color w:val="231F20"/>
                <w:w w:val="110"/>
                <w:sz w:val="17"/>
              </w:rPr>
              <w:t>4,5</w:t>
            </w:r>
          </w:p>
        </w:tc>
        <w:tc>
          <w:tcPr>
            <w:tcW w:w="737" w:type="dxa"/>
            <w:tcBorders>
              <w:top w:val="nil"/>
              <w:right w:val="nil"/>
            </w:tcBorders>
          </w:tcPr>
          <w:p>
            <w:pPr>
              <w:pStyle w:val="TableParagraph"/>
              <w:spacing w:before="25"/>
              <w:ind w:left="246"/>
              <w:rPr>
                <w:sz w:val="17"/>
              </w:rPr>
            </w:pPr>
            <w:r>
              <w:rPr>
                <w:color w:val="231F20"/>
                <w:w w:val="110"/>
                <w:sz w:val="17"/>
              </w:rPr>
              <w:t>3,3</w:t>
            </w:r>
          </w:p>
        </w:tc>
      </w:tr>
    </w:tbl>
    <w:p>
      <w:pPr>
        <w:spacing w:before="24" w:after="6"/>
        <w:ind w:left="1497" w:right="0" w:firstLine="0"/>
        <w:jc w:val="left"/>
        <w:rPr>
          <w:sz w:val="17"/>
        </w:rPr>
      </w:pPr>
      <w:r>
        <w:rPr>
          <w:color w:val="231F20"/>
          <w:w w:val="110"/>
          <w:sz w:val="17"/>
        </w:rPr>
        <w:t>MEDIDAS SUMARIAS</w:t>
      </w:r>
    </w:p>
    <w:tbl>
      <w:tblPr>
        <w:tblW w:w="0" w:type="auto"/>
        <w:jc w:val="left"/>
        <w:tblInd w:w="143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93"/>
        <w:gridCol w:w="737"/>
        <w:gridCol w:w="737"/>
        <w:gridCol w:w="737"/>
        <w:gridCol w:w="737"/>
        <w:gridCol w:w="737"/>
        <w:gridCol w:w="737"/>
        <w:gridCol w:w="737"/>
        <w:gridCol w:w="737"/>
        <w:gridCol w:w="737"/>
        <w:gridCol w:w="737"/>
      </w:tblGrid>
      <w:tr>
        <w:trPr>
          <w:trHeight w:val="273" w:hRule="exact"/>
        </w:trPr>
        <w:tc>
          <w:tcPr>
            <w:tcW w:w="3793" w:type="dxa"/>
            <w:tcBorders>
              <w:left w:val="nil"/>
              <w:bottom w:val="nil"/>
            </w:tcBorders>
          </w:tcPr>
          <w:p>
            <w:pPr>
              <w:pStyle w:val="TableParagraph"/>
              <w:spacing w:before="17"/>
              <w:ind w:left="56"/>
              <w:rPr>
                <w:sz w:val="17"/>
              </w:rPr>
            </w:pPr>
            <w:r>
              <w:rPr>
                <w:color w:val="231F20"/>
                <w:sz w:val="17"/>
              </w:rPr>
              <w:t>Margen neto, total ($/año)</w:t>
            </w:r>
          </w:p>
        </w:tc>
        <w:tc>
          <w:tcPr>
            <w:tcW w:w="737" w:type="dxa"/>
            <w:tcBorders>
              <w:bottom w:val="nil"/>
            </w:tcBorders>
          </w:tcPr>
          <w:p>
            <w:pPr>
              <w:pStyle w:val="TableParagraph"/>
              <w:spacing w:before="17"/>
              <w:ind w:left="10" w:right="10"/>
              <w:jc w:val="center"/>
              <w:rPr>
                <w:sz w:val="17"/>
              </w:rPr>
            </w:pPr>
            <w:r>
              <w:rPr>
                <w:color w:val="231F20"/>
                <w:w w:val="115"/>
                <w:sz w:val="17"/>
              </w:rPr>
              <w:t>220444</w:t>
            </w:r>
          </w:p>
        </w:tc>
        <w:tc>
          <w:tcPr>
            <w:tcW w:w="737" w:type="dxa"/>
            <w:tcBorders>
              <w:bottom w:val="nil"/>
            </w:tcBorders>
          </w:tcPr>
          <w:p>
            <w:pPr>
              <w:pStyle w:val="TableParagraph"/>
              <w:spacing w:before="17"/>
              <w:ind w:left="10" w:right="10"/>
              <w:jc w:val="center"/>
              <w:rPr>
                <w:sz w:val="17"/>
              </w:rPr>
            </w:pPr>
            <w:r>
              <w:rPr>
                <w:color w:val="231F20"/>
                <w:w w:val="115"/>
                <w:sz w:val="17"/>
              </w:rPr>
              <w:t>162185</w:t>
            </w:r>
          </w:p>
        </w:tc>
        <w:tc>
          <w:tcPr>
            <w:tcW w:w="737" w:type="dxa"/>
            <w:tcBorders>
              <w:bottom w:val="nil"/>
            </w:tcBorders>
          </w:tcPr>
          <w:p>
            <w:pPr>
              <w:pStyle w:val="TableParagraph"/>
              <w:spacing w:before="17"/>
              <w:ind w:left="5" w:right="10"/>
              <w:jc w:val="center"/>
              <w:rPr>
                <w:sz w:val="17"/>
              </w:rPr>
            </w:pPr>
            <w:r>
              <w:rPr>
                <w:color w:val="231F20"/>
                <w:w w:val="115"/>
                <w:sz w:val="17"/>
              </w:rPr>
              <w:t>91 601</w:t>
            </w:r>
          </w:p>
        </w:tc>
        <w:tc>
          <w:tcPr>
            <w:tcW w:w="737" w:type="dxa"/>
            <w:tcBorders>
              <w:bottom w:val="nil"/>
            </w:tcBorders>
          </w:tcPr>
          <w:p>
            <w:pPr>
              <w:pStyle w:val="TableParagraph"/>
              <w:spacing w:before="17"/>
              <w:ind w:right="109"/>
              <w:jc w:val="right"/>
              <w:rPr>
                <w:sz w:val="17"/>
              </w:rPr>
            </w:pPr>
            <w:r>
              <w:rPr>
                <w:color w:val="231F20"/>
                <w:w w:val="115"/>
                <w:sz w:val="17"/>
              </w:rPr>
              <w:t>60 555</w:t>
            </w:r>
          </w:p>
        </w:tc>
        <w:tc>
          <w:tcPr>
            <w:tcW w:w="737" w:type="dxa"/>
            <w:tcBorders>
              <w:bottom w:val="nil"/>
            </w:tcBorders>
          </w:tcPr>
          <w:p>
            <w:pPr>
              <w:pStyle w:val="TableParagraph"/>
              <w:spacing w:before="17"/>
              <w:ind w:left="10" w:right="10"/>
              <w:jc w:val="center"/>
              <w:rPr>
                <w:sz w:val="17"/>
              </w:rPr>
            </w:pPr>
            <w:r>
              <w:rPr>
                <w:color w:val="231F20"/>
                <w:w w:val="115"/>
                <w:sz w:val="17"/>
              </w:rPr>
              <w:t>136492</w:t>
            </w:r>
          </w:p>
        </w:tc>
        <w:tc>
          <w:tcPr>
            <w:tcW w:w="737" w:type="dxa"/>
            <w:tcBorders>
              <w:bottom w:val="nil"/>
            </w:tcBorders>
          </w:tcPr>
          <w:p>
            <w:pPr>
              <w:pStyle w:val="TableParagraph"/>
              <w:spacing w:before="17"/>
              <w:ind w:right="58"/>
              <w:jc w:val="right"/>
              <w:rPr>
                <w:sz w:val="17"/>
              </w:rPr>
            </w:pPr>
            <w:r>
              <w:rPr>
                <w:color w:val="231F20"/>
                <w:w w:val="115"/>
                <w:sz w:val="17"/>
              </w:rPr>
              <w:t>764242</w:t>
            </w:r>
          </w:p>
        </w:tc>
        <w:tc>
          <w:tcPr>
            <w:tcW w:w="737" w:type="dxa"/>
            <w:tcBorders>
              <w:bottom w:val="nil"/>
            </w:tcBorders>
          </w:tcPr>
          <w:p>
            <w:pPr>
              <w:pStyle w:val="TableParagraph"/>
              <w:spacing w:before="17"/>
              <w:ind w:left="10" w:right="10"/>
              <w:jc w:val="center"/>
              <w:rPr>
                <w:sz w:val="17"/>
              </w:rPr>
            </w:pPr>
            <w:r>
              <w:rPr>
                <w:color w:val="231F20"/>
                <w:w w:val="115"/>
                <w:sz w:val="17"/>
              </w:rPr>
              <w:t>45302</w:t>
            </w:r>
          </w:p>
        </w:tc>
        <w:tc>
          <w:tcPr>
            <w:tcW w:w="737" w:type="dxa"/>
            <w:tcBorders>
              <w:bottom w:val="nil"/>
            </w:tcBorders>
          </w:tcPr>
          <w:p>
            <w:pPr>
              <w:pStyle w:val="TableParagraph"/>
              <w:spacing w:before="17"/>
              <w:ind w:right="164"/>
              <w:jc w:val="right"/>
              <w:rPr>
                <w:sz w:val="17"/>
              </w:rPr>
            </w:pPr>
            <w:r>
              <w:rPr>
                <w:color w:val="231F20"/>
                <w:w w:val="115"/>
                <w:sz w:val="17"/>
              </w:rPr>
              <w:t>6454</w:t>
            </w:r>
          </w:p>
        </w:tc>
        <w:tc>
          <w:tcPr>
            <w:tcW w:w="737" w:type="dxa"/>
            <w:tcBorders>
              <w:bottom w:val="nil"/>
            </w:tcBorders>
          </w:tcPr>
          <w:p>
            <w:pPr>
              <w:pStyle w:val="TableParagraph"/>
              <w:spacing w:before="17"/>
              <w:ind w:left="5" w:right="10"/>
              <w:jc w:val="center"/>
              <w:rPr>
                <w:sz w:val="17"/>
              </w:rPr>
            </w:pPr>
            <w:r>
              <w:rPr>
                <w:color w:val="231F20"/>
                <w:w w:val="115"/>
                <w:sz w:val="17"/>
              </w:rPr>
              <w:t>771</w:t>
            </w:r>
          </w:p>
        </w:tc>
        <w:tc>
          <w:tcPr>
            <w:tcW w:w="737" w:type="dxa"/>
            <w:tcBorders>
              <w:bottom w:val="nil"/>
              <w:right w:val="nil"/>
            </w:tcBorders>
          </w:tcPr>
          <w:p>
            <w:pPr>
              <w:pStyle w:val="TableParagraph"/>
              <w:spacing w:before="17"/>
              <w:ind w:left="46" w:right="50"/>
              <w:jc w:val="center"/>
              <w:rPr>
                <w:sz w:val="17"/>
              </w:rPr>
            </w:pPr>
            <w:r>
              <w:rPr>
                <w:color w:val="231F20"/>
                <w:w w:val="115"/>
                <w:sz w:val="17"/>
              </w:rPr>
              <w:t>164925</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Margen  neto/vaca/año ($/vaca)</w:t>
            </w:r>
          </w:p>
        </w:tc>
        <w:tc>
          <w:tcPr>
            <w:tcW w:w="737" w:type="dxa"/>
            <w:tcBorders>
              <w:top w:val="nil"/>
              <w:bottom w:val="nil"/>
            </w:tcBorders>
          </w:tcPr>
          <w:p>
            <w:pPr>
              <w:pStyle w:val="TableParagraph"/>
              <w:spacing w:before="25"/>
              <w:ind w:left="10" w:right="10"/>
              <w:jc w:val="center"/>
              <w:rPr>
                <w:sz w:val="17"/>
              </w:rPr>
            </w:pPr>
            <w:r>
              <w:rPr>
                <w:color w:val="231F20"/>
                <w:w w:val="115"/>
                <w:sz w:val="17"/>
              </w:rPr>
              <w:t>7348</w:t>
            </w:r>
          </w:p>
        </w:tc>
        <w:tc>
          <w:tcPr>
            <w:tcW w:w="737" w:type="dxa"/>
            <w:tcBorders>
              <w:top w:val="nil"/>
              <w:bottom w:val="nil"/>
            </w:tcBorders>
          </w:tcPr>
          <w:p>
            <w:pPr>
              <w:pStyle w:val="TableParagraph"/>
              <w:spacing w:before="25"/>
              <w:ind w:left="10" w:right="10"/>
              <w:jc w:val="center"/>
              <w:rPr>
                <w:sz w:val="17"/>
              </w:rPr>
            </w:pPr>
            <w:r>
              <w:rPr>
                <w:color w:val="231F20"/>
                <w:w w:val="115"/>
                <w:sz w:val="17"/>
              </w:rPr>
              <w:t>4158</w:t>
            </w:r>
          </w:p>
        </w:tc>
        <w:tc>
          <w:tcPr>
            <w:tcW w:w="737" w:type="dxa"/>
            <w:tcBorders>
              <w:top w:val="nil"/>
              <w:bottom w:val="nil"/>
            </w:tcBorders>
          </w:tcPr>
          <w:p>
            <w:pPr>
              <w:pStyle w:val="TableParagraph"/>
              <w:spacing w:before="25"/>
              <w:ind w:left="9" w:right="10"/>
              <w:jc w:val="center"/>
              <w:rPr>
                <w:sz w:val="17"/>
              </w:rPr>
            </w:pPr>
            <w:r>
              <w:rPr>
                <w:color w:val="231F20"/>
                <w:w w:val="115"/>
                <w:sz w:val="17"/>
              </w:rPr>
              <w:t>5725</w:t>
            </w:r>
          </w:p>
        </w:tc>
        <w:tc>
          <w:tcPr>
            <w:tcW w:w="737" w:type="dxa"/>
            <w:tcBorders>
              <w:top w:val="nil"/>
              <w:bottom w:val="nil"/>
            </w:tcBorders>
          </w:tcPr>
          <w:p>
            <w:pPr>
              <w:pStyle w:val="TableParagraph"/>
              <w:spacing w:before="25"/>
              <w:ind w:right="170"/>
              <w:jc w:val="right"/>
              <w:rPr>
                <w:sz w:val="17"/>
              </w:rPr>
            </w:pPr>
            <w:r>
              <w:rPr>
                <w:color w:val="231F20"/>
                <w:w w:val="115"/>
                <w:sz w:val="17"/>
              </w:rPr>
              <w:t>2422</w:t>
            </w:r>
          </w:p>
        </w:tc>
        <w:tc>
          <w:tcPr>
            <w:tcW w:w="737" w:type="dxa"/>
            <w:tcBorders>
              <w:top w:val="nil"/>
              <w:bottom w:val="nil"/>
            </w:tcBorders>
          </w:tcPr>
          <w:p>
            <w:pPr>
              <w:pStyle w:val="TableParagraph"/>
              <w:spacing w:before="25"/>
              <w:ind w:left="10" w:right="10"/>
              <w:jc w:val="center"/>
              <w:rPr>
                <w:sz w:val="17"/>
              </w:rPr>
            </w:pPr>
            <w:r>
              <w:rPr>
                <w:color w:val="231F20"/>
                <w:w w:val="115"/>
                <w:sz w:val="17"/>
              </w:rPr>
              <w:t>6204</w:t>
            </w:r>
          </w:p>
        </w:tc>
        <w:tc>
          <w:tcPr>
            <w:tcW w:w="737" w:type="dxa"/>
            <w:tcBorders>
              <w:top w:val="nil"/>
              <w:bottom w:val="nil"/>
            </w:tcBorders>
          </w:tcPr>
          <w:p>
            <w:pPr>
              <w:pStyle w:val="TableParagraph"/>
              <w:spacing w:before="25"/>
              <w:ind w:right="118"/>
              <w:jc w:val="right"/>
              <w:rPr>
                <w:sz w:val="17"/>
              </w:rPr>
            </w:pPr>
            <w:r>
              <w:rPr>
                <w:color w:val="231F20"/>
                <w:w w:val="115"/>
                <w:sz w:val="17"/>
              </w:rPr>
              <w:t>25 474</w:t>
            </w:r>
          </w:p>
        </w:tc>
        <w:tc>
          <w:tcPr>
            <w:tcW w:w="737" w:type="dxa"/>
            <w:tcBorders>
              <w:top w:val="nil"/>
              <w:bottom w:val="nil"/>
            </w:tcBorders>
          </w:tcPr>
          <w:p>
            <w:pPr>
              <w:pStyle w:val="TableParagraph"/>
              <w:spacing w:before="25"/>
              <w:ind w:left="9" w:right="10"/>
              <w:jc w:val="center"/>
              <w:rPr>
                <w:sz w:val="17"/>
              </w:rPr>
            </w:pPr>
            <w:r>
              <w:rPr>
                <w:color w:val="231F20"/>
                <w:w w:val="115"/>
                <w:sz w:val="17"/>
              </w:rPr>
              <w:t>3020</w:t>
            </w:r>
          </w:p>
        </w:tc>
        <w:tc>
          <w:tcPr>
            <w:tcW w:w="737" w:type="dxa"/>
            <w:tcBorders>
              <w:top w:val="nil"/>
              <w:bottom w:val="nil"/>
            </w:tcBorders>
          </w:tcPr>
          <w:p>
            <w:pPr>
              <w:pStyle w:val="TableParagraph"/>
              <w:spacing w:before="25"/>
              <w:ind w:right="226"/>
              <w:jc w:val="right"/>
              <w:rPr>
                <w:sz w:val="17"/>
              </w:rPr>
            </w:pPr>
            <w:r>
              <w:rPr>
                <w:color w:val="231F20"/>
                <w:w w:val="115"/>
                <w:sz w:val="17"/>
              </w:rPr>
              <w:t>215</w:t>
            </w:r>
          </w:p>
        </w:tc>
        <w:tc>
          <w:tcPr>
            <w:tcW w:w="737" w:type="dxa"/>
            <w:tcBorders>
              <w:top w:val="nil"/>
              <w:bottom w:val="nil"/>
            </w:tcBorders>
          </w:tcPr>
          <w:p>
            <w:pPr>
              <w:pStyle w:val="TableParagraph"/>
              <w:spacing w:before="25"/>
              <w:ind w:left="10" w:right="10"/>
              <w:jc w:val="center"/>
              <w:rPr>
                <w:sz w:val="17"/>
              </w:rPr>
            </w:pPr>
            <w:r>
              <w:rPr>
                <w:color w:val="231F20"/>
                <w:w w:val="115"/>
                <w:sz w:val="17"/>
              </w:rPr>
              <w:t>85</w:t>
            </w:r>
          </w:p>
        </w:tc>
        <w:tc>
          <w:tcPr>
            <w:tcW w:w="737" w:type="dxa"/>
            <w:tcBorders>
              <w:top w:val="nil"/>
              <w:bottom w:val="nil"/>
              <w:right w:val="nil"/>
            </w:tcBorders>
          </w:tcPr>
          <w:p>
            <w:pPr>
              <w:pStyle w:val="TableParagraph"/>
              <w:spacing w:before="25"/>
              <w:ind w:left="44" w:right="50"/>
              <w:jc w:val="center"/>
              <w:rPr>
                <w:sz w:val="17"/>
              </w:rPr>
            </w:pPr>
            <w:r>
              <w:rPr>
                <w:color w:val="231F20"/>
                <w:w w:val="115"/>
                <w:sz w:val="17"/>
              </w:rPr>
              <w:t>3926</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w w:val="105"/>
                <w:sz w:val="17"/>
              </w:rPr>
              <w:t>Margen neto/ha/año ($/ha)</w:t>
            </w:r>
          </w:p>
        </w:tc>
        <w:tc>
          <w:tcPr>
            <w:tcW w:w="737" w:type="dxa"/>
            <w:tcBorders>
              <w:top w:val="nil"/>
              <w:bottom w:val="nil"/>
            </w:tcBorders>
          </w:tcPr>
          <w:p>
            <w:pPr>
              <w:pStyle w:val="TableParagraph"/>
              <w:spacing w:before="25"/>
              <w:ind w:left="10" w:right="10"/>
              <w:jc w:val="center"/>
              <w:rPr>
                <w:sz w:val="17"/>
              </w:rPr>
            </w:pPr>
            <w:r>
              <w:rPr>
                <w:color w:val="231F20"/>
                <w:w w:val="115"/>
                <w:sz w:val="17"/>
              </w:rPr>
              <w:t>5511</w:t>
            </w:r>
          </w:p>
        </w:tc>
        <w:tc>
          <w:tcPr>
            <w:tcW w:w="737" w:type="dxa"/>
            <w:tcBorders>
              <w:top w:val="nil"/>
              <w:bottom w:val="nil"/>
            </w:tcBorders>
          </w:tcPr>
          <w:p>
            <w:pPr>
              <w:pStyle w:val="TableParagraph"/>
              <w:spacing w:before="25"/>
              <w:ind w:left="10" w:right="10"/>
              <w:jc w:val="center"/>
              <w:rPr>
                <w:sz w:val="17"/>
              </w:rPr>
            </w:pPr>
            <w:r>
              <w:rPr>
                <w:color w:val="231F20"/>
                <w:w w:val="115"/>
                <w:sz w:val="17"/>
              </w:rPr>
              <w:t>2703</w:t>
            </w:r>
          </w:p>
        </w:tc>
        <w:tc>
          <w:tcPr>
            <w:tcW w:w="737" w:type="dxa"/>
            <w:tcBorders>
              <w:top w:val="nil"/>
              <w:bottom w:val="nil"/>
            </w:tcBorders>
          </w:tcPr>
          <w:p>
            <w:pPr>
              <w:pStyle w:val="TableParagraph"/>
              <w:spacing w:before="25"/>
              <w:ind w:left="10" w:right="10"/>
              <w:jc w:val="center"/>
              <w:rPr>
                <w:sz w:val="17"/>
              </w:rPr>
            </w:pPr>
            <w:r>
              <w:rPr>
                <w:color w:val="231F20"/>
                <w:w w:val="115"/>
                <w:sz w:val="17"/>
              </w:rPr>
              <w:t>6542</w:t>
            </w:r>
          </w:p>
        </w:tc>
        <w:tc>
          <w:tcPr>
            <w:tcW w:w="737" w:type="dxa"/>
            <w:tcBorders>
              <w:top w:val="nil"/>
              <w:bottom w:val="nil"/>
            </w:tcBorders>
          </w:tcPr>
          <w:p>
            <w:pPr>
              <w:pStyle w:val="TableParagraph"/>
              <w:spacing w:before="25"/>
              <w:ind w:right="166"/>
              <w:jc w:val="right"/>
              <w:rPr>
                <w:sz w:val="17"/>
              </w:rPr>
            </w:pPr>
            <w:r>
              <w:rPr>
                <w:color w:val="231F20"/>
                <w:w w:val="115"/>
                <w:sz w:val="17"/>
              </w:rPr>
              <w:t>1892</w:t>
            </w:r>
          </w:p>
        </w:tc>
        <w:tc>
          <w:tcPr>
            <w:tcW w:w="737" w:type="dxa"/>
            <w:tcBorders>
              <w:top w:val="nil"/>
              <w:bottom w:val="nil"/>
            </w:tcBorders>
          </w:tcPr>
          <w:p>
            <w:pPr>
              <w:pStyle w:val="TableParagraph"/>
              <w:spacing w:before="25"/>
              <w:ind w:left="10" w:right="10"/>
              <w:jc w:val="center"/>
              <w:rPr>
                <w:sz w:val="17"/>
              </w:rPr>
            </w:pPr>
            <w:r>
              <w:rPr>
                <w:color w:val="231F20"/>
                <w:w w:val="115"/>
                <w:sz w:val="17"/>
              </w:rPr>
              <w:t>2274</w:t>
            </w:r>
          </w:p>
        </w:tc>
        <w:tc>
          <w:tcPr>
            <w:tcW w:w="737" w:type="dxa"/>
            <w:tcBorders>
              <w:top w:val="nil"/>
              <w:bottom w:val="nil"/>
            </w:tcBorders>
          </w:tcPr>
          <w:p>
            <w:pPr>
              <w:pStyle w:val="TableParagraph"/>
              <w:spacing w:before="25"/>
              <w:ind w:left="172"/>
              <w:rPr>
                <w:sz w:val="17"/>
              </w:rPr>
            </w:pPr>
            <w:r>
              <w:rPr>
                <w:color w:val="231F20"/>
                <w:w w:val="115"/>
                <w:sz w:val="17"/>
              </w:rPr>
              <w:t>2547</w:t>
            </w:r>
          </w:p>
        </w:tc>
        <w:tc>
          <w:tcPr>
            <w:tcW w:w="737" w:type="dxa"/>
            <w:tcBorders>
              <w:top w:val="nil"/>
              <w:bottom w:val="nil"/>
            </w:tcBorders>
          </w:tcPr>
          <w:p>
            <w:pPr>
              <w:pStyle w:val="TableParagraph"/>
              <w:spacing w:before="25"/>
              <w:ind w:left="10" w:right="10"/>
              <w:jc w:val="center"/>
              <w:rPr>
                <w:sz w:val="17"/>
              </w:rPr>
            </w:pPr>
            <w:r>
              <w:rPr>
                <w:color w:val="231F20"/>
                <w:w w:val="115"/>
                <w:sz w:val="17"/>
              </w:rPr>
              <w:t>943</w:t>
            </w:r>
          </w:p>
        </w:tc>
        <w:tc>
          <w:tcPr>
            <w:tcW w:w="737" w:type="dxa"/>
            <w:tcBorders>
              <w:top w:val="nil"/>
              <w:bottom w:val="nil"/>
            </w:tcBorders>
          </w:tcPr>
          <w:p>
            <w:pPr>
              <w:pStyle w:val="TableParagraph"/>
              <w:spacing w:before="25"/>
              <w:ind w:right="218"/>
              <w:jc w:val="right"/>
              <w:rPr>
                <w:sz w:val="17"/>
              </w:rPr>
            </w:pPr>
            <w:r>
              <w:rPr>
                <w:color w:val="231F20"/>
                <w:w w:val="115"/>
                <w:sz w:val="17"/>
              </w:rPr>
              <w:t>129</w:t>
            </w:r>
          </w:p>
        </w:tc>
        <w:tc>
          <w:tcPr>
            <w:tcW w:w="737" w:type="dxa"/>
            <w:tcBorders>
              <w:top w:val="nil"/>
              <w:bottom w:val="nil"/>
            </w:tcBorders>
          </w:tcPr>
          <w:p>
            <w:pPr>
              <w:pStyle w:val="TableParagraph"/>
              <w:spacing w:before="25"/>
              <w:ind w:left="10" w:right="10"/>
              <w:jc w:val="center"/>
              <w:rPr>
                <w:sz w:val="17"/>
              </w:rPr>
            </w:pPr>
            <w:r>
              <w:rPr>
                <w:color w:val="231F20"/>
                <w:w w:val="115"/>
                <w:sz w:val="17"/>
              </w:rPr>
              <w:t>64</w:t>
            </w:r>
          </w:p>
        </w:tc>
        <w:tc>
          <w:tcPr>
            <w:tcW w:w="737" w:type="dxa"/>
            <w:tcBorders>
              <w:top w:val="nil"/>
              <w:bottom w:val="nil"/>
              <w:right w:val="nil"/>
            </w:tcBorders>
          </w:tcPr>
          <w:p>
            <w:pPr>
              <w:pStyle w:val="TableParagraph"/>
              <w:spacing w:before="25"/>
              <w:ind w:left="39" w:right="50"/>
              <w:jc w:val="center"/>
              <w:rPr>
                <w:sz w:val="17"/>
              </w:rPr>
            </w:pPr>
            <w:r>
              <w:rPr>
                <w:color w:val="231F20"/>
                <w:w w:val="115"/>
                <w:sz w:val="17"/>
              </w:rPr>
              <w:t>2461</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Margen neto/litro ($/l)</w:t>
            </w:r>
          </w:p>
        </w:tc>
        <w:tc>
          <w:tcPr>
            <w:tcW w:w="737" w:type="dxa"/>
            <w:tcBorders>
              <w:top w:val="nil"/>
              <w:bottom w:val="nil"/>
            </w:tcBorders>
          </w:tcPr>
          <w:p>
            <w:pPr>
              <w:pStyle w:val="TableParagraph"/>
              <w:spacing w:before="25"/>
              <w:ind w:left="10" w:right="10"/>
              <w:jc w:val="center"/>
              <w:rPr>
                <w:sz w:val="17"/>
              </w:rPr>
            </w:pPr>
            <w:r>
              <w:rPr>
                <w:color w:val="231F20"/>
                <w:w w:val="110"/>
                <w:sz w:val="17"/>
              </w:rPr>
              <w:t>4,68</w:t>
            </w:r>
          </w:p>
        </w:tc>
        <w:tc>
          <w:tcPr>
            <w:tcW w:w="737" w:type="dxa"/>
            <w:tcBorders>
              <w:top w:val="nil"/>
              <w:bottom w:val="nil"/>
            </w:tcBorders>
          </w:tcPr>
          <w:p>
            <w:pPr>
              <w:pStyle w:val="TableParagraph"/>
              <w:spacing w:before="25"/>
              <w:ind w:left="10" w:right="10"/>
              <w:jc w:val="center"/>
              <w:rPr>
                <w:sz w:val="17"/>
              </w:rPr>
            </w:pPr>
            <w:r>
              <w:rPr>
                <w:color w:val="231F20"/>
                <w:w w:val="110"/>
                <w:sz w:val="17"/>
              </w:rPr>
              <w:t>4,55</w:t>
            </w:r>
          </w:p>
        </w:tc>
        <w:tc>
          <w:tcPr>
            <w:tcW w:w="737" w:type="dxa"/>
            <w:tcBorders>
              <w:top w:val="nil"/>
              <w:bottom w:val="nil"/>
            </w:tcBorders>
          </w:tcPr>
          <w:p>
            <w:pPr>
              <w:pStyle w:val="TableParagraph"/>
              <w:spacing w:before="25"/>
              <w:ind w:left="10" w:right="10"/>
              <w:jc w:val="center"/>
              <w:rPr>
                <w:sz w:val="17"/>
              </w:rPr>
            </w:pPr>
            <w:r>
              <w:rPr>
                <w:color w:val="231F20"/>
                <w:w w:val="110"/>
                <w:sz w:val="17"/>
              </w:rPr>
              <w:t>5,47</w:t>
            </w:r>
          </w:p>
        </w:tc>
        <w:tc>
          <w:tcPr>
            <w:tcW w:w="737" w:type="dxa"/>
            <w:tcBorders>
              <w:top w:val="nil"/>
              <w:bottom w:val="nil"/>
            </w:tcBorders>
          </w:tcPr>
          <w:p>
            <w:pPr>
              <w:pStyle w:val="TableParagraph"/>
              <w:spacing w:before="25"/>
              <w:ind w:right="198"/>
              <w:jc w:val="right"/>
              <w:rPr>
                <w:sz w:val="17"/>
              </w:rPr>
            </w:pPr>
            <w:r>
              <w:rPr>
                <w:color w:val="231F20"/>
                <w:w w:val="110"/>
                <w:sz w:val="17"/>
              </w:rPr>
              <w:t>1,10</w:t>
            </w:r>
          </w:p>
        </w:tc>
        <w:tc>
          <w:tcPr>
            <w:tcW w:w="737" w:type="dxa"/>
            <w:tcBorders>
              <w:top w:val="nil"/>
              <w:bottom w:val="nil"/>
            </w:tcBorders>
          </w:tcPr>
          <w:p>
            <w:pPr>
              <w:pStyle w:val="TableParagraph"/>
              <w:spacing w:before="25"/>
              <w:ind w:left="10" w:right="10"/>
              <w:jc w:val="center"/>
              <w:rPr>
                <w:sz w:val="17"/>
              </w:rPr>
            </w:pPr>
            <w:r>
              <w:rPr>
                <w:color w:val="231F20"/>
                <w:w w:val="110"/>
                <w:sz w:val="17"/>
              </w:rPr>
              <w:t>3,62</w:t>
            </w:r>
          </w:p>
        </w:tc>
        <w:tc>
          <w:tcPr>
            <w:tcW w:w="737" w:type="dxa"/>
            <w:tcBorders>
              <w:top w:val="nil"/>
              <w:bottom w:val="nil"/>
            </w:tcBorders>
          </w:tcPr>
          <w:p>
            <w:pPr>
              <w:pStyle w:val="TableParagraph"/>
              <w:spacing w:before="25"/>
              <w:ind w:left="149"/>
              <w:rPr>
                <w:sz w:val="17"/>
              </w:rPr>
            </w:pPr>
            <w:r>
              <w:rPr>
                <w:color w:val="231F20"/>
                <w:w w:val="110"/>
                <w:sz w:val="17"/>
              </w:rPr>
              <w:t>25,85</w:t>
            </w:r>
          </w:p>
        </w:tc>
        <w:tc>
          <w:tcPr>
            <w:tcW w:w="737" w:type="dxa"/>
            <w:tcBorders>
              <w:top w:val="nil"/>
              <w:bottom w:val="nil"/>
            </w:tcBorders>
          </w:tcPr>
          <w:p>
            <w:pPr>
              <w:pStyle w:val="TableParagraph"/>
              <w:spacing w:before="25"/>
              <w:ind w:left="10" w:right="10"/>
              <w:jc w:val="center"/>
              <w:rPr>
                <w:sz w:val="17"/>
              </w:rPr>
            </w:pPr>
            <w:r>
              <w:rPr>
                <w:color w:val="231F20"/>
                <w:w w:val="110"/>
                <w:sz w:val="17"/>
              </w:rPr>
              <w:t>2,16</w:t>
            </w:r>
          </w:p>
        </w:tc>
        <w:tc>
          <w:tcPr>
            <w:tcW w:w="737" w:type="dxa"/>
            <w:tcBorders>
              <w:top w:val="nil"/>
              <w:bottom w:val="nil"/>
            </w:tcBorders>
          </w:tcPr>
          <w:p>
            <w:pPr>
              <w:pStyle w:val="TableParagraph"/>
              <w:spacing w:before="25"/>
              <w:ind w:right="196"/>
              <w:jc w:val="right"/>
              <w:rPr>
                <w:sz w:val="17"/>
              </w:rPr>
            </w:pPr>
            <w:r>
              <w:rPr>
                <w:color w:val="231F20"/>
                <w:w w:val="110"/>
                <w:sz w:val="17"/>
              </w:rPr>
              <w:t>0,32</w:t>
            </w:r>
          </w:p>
        </w:tc>
        <w:tc>
          <w:tcPr>
            <w:tcW w:w="737" w:type="dxa"/>
            <w:tcBorders>
              <w:top w:val="nil"/>
              <w:bottom w:val="nil"/>
            </w:tcBorders>
          </w:tcPr>
          <w:p>
            <w:pPr>
              <w:pStyle w:val="TableParagraph"/>
              <w:spacing w:before="25"/>
              <w:ind w:left="10" w:right="10"/>
              <w:jc w:val="center"/>
              <w:rPr>
                <w:sz w:val="17"/>
              </w:rPr>
            </w:pPr>
            <w:r>
              <w:rPr>
                <w:color w:val="231F20"/>
                <w:w w:val="110"/>
                <w:sz w:val="17"/>
              </w:rPr>
              <w:t>0,03</w:t>
            </w:r>
          </w:p>
        </w:tc>
        <w:tc>
          <w:tcPr>
            <w:tcW w:w="737" w:type="dxa"/>
            <w:tcBorders>
              <w:top w:val="nil"/>
              <w:bottom w:val="nil"/>
              <w:right w:val="nil"/>
            </w:tcBorders>
          </w:tcPr>
          <w:p>
            <w:pPr>
              <w:pStyle w:val="TableParagraph"/>
              <w:spacing w:before="25"/>
              <w:ind w:left="46" w:right="50"/>
              <w:jc w:val="center"/>
              <w:rPr>
                <w:sz w:val="17"/>
              </w:rPr>
            </w:pPr>
            <w:r>
              <w:rPr>
                <w:color w:val="231F20"/>
                <w:w w:val="110"/>
                <w:sz w:val="17"/>
              </w:rPr>
              <w:t>4,57</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Razón  ingresos-egresos  en efectivo</w:t>
            </w:r>
          </w:p>
        </w:tc>
        <w:tc>
          <w:tcPr>
            <w:tcW w:w="737" w:type="dxa"/>
            <w:tcBorders>
              <w:top w:val="nil"/>
              <w:bottom w:val="nil"/>
            </w:tcBorders>
          </w:tcPr>
          <w:p>
            <w:pPr>
              <w:pStyle w:val="TableParagraph"/>
              <w:spacing w:before="25"/>
              <w:ind w:left="10" w:right="10"/>
              <w:jc w:val="center"/>
              <w:rPr>
                <w:sz w:val="17"/>
              </w:rPr>
            </w:pPr>
            <w:r>
              <w:rPr>
                <w:color w:val="231F20"/>
                <w:w w:val="110"/>
                <w:sz w:val="17"/>
              </w:rPr>
              <w:t>2,34</w:t>
            </w:r>
          </w:p>
        </w:tc>
        <w:tc>
          <w:tcPr>
            <w:tcW w:w="737" w:type="dxa"/>
            <w:tcBorders>
              <w:top w:val="nil"/>
              <w:bottom w:val="nil"/>
            </w:tcBorders>
          </w:tcPr>
          <w:p>
            <w:pPr>
              <w:pStyle w:val="TableParagraph"/>
              <w:spacing w:before="25"/>
              <w:ind w:left="10" w:right="10"/>
              <w:jc w:val="center"/>
              <w:rPr>
                <w:sz w:val="17"/>
              </w:rPr>
            </w:pPr>
            <w:r>
              <w:rPr>
                <w:color w:val="231F20"/>
                <w:w w:val="110"/>
                <w:sz w:val="17"/>
              </w:rPr>
              <w:t>2,37</w:t>
            </w:r>
          </w:p>
        </w:tc>
        <w:tc>
          <w:tcPr>
            <w:tcW w:w="737" w:type="dxa"/>
            <w:tcBorders>
              <w:top w:val="nil"/>
              <w:bottom w:val="nil"/>
            </w:tcBorders>
          </w:tcPr>
          <w:p>
            <w:pPr>
              <w:pStyle w:val="TableParagraph"/>
              <w:spacing w:before="25"/>
              <w:ind w:left="10" w:right="10"/>
              <w:jc w:val="center"/>
              <w:rPr>
                <w:sz w:val="17"/>
              </w:rPr>
            </w:pPr>
            <w:r>
              <w:rPr>
                <w:color w:val="231F20"/>
                <w:w w:val="110"/>
                <w:sz w:val="17"/>
              </w:rPr>
              <w:t>1,48</w:t>
            </w:r>
          </w:p>
        </w:tc>
        <w:tc>
          <w:tcPr>
            <w:tcW w:w="737" w:type="dxa"/>
            <w:tcBorders>
              <w:top w:val="nil"/>
              <w:bottom w:val="nil"/>
            </w:tcBorders>
          </w:tcPr>
          <w:p>
            <w:pPr>
              <w:pStyle w:val="TableParagraph"/>
              <w:spacing w:before="25"/>
              <w:ind w:right="196"/>
              <w:jc w:val="right"/>
              <w:rPr>
                <w:sz w:val="17"/>
              </w:rPr>
            </w:pPr>
            <w:r>
              <w:rPr>
                <w:color w:val="231F20"/>
                <w:w w:val="110"/>
                <w:sz w:val="17"/>
              </w:rPr>
              <w:t>1,33</w:t>
            </w:r>
          </w:p>
        </w:tc>
        <w:tc>
          <w:tcPr>
            <w:tcW w:w="737" w:type="dxa"/>
            <w:tcBorders>
              <w:top w:val="nil"/>
              <w:bottom w:val="nil"/>
            </w:tcBorders>
          </w:tcPr>
          <w:p>
            <w:pPr>
              <w:pStyle w:val="TableParagraph"/>
              <w:spacing w:before="25"/>
              <w:ind w:left="10" w:right="10"/>
              <w:jc w:val="center"/>
              <w:rPr>
                <w:sz w:val="17"/>
              </w:rPr>
            </w:pPr>
            <w:r>
              <w:rPr>
                <w:color w:val="231F20"/>
                <w:w w:val="110"/>
                <w:sz w:val="17"/>
              </w:rPr>
              <w:t>1,95</w:t>
            </w:r>
          </w:p>
        </w:tc>
        <w:tc>
          <w:tcPr>
            <w:tcW w:w="737" w:type="dxa"/>
            <w:tcBorders>
              <w:top w:val="nil"/>
              <w:bottom w:val="nil"/>
            </w:tcBorders>
          </w:tcPr>
          <w:p>
            <w:pPr>
              <w:pStyle w:val="TableParagraph"/>
              <w:spacing w:before="25"/>
              <w:ind w:left="198"/>
              <w:rPr>
                <w:sz w:val="17"/>
              </w:rPr>
            </w:pPr>
            <w:r>
              <w:rPr>
                <w:color w:val="231F20"/>
                <w:w w:val="110"/>
                <w:sz w:val="17"/>
              </w:rPr>
              <w:t>8,33</w:t>
            </w:r>
          </w:p>
        </w:tc>
        <w:tc>
          <w:tcPr>
            <w:tcW w:w="737" w:type="dxa"/>
            <w:tcBorders>
              <w:top w:val="nil"/>
              <w:bottom w:val="nil"/>
            </w:tcBorders>
          </w:tcPr>
          <w:p>
            <w:pPr>
              <w:pStyle w:val="TableParagraph"/>
              <w:spacing w:before="25"/>
              <w:ind w:left="10" w:right="10"/>
              <w:jc w:val="center"/>
              <w:rPr>
                <w:sz w:val="17"/>
              </w:rPr>
            </w:pPr>
            <w:r>
              <w:rPr>
                <w:color w:val="231F20"/>
                <w:w w:val="110"/>
                <w:sz w:val="17"/>
              </w:rPr>
              <w:t>1,36</w:t>
            </w:r>
          </w:p>
        </w:tc>
        <w:tc>
          <w:tcPr>
            <w:tcW w:w="737" w:type="dxa"/>
            <w:tcBorders>
              <w:top w:val="nil"/>
              <w:bottom w:val="nil"/>
            </w:tcBorders>
          </w:tcPr>
          <w:p>
            <w:pPr>
              <w:pStyle w:val="TableParagraph"/>
              <w:spacing w:before="25"/>
              <w:ind w:right="198"/>
              <w:jc w:val="right"/>
              <w:rPr>
                <w:sz w:val="17"/>
              </w:rPr>
            </w:pPr>
            <w:r>
              <w:rPr>
                <w:color w:val="231F20"/>
                <w:w w:val="110"/>
                <w:sz w:val="17"/>
              </w:rPr>
              <w:t>1,07</w:t>
            </w:r>
          </w:p>
        </w:tc>
        <w:tc>
          <w:tcPr>
            <w:tcW w:w="737" w:type="dxa"/>
            <w:tcBorders>
              <w:top w:val="nil"/>
              <w:bottom w:val="nil"/>
            </w:tcBorders>
          </w:tcPr>
          <w:p>
            <w:pPr>
              <w:pStyle w:val="TableParagraph"/>
              <w:spacing w:before="25"/>
              <w:ind w:left="10" w:right="10"/>
              <w:jc w:val="center"/>
              <w:rPr>
                <w:sz w:val="17"/>
              </w:rPr>
            </w:pPr>
            <w:r>
              <w:rPr>
                <w:color w:val="231F20"/>
                <w:w w:val="110"/>
                <w:sz w:val="17"/>
              </w:rPr>
              <w:t>1,01</w:t>
            </w:r>
          </w:p>
        </w:tc>
        <w:tc>
          <w:tcPr>
            <w:tcW w:w="737" w:type="dxa"/>
            <w:tcBorders>
              <w:top w:val="nil"/>
              <w:bottom w:val="nil"/>
              <w:right w:val="nil"/>
            </w:tcBorders>
          </w:tcPr>
          <w:p>
            <w:pPr>
              <w:pStyle w:val="TableParagraph"/>
              <w:spacing w:before="25"/>
              <w:ind w:left="46" w:right="50"/>
              <w:jc w:val="center"/>
              <w:rPr>
                <w:sz w:val="17"/>
              </w:rPr>
            </w:pPr>
            <w:r>
              <w:rPr>
                <w:color w:val="231F20"/>
                <w:w w:val="110"/>
                <w:sz w:val="17"/>
              </w:rPr>
              <w:t>2,38</w:t>
            </w:r>
          </w:p>
        </w:tc>
      </w:tr>
      <w:tr>
        <w:trPr>
          <w:trHeight w:val="244" w:hRule="exact"/>
        </w:trPr>
        <w:tc>
          <w:tcPr>
            <w:tcW w:w="3793" w:type="dxa"/>
            <w:tcBorders>
              <w:top w:val="nil"/>
              <w:left w:val="nil"/>
            </w:tcBorders>
          </w:tcPr>
          <w:p>
            <w:pPr>
              <w:pStyle w:val="TableParagraph"/>
              <w:spacing w:before="25"/>
              <w:ind w:left="56"/>
              <w:rPr>
                <w:sz w:val="17"/>
              </w:rPr>
            </w:pPr>
            <w:r>
              <w:rPr>
                <w:color w:val="231F20"/>
                <w:sz w:val="17"/>
              </w:rPr>
              <w:t>Margen por día trabajado por familiares  ($/d)</w:t>
            </w:r>
          </w:p>
        </w:tc>
        <w:tc>
          <w:tcPr>
            <w:tcW w:w="737" w:type="dxa"/>
            <w:tcBorders>
              <w:top w:val="nil"/>
            </w:tcBorders>
          </w:tcPr>
          <w:p>
            <w:pPr>
              <w:pStyle w:val="TableParagraph"/>
              <w:spacing w:before="25"/>
              <w:ind w:left="10" w:right="10"/>
              <w:jc w:val="center"/>
              <w:rPr>
                <w:sz w:val="17"/>
              </w:rPr>
            </w:pPr>
            <w:r>
              <w:rPr>
                <w:color w:val="231F20"/>
                <w:w w:val="115"/>
                <w:sz w:val="17"/>
              </w:rPr>
              <w:t>604</w:t>
            </w:r>
          </w:p>
        </w:tc>
        <w:tc>
          <w:tcPr>
            <w:tcW w:w="737" w:type="dxa"/>
            <w:tcBorders>
              <w:top w:val="nil"/>
            </w:tcBorders>
          </w:tcPr>
          <w:p>
            <w:pPr>
              <w:pStyle w:val="TableParagraph"/>
              <w:spacing w:before="25"/>
              <w:ind w:left="10" w:right="10"/>
              <w:jc w:val="center"/>
              <w:rPr>
                <w:sz w:val="17"/>
              </w:rPr>
            </w:pPr>
            <w:r>
              <w:rPr>
                <w:color w:val="231F20"/>
                <w:w w:val="115"/>
                <w:sz w:val="17"/>
              </w:rPr>
              <w:t>444</w:t>
            </w:r>
          </w:p>
        </w:tc>
        <w:tc>
          <w:tcPr>
            <w:tcW w:w="737" w:type="dxa"/>
            <w:tcBorders>
              <w:top w:val="nil"/>
            </w:tcBorders>
          </w:tcPr>
          <w:p>
            <w:pPr>
              <w:pStyle w:val="TableParagraph"/>
              <w:spacing w:before="25"/>
              <w:ind w:left="9" w:right="10"/>
              <w:jc w:val="center"/>
              <w:rPr>
                <w:sz w:val="17"/>
              </w:rPr>
            </w:pPr>
            <w:r>
              <w:rPr>
                <w:color w:val="231F20"/>
                <w:w w:val="115"/>
                <w:sz w:val="17"/>
              </w:rPr>
              <w:t>251</w:t>
            </w:r>
          </w:p>
        </w:tc>
        <w:tc>
          <w:tcPr>
            <w:tcW w:w="737" w:type="dxa"/>
            <w:tcBorders>
              <w:top w:val="nil"/>
            </w:tcBorders>
          </w:tcPr>
          <w:p>
            <w:pPr>
              <w:pStyle w:val="TableParagraph"/>
              <w:spacing w:before="25"/>
              <w:ind w:left="218"/>
              <w:rPr>
                <w:sz w:val="17"/>
              </w:rPr>
            </w:pPr>
            <w:r>
              <w:rPr>
                <w:color w:val="231F20"/>
                <w:w w:val="115"/>
                <w:sz w:val="17"/>
              </w:rPr>
              <w:t>166</w:t>
            </w:r>
          </w:p>
        </w:tc>
        <w:tc>
          <w:tcPr>
            <w:tcW w:w="737" w:type="dxa"/>
            <w:tcBorders>
              <w:top w:val="nil"/>
            </w:tcBorders>
          </w:tcPr>
          <w:p>
            <w:pPr>
              <w:pStyle w:val="TableParagraph"/>
              <w:spacing w:before="25"/>
              <w:ind w:left="5" w:right="10"/>
              <w:jc w:val="center"/>
              <w:rPr>
                <w:sz w:val="17"/>
              </w:rPr>
            </w:pPr>
            <w:r>
              <w:rPr>
                <w:color w:val="231F20"/>
                <w:w w:val="115"/>
                <w:sz w:val="17"/>
              </w:rPr>
              <w:t>374</w:t>
            </w:r>
          </w:p>
        </w:tc>
        <w:tc>
          <w:tcPr>
            <w:tcW w:w="737" w:type="dxa"/>
            <w:tcBorders>
              <w:top w:val="nil"/>
            </w:tcBorders>
          </w:tcPr>
          <w:p>
            <w:pPr>
              <w:pStyle w:val="TableParagraph"/>
              <w:spacing w:before="25"/>
              <w:ind w:left="166"/>
              <w:rPr>
                <w:sz w:val="17"/>
              </w:rPr>
            </w:pPr>
            <w:r>
              <w:rPr>
                <w:color w:val="231F20"/>
                <w:w w:val="115"/>
                <w:sz w:val="17"/>
              </w:rPr>
              <w:t>2094</w:t>
            </w:r>
          </w:p>
        </w:tc>
        <w:tc>
          <w:tcPr>
            <w:tcW w:w="737" w:type="dxa"/>
            <w:tcBorders>
              <w:top w:val="nil"/>
            </w:tcBorders>
          </w:tcPr>
          <w:p>
            <w:pPr>
              <w:pStyle w:val="TableParagraph"/>
              <w:spacing w:before="25"/>
              <w:ind w:left="10" w:right="10"/>
              <w:jc w:val="center"/>
              <w:rPr>
                <w:sz w:val="17"/>
              </w:rPr>
            </w:pPr>
            <w:r>
              <w:rPr>
                <w:color w:val="231F20"/>
                <w:w w:val="115"/>
                <w:sz w:val="17"/>
              </w:rPr>
              <w:t>124</w:t>
            </w:r>
          </w:p>
        </w:tc>
        <w:tc>
          <w:tcPr>
            <w:tcW w:w="737" w:type="dxa"/>
            <w:tcBorders>
              <w:top w:val="nil"/>
            </w:tcBorders>
          </w:tcPr>
          <w:p>
            <w:pPr>
              <w:pStyle w:val="TableParagraph"/>
              <w:spacing w:before="25"/>
              <w:ind w:right="272"/>
              <w:jc w:val="right"/>
              <w:rPr>
                <w:sz w:val="17"/>
              </w:rPr>
            </w:pPr>
            <w:r>
              <w:rPr>
                <w:color w:val="231F20"/>
                <w:w w:val="115"/>
                <w:sz w:val="17"/>
              </w:rPr>
              <w:t>18</w:t>
            </w:r>
          </w:p>
        </w:tc>
        <w:tc>
          <w:tcPr>
            <w:tcW w:w="737" w:type="dxa"/>
            <w:tcBorders>
              <w:top w:val="nil"/>
            </w:tcBorders>
          </w:tcPr>
          <w:p>
            <w:pPr>
              <w:pStyle w:val="TableParagraph"/>
              <w:spacing w:before="25"/>
              <w:ind w:left="10" w:right="10"/>
              <w:jc w:val="center"/>
              <w:rPr>
                <w:sz w:val="17"/>
              </w:rPr>
            </w:pPr>
            <w:r>
              <w:rPr>
                <w:color w:val="231F20"/>
                <w:w w:val="110"/>
                <w:sz w:val="17"/>
              </w:rPr>
              <w:t>2,1</w:t>
            </w:r>
          </w:p>
        </w:tc>
        <w:tc>
          <w:tcPr>
            <w:tcW w:w="737" w:type="dxa"/>
            <w:tcBorders>
              <w:top w:val="nil"/>
              <w:right w:val="nil"/>
            </w:tcBorders>
          </w:tcPr>
          <w:p>
            <w:pPr>
              <w:pStyle w:val="TableParagraph"/>
              <w:spacing w:before="25"/>
              <w:ind w:left="44" w:right="50"/>
              <w:jc w:val="center"/>
              <w:rPr>
                <w:sz w:val="17"/>
              </w:rPr>
            </w:pPr>
            <w:r>
              <w:rPr>
                <w:color w:val="231F20"/>
                <w:w w:val="115"/>
                <w:sz w:val="17"/>
              </w:rPr>
              <w:t>452</w:t>
            </w:r>
          </w:p>
        </w:tc>
      </w:tr>
    </w:tbl>
    <w:p>
      <w:pPr>
        <w:spacing w:before="24" w:after="6"/>
        <w:ind w:left="1497" w:right="0" w:firstLine="0"/>
        <w:jc w:val="left"/>
        <w:rPr>
          <w:sz w:val="17"/>
        </w:rPr>
      </w:pPr>
      <w:r>
        <w:rPr/>
        <w:pict>
          <v:shape style="position:absolute;margin-left:649.784119pt;margin-top:-81.034737pt;width:11pt;height:154.7pt;mso-position-horizontal-relative:page;mso-position-vertical-relative:paragraph;z-index:2944" type="#_x0000_t202" filled="false" stroked="false">
            <v:textbox inset="0,0,0,0" style="layout-flow:vertical">
              <w:txbxContent>
                <w:p>
                  <w:pPr>
                    <w:spacing w:line="210" w:lineRule="exact" w:before="0"/>
                    <w:ind w:left="20" w:right="-494" w:firstLine="0"/>
                    <w:jc w:val="left"/>
                    <w:rPr>
                      <w:sz w:val="12"/>
                    </w:rPr>
                  </w:pPr>
                  <w:r>
                    <w:rPr>
                      <w:color w:val="231F20"/>
                      <w:w w:val="109"/>
                      <w:sz w:val="18"/>
                    </w:rPr>
                    <w:t>S</w:t>
                  </w:r>
                  <w:r>
                    <w:rPr>
                      <w:color w:val="231F20"/>
                      <w:spacing w:val="-4"/>
                      <w:w w:val="109"/>
                      <w:sz w:val="18"/>
                    </w:rPr>
                    <w:t>E</w:t>
                  </w:r>
                  <w:r>
                    <w:rPr>
                      <w:color w:val="231F20"/>
                      <w:spacing w:val="-4"/>
                      <w:w w:val="113"/>
                      <w:sz w:val="18"/>
                    </w:rPr>
                    <w:t>C</w:t>
                  </w:r>
                  <w:r>
                    <w:rPr>
                      <w:color w:val="231F20"/>
                      <w:w w:val="107"/>
                      <w:sz w:val="18"/>
                    </w:rPr>
                    <w:t>CIÓN</w:t>
                  </w:r>
                  <w:r>
                    <w:rPr>
                      <w:color w:val="231F20"/>
                      <w:spacing w:val="11"/>
                      <w:sz w:val="18"/>
                    </w:rPr>
                    <w:t> </w:t>
                  </w:r>
                  <w:r>
                    <w:rPr>
                      <w:color w:val="231F20"/>
                      <w:w w:val="104"/>
                      <w:sz w:val="18"/>
                    </w:rPr>
                    <w:t>2.</w:t>
                  </w:r>
                  <w:r>
                    <w:rPr>
                      <w:color w:val="231F20"/>
                      <w:sz w:val="18"/>
                    </w:rPr>
                    <w:t> </w:t>
                  </w:r>
                  <w:r>
                    <w:rPr>
                      <w:color w:val="231F20"/>
                      <w:spacing w:val="8"/>
                      <w:sz w:val="18"/>
                    </w:rPr>
                    <w:t> </w:t>
                  </w:r>
                  <w:r>
                    <w:rPr>
                      <w:color w:val="231F20"/>
                      <w:w w:val="99"/>
                      <w:sz w:val="18"/>
                    </w:rPr>
                    <w:t>B.</w:t>
                  </w:r>
                  <w:r>
                    <w:rPr>
                      <w:color w:val="231F20"/>
                      <w:spacing w:val="11"/>
                      <w:sz w:val="18"/>
                    </w:rPr>
                    <w:t> </w:t>
                  </w:r>
                  <w:r>
                    <w:rPr>
                      <w:color w:val="231F20"/>
                      <w:w w:val="113"/>
                      <w:sz w:val="18"/>
                    </w:rPr>
                    <w:t>S</w:t>
                  </w:r>
                  <w:r>
                    <w:rPr>
                      <w:color w:val="231F20"/>
                      <w:spacing w:val="2"/>
                      <w:w w:val="104"/>
                      <w:sz w:val="12"/>
                    </w:rPr>
                    <w:t>i</w:t>
                  </w:r>
                  <w:r>
                    <w:rPr>
                      <w:color w:val="231F20"/>
                      <w:spacing w:val="-3"/>
                      <w:w w:val="119"/>
                      <w:sz w:val="12"/>
                    </w:rPr>
                    <w:t>S</w:t>
                  </w:r>
                  <w:r>
                    <w:rPr>
                      <w:color w:val="231F20"/>
                      <w:w w:val="119"/>
                      <w:sz w:val="12"/>
                    </w:rPr>
                    <w:t>tema</w:t>
                  </w:r>
                  <w:r>
                    <w:rPr>
                      <w:color w:val="231F20"/>
                      <w:w w:val="119"/>
                      <w:sz w:val="12"/>
                    </w:rPr>
                    <w:t>S</w:t>
                  </w:r>
                  <w:r>
                    <w:rPr>
                      <w:color w:val="231F20"/>
                      <w:sz w:val="12"/>
                    </w:rPr>
                    <w:t> </w:t>
                  </w:r>
                  <w:r>
                    <w:rPr>
                      <w:color w:val="231F20"/>
                      <w:spacing w:val="-2"/>
                      <w:sz w:val="12"/>
                    </w:rPr>
                    <w:t> </w:t>
                  </w:r>
                  <w:r>
                    <w:rPr>
                      <w:color w:val="231F20"/>
                      <w:w w:val="124"/>
                      <w:sz w:val="12"/>
                    </w:rPr>
                    <w:t>de</w:t>
                  </w:r>
                  <w:r>
                    <w:rPr>
                      <w:color w:val="231F20"/>
                      <w:sz w:val="12"/>
                    </w:rPr>
                    <w:t> </w:t>
                  </w:r>
                  <w:r>
                    <w:rPr>
                      <w:color w:val="231F20"/>
                      <w:spacing w:val="-2"/>
                      <w:sz w:val="12"/>
                    </w:rPr>
                    <w:t> </w:t>
                  </w:r>
                  <w:r>
                    <w:rPr>
                      <w:color w:val="231F20"/>
                      <w:w w:val="141"/>
                      <w:sz w:val="12"/>
                    </w:rPr>
                    <w:t>do</w:t>
                  </w:r>
                  <w:r>
                    <w:rPr>
                      <w:color w:val="231F20"/>
                      <w:spacing w:val="2"/>
                      <w:w w:val="112"/>
                      <w:sz w:val="12"/>
                    </w:rPr>
                    <w:t>B</w:t>
                  </w:r>
                  <w:r>
                    <w:rPr>
                      <w:color w:val="231F20"/>
                      <w:w w:val="141"/>
                      <w:sz w:val="12"/>
                    </w:rPr>
                    <w:t>le</w:t>
                  </w:r>
                  <w:r>
                    <w:rPr>
                      <w:color w:val="231F20"/>
                      <w:sz w:val="12"/>
                    </w:rPr>
                    <w:t> </w:t>
                  </w:r>
                  <w:r>
                    <w:rPr>
                      <w:color w:val="231F20"/>
                      <w:spacing w:val="-2"/>
                      <w:sz w:val="12"/>
                    </w:rPr>
                    <w:t> </w:t>
                  </w:r>
                  <w:r>
                    <w:rPr>
                      <w:color w:val="231F20"/>
                      <w:spacing w:val="2"/>
                      <w:w w:val="108"/>
                      <w:sz w:val="12"/>
                    </w:rPr>
                    <w:t>p</w:t>
                  </w:r>
                  <w:r>
                    <w:rPr>
                      <w:color w:val="231F20"/>
                      <w:w w:val="139"/>
                      <w:sz w:val="12"/>
                    </w:rPr>
                    <w:t>ropó</w:t>
                  </w:r>
                  <w:r>
                    <w:rPr>
                      <w:color w:val="231F20"/>
                      <w:w w:val="119"/>
                      <w:sz w:val="12"/>
                    </w:rPr>
                    <w:t>S</w:t>
                  </w:r>
                  <w:r>
                    <w:rPr>
                      <w:color w:val="231F20"/>
                      <w:w w:val="135"/>
                      <w:sz w:val="12"/>
                    </w:rPr>
                    <w:t>i</w:t>
                  </w:r>
                  <w:r>
                    <w:rPr>
                      <w:color w:val="231F20"/>
                      <w:spacing w:val="-8"/>
                      <w:w w:val="135"/>
                      <w:sz w:val="12"/>
                    </w:rPr>
                    <w:t>t</w:t>
                  </w:r>
                  <w:r>
                    <w:rPr>
                      <w:color w:val="231F20"/>
                      <w:w w:val="145"/>
                      <w:sz w:val="12"/>
                    </w:rPr>
                    <w:t>o</w:t>
                  </w:r>
                </w:p>
              </w:txbxContent>
            </v:textbox>
            <w10:wrap type="none"/>
          </v:shape>
        </w:pict>
      </w:r>
      <w:r>
        <w:rPr>
          <w:color w:val="231F20"/>
          <w:w w:val="110"/>
          <w:sz w:val="17"/>
        </w:rPr>
        <w:t>COSTOS TOTALES</w:t>
      </w:r>
    </w:p>
    <w:tbl>
      <w:tblPr>
        <w:tblW w:w="0" w:type="auto"/>
        <w:jc w:val="left"/>
        <w:tblInd w:w="143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93"/>
        <w:gridCol w:w="737"/>
        <w:gridCol w:w="737"/>
        <w:gridCol w:w="737"/>
        <w:gridCol w:w="737"/>
        <w:gridCol w:w="737"/>
        <w:gridCol w:w="737"/>
        <w:gridCol w:w="737"/>
        <w:gridCol w:w="737"/>
        <w:gridCol w:w="737"/>
        <w:gridCol w:w="737"/>
      </w:tblGrid>
      <w:tr>
        <w:trPr>
          <w:trHeight w:val="273" w:hRule="exact"/>
        </w:trPr>
        <w:tc>
          <w:tcPr>
            <w:tcW w:w="3793" w:type="dxa"/>
            <w:tcBorders>
              <w:left w:val="nil"/>
              <w:bottom w:val="nil"/>
            </w:tcBorders>
          </w:tcPr>
          <w:p>
            <w:pPr>
              <w:pStyle w:val="TableParagraph"/>
              <w:spacing w:before="17"/>
              <w:ind w:left="56"/>
              <w:rPr>
                <w:sz w:val="17"/>
              </w:rPr>
            </w:pPr>
            <w:r>
              <w:rPr>
                <w:color w:val="231F20"/>
                <w:w w:val="105"/>
                <w:sz w:val="17"/>
              </w:rPr>
              <w:t>Concentrado ($)</w:t>
            </w:r>
          </w:p>
        </w:tc>
        <w:tc>
          <w:tcPr>
            <w:tcW w:w="737" w:type="dxa"/>
            <w:tcBorders>
              <w:bottom w:val="nil"/>
            </w:tcBorders>
          </w:tcPr>
          <w:p>
            <w:pPr>
              <w:pStyle w:val="TableParagraph"/>
              <w:spacing w:before="17"/>
              <w:ind w:left="9" w:right="10"/>
              <w:jc w:val="center"/>
              <w:rPr>
                <w:sz w:val="17"/>
              </w:rPr>
            </w:pPr>
            <w:r>
              <w:rPr>
                <w:color w:val="231F20"/>
                <w:w w:val="115"/>
                <w:sz w:val="17"/>
              </w:rPr>
              <w:t>57992</w:t>
            </w:r>
          </w:p>
        </w:tc>
        <w:tc>
          <w:tcPr>
            <w:tcW w:w="737" w:type="dxa"/>
            <w:tcBorders>
              <w:bottom w:val="nil"/>
            </w:tcBorders>
          </w:tcPr>
          <w:p>
            <w:pPr>
              <w:pStyle w:val="TableParagraph"/>
              <w:spacing w:before="17"/>
              <w:ind w:right="106"/>
              <w:jc w:val="right"/>
              <w:rPr>
                <w:sz w:val="17"/>
              </w:rPr>
            </w:pPr>
            <w:r>
              <w:rPr>
                <w:color w:val="231F20"/>
                <w:w w:val="115"/>
                <w:sz w:val="17"/>
              </w:rPr>
              <w:t>23080</w:t>
            </w:r>
          </w:p>
        </w:tc>
        <w:tc>
          <w:tcPr>
            <w:tcW w:w="737" w:type="dxa"/>
            <w:tcBorders>
              <w:bottom w:val="nil"/>
            </w:tcBorders>
          </w:tcPr>
          <w:p>
            <w:pPr>
              <w:pStyle w:val="TableParagraph"/>
              <w:spacing w:before="17"/>
              <w:ind w:left="38" w:right="10"/>
              <w:jc w:val="center"/>
              <w:rPr>
                <w:sz w:val="17"/>
              </w:rPr>
            </w:pPr>
            <w:r>
              <w:rPr>
                <w:color w:val="231F20"/>
                <w:w w:val="115"/>
                <w:sz w:val="17"/>
              </w:rPr>
              <w:t>124 152</w:t>
            </w:r>
          </w:p>
        </w:tc>
        <w:tc>
          <w:tcPr>
            <w:tcW w:w="737" w:type="dxa"/>
            <w:tcBorders>
              <w:bottom w:val="nil"/>
            </w:tcBorders>
          </w:tcPr>
          <w:p>
            <w:pPr>
              <w:pStyle w:val="TableParagraph"/>
              <w:spacing w:before="17"/>
              <w:ind w:left="10" w:right="10"/>
              <w:jc w:val="center"/>
              <w:rPr>
                <w:sz w:val="17"/>
              </w:rPr>
            </w:pPr>
            <w:r>
              <w:rPr>
                <w:color w:val="231F20"/>
                <w:w w:val="115"/>
                <w:sz w:val="17"/>
              </w:rPr>
              <w:t>70000</w:t>
            </w:r>
          </w:p>
        </w:tc>
        <w:tc>
          <w:tcPr>
            <w:tcW w:w="737" w:type="dxa"/>
            <w:tcBorders>
              <w:bottom w:val="nil"/>
            </w:tcBorders>
          </w:tcPr>
          <w:p>
            <w:pPr>
              <w:pStyle w:val="TableParagraph"/>
              <w:spacing w:before="17"/>
              <w:ind w:right="106"/>
              <w:jc w:val="right"/>
              <w:rPr>
                <w:sz w:val="17"/>
              </w:rPr>
            </w:pPr>
            <w:r>
              <w:rPr>
                <w:color w:val="231F20"/>
                <w:w w:val="115"/>
                <w:sz w:val="17"/>
              </w:rPr>
              <w:t>49582</w:t>
            </w:r>
          </w:p>
        </w:tc>
        <w:tc>
          <w:tcPr>
            <w:tcW w:w="737" w:type="dxa"/>
            <w:tcBorders>
              <w:bottom w:val="nil"/>
            </w:tcBorders>
          </w:tcPr>
          <w:p>
            <w:pPr>
              <w:pStyle w:val="TableParagraph"/>
              <w:spacing w:before="17"/>
              <w:ind w:left="9" w:right="10"/>
              <w:jc w:val="center"/>
              <w:rPr>
                <w:sz w:val="17"/>
              </w:rPr>
            </w:pPr>
            <w:r>
              <w:rPr>
                <w:color w:val="231F20"/>
                <w:w w:val="115"/>
                <w:sz w:val="17"/>
              </w:rPr>
              <w:t>33600</w:t>
            </w:r>
          </w:p>
        </w:tc>
        <w:tc>
          <w:tcPr>
            <w:tcW w:w="737" w:type="dxa"/>
            <w:tcBorders>
              <w:bottom w:val="nil"/>
            </w:tcBorders>
          </w:tcPr>
          <w:p>
            <w:pPr>
              <w:pStyle w:val="TableParagraph"/>
              <w:spacing w:before="17"/>
              <w:ind w:right="106"/>
              <w:jc w:val="right"/>
              <w:rPr>
                <w:sz w:val="17"/>
              </w:rPr>
            </w:pPr>
            <w:r>
              <w:rPr>
                <w:color w:val="231F20"/>
                <w:w w:val="115"/>
                <w:sz w:val="17"/>
              </w:rPr>
              <w:t>76924</w:t>
            </w:r>
          </w:p>
        </w:tc>
        <w:tc>
          <w:tcPr>
            <w:tcW w:w="737" w:type="dxa"/>
            <w:tcBorders>
              <w:bottom w:val="nil"/>
            </w:tcBorders>
          </w:tcPr>
          <w:p>
            <w:pPr>
              <w:pStyle w:val="TableParagraph"/>
              <w:spacing w:before="17"/>
              <w:ind w:left="13" w:right="10"/>
              <w:jc w:val="center"/>
              <w:rPr>
                <w:sz w:val="17"/>
              </w:rPr>
            </w:pPr>
            <w:r>
              <w:rPr>
                <w:color w:val="231F20"/>
                <w:w w:val="115"/>
                <w:sz w:val="17"/>
              </w:rPr>
              <w:t>27407</w:t>
            </w:r>
          </w:p>
        </w:tc>
        <w:tc>
          <w:tcPr>
            <w:tcW w:w="737" w:type="dxa"/>
            <w:tcBorders>
              <w:bottom w:val="nil"/>
            </w:tcBorders>
          </w:tcPr>
          <w:p>
            <w:pPr>
              <w:pStyle w:val="TableParagraph"/>
              <w:spacing w:before="17"/>
              <w:ind w:left="6" w:right="10"/>
              <w:jc w:val="center"/>
              <w:rPr>
                <w:sz w:val="17"/>
              </w:rPr>
            </w:pPr>
            <w:r>
              <w:rPr>
                <w:color w:val="231F20"/>
                <w:w w:val="115"/>
                <w:sz w:val="17"/>
              </w:rPr>
              <w:t>48045</w:t>
            </w:r>
          </w:p>
        </w:tc>
        <w:tc>
          <w:tcPr>
            <w:tcW w:w="737" w:type="dxa"/>
            <w:tcBorders>
              <w:bottom w:val="nil"/>
              <w:right w:val="nil"/>
            </w:tcBorders>
          </w:tcPr>
          <w:p>
            <w:pPr>
              <w:pStyle w:val="TableParagraph"/>
              <w:spacing w:before="17"/>
              <w:ind w:right="111"/>
              <w:jc w:val="right"/>
              <w:rPr>
                <w:sz w:val="17"/>
              </w:rPr>
            </w:pPr>
            <w:r>
              <w:rPr>
                <w:color w:val="231F20"/>
                <w:w w:val="115"/>
                <w:sz w:val="17"/>
              </w:rPr>
              <w:t>68985</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Alimentos, varios ($)</w:t>
            </w:r>
          </w:p>
        </w:tc>
        <w:tc>
          <w:tcPr>
            <w:tcW w:w="737" w:type="dxa"/>
            <w:tcBorders>
              <w:top w:val="nil"/>
              <w:bottom w:val="nil"/>
            </w:tcBorders>
          </w:tcPr>
          <w:p>
            <w:pPr>
              <w:pStyle w:val="TableParagraph"/>
              <w:spacing w:before="25"/>
              <w:ind w:left="131" w:right="7"/>
              <w:jc w:val="center"/>
              <w:rPr>
                <w:sz w:val="17"/>
              </w:rPr>
            </w:pPr>
            <w:r>
              <w:rPr>
                <w:color w:val="231F20"/>
                <w:w w:val="115"/>
                <w:sz w:val="17"/>
              </w:rPr>
              <w:t>2102</w:t>
            </w:r>
          </w:p>
        </w:tc>
        <w:tc>
          <w:tcPr>
            <w:tcW w:w="737" w:type="dxa"/>
            <w:tcBorders>
              <w:top w:val="nil"/>
              <w:bottom w:val="nil"/>
            </w:tcBorders>
          </w:tcPr>
          <w:p>
            <w:pPr>
              <w:pStyle w:val="TableParagraph"/>
              <w:spacing w:before="25"/>
              <w:ind w:right="109"/>
              <w:jc w:val="right"/>
              <w:rPr>
                <w:sz w:val="17"/>
              </w:rPr>
            </w:pPr>
            <w:r>
              <w:rPr>
                <w:color w:val="231F20"/>
                <w:w w:val="115"/>
                <w:sz w:val="17"/>
              </w:rPr>
              <w:t>3456</w:t>
            </w:r>
          </w:p>
        </w:tc>
        <w:tc>
          <w:tcPr>
            <w:tcW w:w="737" w:type="dxa"/>
            <w:tcBorders>
              <w:top w:val="nil"/>
              <w:bottom w:val="nil"/>
            </w:tcBorders>
          </w:tcPr>
          <w:p>
            <w:pPr>
              <w:pStyle w:val="TableParagraph"/>
              <w:spacing w:before="25"/>
              <w:ind w:left="240" w:right="10"/>
              <w:jc w:val="center"/>
              <w:rPr>
                <w:sz w:val="17"/>
              </w:rPr>
            </w:pPr>
            <w:r>
              <w:rPr>
                <w:color w:val="231F20"/>
                <w:w w:val="115"/>
                <w:sz w:val="17"/>
              </w:rPr>
              <w:t>3443</w:t>
            </w:r>
          </w:p>
        </w:tc>
        <w:tc>
          <w:tcPr>
            <w:tcW w:w="737" w:type="dxa"/>
            <w:tcBorders>
              <w:top w:val="nil"/>
              <w:bottom w:val="nil"/>
            </w:tcBorders>
          </w:tcPr>
          <w:p>
            <w:pPr>
              <w:pStyle w:val="TableParagraph"/>
              <w:spacing w:before="25"/>
              <w:ind w:left="222" w:right="10"/>
              <w:jc w:val="center"/>
              <w:rPr>
                <w:sz w:val="17"/>
              </w:rPr>
            </w:pPr>
            <w:r>
              <w:rPr>
                <w:color w:val="231F20"/>
                <w:w w:val="115"/>
                <w:sz w:val="17"/>
              </w:rPr>
              <w:t>420</w:t>
            </w:r>
          </w:p>
        </w:tc>
        <w:tc>
          <w:tcPr>
            <w:tcW w:w="737" w:type="dxa"/>
            <w:tcBorders>
              <w:top w:val="nil"/>
              <w:bottom w:val="nil"/>
            </w:tcBorders>
          </w:tcPr>
          <w:p>
            <w:pPr>
              <w:pStyle w:val="TableParagraph"/>
              <w:spacing w:before="25"/>
              <w:ind w:right="113"/>
              <w:jc w:val="right"/>
              <w:rPr>
                <w:sz w:val="17"/>
              </w:rPr>
            </w:pPr>
            <w:r>
              <w:rPr>
                <w:color w:val="231F20"/>
                <w:w w:val="115"/>
                <w:sz w:val="17"/>
              </w:rPr>
              <w:t>1476</w:t>
            </w:r>
          </w:p>
        </w:tc>
        <w:tc>
          <w:tcPr>
            <w:tcW w:w="737" w:type="dxa"/>
            <w:tcBorders>
              <w:top w:val="nil"/>
              <w:bottom w:val="nil"/>
            </w:tcBorders>
          </w:tcPr>
          <w:p>
            <w:pPr>
              <w:pStyle w:val="TableParagraph"/>
              <w:spacing w:before="25"/>
              <w:ind w:left="127" w:right="10"/>
              <w:jc w:val="center"/>
              <w:rPr>
                <w:sz w:val="17"/>
              </w:rPr>
            </w:pPr>
            <w:r>
              <w:rPr>
                <w:color w:val="231F20"/>
                <w:w w:val="115"/>
                <w:sz w:val="17"/>
              </w:rPr>
              <w:t>2640</w:t>
            </w:r>
          </w:p>
        </w:tc>
        <w:tc>
          <w:tcPr>
            <w:tcW w:w="737" w:type="dxa"/>
            <w:tcBorders>
              <w:top w:val="nil"/>
              <w:bottom w:val="nil"/>
            </w:tcBorders>
          </w:tcPr>
          <w:p>
            <w:pPr>
              <w:pStyle w:val="TableParagraph"/>
              <w:spacing w:before="25"/>
              <w:ind w:right="106"/>
              <w:jc w:val="right"/>
              <w:rPr>
                <w:sz w:val="17"/>
              </w:rPr>
            </w:pPr>
            <w:r>
              <w:rPr>
                <w:color w:val="231F20"/>
                <w:w w:val="115"/>
                <w:sz w:val="17"/>
              </w:rPr>
              <w:t>4960</w:t>
            </w:r>
          </w:p>
        </w:tc>
        <w:tc>
          <w:tcPr>
            <w:tcW w:w="737" w:type="dxa"/>
            <w:tcBorders>
              <w:top w:val="nil"/>
              <w:bottom w:val="nil"/>
            </w:tcBorders>
          </w:tcPr>
          <w:p>
            <w:pPr>
              <w:pStyle w:val="TableParagraph"/>
              <w:spacing w:before="25"/>
              <w:ind w:left="130" w:right="10"/>
              <w:jc w:val="center"/>
              <w:rPr>
                <w:sz w:val="17"/>
              </w:rPr>
            </w:pPr>
            <w:r>
              <w:rPr>
                <w:color w:val="231F20"/>
                <w:w w:val="115"/>
                <w:sz w:val="17"/>
              </w:rPr>
              <w:t>2395</w:t>
            </w:r>
          </w:p>
        </w:tc>
        <w:tc>
          <w:tcPr>
            <w:tcW w:w="737" w:type="dxa"/>
            <w:tcBorders>
              <w:top w:val="nil"/>
              <w:bottom w:val="nil"/>
            </w:tcBorders>
          </w:tcPr>
          <w:p>
            <w:pPr>
              <w:pStyle w:val="TableParagraph"/>
              <w:spacing w:before="25"/>
              <w:ind w:left="131" w:right="7"/>
              <w:jc w:val="center"/>
              <w:rPr>
                <w:sz w:val="17"/>
              </w:rPr>
            </w:pPr>
            <w:r>
              <w:rPr>
                <w:color w:val="231F20"/>
                <w:w w:val="115"/>
                <w:sz w:val="17"/>
              </w:rPr>
              <w:t>1620</w:t>
            </w:r>
          </w:p>
        </w:tc>
        <w:tc>
          <w:tcPr>
            <w:tcW w:w="737" w:type="dxa"/>
            <w:tcBorders>
              <w:top w:val="nil"/>
              <w:bottom w:val="nil"/>
              <w:right w:val="nil"/>
            </w:tcBorders>
          </w:tcPr>
          <w:p>
            <w:pPr>
              <w:pStyle w:val="TableParagraph"/>
              <w:spacing w:before="25"/>
              <w:ind w:right="111"/>
              <w:jc w:val="right"/>
              <w:rPr>
                <w:sz w:val="17"/>
              </w:rPr>
            </w:pPr>
            <w:r>
              <w:rPr>
                <w:color w:val="231F20"/>
                <w:w w:val="115"/>
                <w:sz w:val="17"/>
              </w:rPr>
              <w:t>3245</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w w:val="105"/>
                <w:sz w:val="17"/>
              </w:rPr>
              <w:t>Combustible ($)</w:t>
            </w:r>
          </w:p>
        </w:tc>
        <w:tc>
          <w:tcPr>
            <w:tcW w:w="737" w:type="dxa"/>
            <w:tcBorders>
              <w:top w:val="nil"/>
              <w:bottom w:val="nil"/>
            </w:tcBorders>
          </w:tcPr>
          <w:p>
            <w:pPr>
              <w:pStyle w:val="TableParagraph"/>
              <w:spacing w:before="25"/>
              <w:ind w:left="10" w:right="10"/>
              <w:jc w:val="center"/>
              <w:rPr>
                <w:sz w:val="17"/>
              </w:rPr>
            </w:pPr>
            <w:r>
              <w:rPr>
                <w:color w:val="231F20"/>
                <w:w w:val="115"/>
                <w:sz w:val="17"/>
              </w:rPr>
              <w:t>14400</w:t>
            </w:r>
          </w:p>
        </w:tc>
        <w:tc>
          <w:tcPr>
            <w:tcW w:w="737" w:type="dxa"/>
            <w:tcBorders>
              <w:top w:val="nil"/>
              <w:bottom w:val="nil"/>
            </w:tcBorders>
          </w:tcPr>
          <w:p>
            <w:pPr>
              <w:pStyle w:val="TableParagraph"/>
              <w:spacing w:before="25"/>
              <w:ind w:right="106"/>
              <w:jc w:val="right"/>
              <w:rPr>
                <w:sz w:val="17"/>
              </w:rPr>
            </w:pPr>
            <w:r>
              <w:rPr>
                <w:color w:val="231F20"/>
                <w:w w:val="115"/>
                <w:sz w:val="17"/>
              </w:rPr>
              <w:t>9600</w:t>
            </w:r>
          </w:p>
        </w:tc>
        <w:tc>
          <w:tcPr>
            <w:tcW w:w="737" w:type="dxa"/>
            <w:tcBorders>
              <w:top w:val="nil"/>
              <w:bottom w:val="nil"/>
            </w:tcBorders>
          </w:tcPr>
          <w:p>
            <w:pPr>
              <w:pStyle w:val="TableParagraph"/>
              <w:spacing w:before="25"/>
              <w:ind w:left="123" w:right="10"/>
              <w:jc w:val="center"/>
              <w:rPr>
                <w:sz w:val="17"/>
              </w:rPr>
            </w:pPr>
            <w:r>
              <w:rPr>
                <w:color w:val="231F20"/>
                <w:w w:val="115"/>
                <w:sz w:val="17"/>
              </w:rPr>
              <w:t>14400</w:t>
            </w:r>
          </w:p>
        </w:tc>
        <w:tc>
          <w:tcPr>
            <w:tcW w:w="737" w:type="dxa"/>
            <w:tcBorders>
              <w:top w:val="nil"/>
              <w:bottom w:val="nil"/>
            </w:tcBorders>
          </w:tcPr>
          <w:p>
            <w:pPr>
              <w:pStyle w:val="TableParagraph"/>
              <w:spacing w:before="25"/>
              <w:ind w:left="10" w:right="10"/>
              <w:jc w:val="center"/>
              <w:rPr>
                <w:sz w:val="17"/>
              </w:rPr>
            </w:pPr>
            <w:r>
              <w:rPr>
                <w:color w:val="231F20"/>
                <w:w w:val="115"/>
                <w:sz w:val="17"/>
              </w:rPr>
              <w:t>14400</w:t>
            </w:r>
          </w:p>
        </w:tc>
        <w:tc>
          <w:tcPr>
            <w:tcW w:w="737" w:type="dxa"/>
            <w:tcBorders>
              <w:top w:val="nil"/>
              <w:bottom w:val="nil"/>
            </w:tcBorders>
          </w:tcPr>
          <w:p>
            <w:pPr>
              <w:pStyle w:val="TableParagraph"/>
              <w:spacing w:before="25"/>
              <w:ind w:right="106"/>
              <w:jc w:val="right"/>
              <w:rPr>
                <w:sz w:val="17"/>
              </w:rPr>
            </w:pPr>
            <w:r>
              <w:rPr>
                <w:color w:val="231F20"/>
                <w:w w:val="115"/>
                <w:sz w:val="17"/>
              </w:rPr>
              <w:t>12000</w:t>
            </w:r>
          </w:p>
        </w:tc>
        <w:tc>
          <w:tcPr>
            <w:tcW w:w="737" w:type="dxa"/>
            <w:tcBorders>
              <w:top w:val="nil"/>
              <w:bottom w:val="nil"/>
            </w:tcBorders>
          </w:tcPr>
          <w:p>
            <w:pPr>
              <w:pStyle w:val="TableParagraph"/>
              <w:spacing w:before="25"/>
              <w:ind w:left="123" w:right="10"/>
              <w:jc w:val="center"/>
              <w:rPr>
                <w:sz w:val="17"/>
              </w:rPr>
            </w:pPr>
            <w:r>
              <w:rPr>
                <w:color w:val="231F20"/>
                <w:w w:val="115"/>
                <w:sz w:val="17"/>
              </w:rPr>
              <w:t>9600</w:t>
            </w:r>
          </w:p>
        </w:tc>
        <w:tc>
          <w:tcPr>
            <w:tcW w:w="737" w:type="dxa"/>
            <w:tcBorders>
              <w:top w:val="nil"/>
              <w:bottom w:val="nil"/>
            </w:tcBorders>
          </w:tcPr>
          <w:p>
            <w:pPr>
              <w:pStyle w:val="TableParagraph"/>
              <w:spacing w:before="25"/>
              <w:ind w:right="106"/>
              <w:jc w:val="right"/>
              <w:rPr>
                <w:sz w:val="17"/>
              </w:rPr>
            </w:pPr>
            <w:r>
              <w:rPr>
                <w:color w:val="231F20"/>
                <w:w w:val="115"/>
                <w:sz w:val="17"/>
              </w:rPr>
              <w:t>9600</w:t>
            </w:r>
          </w:p>
        </w:tc>
        <w:tc>
          <w:tcPr>
            <w:tcW w:w="737" w:type="dxa"/>
            <w:tcBorders>
              <w:top w:val="nil"/>
              <w:bottom w:val="nil"/>
            </w:tcBorders>
          </w:tcPr>
          <w:p>
            <w:pPr>
              <w:pStyle w:val="TableParagraph"/>
              <w:spacing w:before="25"/>
              <w:ind w:left="131" w:right="7"/>
              <w:jc w:val="center"/>
              <w:rPr>
                <w:sz w:val="17"/>
              </w:rPr>
            </w:pPr>
            <w:r>
              <w:rPr>
                <w:color w:val="231F20"/>
                <w:w w:val="115"/>
                <w:sz w:val="17"/>
              </w:rPr>
              <w:t>7200</w:t>
            </w:r>
          </w:p>
        </w:tc>
        <w:tc>
          <w:tcPr>
            <w:tcW w:w="737" w:type="dxa"/>
            <w:tcBorders>
              <w:top w:val="nil"/>
              <w:bottom w:val="nil"/>
            </w:tcBorders>
          </w:tcPr>
          <w:p>
            <w:pPr>
              <w:pStyle w:val="TableParagraph"/>
              <w:spacing w:before="25"/>
              <w:ind w:left="123" w:right="10"/>
              <w:jc w:val="center"/>
              <w:rPr>
                <w:sz w:val="17"/>
              </w:rPr>
            </w:pPr>
            <w:r>
              <w:rPr>
                <w:color w:val="231F20"/>
                <w:w w:val="115"/>
                <w:sz w:val="17"/>
              </w:rPr>
              <w:t>9600</w:t>
            </w:r>
          </w:p>
        </w:tc>
        <w:tc>
          <w:tcPr>
            <w:tcW w:w="737" w:type="dxa"/>
            <w:tcBorders>
              <w:top w:val="nil"/>
              <w:bottom w:val="nil"/>
              <w:right w:val="nil"/>
            </w:tcBorders>
          </w:tcPr>
          <w:p>
            <w:pPr>
              <w:pStyle w:val="TableParagraph"/>
              <w:spacing w:before="25"/>
              <w:ind w:right="111"/>
              <w:jc w:val="right"/>
              <w:rPr>
                <w:sz w:val="17"/>
              </w:rPr>
            </w:pPr>
            <w:r>
              <w:rPr>
                <w:color w:val="231F20"/>
                <w:w w:val="115"/>
                <w:sz w:val="17"/>
              </w:rPr>
              <w:t>9600</w:t>
            </w:r>
          </w:p>
        </w:tc>
      </w:tr>
      <w:tr>
        <w:trPr>
          <w:trHeight w:val="277" w:hRule="exact"/>
        </w:trPr>
        <w:tc>
          <w:tcPr>
            <w:tcW w:w="3793" w:type="dxa"/>
            <w:tcBorders>
              <w:top w:val="nil"/>
              <w:left w:val="nil"/>
              <w:bottom w:val="nil"/>
            </w:tcBorders>
          </w:tcPr>
          <w:p>
            <w:pPr>
              <w:pStyle w:val="TableParagraph"/>
              <w:spacing w:before="25"/>
              <w:ind w:left="56"/>
              <w:rPr>
                <w:sz w:val="17"/>
              </w:rPr>
            </w:pPr>
            <w:r>
              <w:rPr>
                <w:color w:val="231F20"/>
                <w:sz w:val="17"/>
              </w:rPr>
              <w:t>Asistencia técnica y medicinas   ($)</w:t>
            </w:r>
          </w:p>
        </w:tc>
        <w:tc>
          <w:tcPr>
            <w:tcW w:w="737" w:type="dxa"/>
            <w:tcBorders>
              <w:top w:val="nil"/>
              <w:bottom w:val="nil"/>
            </w:tcBorders>
          </w:tcPr>
          <w:p>
            <w:pPr>
              <w:pStyle w:val="TableParagraph"/>
              <w:spacing w:before="25"/>
              <w:ind w:left="130" w:right="10"/>
              <w:jc w:val="center"/>
              <w:rPr>
                <w:sz w:val="17"/>
              </w:rPr>
            </w:pPr>
            <w:r>
              <w:rPr>
                <w:color w:val="231F20"/>
                <w:w w:val="115"/>
                <w:sz w:val="17"/>
              </w:rPr>
              <w:t>8810</w:t>
            </w:r>
          </w:p>
        </w:tc>
        <w:tc>
          <w:tcPr>
            <w:tcW w:w="737" w:type="dxa"/>
            <w:tcBorders>
              <w:top w:val="nil"/>
              <w:bottom w:val="nil"/>
            </w:tcBorders>
          </w:tcPr>
          <w:p>
            <w:pPr>
              <w:pStyle w:val="TableParagraph"/>
              <w:spacing w:before="25"/>
              <w:ind w:right="106"/>
              <w:jc w:val="right"/>
              <w:rPr>
                <w:sz w:val="17"/>
              </w:rPr>
            </w:pPr>
            <w:r>
              <w:rPr>
                <w:color w:val="231F20"/>
                <w:w w:val="115"/>
                <w:sz w:val="17"/>
              </w:rPr>
              <w:t>8180</w:t>
            </w:r>
          </w:p>
        </w:tc>
        <w:tc>
          <w:tcPr>
            <w:tcW w:w="737" w:type="dxa"/>
            <w:tcBorders>
              <w:top w:val="nil"/>
              <w:bottom w:val="nil"/>
            </w:tcBorders>
          </w:tcPr>
          <w:p>
            <w:pPr>
              <w:pStyle w:val="TableParagraph"/>
              <w:spacing w:before="25"/>
              <w:ind w:left="237" w:right="10"/>
              <w:jc w:val="center"/>
              <w:rPr>
                <w:sz w:val="17"/>
              </w:rPr>
            </w:pPr>
            <w:r>
              <w:rPr>
                <w:color w:val="231F20"/>
                <w:w w:val="115"/>
                <w:sz w:val="17"/>
              </w:rPr>
              <w:t>6098</w:t>
            </w:r>
          </w:p>
        </w:tc>
        <w:tc>
          <w:tcPr>
            <w:tcW w:w="737" w:type="dxa"/>
            <w:tcBorders>
              <w:top w:val="nil"/>
              <w:bottom w:val="nil"/>
            </w:tcBorders>
          </w:tcPr>
          <w:p>
            <w:pPr>
              <w:pStyle w:val="TableParagraph"/>
              <w:spacing w:before="25"/>
              <w:ind w:left="127" w:right="10"/>
              <w:jc w:val="center"/>
              <w:rPr>
                <w:sz w:val="17"/>
              </w:rPr>
            </w:pPr>
            <w:r>
              <w:rPr>
                <w:color w:val="231F20"/>
                <w:w w:val="115"/>
                <w:sz w:val="17"/>
              </w:rPr>
              <w:t>9545</w:t>
            </w:r>
          </w:p>
        </w:tc>
        <w:tc>
          <w:tcPr>
            <w:tcW w:w="737" w:type="dxa"/>
            <w:tcBorders>
              <w:top w:val="nil"/>
              <w:bottom w:val="nil"/>
            </w:tcBorders>
          </w:tcPr>
          <w:p>
            <w:pPr>
              <w:pStyle w:val="TableParagraph"/>
              <w:spacing w:before="25"/>
              <w:ind w:right="106"/>
              <w:jc w:val="right"/>
              <w:rPr>
                <w:sz w:val="17"/>
              </w:rPr>
            </w:pPr>
            <w:r>
              <w:rPr>
                <w:color w:val="231F20"/>
                <w:w w:val="115"/>
                <w:sz w:val="17"/>
              </w:rPr>
              <w:t>4050</w:t>
            </w:r>
          </w:p>
        </w:tc>
        <w:tc>
          <w:tcPr>
            <w:tcW w:w="737" w:type="dxa"/>
            <w:tcBorders>
              <w:top w:val="nil"/>
              <w:bottom w:val="nil"/>
            </w:tcBorders>
          </w:tcPr>
          <w:p>
            <w:pPr>
              <w:pStyle w:val="TableParagraph"/>
              <w:spacing w:before="25"/>
              <w:ind w:left="131" w:right="8"/>
              <w:jc w:val="center"/>
              <w:rPr>
                <w:sz w:val="17"/>
              </w:rPr>
            </w:pPr>
            <w:r>
              <w:rPr>
                <w:color w:val="231F20"/>
                <w:w w:val="115"/>
                <w:sz w:val="17"/>
              </w:rPr>
              <w:t>2158</w:t>
            </w:r>
          </w:p>
        </w:tc>
        <w:tc>
          <w:tcPr>
            <w:tcW w:w="737" w:type="dxa"/>
            <w:tcBorders>
              <w:top w:val="nil"/>
              <w:bottom w:val="nil"/>
            </w:tcBorders>
          </w:tcPr>
          <w:p>
            <w:pPr>
              <w:pStyle w:val="TableParagraph"/>
              <w:spacing w:before="25"/>
              <w:ind w:right="106"/>
              <w:jc w:val="right"/>
              <w:rPr>
                <w:sz w:val="17"/>
              </w:rPr>
            </w:pPr>
            <w:r>
              <w:rPr>
                <w:color w:val="231F20"/>
                <w:w w:val="115"/>
                <w:sz w:val="17"/>
              </w:rPr>
              <w:t>1430</w:t>
            </w:r>
          </w:p>
        </w:tc>
        <w:tc>
          <w:tcPr>
            <w:tcW w:w="737" w:type="dxa"/>
            <w:tcBorders>
              <w:top w:val="nil"/>
              <w:bottom w:val="nil"/>
            </w:tcBorders>
          </w:tcPr>
          <w:p>
            <w:pPr>
              <w:pStyle w:val="TableParagraph"/>
              <w:spacing w:before="25"/>
              <w:ind w:left="130" w:right="10"/>
              <w:jc w:val="center"/>
              <w:rPr>
                <w:sz w:val="17"/>
              </w:rPr>
            </w:pPr>
            <w:r>
              <w:rPr>
                <w:color w:val="231F20"/>
                <w:w w:val="115"/>
                <w:sz w:val="17"/>
              </w:rPr>
              <w:t>2535</w:t>
            </w:r>
          </w:p>
        </w:tc>
        <w:tc>
          <w:tcPr>
            <w:tcW w:w="737" w:type="dxa"/>
            <w:tcBorders>
              <w:top w:val="nil"/>
              <w:bottom w:val="nil"/>
            </w:tcBorders>
          </w:tcPr>
          <w:p>
            <w:pPr>
              <w:pStyle w:val="TableParagraph"/>
              <w:spacing w:before="25"/>
              <w:ind w:left="130" w:right="10"/>
              <w:jc w:val="center"/>
              <w:rPr>
                <w:sz w:val="17"/>
              </w:rPr>
            </w:pPr>
            <w:r>
              <w:rPr>
                <w:color w:val="231F20"/>
                <w:w w:val="115"/>
                <w:sz w:val="17"/>
              </w:rPr>
              <w:t>1440</w:t>
            </w:r>
          </w:p>
        </w:tc>
        <w:tc>
          <w:tcPr>
            <w:tcW w:w="737" w:type="dxa"/>
            <w:tcBorders>
              <w:top w:val="nil"/>
              <w:bottom w:val="nil"/>
              <w:right w:val="nil"/>
            </w:tcBorders>
          </w:tcPr>
          <w:p>
            <w:pPr>
              <w:pStyle w:val="TableParagraph"/>
              <w:spacing w:before="25"/>
              <w:ind w:right="111"/>
              <w:jc w:val="right"/>
              <w:rPr>
                <w:sz w:val="17"/>
              </w:rPr>
            </w:pPr>
            <w:r>
              <w:rPr>
                <w:color w:val="231F20"/>
                <w:w w:val="115"/>
                <w:sz w:val="17"/>
              </w:rPr>
              <w:t>2405</w:t>
            </w:r>
          </w:p>
        </w:tc>
      </w:tr>
      <w:tr>
        <w:trPr>
          <w:trHeight w:val="244" w:hRule="exact"/>
        </w:trPr>
        <w:tc>
          <w:tcPr>
            <w:tcW w:w="3793" w:type="dxa"/>
            <w:tcBorders>
              <w:top w:val="nil"/>
              <w:left w:val="nil"/>
            </w:tcBorders>
          </w:tcPr>
          <w:p>
            <w:pPr>
              <w:pStyle w:val="TableParagraph"/>
              <w:spacing w:before="25"/>
              <w:ind w:left="56"/>
              <w:rPr>
                <w:sz w:val="17"/>
              </w:rPr>
            </w:pPr>
            <w:r>
              <w:rPr>
                <w:color w:val="231F20"/>
                <w:w w:val="105"/>
                <w:sz w:val="17"/>
              </w:rPr>
              <w:t>Mano de obra ($)</w:t>
            </w:r>
          </w:p>
        </w:tc>
        <w:tc>
          <w:tcPr>
            <w:tcW w:w="737" w:type="dxa"/>
            <w:tcBorders>
              <w:top w:val="nil"/>
            </w:tcBorders>
          </w:tcPr>
          <w:p>
            <w:pPr>
              <w:pStyle w:val="TableParagraph"/>
              <w:spacing w:before="25"/>
              <w:ind w:left="13" w:right="10"/>
              <w:jc w:val="center"/>
              <w:rPr>
                <w:sz w:val="17"/>
              </w:rPr>
            </w:pPr>
            <w:r>
              <w:rPr>
                <w:color w:val="231F20"/>
                <w:w w:val="115"/>
                <w:sz w:val="17"/>
              </w:rPr>
              <w:t>81 519</w:t>
            </w:r>
          </w:p>
        </w:tc>
        <w:tc>
          <w:tcPr>
            <w:tcW w:w="737" w:type="dxa"/>
            <w:tcBorders>
              <w:top w:val="nil"/>
            </w:tcBorders>
          </w:tcPr>
          <w:p>
            <w:pPr>
              <w:pStyle w:val="TableParagraph"/>
              <w:spacing w:before="25"/>
              <w:ind w:right="113"/>
              <w:jc w:val="right"/>
              <w:rPr>
                <w:sz w:val="17"/>
              </w:rPr>
            </w:pPr>
            <w:r>
              <w:rPr>
                <w:color w:val="231F20"/>
                <w:w w:val="115"/>
                <w:sz w:val="17"/>
              </w:rPr>
              <w:t>74 270</w:t>
            </w:r>
          </w:p>
        </w:tc>
        <w:tc>
          <w:tcPr>
            <w:tcW w:w="737" w:type="dxa"/>
            <w:tcBorders>
              <w:top w:val="nil"/>
            </w:tcBorders>
          </w:tcPr>
          <w:p>
            <w:pPr>
              <w:pStyle w:val="TableParagraph"/>
              <w:spacing w:before="25"/>
              <w:ind w:left="126" w:right="10"/>
              <w:jc w:val="center"/>
              <w:rPr>
                <w:sz w:val="17"/>
              </w:rPr>
            </w:pPr>
            <w:r>
              <w:rPr>
                <w:color w:val="231F20"/>
                <w:w w:val="115"/>
                <w:sz w:val="17"/>
              </w:rPr>
              <w:t>41 550</w:t>
            </w:r>
          </w:p>
        </w:tc>
        <w:tc>
          <w:tcPr>
            <w:tcW w:w="737" w:type="dxa"/>
            <w:tcBorders>
              <w:top w:val="nil"/>
            </w:tcBorders>
          </w:tcPr>
          <w:p>
            <w:pPr>
              <w:pStyle w:val="TableParagraph"/>
              <w:spacing w:before="25"/>
              <w:ind w:left="13" w:right="10"/>
              <w:jc w:val="center"/>
              <w:rPr>
                <w:sz w:val="17"/>
              </w:rPr>
            </w:pPr>
            <w:r>
              <w:rPr>
                <w:color w:val="231F20"/>
                <w:w w:val="115"/>
                <w:sz w:val="17"/>
              </w:rPr>
              <w:t>87360</w:t>
            </w:r>
          </w:p>
        </w:tc>
        <w:tc>
          <w:tcPr>
            <w:tcW w:w="737" w:type="dxa"/>
            <w:tcBorders>
              <w:top w:val="nil"/>
            </w:tcBorders>
          </w:tcPr>
          <w:p>
            <w:pPr>
              <w:pStyle w:val="TableParagraph"/>
              <w:spacing w:before="25"/>
              <w:ind w:right="106"/>
              <w:jc w:val="right"/>
              <w:rPr>
                <w:sz w:val="17"/>
              </w:rPr>
            </w:pPr>
            <w:r>
              <w:rPr>
                <w:color w:val="231F20"/>
                <w:w w:val="115"/>
                <w:sz w:val="17"/>
              </w:rPr>
              <w:t>77280</w:t>
            </w:r>
          </w:p>
        </w:tc>
        <w:tc>
          <w:tcPr>
            <w:tcW w:w="737" w:type="dxa"/>
            <w:tcBorders>
              <w:top w:val="nil"/>
            </w:tcBorders>
          </w:tcPr>
          <w:p>
            <w:pPr>
              <w:pStyle w:val="TableParagraph"/>
              <w:spacing w:before="25"/>
              <w:ind w:left="10" w:right="10"/>
              <w:jc w:val="center"/>
              <w:rPr>
                <w:sz w:val="17"/>
              </w:rPr>
            </w:pPr>
            <w:r>
              <w:rPr>
                <w:color w:val="231F20"/>
                <w:w w:val="115"/>
                <w:sz w:val="17"/>
              </w:rPr>
              <w:t>56 200</w:t>
            </w:r>
          </w:p>
        </w:tc>
        <w:tc>
          <w:tcPr>
            <w:tcW w:w="737" w:type="dxa"/>
            <w:tcBorders>
              <w:top w:val="nil"/>
            </w:tcBorders>
          </w:tcPr>
          <w:p>
            <w:pPr>
              <w:pStyle w:val="TableParagraph"/>
              <w:spacing w:before="25"/>
              <w:ind w:right="106"/>
              <w:jc w:val="right"/>
              <w:rPr>
                <w:sz w:val="17"/>
              </w:rPr>
            </w:pPr>
            <w:r>
              <w:rPr>
                <w:color w:val="231F20"/>
                <w:w w:val="115"/>
                <w:sz w:val="17"/>
              </w:rPr>
              <w:t>33600</w:t>
            </w:r>
          </w:p>
        </w:tc>
        <w:tc>
          <w:tcPr>
            <w:tcW w:w="737" w:type="dxa"/>
            <w:tcBorders>
              <w:top w:val="nil"/>
            </w:tcBorders>
          </w:tcPr>
          <w:p>
            <w:pPr>
              <w:pStyle w:val="TableParagraph"/>
              <w:spacing w:before="25"/>
              <w:ind w:left="13" w:right="10"/>
              <w:jc w:val="center"/>
              <w:rPr>
                <w:sz w:val="17"/>
              </w:rPr>
            </w:pPr>
            <w:r>
              <w:rPr>
                <w:color w:val="231F20"/>
                <w:w w:val="115"/>
                <w:sz w:val="17"/>
              </w:rPr>
              <w:t>47200</w:t>
            </w:r>
          </w:p>
        </w:tc>
        <w:tc>
          <w:tcPr>
            <w:tcW w:w="737" w:type="dxa"/>
            <w:tcBorders>
              <w:top w:val="nil"/>
            </w:tcBorders>
          </w:tcPr>
          <w:p>
            <w:pPr>
              <w:pStyle w:val="TableParagraph"/>
              <w:spacing w:before="25"/>
              <w:ind w:left="9" w:right="10"/>
              <w:jc w:val="center"/>
              <w:rPr>
                <w:sz w:val="17"/>
              </w:rPr>
            </w:pPr>
            <w:r>
              <w:rPr>
                <w:color w:val="231F20"/>
                <w:w w:val="115"/>
                <w:sz w:val="17"/>
              </w:rPr>
              <w:t>46200</w:t>
            </w:r>
          </w:p>
        </w:tc>
        <w:tc>
          <w:tcPr>
            <w:tcW w:w="737" w:type="dxa"/>
            <w:tcBorders>
              <w:top w:val="nil"/>
              <w:right w:val="nil"/>
            </w:tcBorders>
          </w:tcPr>
          <w:p>
            <w:pPr>
              <w:pStyle w:val="TableParagraph"/>
              <w:spacing w:before="25"/>
              <w:ind w:right="111"/>
              <w:jc w:val="right"/>
              <w:rPr>
                <w:sz w:val="17"/>
              </w:rPr>
            </w:pPr>
            <w:r>
              <w:rPr>
                <w:color w:val="231F20"/>
                <w:w w:val="115"/>
                <w:sz w:val="17"/>
              </w:rPr>
              <w:t>35700</w:t>
            </w:r>
          </w:p>
        </w:tc>
      </w:tr>
    </w:tbl>
    <w:p>
      <w:pPr>
        <w:spacing w:after="0"/>
        <w:jc w:val="right"/>
        <w:rPr>
          <w:sz w:val="17"/>
        </w:rPr>
        <w:sectPr>
          <w:headerReference w:type="default" r:id="rId106"/>
          <w:footerReference w:type="default" r:id="rId107"/>
          <w:pgSz w:w="14450" w:h="11900" w:orient="landscape"/>
          <w:pgMar w:header="0" w:footer="102" w:top="0" w:bottom="30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12"/>
          <w:sz w:val="18"/>
        </w:rPr>
        <w:t>7.         </w:t>
      </w:r>
      <w:r>
        <w:rPr>
          <w:color w:val="231F20"/>
          <w:spacing w:val="-8"/>
          <w:sz w:val="18"/>
        </w:rPr>
        <w:t> </w:t>
      </w:r>
      <w:r>
        <w:rPr>
          <w:color w:val="231F20"/>
          <w:sz w:val="18"/>
        </w:rPr>
        <w:t>La producción de bovinos de doble propósito en el trópico seco del centro de</w:t>
      </w:r>
      <w:r>
        <w:rPr>
          <w:color w:val="231F20"/>
          <w:spacing w:val="13"/>
          <w:sz w:val="18"/>
        </w:rPr>
        <w:t> </w:t>
      </w:r>
      <w:r>
        <w:rPr>
          <w:color w:val="231F20"/>
          <w:sz w:val="18"/>
        </w:rPr>
        <w:t>México...</w:t>
      </w:r>
      <w:r>
        <w:rPr>
          <w:color w:val="231F20"/>
          <w:sz w:val="22"/>
        </w:rPr>
        <w:tab/>
      </w:r>
      <w:r>
        <w:rPr>
          <w:color w:val="231F20"/>
          <w:spacing w:val="-9"/>
          <w:sz w:val="22"/>
        </w:rPr>
        <w:t>111</w:t>
      </w:r>
    </w:p>
    <w:p>
      <w:pPr>
        <w:spacing w:after="0"/>
        <w:jc w:val="left"/>
        <w:rPr>
          <w:sz w:val="22"/>
        </w:rPr>
        <w:sectPr>
          <w:headerReference w:type="default" r:id="rId108"/>
          <w:footerReference w:type="default" r:id="rId109"/>
          <w:pgSz w:w="11900" w:h="14450"/>
          <w:pgMar w:header="0" w:footer="222" w:top="420" w:bottom="420" w:left="0" w:right="0"/>
        </w:sectPr>
      </w:pPr>
    </w:p>
    <w:p>
      <w:pPr>
        <w:pStyle w:val="BodyText"/>
        <w:rPr>
          <w:sz w:val="18"/>
        </w:rPr>
      </w:pPr>
    </w:p>
    <w:p>
      <w:pPr>
        <w:spacing w:line="283" w:lineRule="auto" w:before="129"/>
        <w:ind w:left="1553" w:right="0" w:firstLine="0"/>
        <w:jc w:val="both"/>
        <w:rPr>
          <w:sz w:val="18"/>
        </w:rPr>
      </w:pPr>
      <w:r>
        <w:rPr>
          <w:color w:val="231F20"/>
          <w:sz w:val="18"/>
        </w:rPr>
        <w:t>Cuadro 8.  Proporción del costo de producción de litro  de leche por</w:t>
      </w:r>
      <w:r>
        <w:rPr>
          <w:color w:val="231F20"/>
          <w:spacing w:val="26"/>
          <w:sz w:val="18"/>
        </w:rPr>
        <w:t> </w:t>
      </w:r>
      <w:r>
        <w:rPr>
          <w:color w:val="231F20"/>
          <w:sz w:val="18"/>
        </w:rPr>
        <w:t>rubro.</w:t>
      </w:r>
    </w:p>
    <w:p>
      <w:pPr>
        <w:pStyle w:val="BodyText"/>
        <w:spacing w:before="7" w:after="1"/>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392"/>
        <w:gridCol w:w="1774"/>
      </w:tblGrid>
      <w:tr>
        <w:trPr>
          <w:trHeight w:val="629" w:hRule="exact"/>
        </w:trPr>
        <w:tc>
          <w:tcPr>
            <w:tcW w:w="2392" w:type="dxa"/>
            <w:tcBorders>
              <w:left w:val="nil"/>
            </w:tcBorders>
          </w:tcPr>
          <w:p>
            <w:pPr>
              <w:pStyle w:val="TableParagraph"/>
              <w:spacing w:before="2"/>
              <w:rPr>
                <w:sz w:val="17"/>
              </w:rPr>
            </w:pPr>
          </w:p>
          <w:p>
            <w:pPr>
              <w:pStyle w:val="TableParagraph"/>
              <w:spacing w:before="0"/>
              <w:ind w:left="934" w:right="929"/>
              <w:jc w:val="center"/>
              <w:rPr>
                <w:rFonts w:ascii="Cambria"/>
                <w:i/>
                <w:sz w:val="18"/>
              </w:rPr>
            </w:pPr>
            <w:r>
              <w:rPr>
                <w:rFonts w:ascii="Cambria"/>
                <w:i/>
                <w:color w:val="231F20"/>
                <w:w w:val="105"/>
                <w:sz w:val="18"/>
              </w:rPr>
              <w:t>Rubro</w:t>
            </w:r>
          </w:p>
        </w:tc>
        <w:tc>
          <w:tcPr>
            <w:tcW w:w="1774" w:type="dxa"/>
            <w:tcBorders>
              <w:right w:val="nil"/>
            </w:tcBorders>
          </w:tcPr>
          <w:p>
            <w:pPr>
              <w:pStyle w:val="TableParagraph"/>
              <w:spacing w:line="295" w:lineRule="auto" w:before="79"/>
              <w:ind w:left="119" w:right="80" w:hanging="28"/>
              <w:rPr>
                <w:rFonts w:ascii="Cambria"/>
                <w:i/>
                <w:sz w:val="18"/>
              </w:rPr>
            </w:pPr>
            <w:r>
              <w:rPr>
                <w:rFonts w:ascii="Cambria"/>
                <w:i/>
                <w:color w:val="231F20"/>
                <w:w w:val="105"/>
                <w:sz w:val="18"/>
              </w:rPr>
              <w:t>Porcentaje del costo </w:t>
            </w:r>
            <w:r>
              <w:rPr>
                <w:rFonts w:ascii="Cambria"/>
                <w:i/>
                <w:color w:val="231F20"/>
                <w:w w:val="105"/>
                <w:sz w:val="18"/>
              </w:rPr>
              <w:t>de un litro de leche</w:t>
            </w:r>
          </w:p>
        </w:tc>
      </w:tr>
      <w:tr>
        <w:trPr>
          <w:trHeight w:val="354" w:hRule="exact"/>
        </w:trPr>
        <w:tc>
          <w:tcPr>
            <w:tcW w:w="2392" w:type="dxa"/>
            <w:tcBorders>
              <w:left w:val="nil"/>
            </w:tcBorders>
          </w:tcPr>
          <w:p>
            <w:pPr>
              <w:pStyle w:val="TableParagraph"/>
              <w:ind w:left="113"/>
              <w:rPr>
                <w:sz w:val="17"/>
              </w:rPr>
            </w:pPr>
            <w:r>
              <w:rPr>
                <w:color w:val="231F20"/>
                <w:sz w:val="17"/>
              </w:rPr>
              <w:t>Concentrado</w:t>
            </w:r>
          </w:p>
        </w:tc>
        <w:tc>
          <w:tcPr>
            <w:tcW w:w="1774" w:type="dxa"/>
            <w:tcBorders>
              <w:right w:val="nil"/>
            </w:tcBorders>
          </w:tcPr>
          <w:p>
            <w:pPr>
              <w:pStyle w:val="TableParagraph"/>
              <w:ind w:left="675" w:right="80"/>
              <w:rPr>
                <w:sz w:val="17"/>
              </w:rPr>
            </w:pPr>
            <w:r>
              <w:rPr>
                <w:color w:val="231F20"/>
                <w:w w:val="110"/>
                <w:sz w:val="17"/>
              </w:rPr>
              <w:t>0,42</w:t>
            </w:r>
          </w:p>
        </w:tc>
      </w:tr>
      <w:tr>
        <w:trPr>
          <w:trHeight w:val="354" w:hRule="exact"/>
        </w:trPr>
        <w:tc>
          <w:tcPr>
            <w:tcW w:w="2392" w:type="dxa"/>
            <w:tcBorders>
              <w:left w:val="nil"/>
            </w:tcBorders>
          </w:tcPr>
          <w:p>
            <w:pPr>
              <w:pStyle w:val="TableParagraph"/>
              <w:ind w:left="113"/>
              <w:rPr>
                <w:sz w:val="17"/>
              </w:rPr>
            </w:pPr>
            <w:r>
              <w:rPr>
                <w:color w:val="231F20"/>
                <w:sz w:val="17"/>
              </w:rPr>
              <w:t>Alimentos varios</w:t>
            </w:r>
          </w:p>
        </w:tc>
        <w:tc>
          <w:tcPr>
            <w:tcW w:w="1774" w:type="dxa"/>
            <w:tcBorders>
              <w:right w:val="nil"/>
            </w:tcBorders>
          </w:tcPr>
          <w:p>
            <w:pPr>
              <w:pStyle w:val="TableParagraph"/>
              <w:ind w:left="675" w:right="80"/>
              <w:rPr>
                <w:sz w:val="17"/>
              </w:rPr>
            </w:pPr>
            <w:r>
              <w:rPr>
                <w:color w:val="231F20"/>
                <w:w w:val="110"/>
                <w:sz w:val="17"/>
              </w:rPr>
              <w:t>0,02</w:t>
            </w:r>
          </w:p>
        </w:tc>
      </w:tr>
      <w:tr>
        <w:trPr>
          <w:trHeight w:val="354" w:hRule="exact"/>
        </w:trPr>
        <w:tc>
          <w:tcPr>
            <w:tcW w:w="2392" w:type="dxa"/>
            <w:tcBorders>
              <w:left w:val="nil"/>
            </w:tcBorders>
          </w:tcPr>
          <w:p>
            <w:pPr>
              <w:pStyle w:val="TableParagraph"/>
              <w:ind w:left="113"/>
              <w:rPr>
                <w:sz w:val="17"/>
              </w:rPr>
            </w:pPr>
            <w:r>
              <w:rPr>
                <w:color w:val="231F20"/>
                <w:sz w:val="17"/>
              </w:rPr>
              <w:t>Mano de obra</w:t>
            </w:r>
          </w:p>
        </w:tc>
        <w:tc>
          <w:tcPr>
            <w:tcW w:w="1774" w:type="dxa"/>
            <w:tcBorders>
              <w:right w:val="nil"/>
            </w:tcBorders>
          </w:tcPr>
          <w:p>
            <w:pPr>
              <w:pStyle w:val="TableParagraph"/>
              <w:ind w:left="675" w:right="80"/>
              <w:rPr>
                <w:sz w:val="17"/>
              </w:rPr>
            </w:pPr>
            <w:r>
              <w:rPr>
                <w:color w:val="231F20"/>
                <w:w w:val="110"/>
                <w:sz w:val="17"/>
              </w:rPr>
              <w:t>0,44</w:t>
            </w:r>
          </w:p>
        </w:tc>
      </w:tr>
      <w:tr>
        <w:trPr>
          <w:trHeight w:val="354" w:hRule="exact"/>
        </w:trPr>
        <w:tc>
          <w:tcPr>
            <w:tcW w:w="2392" w:type="dxa"/>
            <w:tcBorders>
              <w:left w:val="nil"/>
            </w:tcBorders>
          </w:tcPr>
          <w:p>
            <w:pPr>
              <w:pStyle w:val="TableParagraph"/>
              <w:ind w:left="113"/>
              <w:rPr>
                <w:sz w:val="17"/>
              </w:rPr>
            </w:pPr>
            <w:r>
              <w:rPr>
                <w:color w:val="231F20"/>
                <w:w w:val="105"/>
                <w:sz w:val="17"/>
              </w:rPr>
              <w:t>Combustible</w:t>
            </w:r>
          </w:p>
        </w:tc>
        <w:tc>
          <w:tcPr>
            <w:tcW w:w="1774" w:type="dxa"/>
            <w:tcBorders>
              <w:right w:val="nil"/>
            </w:tcBorders>
          </w:tcPr>
          <w:p>
            <w:pPr>
              <w:pStyle w:val="TableParagraph"/>
              <w:ind w:left="675" w:right="80"/>
              <w:rPr>
                <w:sz w:val="17"/>
              </w:rPr>
            </w:pPr>
            <w:r>
              <w:rPr>
                <w:color w:val="231F20"/>
                <w:w w:val="110"/>
                <w:sz w:val="17"/>
              </w:rPr>
              <w:t>0,08</w:t>
            </w:r>
          </w:p>
        </w:tc>
      </w:tr>
      <w:tr>
        <w:trPr>
          <w:trHeight w:val="354" w:hRule="exact"/>
        </w:trPr>
        <w:tc>
          <w:tcPr>
            <w:tcW w:w="2392" w:type="dxa"/>
            <w:tcBorders>
              <w:left w:val="nil"/>
            </w:tcBorders>
          </w:tcPr>
          <w:p>
            <w:pPr>
              <w:pStyle w:val="TableParagraph"/>
              <w:ind w:left="113"/>
              <w:rPr>
                <w:sz w:val="17"/>
              </w:rPr>
            </w:pPr>
            <w:r>
              <w:rPr>
                <w:color w:val="231F20"/>
                <w:sz w:val="17"/>
              </w:rPr>
              <w:t>Asistencia técnica y  medicinas</w:t>
            </w:r>
          </w:p>
        </w:tc>
        <w:tc>
          <w:tcPr>
            <w:tcW w:w="1774" w:type="dxa"/>
            <w:tcBorders>
              <w:right w:val="nil"/>
            </w:tcBorders>
          </w:tcPr>
          <w:p>
            <w:pPr>
              <w:pStyle w:val="TableParagraph"/>
              <w:ind w:left="675" w:right="80"/>
              <w:rPr>
                <w:sz w:val="17"/>
              </w:rPr>
            </w:pPr>
            <w:r>
              <w:rPr>
                <w:color w:val="231F20"/>
                <w:w w:val="110"/>
                <w:sz w:val="17"/>
              </w:rPr>
              <w:t>0,03</w:t>
            </w:r>
          </w:p>
        </w:tc>
      </w:tr>
      <w:tr>
        <w:trPr>
          <w:trHeight w:val="354" w:hRule="exact"/>
        </w:trPr>
        <w:tc>
          <w:tcPr>
            <w:tcW w:w="2392" w:type="dxa"/>
            <w:tcBorders>
              <w:left w:val="nil"/>
            </w:tcBorders>
          </w:tcPr>
          <w:p>
            <w:pPr>
              <w:pStyle w:val="TableParagraph"/>
              <w:ind w:left="113"/>
              <w:rPr>
                <w:sz w:val="17"/>
              </w:rPr>
            </w:pPr>
            <w:r>
              <w:rPr>
                <w:color w:val="231F20"/>
                <w:sz w:val="17"/>
              </w:rPr>
              <w:t>Costos fijos</w:t>
            </w:r>
          </w:p>
        </w:tc>
        <w:tc>
          <w:tcPr>
            <w:tcW w:w="1774" w:type="dxa"/>
            <w:tcBorders>
              <w:right w:val="nil"/>
            </w:tcBorders>
          </w:tcPr>
          <w:p>
            <w:pPr>
              <w:pStyle w:val="TableParagraph"/>
              <w:ind w:left="675" w:right="80"/>
              <w:rPr>
                <w:sz w:val="17"/>
              </w:rPr>
            </w:pPr>
            <w:r>
              <w:rPr>
                <w:color w:val="231F20"/>
                <w:w w:val="110"/>
                <w:sz w:val="17"/>
              </w:rPr>
              <w:t>0,025</w:t>
            </w:r>
          </w:p>
        </w:tc>
      </w:tr>
      <w:tr>
        <w:trPr>
          <w:trHeight w:val="354" w:hRule="exact"/>
        </w:trPr>
        <w:tc>
          <w:tcPr>
            <w:tcW w:w="2392" w:type="dxa"/>
            <w:tcBorders>
              <w:left w:val="nil"/>
            </w:tcBorders>
          </w:tcPr>
          <w:p>
            <w:pPr>
              <w:pStyle w:val="TableParagraph"/>
              <w:ind w:left="113"/>
              <w:rPr>
                <w:sz w:val="17"/>
              </w:rPr>
            </w:pPr>
            <w:r>
              <w:rPr>
                <w:color w:val="231F20"/>
                <w:sz w:val="17"/>
              </w:rPr>
              <w:t>Total</w:t>
            </w:r>
          </w:p>
        </w:tc>
        <w:tc>
          <w:tcPr>
            <w:tcW w:w="1774" w:type="dxa"/>
            <w:tcBorders>
              <w:right w:val="nil"/>
            </w:tcBorders>
          </w:tcPr>
          <w:p>
            <w:pPr>
              <w:pStyle w:val="TableParagraph"/>
              <w:ind w:left="675" w:right="80"/>
              <w:rPr>
                <w:sz w:val="17"/>
              </w:rPr>
            </w:pPr>
            <w:r>
              <w:rPr>
                <w:color w:val="231F20"/>
                <w:w w:val="110"/>
                <w:sz w:val="17"/>
              </w:rPr>
              <w:t>1,00</w:t>
            </w:r>
          </w:p>
        </w:tc>
      </w:tr>
    </w:tbl>
    <w:p>
      <w:pPr>
        <w:pStyle w:val="BodyText"/>
        <w:rPr>
          <w:sz w:val="18"/>
        </w:rPr>
      </w:pPr>
    </w:p>
    <w:p>
      <w:pPr>
        <w:pStyle w:val="BodyText"/>
        <w:spacing w:before="9"/>
        <w:rPr>
          <w:sz w:val="15"/>
        </w:rPr>
      </w:pPr>
    </w:p>
    <w:p>
      <w:pPr>
        <w:pStyle w:val="BodyText"/>
        <w:spacing w:line="256" w:lineRule="auto" w:before="1"/>
        <w:ind w:left="1553"/>
        <w:jc w:val="both"/>
      </w:pPr>
      <w:r>
        <w:rPr>
          <w:color w:val="231F20"/>
        </w:rPr>
        <w:t>que concuerda con lo reportado por Arriaga-Jor- dán  </w:t>
      </w:r>
      <w:r>
        <w:rPr>
          <w:i/>
          <w:color w:val="231F20"/>
        </w:rPr>
        <w:t>et  al. </w:t>
      </w:r>
      <w:r>
        <w:rPr>
          <w:color w:val="231F20"/>
        </w:rPr>
        <w:t>(2006).</w:t>
      </w:r>
    </w:p>
    <w:p>
      <w:pPr>
        <w:pStyle w:val="BodyText"/>
        <w:spacing w:line="256" w:lineRule="auto" w:before="113"/>
        <w:ind w:left="1553"/>
        <w:jc w:val="both"/>
      </w:pPr>
      <w:r>
        <w:rPr>
          <w:color w:val="231F20"/>
        </w:rPr>
        <w:t>El aumento del precio de la leche pagado al pro- ductor ha sido poco significativo desde hace ya varios años. Por el contrario, el insumo más impor- tante para la producción de leche, que es el con- centrado, presentó incrementos importantes sólo en 2008. Esta situación hace urgente la necesidad de desarrollar estrategias de alimentación que per- mitan reducir los costos de producción por concep- to de concentrados, así como la mejor utilización de los recursos forrajeros de los productores.</w:t>
      </w:r>
    </w:p>
    <w:p>
      <w:pPr>
        <w:pStyle w:val="BodyText"/>
      </w:pPr>
    </w:p>
    <w:p>
      <w:pPr>
        <w:pStyle w:val="BodyText"/>
        <w:spacing w:before="153"/>
        <w:ind w:left="1553"/>
        <w:jc w:val="both"/>
      </w:pPr>
      <w:r>
        <w:rPr>
          <w:color w:val="231F20"/>
          <w:w w:val="110"/>
        </w:rPr>
        <w:t>MEDIDAS SUMARIAS</w:t>
      </w:r>
    </w:p>
    <w:p>
      <w:pPr>
        <w:pStyle w:val="BodyText"/>
        <w:spacing w:line="256" w:lineRule="auto" w:before="131"/>
        <w:ind w:left="1553"/>
        <w:jc w:val="both"/>
      </w:pPr>
      <w:r>
        <w:rPr>
          <w:color w:val="231F20"/>
        </w:rPr>
        <w:t>En esta sección se consideran los márgenes netos totales</w:t>
      </w:r>
      <w:r>
        <w:rPr>
          <w:color w:val="231F20"/>
          <w:spacing w:val="-18"/>
        </w:rPr>
        <w:t> </w:t>
      </w:r>
      <w:r>
        <w:rPr>
          <w:color w:val="231F20"/>
        </w:rPr>
        <w:t>por</w:t>
      </w:r>
      <w:r>
        <w:rPr>
          <w:color w:val="231F20"/>
          <w:spacing w:val="-18"/>
        </w:rPr>
        <w:t> </w:t>
      </w:r>
      <w:r>
        <w:rPr>
          <w:color w:val="231F20"/>
        </w:rPr>
        <w:t>vaca,</w:t>
      </w:r>
      <w:r>
        <w:rPr>
          <w:color w:val="231F20"/>
          <w:spacing w:val="-18"/>
        </w:rPr>
        <w:t> </w:t>
      </w:r>
      <w:r>
        <w:rPr>
          <w:color w:val="231F20"/>
        </w:rPr>
        <w:t>hectárea</w:t>
      </w:r>
      <w:r>
        <w:rPr>
          <w:color w:val="231F20"/>
          <w:spacing w:val="-18"/>
        </w:rPr>
        <w:t> </w:t>
      </w:r>
      <w:r>
        <w:rPr>
          <w:color w:val="231F20"/>
        </w:rPr>
        <w:t>y</w:t>
      </w:r>
      <w:r>
        <w:rPr>
          <w:color w:val="231F20"/>
          <w:spacing w:val="-18"/>
        </w:rPr>
        <w:t> </w:t>
      </w:r>
      <w:r>
        <w:rPr>
          <w:color w:val="231F20"/>
        </w:rPr>
        <w:t>litro,</w:t>
      </w:r>
      <w:r>
        <w:rPr>
          <w:color w:val="231F20"/>
          <w:spacing w:val="-18"/>
        </w:rPr>
        <w:t> </w:t>
      </w:r>
      <w:r>
        <w:rPr>
          <w:color w:val="231F20"/>
        </w:rPr>
        <w:t>así</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relación ingreso/egreso y el margen por día trabajado </w:t>
      </w:r>
      <w:r>
        <w:rPr>
          <w:color w:val="231F20"/>
          <w:spacing w:val="-2"/>
        </w:rPr>
        <w:t>por </w:t>
      </w:r>
      <w:r>
        <w:rPr>
          <w:color w:val="231F20"/>
        </w:rPr>
        <w:t>familiares. El margen neto total que más llamó la atención fue el de la unidad de producción 6, </w:t>
      </w:r>
      <w:r>
        <w:rPr>
          <w:color w:val="231F20"/>
          <w:spacing w:val="-2"/>
        </w:rPr>
        <w:t>por   </w:t>
      </w:r>
      <w:r>
        <w:rPr>
          <w:color w:val="231F20"/>
        </w:rPr>
        <w:t>la amplia diferencia que hubo con relación al res- to de las unidades. Esto se debió principalmente al gran número de </w:t>
      </w:r>
      <w:r>
        <w:rPr>
          <w:color w:val="231F20"/>
          <w:spacing w:val="-3"/>
        </w:rPr>
        <w:t>cabezas </w:t>
      </w:r>
      <w:r>
        <w:rPr>
          <w:color w:val="231F20"/>
        </w:rPr>
        <w:t>de animales de engorda, que fueron vendidos de manera regular y genera- ron flujos de ingresos constantes, lo que explicó </w:t>
      </w:r>
      <w:r>
        <w:rPr>
          <w:color w:val="231F20"/>
          <w:spacing w:val="-2"/>
        </w:rPr>
        <w:t>los </w:t>
      </w:r>
      <w:r>
        <w:rPr>
          <w:color w:val="231F20"/>
        </w:rPr>
        <w:t>altos</w:t>
      </w:r>
      <w:r>
        <w:rPr>
          <w:color w:val="231F20"/>
          <w:spacing w:val="-16"/>
        </w:rPr>
        <w:t> </w:t>
      </w:r>
      <w:r>
        <w:rPr>
          <w:color w:val="231F20"/>
        </w:rPr>
        <w:t>márgenes.</w:t>
      </w:r>
    </w:p>
    <w:p>
      <w:pPr>
        <w:pStyle w:val="BodyText"/>
        <w:spacing w:before="3"/>
        <w:rPr>
          <w:sz w:val="28"/>
        </w:rPr>
      </w:pPr>
      <w:r>
        <w:rPr/>
        <w:br w:type="column"/>
      </w:r>
      <w:r>
        <w:rPr>
          <w:sz w:val="28"/>
        </w:rPr>
      </w:r>
    </w:p>
    <w:p>
      <w:pPr>
        <w:pStyle w:val="BodyText"/>
        <w:spacing w:line="256" w:lineRule="auto"/>
        <w:ind w:left="413" w:right="1551"/>
        <w:jc w:val="both"/>
      </w:pPr>
      <w:r>
        <w:rPr>
          <w:color w:val="231F20"/>
        </w:rPr>
        <w:t>El margen neto que resume el resto de los már- genes y que da una idea clara sobre la eficiencia  de las unidades de producción es el rendido por  día trabajado por familiares. Si se considera que    el salario mínimo, en el año 2008, era de $51,95 (SAGARPA, 2008), siete de las diez unidades estu- diadas tienen ingresos de al menos 2,4 (UP 7) y hasta  </w:t>
      </w:r>
      <w:r>
        <w:rPr>
          <w:color w:val="231F20"/>
          <w:spacing w:val="-3"/>
        </w:rPr>
        <w:t>11,6  </w:t>
      </w:r>
      <w:r>
        <w:rPr>
          <w:color w:val="231F20"/>
        </w:rPr>
        <w:t>(UP  1)  salarios</w:t>
      </w:r>
      <w:r>
        <w:rPr>
          <w:color w:val="231F20"/>
          <w:spacing w:val="2"/>
        </w:rPr>
        <w:t> </w:t>
      </w:r>
      <w:r>
        <w:rPr>
          <w:color w:val="231F20"/>
        </w:rPr>
        <w:t>mínimos.</w:t>
      </w:r>
    </w:p>
    <w:p>
      <w:pPr>
        <w:pStyle w:val="BodyText"/>
        <w:spacing w:line="256" w:lineRule="auto" w:before="113"/>
        <w:ind w:left="413" w:right="1551"/>
        <w:jc w:val="both"/>
      </w:pPr>
      <w:r>
        <w:rPr>
          <w:color w:val="231F20"/>
        </w:rPr>
        <w:t>Particularmente interesantes resultan los casos de las unidades de producción 3 y </w:t>
      </w:r>
      <w:r>
        <w:rPr>
          <w:color w:val="231F20"/>
          <w:spacing w:val="-13"/>
        </w:rPr>
        <w:t>7, </w:t>
      </w:r>
      <w:r>
        <w:rPr>
          <w:color w:val="231F20"/>
        </w:rPr>
        <w:t>que tuvieron costos de producción de </w:t>
      </w:r>
      <w:r>
        <w:rPr>
          <w:color w:val="231F20"/>
          <w:spacing w:val="-3"/>
        </w:rPr>
        <w:t>$11,32 </w:t>
      </w:r>
      <w:r>
        <w:rPr>
          <w:color w:val="231F20"/>
        </w:rPr>
        <w:t>y $6,52 por litro  de leche, lo que a primera vista resultó incostea- ble. Sin embargo, si se analiza el sistema en su conjunto, carne y leche, se observa que estas dos unidades fueron rentables al obtener ingresos de  al menos 2,4 veces el salario mínimo (UP 7). La rentabilidad de estas dos unidades de producción en particular se obtiene de los ingresos por ven-   ta de ganado, ya sea en forma de becerros, vacas de desecho o animales de pie de cría. Respecto a estos resultados, se observó que a pesar del ele- vado costo de producción por litro de leche ($4,7) el sistema aún fue rentable, ya que en las unida- des  se  observó  un  margen  trabajado  por  día</w:t>
      </w:r>
      <w:r>
        <w:rPr>
          <w:color w:val="231F20"/>
          <w:spacing w:val="14"/>
        </w:rPr>
        <w:t> </w:t>
      </w:r>
      <w:r>
        <w:rPr>
          <w:color w:val="231F20"/>
        </w:rPr>
        <w:t>de</w:t>
      </w:r>
    </w:p>
    <w:p>
      <w:pPr>
        <w:pStyle w:val="BodyText"/>
        <w:spacing w:line="256" w:lineRule="auto"/>
        <w:ind w:left="413" w:right="1551"/>
        <w:jc w:val="both"/>
      </w:pPr>
      <w:r>
        <w:rPr>
          <w:color w:val="231F20"/>
        </w:rPr>
        <w:t>$454,9 por unidad de producción. No obstante, esta actividad es negativa durante la época de se- cas, periodo en que el costo de  producción  por litro de leche fue de $4,40, a diferencia de la épo- ca de lluvias, cuando el costo se reduce un 43%, resultando a $2,53 el litro de  leche.</w:t>
      </w:r>
    </w:p>
    <w:p>
      <w:pPr>
        <w:pStyle w:val="BodyText"/>
        <w:spacing w:line="256" w:lineRule="auto" w:before="113"/>
        <w:ind w:left="413" w:right="1551"/>
        <w:jc w:val="both"/>
      </w:pPr>
      <w:r>
        <w:rPr>
          <w:color w:val="231F20"/>
        </w:rPr>
        <w:t>Es de destacar que la UP 1, al transformar su leche en queso, obtiene un mayor margen  neto,  sólo por debajo de la UP 6, cuyos altos márgenes por día trabajado se explican por el gran número de animales comercializados para </w:t>
      </w:r>
      <w:r>
        <w:rPr>
          <w:color w:val="231F20"/>
          <w:spacing w:val="8"/>
        </w:rPr>
        <w:t> </w:t>
      </w:r>
      <w:r>
        <w:rPr>
          <w:color w:val="231F20"/>
        </w:rPr>
        <w:t>carne.</w:t>
      </w:r>
    </w:p>
    <w:p>
      <w:pPr>
        <w:pStyle w:val="BodyText"/>
        <w:spacing w:line="256" w:lineRule="auto" w:before="113"/>
        <w:ind w:left="413" w:right="1551"/>
        <w:jc w:val="both"/>
      </w:pPr>
      <w:r>
        <w:rPr>
          <w:color w:val="231F20"/>
        </w:rPr>
        <w:t>Por lo anterior, la producción de leche genera un flujo de ingresos constante que permite a los pro- ductores cubrir los gastos diarios de operación de la unidad de producción. Sin  embargo,  la  venta de animales, ya sea de desecho, abasto o pie de cría, representa un porcentaje importante en el</w:t>
      </w:r>
      <w:r>
        <w:rPr>
          <w:color w:val="231F20"/>
          <w:spacing w:val="36"/>
        </w:rPr>
        <w:t> </w:t>
      </w:r>
      <w:r>
        <w:rPr>
          <w:color w:val="231F20"/>
        </w:rPr>
        <w:t>in-</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285" w:val="left" w:leader="none"/>
        </w:tabs>
        <w:spacing w:before="64"/>
        <w:ind w:left="1551" w:right="0" w:firstLine="0"/>
        <w:jc w:val="left"/>
        <w:rPr>
          <w:sz w:val="12"/>
        </w:rPr>
      </w:pPr>
      <w:r>
        <w:rPr>
          <w:color w:val="231F20"/>
          <w:spacing w:val="-6"/>
          <w:w w:val="120"/>
          <w:sz w:val="22"/>
        </w:rPr>
        <w:t>112</w:t>
        <w:tab/>
      </w:r>
      <w:r>
        <w:rPr>
          <w:color w:val="231F20"/>
          <w:w w:val="120"/>
          <w:sz w:val="18"/>
        </w:rPr>
        <w:t>SECCIÓN 2.  B. S</w:t>
      </w:r>
      <w:r>
        <w:rPr>
          <w:color w:val="231F20"/>
          <w:w w:val="120"/>
          <w:sz w:val="12"/>
        </w:rPr>
        <w:t>iStemaS de doBle</w:t>
      </w:r>
      <w:r>
        <w:rPr>
          <w:color w:val="231F20"/>
          <w:spacing w:val="18"/>
          <w:w w:val="120"/>
          <w:sz w:val="12"/>
        </w:rPr>
        <w:t> </w:t>
      </w:r>
      <w:r>
        <w:rPr>
          <w:color w:val="231F20"/>
          <w:w w:val="120"/>
          <w:sz w:val="12"/>
        </w:rPr>
        <w:t>propóSito</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greso neto de las unidades de producción, lo que mejora su rentabilidad.</w:t>
      </w:r>
    </w:p>
    <w:p>
      <w:pPr>
        <w:pStyle w:val="BodyText"/>
      </w:pPr>
    </w:p>
    <w:p>
      <w:pPr>
        <w:pStyle w:val="BodyText"/>
        <w:spacing w:line="256" w:lineRule="auto" w:before="153"/>
        <w:ind w:left="1553" w:right="1323"/>
      </w:pPr>
      <w:r>
        <w:rPr>
          <w:color w:val="231F20"/>
          <w:w w:val="110"/>
        </w:rPr>
        <w:t>RECURSOS  </w:t>
      </w:r>
      <w:r>
        <w:rPr>
          <w:color w:val="231F20"/>
          <w:spacing w:val="-4"/>
          <w:w w:val="110"/>
        </w:rPr>
        <w:t>ALTERNATIVOS </w:t>
      </w:r>
      <w:r>
        <w:rPr>
          <w:color w:val="231F20"/>
          <w:spacing w:val="-3"/>
          <w:w w:val="110"/>
        </w:rPr>
        <w:t>PARA </w:t>
      </w:r>
      <w:r>
        <w:rPr>
          <w:color w:val="231F20"/>
          <w:w w:val="110"/>
        </w:rPr>
        <w:t>LA PRODUCCIÓN</w:t>
      </w:r>
      <w:r>
        <w:rPr>
          <w:color w:val="231F20"/>
          <w:spacing w:val="32"/>
          <w:w w:val="110"/>
        </w:rPr>
        <w:t> </w:t>
      </w:r>
      <w:r>
        <w:rPr>
          <w:color w:val="231F20"/>
          <w:w w:val="110"/>
        </w:rPr>
        <w:t>ANIMAL</w:t>
      </w:r>
    </w:p>
    <w:p>
      <w:pPr>
        <w:pStyle w:val="BodyText"/>
        <w:spacing w:line="256" w:lineRule="auto" w:before="114"/>
        <w:ind w:left="1553"/>
        <w:jc w:val="both"/>
      </w:pPr>
      <w:r>
        <w:rPr>
          <w:color w:val="231F20"/>
        </w:rPr>
        <w:t>En la literatura sobre sistemas de producción agro- pecuarios  desarrollados  en  regiones   tropicales es frecuente encontrar reportes que indican que  el pastoreo extensivo, que hace uso de grandes áreas de pastizales, lleva a que los suelos de és-  tos se encuentren a menudo degradados,  con  baja productividad en particular durante los pro- longados periodos de estiaje, lo que produce da- ños al ecosistema, como deforestación, erosión, compactación, pérdida de nutrientes, etc. (Rivas, 2002). Sin embargo, en Zacazonapan, a diferencia de otros municipios del sur del Estado de México, dentro de los potreros se encuentran, además de los pastos, una variedad de árboles, arbustos y</w:t>
      </w:r>
      <w:r>
        <w:rPr>
          <w:color w:val="231F20"/>
          <w:spacing w:val="-7"/>
        </w:rPr>
        <w:t> </w:t>
      </w:r>
      <w:r>
        <w:rPr>
          <w:color w:val="231F20"/>
        </w:rPr>
        <w:t>her- báceas en general que, dependiendo de la época del año, contribuyen en mayor o menor medida      a la alimentación de los animales y representan una amplia gama de usos y beneficios. Así, por ejemplo, existen arbóreas y arbustivas que, aparte de proveer forraje para los animales, aportan leña, material para cercas y sombra para los animales, y se utilizan como cercas vivas, medicina, consumo humano, material para artesanía y madera de di- versos usos (Olivares-Pérez </w:t>
      </w:r>
      <w:r>
        <w:rPr>
          <w:i/>
          <w:color w:val="231F20"/>
        </w:rPr>
        <w:t>et al</w:t>
      </w:r>
      <w:r>
        <w:rPr>
          <w:color w:val="231F20"/>
        </w:rPr>
        <w:t>.,   </w:t>
      </w:r>
      <w:r>
        <w:rPr>
          <w:color w:val="231F20"/>
          <w:spacing w:val="22"/>
        </w:rPr>
        <w:t> </w:t>
      </w:r>
      <w:r>
        <w:rPr>
          <w:color w:val="231F20"/>
          <w:spacing w:val="-4"/>
        </w:rPr>
        <w:t>2011).</w:t>
      </w:r>
    </w:p>
    <w:p>
      <w:pPr>
        <w:pStyle w:val="BodyText"/>
        <w:spacing w:line="256" w:lineRule="auto" w:before="114"/>
        <w:ind w:left="1553"/>
        <w:jc w:val="both"/>
      </w:pPr>
      <w:r>
        <w:rPr>
          <w:color w:val="231F20"/>
        </w:rPr>
        <w:t>Entre 2008 y 2009 se realizaron 12 recorridos en igual número de unidades de producción de Zaca- zonapan, con el objetivo de determinar la diversi- dad de especies leñosas y vegetales características de las zonas donde pastorean los animales y es- tablecer si existe un impacto negativo del sistema de producción animal sobre el ecosistema. Los muestreos de potreros se realizaron de acuerdo con la metodología descrita por Gentry en 1982 y modificada en 2002 por el grupo de exploración medioambiental  GEMA  (Mosquera  </w:t>
      </w:r>
      <w:r>
        <w:rPr>
          <w:i/>
          <w:color w:val="231F20"/>
        </w:rPr>
        <w:t>et  al</w:t>
      </w:r>
      <w:r>
        <w:rPr>
          <w:color w:val="231F20"/>
        </w:rPr>
        <w:t>.,   2007),</w:t>
      </w:r>
    </w:p>
    <w:p>
      <w:pPr>
        <w:pStyle w:val="BodyText"/>
        <w:spacing w:line="261" w:lineRule="auto" w:before="67"/>
        <w:ind w:left="412" w:right="1551"/>
        <w:jc w:val="both"/>
      </w:pPr>
      <w:r>
        <w:rPr/>
        <w:br w:type="column"/>
      </w:r>
      <w:r>
        <w:rPr>
          <w:color w:val="231F20"/>
        </w:rPr>
        <w:t>que consiste en censar  </w:t>
      </w:r>
      <w:r>
        <w:rPr>
          <w:color w:val="231F20"/>
          <w:spacing w:val="-5"/>
        </w:rPr>
        <w:t>10  </w:t>
      </w:r>
      <w:r>
        <w:rPr>
          <w:color w:val="231F20"/>
        </w:rPr>
        <w:t>transectos  de  50  m  de largo por 2 m de ancho con un espacio entre ellos de 1 m. La información obtenida permitió determinar los índices de diversidad vegetal: Sha- non-Weinner y Simpson, índices de riqueza Marga- lef y Menhinick, y el índice de valor de importancia (IVI) (Basáñez </w:t>
      </w:r>
      <w:r>
        <w:rPr>
          <w:i/>
          <w:color w:val="231F20"/>
        </w:rPr>
        <w:t>et al., </w:t>
      </w:r>
      <w:r>
        <w:rPr>
          <w:color w:val="231F20"/>
        </w:rPr>
        <w:t>2008). Estos índices nos per- miten identificar procesos empobrecedores con el objetivo de emitir recomendaciones a favor de la conservación de áreas amenazadas, en este caso por la</w:t>
      </w:r>
      <w:r>
        <w:rPr>
          <w:color w:val="231F20"/>
          <w:spacing w:val="5"/>
        </w:rPr>
        <w:t> </w:t>
      </w:r>
      <w:r>
        <w:rPr>
          <w:color w:val="231F20"/>
        </w:rPr>
        <w:t>ganadería.</w:t>
      </w:r>
    </w:p>
    <w:p>
      <w:pPr>
        <w:pStyle w:val="BodyText"/>
      </w:pPr>
    </w:p>
    <w:p>
      <w:pPr>
        <w:pStyle w:val="BodyText"/>
        <w:spacing w:before="152"/>
        <w:ind w:left="412"/>
        <w:jc w:val="both"/>
      </w:pPr>
      <w:r>
        <w:rPr>
          <w:color w:val="231F20"/>
          <w:w w:val="110"/>
        </w:rPr>
        <w:t>CONOCIMIENTO Y USO</w:t>
      </w:r>
    </w:p>
    <w:p>
      <w:pPr>
        <w:pStyle w:val="BodyText"/>
        <w:spacing w:before="21"/>
        <w:ind w:left="412"/>
        <w:jc w:val="both"/>
      </w:pPr>
      <w:r>
        <w:rPr>
          <w:color w:val="231F20"/>
          <w:w w:val="110"/>
        </w:rPr>
        <w:t>DE LAS ESPECIES  VEGETALES</w:t>
      </w:r>
    </w:p>
    <w:p>
      <w:pPr>
        <w:pStyle w:val="BodyText"/>
        <w:spacing w:line="261" w:lineRule="auto" w:before="135"/>
        <w:ind w:left="412" w:right="1551"/>
        <w:jc w:val="both"/>
      </w:pPr>
      <w:r>
        <w:rPr>
          <w:color w:val="231F20"/>
        </w:rPr>
        <w:t>Los ganaderos de Zacazonapan tienen conoci- miento de 22 especies vegetales en promedio dentro de sus unidades de producción, y todas re- portan algún tipo de beneficio, ya sea al productor, a la unidad de producción o al animal (Cuadro 9).</w:t>
      </w:r>
    </w:p>
    <w:p>
      <w:pPr>
        <w:pStyle w:val="BodyText"/>
        <w:spacing w:line="261" w:lineRule="auto" w:before="113"/>
        <w:ind w:left="412" w:right="1551"/>
        <w:jc w:val="both"/>
      </w:pPr>
      <w:r>
        <w:rPr>
          <w:color w:val="231F20"/>
          <w:w w:val="105"/>
        </w:rPr>
        <w:t>El principal uso que dan los productores a los árboles de sus unidades de producción es el de sombreaderos para mejorar el bienestar animal; sin</w:t>
      </w:r>
      <w:r>
        <w:rPr>
          <w:color w:val="231F20"/>
          <w:spacing w:val="-25"/>
          <w:w w:val="105"/>
        </w:rPr>
        <w:t> </w:t>
      </w:r>
      <w:r>
        <w:rPr>
          <w:color w:val="231F20"/>
          <w:w w:val="105"/>
        </w:rPr>
        <w:t>embargo,</w:t>
      </w:r>
      <w:r>
        <w:rPr>
          <w:color w:val="231F20"/>
          <w:spacing w:val="-25"/>
          <w:w w:val="105"/>
        </w:rPr>
        <w:t> </w:t>
      </w:r>
      <w:r>
        <w:rPr>
          <w:color w:val="231F20"/>
          <w:w w:val="105"/>
        </w:rPr>
        <w:t>todos</w:t>
      </w:r>
      <w:r>
        <w:rPr>
          <w:color w:val="231F20"/>
          <w:spacing w:val="-25"/>
          <w:w w:val="105"/>
        </w:rPr>
        <w:t> </w:t>
      </w:r>
      <w:r>
        <w:rPr>
          <w:color w:val="231F20"/>
          <w:w w:val="105"/>
        </w:rPr>
        <w:t>reconocen</w:t>
      </w:r>
      <w:r>
        <w:rPr>
          <w:color w:val="231F20"/>
          <w:spacing w:val="-25"/>
          <w:w w:val="105"/>
        </w:rPr>
        <w:t> </w:t>
      </w:r>
      <w:r>
        <w:rPr>
          <w:color w:val="231F20"/>
          <w:w w:val="105"/>
        </w:rPr>
        <w:t>el</w:t>
      </w:r>
      <w:r>
        <w:rPr>
          <w:color w:val="231F20"/>
          <w:spacing w:val="-25"/>
          <w:w w:val="105"/>
        </w:rPr>
        <w:t> </w:t>
      </w:r>
      <w:r>
        <w:rPr>
          <w:color w:val="231F20"/>
          <w:w w:val="105"/>
        </w:rPr>
        <w:t>potencial</w:t>
      </w:r>
      <w:r>
        <w:rPr>
          <w:color w:val="231F20"/>
          <w:spacing w:val="-25"/>
          <w:w w:val="105"/>
        </w:rPr>
        <w:t> </w:t>
      </w:r>
      <w:r>
        <w:rPr>
          <w:color w:val="231F20"/>
          <w:w w:val="105"/>
        </w:rPr>
        <w:t>forraje- ro</w:t>
      </w:r>
      <w:r>
        <w:rPr>
          <w:color w:val="231F20"/>
          <w:spacing w:val="-15"/>
          <w:w w:val="105"/>
        </w:rPr>
        <w:t> </w:t>
      </w:r>
      <w:r>
        <w:rPr>
          <w:color w:val="231F20"/>
          <w:w w:val="105"/>
        </w:rPr>
        <w:t>que</w:t>
      </w:r>
      <w:r>
        <w:rPr>
          <w:color w:val="231F20"/>
          <w:spacing w:val="-15"/>
          <w:w w:val="105"/>
        </w:rPr>
        <w:t> </w:t>
      </w:r>
      <w:r>
        <w:rPr>
          <w:color w:val="231F20"/>
          <w:w w:val="105"/>
        </w:rPr>
        <w:t>representa</w:t>
      </w:r>
      <w:r>
        <w:rPr>
          <w:color w:val="231F20"/>
          <w:spacing w:val="-15"/>
          <w:w w:val="105"/>
        </w:rPr>
        <w:t> </w:t>
      </w:r>
      <w:r>
        <w:rPr>
          <w:color w:val="231F20"/>
          <w:w w:val="105"/>
        </w:rPr>
        <w:t>la</w:t>
      </w:r>
      <w:r>
        <w:rPr>
          <w:color w:val="231F20"/>
          <w:spacing w:val="-15"/>
          <w:w w:val="105"/>
        </w:rPr>
        <w:t> </w:t>
      </w:r>
      <w:r>
        <w:rPr>
          <w:color w:val="231F20"/>
          <w:w w:val="105"/>
        </w:rPr>
        <w:t>presencia</w:t>
      </w:r>
      <w:r>
        <w:rPr>
          <w:color w:val="231F20"/>
          <w:spacing w:val="-15"/>
          <w:w w:val="105"/>
        </w:rPr>
        <w:t> </w:t>
      </w:r>
      <w:r>
        <w:rPr>
          <w:color w:val="231F20"/>
          <w:w w:val="105"/>
        </w:rPr>
        <w:t>de</w:t>
      </w:r>
      <w:r>
        <w:rPr>
          <w:color w:val="231F20"/>
          <w:spacing w:val="-15"/>
          <w:w w:val="105"/>
        </w:rPr>
        <w:t> </w:t>
      </w:r>
      <w:r>
        <w:rPr>
          <w:color w:val="231F20"/>
          <w:w w:val="105"/>
        </w:rPr>
        <w:t>dichos</w:t>
      </w:r>
      <w:r>
        <w:rPr>
          <w:color w:val="231F20"/>
          <w:spacing w:val="-15"/>
          <w:w w:val="105"/>
        </w:rPr>
        <w:t> </w:t>
      </w:r>
      <w:r>
        <w:rPr>
          <w:color w:val="231F20"/>
          <w:w w:val="105"/>
        </w:rPr>
        <w:t>árboles</w:t>
      </w:r>
      <w:r>
        <w:rPr>
          <w:color w:val="231F20"/>
          <w:spacing w:val="-15"/>
          <w:w w:val="105"/>
        </w:rPr>
        <w:t> </w:t>
      </w:r>
      <w:r>
        <w:rPr>
          <w:color w:val="231F20"/>
          <w:w w:val="105"/>
        </w:rPr>
        <w:t>y arbustos, así como su importancia en la época</w:t>
      </w:r>
      <w:r>
        <w:rPr>
          <w:color w:val="231F20"/>
          <w:spacing w:val="-31"/>
          <w:w w:val="105"/>
        </w:rPr>
        <w:t> </w:t>
      </w:r>
      <w:r>
        <w:rPr>
          <w:color w:val="231F20"/>
          <w:w w:val="105"/>
        </w:rPr>
        <w:t>de escasez</w:t>
      </w:r>
      <w:r>
        <w:rPr>
          <w:color w:val="231F20"/>
          <w:spacing w:val="-5"/>
          <w:w w:val="105"/>
        </w:rPr>
        <w:t> </w:t>
      </w:r>
      <w:r>
        <w:rPr>
          <w:color w:val="231F20"/>
          <w:w w:val="105"/>
        </w:rPr>
        <w:t>de</w:t>
      </w:r>
      <w:r>
        <w:rPr>
          <w:color w:val="231F20"/>
          <w:spacing w:val="-5"/>
          <w:w w:val="105"/>
        </w:rPr>
        <w:t> </w:t>
      </w:r>
      <w:r>
        <w:rPr>
          <w:color w:val="231F20"/>
          <w:w w:val="105"/>
        </w:rPr>
        <w:t>forraje,</w:t>
      </w:r>
      <w:r>
        <w:rPr>
          <w:color w:val="231F20"/>
          <w:spacing w:val="-5"/>
          <w:w w:val="105"/>
        </w:rPr>
        <w:t> </w:t>
      </w:r>
      <w:r>
        <w:rPr>
          <w:color w:val="231F20"/>
          <w:w w:val="105"/>
        </w:rPr>
        <w:t>de</w:t>
      </w:r>
      <w:r>
        <w:rPr>
          <w:color w:val="231F20"/>
          <w:spacing w:val="-5"/>
          <w:w w:val="105"/>
        </w:rPr>
        <w:t> </w:t>
      </w:r>
      <w:r>
        <w:rPr>
          <w:color w:val="231F20"/>
          <w:w w:val="105"/>
        </w:rPr>
        <w:t>diciembre</w:t>
      </w:r>
      <w:r>
        <w:rPr>
          <w:color w:val="231F20"/>
          <w:spacing w:val="-5"/>
          <w:w w:val="105"/>
        </w:rPr>
        <w:t> </w:t>
      </w:r>
      <w:r>
        <w:rPr>
          <w:color w:val="231F20"/>
          <w:w w:val="105"/>
        </w:rPr>
        <w:t>a</w:t>
      </w:r>
      <w:r>
        <w:rPr>
          <w:color w:val="231F20"/>
          <w:spacing w:val="-5"/>
          <w:w w:val="105"/>
        </w:rPr>
        <w:t> </w:t>
      </w:r>
      <w:r>
        <w:rPr>
          <w:color w:val="231F20"/>
          <w:w w:val="105"/>
        </w:rPr>
        <w:t>mayo.</w:t>
      </w:r>
      <w:r>
        <w:rPr>
          <w:color w:val="231F20"/>
          <w:spacing w:val="-5"/>
          <w:w w:val="105"/>
        </w:rPr>
        <w:t> </w:t>
      </w:r>
      <w:r>
        <w:rPr>
          <w:color w:val="231F20"/>
          <w:w w:val="105"/>
        </w:rPr>
        <w:t>De</w:t>
      </w:r>
      <w:r>
        <w:rPr>
          <w:color w:val="231F20"/>
          <w:spacing w:val="-5"/>
          <w:w w:val="105"/>
        </w:rPr>
        <w:t> </w:t>
      </w:r>
      <w:r>
        <w:rPr>
          <w:color w:val="231F20"/>
          <w:w w:val="105"/>
        </w:rPr>
        <w:t>igual manera, la presencia de árboles en las unidades de</w:t>
      </w:r>
      <w:r>
        <w:rPr>
          <w:color w:val="231F20"/>
          <w:spacing w:val="-9"/>
          <w:w w:val="105"/>
        </w:rPr>
        <w:t> </w:t>
      </w:r>
      <w:r>
        <w:rPr>
          <w:color w:val="231F20"/>
          <w:w w:val="105"/>
        </w:rPr>
        <w:t>producción</w:t>
      </w:r>
      <w:r>
        <w:rPr>
          <w:color w:val="231F20"/>
          <w:spacing w:val="-9"/>
          <w:w w:val="105"/>
        </w:rPr>
        <w:t> </w:t>
      </w:r>
      <w:r>
        <w:rPr>
          <w:color w:val="231F20"/>
          <w:w w:val="105"/>
        </w:rPr>
        <w:t>da</w:t>
      </w:r>
      <w:r>
        <w:rPr>
          <w:color w:val="231F20"/>
          <w:spacing w:val="-9"/>
          <w:w w:val="105"/>
        </w:rPr>
        <w:t> </w:t>
      </w:r>
      <w:r>
        <w:rPr>
          <w:color w:val="231F20"/>
          <w:w w:val="105"/>
        </w:rPr>
        <w:t>mayor</w:t>
      </w:r>
      <w:r>
        <w:rPr>
          <w:color w:val="231F20"/>
          <w:spacing w:val="-9"/>
          <w:w w:val="105"/>
        </w:rPr>
        <w:t> </w:t>
      </w:r>
      <w:r>
        <w:rPr>
          <w:color w:val="231F20"/>
          <w:w w:val="105"/>
        </w:rPr>
        <w:t>valor</w:t>
      </w:r>
      <w:r>
        <w:rPr>
          <w:color w:val="231F20"/>
          <w:spacing w:val="-9"/>
          <w:w w:val="105"/>
        </w:rPr>
        <w:t> </w:t>
      </w:r>
      <w:r>
        <w:rPr>
          <w:color w:val="231F20"/>
          <w:w w:val="105"/>
        </w:rPr>
        <w:t>a</w:t>
      </w:r>
      <w:r>
        <w:rPr>
          <w:color w:val="231F20"/>
          <w:spacing w:val="-9"/>
          <w:w w:val="105"/>
        </w:rPr>
        <w:t> </w:t>
      </w:r>
      <w:r>
        <w:rPr>
          <w:color w:val="231F20"/>
          <w:w w:val="105"/>
        </w:rPr>
        <w:t>su</w:t>
      </w:r>
      <w:r>
        <w:rPr>
          <w:color w:val="231F20"/>
          <w:spacing w:val="-9"/>
          <w:w w:val="105"/>
        </w:rPr>
        <w:t> </w:t>
      </w:r>
      <w:r>
        <w:rPr>
          <w:color w:val="231F20"/>
          <w:w w:val="105"/>
        </w:rPr>
        <w:t>patrimonio,</w:t>
      </w:r>
      <w:r>
        <w:rPr>
          <w:color w:val="231F20"/>
          <w:spacing w:val="-9"/>
          <w:w w:val="105"/>
        </w:rPr>
        <w:t> </w:t>
      </w:r>
      <w:r>
        <w:rPr>
          <w:color w:val="231F20"/>
          <w:w w:val="105"/>
        </w:rPr>
        <w:t>ya que</w:t>
      </w:r>
      <w:r>
        <w:rPr>
          <w:color w:val="231F20"/>
          <w:spacing w:val="-28"/>
          <w:w w:val="105"/>
        </w:rPr>
        <w:t> </w:t>
      </w:r>
      <w:r>
        <w:rPr>
          <w:color w:val="231F20"/>
          <w:w w:val="105"/>
        </w:rPr>
        <w:t>éstos</w:t>
      </w:r>
      <w:r>
        <w:rPr>
          <w:color w:val="231F20"/>
          <w:spacing w:val="-28"/>
          <w:w w:val="105"/>
        </w:rPr>
        <w:t> </w:t>
      </w:r>
      <w:r>
        <w:rPr>
          <w:color w:val="231F20"/>
          <w:w w:val="105"/>
        </w:rPr>
        <w:t>representan</w:t>
      </w:r>
      <w:r>
        <w:rPr>
          <w:color w:val="231F20"/>
          <w:spacing w:val="-28"/>
          <w:w w:val="105"/>
        </w:rPr>
        <w:t> </w:t>
      </w:r>
      <w:r>
        <w:rPr>
          <w:color w:val="231F20"/>
          <w:w w:val="105"/>
        </w:rPr>
        <w:t>una</w:t>
      </w:r>
      <w:r>
        <w:rPr>
          <w:color w:val="231F20"/>
          <w:spacing w:val="-28"/>
          <w:w w:val="105"/>
        </w:rPr>
        <w:t> </w:t>
      </w:r>
      <w:r>
        <w:rPr>
          <w:color w:val="231F20"/>
          <w:w w:val="105"/>
        </w:rPr>
        <w:t>fuente</w:t>
      </w:r>
      <w:r>
        <w:rPr>
          <w:color w:val="231F20"/>
          <w:spacing w:val="-28"/>
          <w:w w:val="105"/>
        </w:rPr>
        <w:t> </w:t>
      </w:r>
      <w:r>
        <w:rPr>
          <w:color w:val="231F20"/>
          <w:w w:val="105"/>
        </w:rPr>
        <w:t>alterna</w:t>
      </w:r>
      <w:r>
        <w:rPr>
          <w:color w:val="231F20"/>
          <w:spacing w:val="-28"/>
          <w:w w:val="105"/>
        </w:rPr>
        <w:t> </w:t>
      </w:r>
      <w:r>
        <w:rPr>
          <w:color w:val="231F20"/>
          <w:w w:val="105"/>
        </w:rPr>
        <w:t>de</w:t>
      </w:r>
      <w:r>
        <w:rPr>
          <w:color w:val="231F20"/>
          <w:spacing w:val="-28"/>
          <w:w w:val="105"/>
        </w:rPr>
        <w:t> </w:t>
      </w:r>
      <w:r>
        <w:rPr>
          <w:color w:val="231F20"/>
          <w:w w:val="105"/>
        </w:rPr>
        <w:t>ingre- sos económicos; por ejemplo, un árbol de</w:t>
      </w:r>
      <w:r>
        <w:rPr>
          <w:color w:val="231F20"/>
          <w:spacing w:val="-9"/>
          <w:w w:val="105"/>
        </w:rPr>
        <w:t> </w:t>
      </w:r>
      <w:r>
        <w:rPr>
          <w:color w:val="231F20"/>
          <w:w w:val="105"/>
        </w:rPr>
        <w:t>espino herrero</w:t>
      </w:r>
      <w:r>
        <w:rPr>
          <w:color w:val="231F20"/>
          <w:spacing w:val="-15"/>
          <w:w w:val="105"/>
        </w:rPr>
        <w:t> </w:t>
      </w:r>
      <w:r>
        <w:rPr>
          <w:i/>
          <w:color w:val="231F20"/>
          <w:w w:val="105"/>
        </w:rPr>
        <w:t>(Acacia</w:t>
      </w:r>
      <w:r>
        <w:rPr>
          <w:i/>
          <w:color w:val="231F20"/>
          <w:spacing w:val="-14"/>
          <w:w w:val="105"/>
        </w:rPr>
        <w:t> </w:t>
      </w:r>
      <w:r>
        <w:rPr>
          <w:i/>
          <w:color w:val="231F20"/>
          <w:w w:val="105"/>
        </w:rPr>
        <w:t>guatemalensis),</w:t>
      </w:r>
      <w:r>
        <w:rPr>
          <w:i/>
          <w:color w:val="231F20"/>
          <w:spacing w:val="-15"/>
          <w:w w:val="105"/>
        </w:rPr>
        <w:t> </w:t>
      </w:r>
      <w:r>
        <w:rPr>
          <w:color w:val="231F20"/>
          <w:w w:val="105"/>
        </w:rPr>
        <w:t>que</w:t>
      </w:r>
      <w:r>
        <w:rPr>
          <w:color w:val="231F20"/>
          <w:spacing w:val="-14"/>
          <w:w w:val="105"/>
        </w:rPr>
        <w:t> </w:t>
      </w:r>
      <w:r>
        <w:rPr>
          <w:color w:val="231F20"/>
          <w:w w:val="105"/>
        </w:rPr>
        <w:t>es</w:t>
      </w:r>
      <w:r>
        <w:rPr>
          <w:color w:val="231F20"/>
          <w:spacing w:val="-14"/>
          <w:w w:val="105"/>
        </w:rPr>
        <w:t> </w:t>
      </w:r>
      <w:r>
        <w:rPr>
          <w:color w:val="231F20"/>
          <w:w w:val="105"/>
        </w:rPr>
        <w:t>muy</w:t>
      </w:r>
      <w:r>
        <w:rPr>
          <w:color w:val="231F20"/>
          <w:spacing w:val="-14"/>
          <w:w w:val="105"/>
        </w:rPr>
        <w:t> </w:t>
      </w:r>
      <w:r>
        <w:rPr>
          <w:color w:val="231F20"/>
          <w:w w:val="105"/>
        </w:rPr>
        <w:t>apre- ciado</w:t>
      </w:r>
      <w:r>
        <w:rPr>
          <w:color w:val="231F20"/>
          <w:spacing w:val="-15"/>
          <w:w w:val="105"/>
        </w:rPr>
        <w:t> </w:t>
      </w:r>
      <w:r>
        <w:rPr>
          <w:color w:val="231F20"/>
          <w:w w:val="105"/>
        </w:rPr>
        <w:t>para</w:t>
      </w:r>
      <w:r>
        <w:rPr>
          <w:color w:val="231F20"/>
          <w:spacing w:val="-15"/>
          <w:w w:val="105"/>
        </w:rPr>
        <w:t> </w:t>
      </w:r>
      <w:r>
        <w:rPr>
          <w:color w:val="231F20"/>
          <w:w w:val="105"/>
        </w:rPr>
        <w:t>postes</w:t>
      </w:r>
      <w:r>
        <w:rPr>
          <w:color w:val="231F20"/>
          <w:spacing w:val="-15"/>
          <w:w w:val="105"/>
        </w:rPr>
        <w:t> </w:t>
      </w:r>
      <w:r>
        <w:rPr>
          <w:color w:val="231F20"/>
          <w:w w:val="105"/>
        </w:rPr>
        <w:t>de</w:t>
      </w:r>
      <w:r>
        <w:rPr>
          <w:color w:val="231F20"/>
          <w:spacing w:val="-15"/>
          <w:w w:val="105"/>
        </w:rPr>
        <w:t> </w:t>
      </w:r>
      <w:r>
        <w:rPr>
          <w:color w:val="231F20"/>
          <w:w w:val="105"/>
        </w:rPr>
        <w:t>cerca,</w:t>
      </w:r>
      <w:r>
        <w:rPr>
          <w:color w:val="231F20"/>
          <w:spacing w:val="-15"/>
          <w:w w:val="105"/>
        </w:rPr>
        <w:t> </w:t>
      </w:r>
      <w:r>
        <w:rPr>
          <w:color w:val="231F20"/>
          <w:w w:val="105"/>
        </w:rPr>
        <w:t>puede</w:t>
      </w:r>
      <w:r>
        <w:rPr>
          <w:color w:val="231F20"/>
          <w:spacing w:val="-15"/>
          <w:w w:val="105"/>
        </w:rPr>
        <w:t> </w:t>
      </w:r>
      <w:r>
        <w:rPr>
          <w:color w:val="231F20"/>
          <w:w w:val="105"/>
        </w:rPr>
        <w:t>llegar</w:t>
      </w:r>
      <w:r>
        <w:rPr>
          <w:color w:val="231F20"/>
          <w:spacing w:val="-15"/>
          <w:w w:val="105"/>
        </w:rPr>
        <w:t> </w:t>
      </w:r>
      <w:r>
        <w:rPr>
          <w:color w:val="231F20"/>
          <w:w w:val="105"/>
        </w:rPr>
        <w:t>a</w:t>
      </w:r>
      <w:r>
        <w:rPr>
          <w:color w:val="231F20"/>
          <w:spacing w:val="-15"/>
          <w:w w:val="105"/>
        </w:rPr>
        <w:t> </w:t>
      </w:r>
      <w:r>
        <w:rPr>
          <w:color w:val="231F20"/>
          <w:w w:val="105"/>
        </w:rPr>
        <w:t>vender- se en</w:t>
      </w:r>
      <w:r>
        <w:rPr>
          <w:color w:val="231F20"/>
          <w:spacing w:val="29"/>
          <w:w w:val="105"/>
        </w:rPr>
        <w:t> </w:t>
      </w:r>
      <w:r>
        <w:rPr>
          <w:color w:val="231F20"/>
          <w:w w:val="105"/>
        </w:rPr>
        <w:t>$100,00.</w:t>
      </w:r>
    </w:p>
    <w:p>
      <w:pPr>
        <w:pStyle w:val="BodyText"/>
        <w:spacing w:line="261" w:lineRule="auto" w:before="113"/>
        <w:ind w:left="412" w:right="1551"/>
        <w:jc w:val="both"/>
      </w:pPr>
      <w:r>
        <w:rPr>
          <w:color w:val="231F20"/>
        </w:rPr>
        <w:t>Lo que se pudo observar, durante los recorridos   en las unidades de producción, fue que todos los árboles y arbustos reportados por los productores se encontraban presentes, pero se encontraron cinco más que no habían sido reportados por los productores  (Cuadro </w:t>
      </w:r>
      <w:r>
        <w:rPr>
          <w:color w:val="231F20"/>
          <w:spacing w:val="2"/>
        </w:rPr>
        <w:t> </w:t>
      </w:r>
      <w:r>
        <w:rPr>
          <w:color w:val="231F20"/>
          <w:spacing w:val="-3"/>
        </w:rPr>
        <w:t>10).</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12"/>
          <w:sz w:val="18"/>
        </w:rPr>
        <w:t>7.         </w:t>
      </w:r>
      <w:r>
        <w:rPr>
          <w:color w:val="231F20"/>
          <w:spacing w:val="-8"/>
          <w:sz w:val="18"/>
        </w:rPr>
        <w:t> </w:t>
      </w:r>
      <w:r>
        <w:rPr>
          <w:color w:val="231F20"/>
          <w:sz w:val="18"/>
        </w:rPr>
        <w:t>La producción de bovinos de doble propósito en el trópico seco del centro de</w:t>
      </w:r>
      <w:r>
        <w:rPr>
          <w:color w:val="231F20"/>
          <w:spacing w:val="13"/>
          <w:sz w:val="18"/>
        </w:rPr>
        <w:t> </w:t>
      </w:r>
      <w:r>
        <w:rPr>
          <w:color w:val="231F20"/>
          <w:sz w:val="18"/>
        </w:rPr>
        <w:t>México...</w:t>
      </w:r>
      <w:r>
        <w:rPr>
          <w:color w:val="231F20"/>
          <w:sz w:val="22"/>
        </w:rPr>
        <w:tab/>
      </w:r>
      <w:r>
        <w:rPr>
          <w:color w:val="231F20"/>
          <w:spacing w:val="-9"/>
          <w:sz w:val="22"/>
        </w:rPr>
        <w:t>113</w:t>
      </w:r>
    </w:p>
    <w:p>
      <w:pPr>
        <w:spacing w:line="283" w:lineRule="auto" w:before="349"/>
        <w:ind w:left="1553" w:right="1655" w:firstLine="0"/>
        <w:jc w:val="left"/>
        <w:rPr>
          <w:sz w:val="18"/>
        </w:rPr>
      </w:pPr>
      <w:r>
        <w:rPr>
          <w:color w:val="231F20"/>
          <w:sz w:val="18"/>
        </w:rPr>
        <w:t>Cuadro 9. Conocimiento de las especies vegetales reportadas por los productores y que se encuentran en sus uni-  dades  de</w:t>
      </w:r>
      <w:r>
        <w:rPr>
          <w:color w:val="231F20"/>
          <w:spacing w:val="4"/>
          <w:sz w:val="18"/>
        </w:rPr>
        <w:t> </w:t>
      </w:r>
      <w:r>
        <w:rPr>
          <w:color w:val="231F20"/>
          <w:sz w:val="18"/>
        </w:rPr>
        <w:t>producción.</w:t>
      </w:r>
    </w:p>
    <w:p>
      <w:pPr>
        <w:pStyle w:val="BodyText"/>
        <w:spacing w:before="7" w:after="1"/>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345"/>
        <w:gridCol w:w="2324"/>
        <w:gridCol w:w="1871"/>
        <w:gridCol w:w="1247"/>
      </w:tblGrid>
      <w:tr>
        <w:trPr>
          <w:trHeight w:val="369" w:hRule="exact"/>
        </w:trPr>
        <w:tc>
          <w:tcPr>
            <w:tcW w:w="3345" w:type="dxa"/>
            <w:tcBorders>
              <w:left w:val="nil"/>
            </w:tcBorders>
          </w:tcPr>
          <w:p>
            <w:pPr>
              <w:pStyle w:val="TableParagraph"/>
              <w:spacing w:before="79"/>
              <w:ind w:left="965"/>
              <w:rPr>
                <w:rFonts w:ascii="Cambria" w:hAnsi="Cambria"/>
                <w:i/>
                <w:sz w:val="18"/>
              </w:rPr>
            </w:pPr>
            <w:r>
              <w:rPr>
                <w:rFonts w:ascii="Cambria" w:hAnsi="Cambria"/>
                <w:i/>
                <w:color w:val="231F20"/>
                <w:w w:val="105"/>
                <w:sz w:val="18"/>
              </w:rPr>
              <w:t>Nombre científico</w:t>
            </w:r>
          </w:p>
        </w:tc>
        <w:tc>
          <w:tcPr>
            <w:tcW w:w="2324" w:type="dxa"/>
          </w:tcPr>
          <w:p>
            <w:pPr>
              <w:pStyle w:val="TableParagraph"/>
              <w:spacing w:before="79"/>
              <w:ind w:left="549"/>
              <w:rPr>
                <w:rFonts w:ascii="Cambria"/>
                <w:i/>
                <w:sz w:val="18"/>
              </w:rPr>
            </w:pPr>
            <w:r>
              <w:rPr>
                <w:rFonts w:ascii="Cambria"/>
                <w:i/>
                <w:color w:val="231F20"/>
                <w:w w:val="105"/>
                <w:sz w:val="18"/>
              </w:rPr>
              <w:t>Nombre vulgar</w:t>
            </w:r>
          </w:p>
        </w:tc>
        <w:tc>
          <w:tcPr>
            <w:tcW w:w="1871" w:type="dxa"/>
          </w:tcPr>
          <w:p>
            <w:pPr>
              <w:pStyle w:val="TableParagraph"/>
              <w:spacing w:before="79"/>
              <w:ind w:left="722" w:right="722"/>
              <w:jc w:val="center"/>
              <w:rPr>
                <w:rFonts w:ascii="Cambria"/>
                <w:i/>
                <w:sz w:val="18"/>
              </w:rPr>
            </w:pPr>
            <w:r>
              <w:rPr>
                <w:rFonts w:ascii="Cambria"/>
                <w:i/>
                <w:color w:val="231F20"/>
                <w:w w:val="110"/>
                <w:sz w:val="18"/>
              </w:rPr>
              <w:t>Usos</w:t>
            </w:r>
          </w:p>
        </w:tc>
        <w:tc>
          <w:tcPr>
            <w:tcW w:w="1247" w:type="dxa"/>
            <w:tcBorders>
              <w:right w:val="nil"/>
            </w:tcBorders>
          </w:tcPr>
          <w:p>
            <w:pPr>
              <w:pStyle w:val="TableParagraph"/>
              <w:spacing w:before="79"/>
              <w:ind w:left="455"/>
              <w:rPr>
                <w:rFonts w:ascii="Cambria"/>
                <w:i/>
                <w:sz w:val="18"/>
              </w:rPr>
            </w:pPr>
            <w:r>
              <w:rPr>
                <w:rFonts w:ascii="Cambria"/>
                <w:i/>
                <w:color w:val="231F20"/>
                <w:w w:val="105"/>
                <w:sz w:val="18"/>
              </w:rPr>
              <w:t>PCA</w:t>
            </w:r>
          </w:p>
        </w:tc>
      </w:tr>
      <w:tr>
        <w:trPr>
          <w:trHeight w:val="354" w:hRule="exact"/>
        </w:trPr>
        <w:tc>
          <w:tcPr>
            <w:tcW w:w="3345" w:type="dxa"/>
            <w:tcBorders>
              <w:left w:val="nil"/>
            </w:tcBorders>
          </w:tcPr>
          <w:p>
            <w:pPr>
              <w:pStyle w:val="TableParagraph"/>
              <w:ind w:left="113"/>
              <w:rPr>
                <w:i/>
                <w:sz w:val="17"/>
              </w:rPr>
            </w:pPr>
            <w:r>
              <w:rPr>
                <w:i/>
                <w:color w:val="231F20"/>
                <w:sz w:val="17"/>
              </w:rPr>
              <w:t>Haematoxylon brasiletto</w:t>
            </w:r>
          </w:p>
        </w:tc>
        <w:tc>
          <w:tcPr>
            <w:tcW w:w="2324" w:type="dxa"/>
          </w:tcPr>
          <w:p>
            <w:pPr>
              <w:pStyle w:val="TableParagraph"/>
              <w:ind w:left="505"/>
              <w:rPr>
                <w:sz w:val="17"/>
              </w:rPr>
            </w:pPr>
            <w:r>
              <w:rPr>
                <w:color w:val="231F20"/>
                <w:sz w:val="17"/>
              </w:rPr>
              <w:t>Palo Brasil</w:t>
            </w:r>
          </w:p>
        </w:tc>
        <w:tc>
          <w:tcPr>
            <w:tcW w:w="1871" w:type="dxa"/>
          </w:tcPr>
          <w:p>
            <w:pPr>
              <w:pStyle w:val="TableParagraph"/>
              <w:ind w:left="448"/>
              <w:rPr>
                <w:sz w:val="17"/>
              </w:rPr>
            </w:pPr>
            <w:r>
              <w:rPr>
                <w:color w:val="231F20"/>
                <w:sz w:val="17"/>
              </w:rPr>
              <w:t>Aa</w:t>
            </w:r>
          </w:p>
        </w:tc>
        <w:tc>
          <w:tcPr>
            <w:tcW w:w="1247" w:type="dxa"/>
            <w:tcBorders>
              <w:right w:val="nil"/>
            </w:tcBorders>
          </w:tcPr>
          <w:p>
            <w:pPr>
              <w:pStyle w:val="TableParagraph"/>
              <w:ind w:left="448"/>
              <w:rPr>
                <w:sz w:val="17"/>
              </w:rPr>
            </w:pPr>
            <w:r>
              <w:rPr>
                <w:color w:val="231F20"/>
                <w:w w:val="110"/>
                <w:sz w:val="17"/>
              </w:rPr>
              <w:t>H</w:t>
            </w:r>
          </w:p>
        </w:tc>
      </w:tr>
      <w:tr>
        <w:trPr>
          <w:trHeight w:val="354" w:hRule="exact"/>
        </w:trPr>
        <w:tc>
          <w:tcPr>
            <w:tcW w:w="3345" w:type="dxa"/>
            <w:tcBorders>
              <w:left w:val="nil"/>
            </w:tcBorders>
          </w:tcPr>
          <w:p>
            <w:pPr>
              <w:pStyle w:val="TableParagraph"/>
              <w:ind w:left="113"/>
              <w:rPr>
                <w:sz w:val="17"/>
              </w:rPr>
            </w:pPr>
            <w:r>
              <w:rPr>
                <w:color w:val="231F20"/>
                <w:w w:val="110"/>
                <w:sz w:val="17"/>
              </w:rPr>
              <w:t>NC</w:t>
            </w:r>
          </w:p>
        </w:tc>
        <w:tc>
          <w:tcPr>
            <w:tcW w:w="2324" w:type="dxa"/>
          </w:tcPr>
          <w:p>
            <w:pPr>
              <w:pStyle w:val="TableParagraph"/>
              <w:ind w:left="505"/>
              <w:rPr>
                <w:sz w:val="17"/>
              </w:rPr>
            </w:pPr>
            <w:r>
              <w:rPr>
                <w:color w:val="231F20"/>
                <w:sz w:val="17"/>
              </w:rPr>
              <w:t>Cabrigo</w:t>
            </w:r>
          </w:p>
        </w:tc>
        <w:tc>
          <w:tcPr>
            <w:tcW w:w="1871" w:type="dxa"/>
          </w:tcPr>
          <w:p>
            <w:pPr>
              <w:pStyle w:val="TableParagraph"/>
              <w:ind w:left="448"/>
              <w:rPr>
                <w:sz w:val="17"/>
              </w:rPr>
            </w:pPr>
            <w:r>
              <w:rPr>
                <w:color w:val="231F20"/>
                <w:w w:val="105"/>
                <w:sz w:val="17"/>
              </w:rPr>
              <w:t>Aa, S</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sz w:val="17"/>
              </w:rPr>
              <w:t>Mastichodendron  capiri</w:t>
            </w:r>
          </w:p>
        </w:tc>
        <w:tc>
          <w:tcPr>
            <w:tcW w:w="2324" w:type="dxa"/>
          </w:tcPr>
          <w:p>
            <w:pPr>
              <w:pStyle w:val="TableParagraph"/>
              <w:ind w:left="505"/>
              <w:rPr>
                <w:sz w:val="17"/>
              </w:rPr>
            </w:pPr>
            <w:r>
              <w:rPr>
                <w:color w:val="231F20"/>
                <w:sz w:val="17"/>
              </w:rPr>
              <w:t>Capirez</w:t>
            </w:r>
          </w:p>
        </w:tc>
        <w:tc>
          <w:tcPr>
            <w:tcW w:w="1871" w:type="dxa"/>
          </w:tcPr>
          <w:p>
            <w:pPr>
              <w:pStyle w:val="TableParagraph"/>
              <w:ind w:left="448"/>
              <w:rPr>
                <w:sz w:val="17"/>
              </w:rPr>
            </w:pPr>
            <w:r>
              <w:rPr>
                <w:color w:val="231F20"/>
                <w:w w:val="105"/>
                <w:sz w:val="17"/>
              </w:rPr>
              <w:t>Aa, S</w:t>
            </w:r>
          </w:p>
        </w:tc>
        <w:tc>
          <w:tcPr>
            <w:tcW w:w="1247" w:type="dxa"/>
            <w:tcBorders>
              <w:right w:val="nil"/>
            </w:tcBorders>
          </w:tcPr>
          <w:p>
            <w:pPr>
              <w:pStyle w:val="TableParagraph"/>
              <w:ind w:left="448"/>
              <w:rPr>
                <w:sz w:val="17"/>
              </w:rPr>
            </w:pPr>
            <w:r>
              <w:rPr>
                <w:color w:val="231F20"/>
                <w:w w:val="110"/>
                <w:sz w:val="17"/>
              </w:rPr>
              <w:t>H</w:t>
            </w:r>
          </w:p>
        </w:tc>
      </w:tr>
      <w:tr>
        <w:trPr>
          <w:trHeight w:val="354" w:hRule="exact"/>
        </w:trPr>
        <w:tc>
          <w:tcPr>
            <w:tcW w:w="3345" w:type="dxa"/>
            <w:tcBorders>
              <w:left w:val="nil"/>
            </w:tcBorders>
          </w:tcPr>
          <w:p>
            <w:pPr>
              <w:pStyle w:val="TableParagraph"/>
              <w:ind w:left="113"/>
              <w:rPr>
                <w:i/>
                <w:sz w:val="17"/>
              </w:rPr>
            </w:pPr>
            <w:r>
              <w:rPr>
                <w:i/>
                <w:color w:val="231F20"/>
                <w:w w:val="105"/>
                <w:sz w:val="17"/>
              </w:rPr>
              <w:t>Ipomoea murucoides</w:t>
            </w:r>
          </w:p>
        </w:tc>
        <w:tc>
          <w:tcPr>
            <w:tcW w:w="2324" w:type="dxa"/>
          </w:tcPr>
          <w:p>
            <w:pPr>
              <w:pStyle w:val="TableParagraph"/>
              <w:ind w:left="505"/>
              <w:rPr>
                <w:sz w:val="17"/>
              </w:rPr>
            </w:pPr>
            <w:r>
              <w:rPr>
                <w:color w:val="231F20"/>
                <w:sz w:val="17"/>
              </w:rPr>
              <w:t>Casahuate</w:t>
            </w:r>
          </w:p>
        </w:tc>
        <w:tc>
          <w:tcPr>
            <w:tcW w:w="1871" w:type="dxa"/>
          </w:tcPr>
          <w:p>
            <w:pPr>
              <w:pStyle w:val="TableParagraph"/>
              <w:ind w:left="448"/>
              <w:rPr>
                <w:sz w:val="17"/>
              </w:rPr>
            </w:pPr>
            <w:r>
              <w:rPr>
                <w:color w:val="231F20"/>
                <w:sz w:val="17"/>
              </w:rPr>
              <w:t>Aa</w:t>
            </w:r>
          </w:p>
        </w:tc>
        <w:tc>
          <w:tcPr>
            <w:tcW w:w="1247" w:type="dxa"/>
            <w:tcBorders>
              <w:right w:val="nil"/>
            </w:tcBorders>
          </w:tcPr>
          <w:p>
            <w:pPr>
              <w:pStyle w:val="TableParagraph"/>
              <w:ind w:left="448"/>
              <w:rPr>
                <w:sz w:val="17"/>
              </w:rPr>
            </w:pPr>
            <w:r>
              <w:rPr>
                <w:color w:val="231F20"/>
                <w:sz w:val="17"/>
              </w:rPr>
              <w:t>f, F</w:t>
            </w:r>
          </w:p>
        </w:tc>
      </w:tr>
      <w:tr>
        <w:trPr>
          <w:trHeight w:val="354" w:hRule="exact"/>
        </w:trPr>
        <w:tc>
          <w:tcPr>
            <w:tcW w:w="3345" w:type="dxa"/>
            <w:tcBorders>
              <w:left w:val="nil"/>
            </w:tcBorders>
          </w:tcPr>
          <w:p>
            <w:pPr>
              <w:pStyle w:val="TableParagraph"/>
              <w:ind w:left="113"/>
              <w:rPr>
                <w:i/>
                <w:sz w:val="17"/>
              </w:rPr>
            </w:pPr>
            <w:r>
              <w:rPr>
                <w:i/>
                <w:color w:val="231F20"/>
                <w:sz w:val="17"/>
              </w:rPr>
              <w:t>Ficus </w:t>
            </w:r>
            <w:r>
              <w:rPr>
                <w:color w:val="231F20"/>
                <w:sz w:val="17"/>
              </w:rPr>
              <w:t>sp</w:t>
            </w:r>
            <w:r>
              <w:rPr>
                <w:i/>
                <w:color w:val="231F20"/>
                <w:sz w:val="17"/>
              </w:rPr>
              <w:t>.</w:t>
            </w:r>
          </w:p>
        </w:tc>
        <w:tc>
          <w:tcPr>
            <w:tcW w:w="2324" w:type="dxa"/>
          </w:tcPr>
          <w:p>
            <w:pPr>
              <w:pStyle w:val="TableParagraph"/>
              <w:ind w:left="505"/>
              <w:rPr>
                <w:sz w:val="17"/>
              </w:rPr>
            </w:pPr>
            <w:r>
              <w:rPr>
                <w:color w:val="231F20"/>
                <w:w w:val="105"/>
                <w:sz w:val="17"/>
              </w:rPr>
              <w:t>Ceiba</w:t>
            </w:r>
          </w:p>
        </w:tc>
        <w:tc>
          <w:tcPr>
            <w:tcW w:w="1871" w:type="dxa"/>
          </w:tcPr>
          <w:p>
            <w:pPr>
              <w:pStyle w:val="TableParagraph"/>
              <w:ind w:left="448"/>
              <w:rPr>
                <w:sz w:val="17"/>
              </w:rPr>
            </w:pPr>
            <w:r>
              <w:rPr>
                <w:color w:val="231F20"/>
                <w:w w:val="105"/>
                <w:sz w:val="17"/>
              </w:rPr>
              <w:t>Aa, S</w:t>
            </w:r>
          </w:p>
        </w:tc>
        <w:tc>
          <w:tcPr>
            <w:tcW w:w="1247" w:type="dxa"/>
            <w:tcBorders>
              <w:right w:val="nil"/>
            </w:tcBorders>
          </w:tcPr>
          <w:p>
            <w:pPr>
              <w:pStyle w:val="TableParagraph"/>
              <w:ind w:left="448"/>
              <w:rPr>
                <w:sz w:val="17"/>
              </w:rPr>
            </w:pPr>
            <w:r>
              <w:rPr>
                <w:color w:val="231F20"/>
                <w:w w:val="110"/>
                <w:sz w:val="17"/>
              </w:rPr>
              <w:t>H</w:t>
            </w:r>
          </w:p>
        </w:tc>
      </w:tr>
      <w:tr>
        <w:trPr>
          <w:trHeight w:val="354" w:hRule="exact"/>
        </w:trPr>
        <w:tc>
          <w:tcPr>
            <w:tcW w:w="3345" w:type="dxa"/>
            <w:tcBorders>
              <w:left w:val="nil"/>
            </w:tcBorders>
          </w:tcPr>
          <w:p>
            <w:pPr>
              <w:pStyle w:val="TableParagraph"/>
              <w:ind w:left="113"/>
              <w:rPr>
                <w:i/>
                <w:sz w:val="17"/>
              </w:rPr>
            </w:pPr>
            <w:r>
              <w:rPr>
                <w:i/>
                <w:color w:val="231F20"/>
                <w:w w:val="105"/>
                <w:sz w:val="17"/>
              </w:rPr>
              <w:t>Spondias purpurea</w:t>
            </w:r>
          </w:p>
        </w:tc>
        <w:tc>
          <w:tcPr>
            <w:tcW w:w="2324" w:type="dxa"/>
          </w:tcPr>
          <w:p>
            <w:pPr>
              <w:pStyle w:val="TableParagraph"/>
              <w:ind w:left="505"/>
              <w:rPr>
                <w:sz w:val="17"/>
              </w:rPr>
            </w:pPr>
            <w:r>
              <w:rPr>
                <w:color w:val="231F20"/>
                <w:sz w:val="17"/>
              </w:rPr>
              <w:t>Ciruelo</w:t>
            </w:r>
          </w:p>
        </w:tc>
        <w:tc>
          <w:tcPr>
            <w:tcW w:w="1871" w:type="dxa"/>
          </w:tcPr>
          <w:p>
            <w:pPr>
              <w:pStyle w:val="TableParagraph"/>
              <w:ind w:left="448"/>
              <w:rPr>
                <w:sz w:val="17"/>
              </w:rPr>
            </w:pPr>
            <w:r>
              <w:rPr>
                <w:color w:val="231F20"/>
                <w:sz w:val="17"/>
              </w:rPr>
              <w:t>Aa, Ah, S</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sz w:val="17"/>
              </w:rPr>
              <w:t>Lysiloma divaricata</w:t>
            </w:r>
          </w:p>
        </w:tc>
        <w:tc>
          <w:tcPr>
            <w:tcW w:w="2324" w:type="dxa"/>
          </w:tcPr>
          <w:p>
            <w:pPr>
              <w:pStyle w:val="TableParagraph"/>
              <w:ind w:left="505"/>
              <w:rPr>
                <w:sz w:val="17"/>
              </w:rPr>
            </w:pPr>
            <w:r>
              <w:rPr>
                <w:color w:val="231F20"/>
                <w:sz w:val="17"/>
              </w:rPr>
              <w:t>Cuitaz</w:t>
            </w:r>
          </w:p>
        </w:tc>
        <w:tc>
          <w:tcPr>
            <w:tcW w:w="1871" w:type="dxa"/>
          </w:tcPr>
          <w:p>
            <w:pPr>
              <w:pStyle w:val="TableParagraph"/>
              <w:ind w:left="448"/>
              <w:rPr>
                <w:sz w:val="17"/>
              </w:rPr>
            </w:pPr>
            <w:r>
              <w:rPr>
                <w:color w:val="231F20"/>
                <w:sz w:val="17"/>
              </w:rPr>
              <w:t>Aa, L, P,  CV</w:t>
            </w:r>
          </w:p>
        </w:tc>
        <w:tc>
          <w:tcPr>
            <w:tcW w:w="1247" w:type="dxa"/>
            <w:tcBorders>
              <w:right w:val="nil"/>
            </w:tcBorders>
          </w:tcPr>
          <w:p>
            <w:pPr>
              <w:pStyle w:val="TableParagraph"/>
              <w:ind w:left="448"/>
              <w:rPr>
                <w:sz w:val="17"/>
              </w:rPr>
            </w:pPr>
            <w:r>
              <w:rPr>
                <w:color w:val="231F20"/>
                <w:w w:val="110"/>
                <w:sz w:val="17"/>
              </w:rPr>
              <w:t>H</w:t>
            </w:r>
          </w:p>
        </w:tc>
      </w:tr>
      <w:tr>
        <w:trPr>
          <w:trHeight w:val="354" w:hRule="exact"/>
        </w:trPr>
        <w:tc>
          <w:tcPr>
            <w:tcW w:w="3345" w:type="dxa"/>
            <w:tcBorders>
              <w:left w:val="nil"/>
            </w:tcBorders>
          </w:tcPr>
          <w:p>
            <w:pPr>
              <w:pStyle w:val="TableParagraph"/>
              <w:ind w:left="113"/>
              <w:rPr>
                <w:i/>
                <w:sz w:val="17"/>
              </w:rPr>
            </w:pPr>
            <w:r>
              <w:rPr>
                <w:i/>
                <w:color w:val="231F20"/>
                <w:w w:val="105"/>
                <w:sz w:val="17"/>
              </w:rPr>
              <w:t>Acacia guatemalensis</w:t>
            </w:r>
          </w:p>
        </w:tc>
        <w:tc>
          <w:tcPr>
            <w:tcW w:w="2324" w:type="dxa"/>
          </w:tcPr>
          <w:p>
            <w:pPr>
              <w:pStyle w:val="TableParagraph"/>
              <w:ind w:left="505"/>
              <w:rPr>
                <w:sz w:val="17"/>
              </w:rPr>
            </w:pPr>
            <w:r>
              <w:rPr>
                <w:color w:val="231F20"/>
                <w:sz w:val="17"/>
              </w:rPr>
              <w:t>Espino herrero</w:t>
            </w:r>
          </w:p>
        </w:tc>
        <w:tc>
          <w:tcPr>
            <w:tcW w:w="1871" w:type="dxa"/>
          </w:tcPr>
          <w:p>
            <w:pPr>
              <w:pStyle w:val="TableParagraph"/>
              <w:ind w:left="448"/>
              <w:rPr>
                <w:sz w:val="17"/>
              </w:rPr>
            </w:pPr>
            <w:r>
              <w:rPr>
                <w:color w:val="231F20"/>
                <w:sz w:val="17"/>
              </w:rPr>
              <w:t>Aa, P, CV</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w w:val="105"/>
                <w:sz w:val="17"/>
              </w:rPr>
              <w:t>Psidium guajava</w:t>
            </w:r>
          </w:p>
        </w:tc>
        <w:tc>
          <w:tcPr>
            <w:tcW w:w="2324" w:type="dxa"/>
          </w:tcPr>
          <w:p>
            <w:pPr>
              <w:pStyle w:val="TableParagraph"/>
              <w:ind w:left="505"/>
              <w:rPr>
                <w:sz w:val="17"/>
              </w:rPr>
            </w:pPr>
            <w:r>
              <w:rPr>
                <w:color w:val="231F20"/>
                <w:sz w:val="17"/>
              </w:rPr>
              <w:t>Guayaba</w:t>
            </w:r>
          </w:p>
        </w:tc>
        <w:tc>
          <w:tcPr>
            <w:tcW w:w="1871" w:type="dxa"/>
          </w:tcPr>
          <w:p>
            <w:pPr>
              <w:pStyle w:val="TableParagraph"/>
              <w:ind w:left="448"/>
              <w:rPr>
                <w:sz w:val="17"/>
              </w:rPr>
            </w:pPr>
            <w:r>
              <w:rPr>
                <w:color w:val="231F20"/>
                <w:sz w:val="17"/>
              </w:rPr>
              <w:t>Aa, Ah, CV</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w w:val="105"/>
                <w:sz w:val="17"/>
              </w:rPr>
              <w:t>Guazuma ulmifolia</w:t>
            </w:r>
          </w:p>
        </w:tc>
        <w:tc>
          <w:tcPr>
            <w:tcW w:w="2324" w:type="dxa"/>
          </w:tcPr>
          <w:p>
            <w:pPr>
              <w:pStyle w:val="TableParagraph"/>
              <w:ind w:left="505"/>
              <w:rPr>
                <w:sz w:val="17"/>
              </w:rPr>
            </w:pPr>
            <w:r>
              <w:rPr>
                <w:color w:val="231F20"/>
                <w:w w:val="105"/>
                <w:sz w:val="17"/>
              </w:rPr>
              <w:t>Guazima</w:t>
            </w:r>
          </w:p>
        </w:tc>
        <w:tc>
          <w:tcPr>
            <w:tcW w:w="1871" w:type="dxa"/>
          </w:tcPr>
          <w:p>
            <w:pPr>
              <w:pStyle w:val="TableParagraph"/>
              <w:ind w:left="448"/>
              <w:rPr>
                <w:sz w:val="17"/>
              </w:rPr>
            </w:pPr>
            <w:r>
              <w:rPr>
                <w:color w:val="231F20"/>
                <w:sz w:val="17"/>
              </w:rPr>
              <w:t>Aa, S, CV,  L</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w w:val="105"/>
                <w:sz w:val="17"/>
              </w:rPr>
              <w:t>Guazuma </w:t>
            </w:r>
            <w:r>
              <w:rPr>
                <w:color w:val="231F20"/>
                <w:w w:val="105"/>
                <w:sz w:val="17"/>
              </w:rPr>
              <w:t>spp</w:t>
            </w:r>
            <w:r>
              <w:rPr>
                <w:i/>
                <w:color w:val="231F20"/>
                <w:w w:val="105"/>
                <w:sz w:val="17"/>
              </w:rPr>
              <w:t>.</w:t>
            </w:r>
          </w:p>
        </w:tc>
        <w:tc>
          <w:tcPr>
            <w:tcW w:w="2324" w:type="dxa"/>
          </w:tcPr>
          <w:p>
            <w:pPr>
              <w:pStyle w:val="TableParagraph"/>
              <w:ind w:left="505"/>
              <w:rPr>
                <w:sz w:val="17"/>
              </w:rPr>
            </w:pPr>
            <w:r>
              <w:rPr>
                <w:color w:val="231F20"/>
                <w:sz w:val="17"/>
              </w:rPr>
              <w:t>Guazima prieta</w:t>
            </w:r>
          </w:p>
        </w:tc>
        <w:tc>
          <w:tcPr>
            <w:tcW w:w="1871" w:type="dxa"/>
          </w:tcPr>
          <w:p>
            <w:pPr>
              <w:pStyle w:val="TableParagraph"/>
              <w:ind w:left="448"/>
              <w:rPr>
                <w:sz w:val="17"/>
              </w:rPr>
            </w:pPr>
            <w:r>
              <w:rPr>
                <w:color w:val="231F20"/>
                <w:sz w:val="17"/>
              </w:rPr>
              <w:t>Aa, S, CV,  L</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w w:val="105"/>
                <w:sz w:val="17"/>
              </w:rPr>
              <w:t>Leucaena leucocephala</w:t>
            </w:r>
          </w:p>
        </w:tc>
        <w:tc>
          <w:tcPr>
            <w:tcW w:w="2324" w:type="dxa"/>
          </w:tcPr>
          <w:p>
            <w:pPr>
              <w:pStyle w:val="TableParagraph"/>
              <w:ind w:left="505"/>
              <w:rPr>
                <w:sz w:val="17"/>
              </w:rPr>
            </w:pPr>
            <w:r>
              <w:rPr>
                <w:color w:val="231F20"/>
                <w:w w:val="105"/>
                <w:sz w:val="17"/>
              </w:rPr>
              <w:t>Huaje</w:t>
            </w:r>
          </w:p>
        </w:tc>
        <w:tc>
          <w:tcPr>
            <w:tcW w:w="1871" w:type="dxa"/>
          </w:tcPr>
          <w:p>
            <w:pPr>
              <w:pStyle w:val="TableParagraph"/>
              <w:ind w:left="448"/>
              <w:rPr>
                <w:sz w:val="17"/>
              </w:rPr>
            </w:pPr>
            <w:r>
              <w:rPr>
                <w:color w:val="231F20"/>
                <w:sz w:val="17"/>
              </w:rPr>
              <w:t>Aa, Ah, CV</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sz w:val="17"/>
              </w:rPr>
            </w:pPr>
            <w:r>
              <w:rPr>
                <w:color w:val="231F20"/>
                <w:w w:val="110"/>
                <w:sz w:val="17"/>
              </w:rPr>
              <w:t>NC</w:t>
            </w:r>
          </w:p>
        </w:tc>
        <w:tc>
          <w:tcPr>
            <w:tcW w:w="2324" w:type="dxa"/>
          </w:tcPr>
          <w:p>
            <w:pPr>
              <w:pStyle w:val="TableParagraph"/>
              <w:ind w:left="505"/>
              <w:rPr>
                <w:sz w:val="17"/>
              </w:rPr>
            </w:pPr>
            <w:r>
              <w:rPr>
                <w:color w:val="231F20"/>
                <w:sz w:val="17"/>
              </w:rPr>
              <w:t>Huaje prieto</w:t>
            </w:r>
          </w:p>
        </w:tc>
        <w:tc>
          <w:tcPr>
            <w:tcW w:w="1871" w:type="dxa"/>
          </w:tcPr>
          <w:p>
            <w:pPr>
              <w:pStyle w:val="TableParagraph"/>
              <w:ind w:left="448"/>
              <w:rPr>
                <w:sz w:val="17"/>
              </w:rPr>
            </w:pPr>
            <w:r>
              <w:rPr>
                <w:color w:val="231F20"/>
                <w:sz w:val="17"/>
              </w:rPr>
              <w:t>Aa, P</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w w:val="105"/>
                <w:sz w:val="17"/>
              </w:rPr>
              <w:t>Acacia farnesiana</w:t>
            </w:r>
          </w:p>
        </w:tc>
        <w:tc>
          <w:tcPr>
            <w:tcW w:w="2324" w:type="dxa"/>
          </w:tcPr>
          <w:p>
            <w:pPr>
              <w:pStyle w:val="TableParagraph"/>
              <w:ind w:left="505"/>
              <w:rPr>
                <w:sz w:val="17"/>
              </w:rPr>
            </w:pPr>
            <w:r>
              <w:rPr>
                <w:color w:val="231F20"/>
                <w:w w:val="105"/>
                <w:sz w:val="17"/>
              </w:rPr>
              <w:t>Huizache</w:t>
            </w:r>
          </w:p>
        </w:tc>
        <w:tc>
          <w:tcPr>
            <w:tcW w:w="1871" w:type="dxa"/>
          </w:tcPr>
          <w:p>
            <w:pPr>
              <w:pStyle w:val="TableParagraph"/>
              <w:ind w:left="448"/>
              <w:rPr>
                <w:sz w:val="17"/>
              </w:rPr>
            </w:pPr>
            <w:r>
              <w:rPr>
                <w:color w:val="231F20"/>
                <w:sz w:val="17"/>
              </w:rPr>
              <w:t>Aa, L</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sz w:val="17"/>
              </w:rPr>
              <w:t>Mangifera indica</w:t>
            </w:r>
          </w:p>
        </w:tc>
        <w:tc>
          <w:tcPr>
            <w:tcW w:w="2324" w:type="dxa"/>
          </w:tcPr>
          <w:p>
            <w:pPr>
              <w:pStyle w:val="TableParagraph"/>
              <w:ind w:left="505"/>
              <w:rPr>
                <w:sz w:val="17"/>
              </w:rPr>
            </w:pPr>
            <w:r>
              <w:rPr>
                <w:color w:val="231F20"/>
                <w:sz w:val="17"/>
              </w:rPr>
              <w:t>Mango</w:t>
            </w:r>
          </w:p>
        </w:tc>
        <w:tc>
          <w:tcPr>
            <w:tcW w:w="1871" w:type="dxa"/>
          </w:tcPr>
          <w:p>
            <w:pPr>
              <w:pStyle w:val="TableParagraph"/>
              <w:ind w:left="448"/>
              <w:rPr>
                <w:sz w:val="17"/>
              </w:rPr>
            </w:pPr>
            <w:r>
              <w:rPr>
                <w:color w:val="231F20"/>
                <w:sz w:val="17"/>
              </w:rPr>
              <w:t>Aa, Ah, S</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sz w:val="17"/>
              </w:rPr>
              <w:t>Byrsonima  crassifolia</w:t>
            </w:r>
          </w:p>
        </w:tc>
        <w:tc>
          <w:tcPr>
            <w:tcW w:w="2324" w:type="dxa"/>
          </w:tcPr>
          <w:p>
            <w:pPr>
              <w:pStyle w:val="TableParagraph"/>
              <w:ind w:left="505"/>
              <w:rPr>
                <w:sz w:val="17"/>
              </w:rPr>
            </w:pPr>
            <w:r>
              <w:rPr>
                <w:color w:val="231F20"/>
                <w:w w:val="105"/>
                <w:sz w:val="17"/>
              </w:rPr>
              <w:t>Nanche</w:t>
            </w:r>
          </w:p>
        </w:tc>
        <w:tc>
          <w:tcPr>
            <w:tcW w:w="1871" w:type="dxa"/>
          </w:tcPr>
          <w:p>
            <w:pPr>
              <w:pStyle w:val="TableParagraph"/>
              <w:ind w:left="448"/>
              <w:rPr>
                <w:sz w:val="17"/>
              </w:rPr>
            </w:pPr>
            <w:r>
              <w:rPr>
                <w:color w:val="231F20"/>
                <w:sz w:val="17"/>
              </w:rPr>
              <w:t>Aa, Ah, S</w:t>
            </w:r>
          </w:p>
        </w:tc>
        <w:tc>
          <w:tcPr>
            <w:tcW w:w="1247" w:type="dxa"/>
            <w:tcBorders>
              <w:right w:val="nil"/>
            </w:tcBorders>
          </w:tcPr>
          <w:p>
            <w:pPr>
              <w:pStyle w:val="TableParagraph"/>
              <w:ind w:left="448"/>
              <w:rPr>
                <w:sz w:val="17"/>
              </w:rPr>
            </w:pPr>
            <w:r>
              <w:rPr>
                <w:color w:val="231F20"/>
                <w:w w:val="99"/>
                <w:sz w:val="17"/>
              </w:rPr>
              <w:t>F</w:t>
            </w:r>
          </w:p>
        </w:tc>
      </w:tr>
      <w:tr>
        <w:trPr>
          <w:trHeight w:val="354" w:hRule="exact"/>
        </w:trPr>
        <w:tc>
          <w:tcPr>
            <w:tcW w:w="3345" w:type="dxa"/>
            <w:tcBorders>
              <w:left w:val="nil"/>
            </w:tcBorders>
          </w:tcPr>
          <w:p>
            <w:pPr>
              <w:pStyle w:val="TableParagraph"/>
              <w:ind w:left="113"/>
              <w:rPr>
                <w:i/>
                <w:sz w:val="17"/>
              </w:rPr>
            </w:pPr>
            <w:r>
              <w:rPr>
                <w:i/>
                <w:color w:val="231F20"/>
                <w:sz w:val="17"/>
              </w:rPr>
              <w:t>Enterolobium  cyclocarpum</w:t>
            </w:r>
          </w:p>
        </w:tc>
        <w:tc>
          <w:tcPr>
            <w:tcW w:w="2324" w:type="dxa"/>
          </w:tcPr>
          <w:p>
            <w:pPr>
              <w:pStyle w:val="TableParagraph"/>
              <w:ind w:left="505"/>
              <w:rPr>
                <w:sz w:val="17"/>
              </w:rPr>
            </w:pPr>
            <w:r>
              <w:rPr>
                <w:color w:val="231F20"/>
                <w:sz w:val="17"/>
              </w:rPr>
              <w:t>Parota</w:t>
            </w:r>
          </w:p>
        </w:tc>
        <w:tc>
          <w:tcPr>
            <w:tcW w:w="1871" w:type="dxa"/>
          </w:tcPr>
          <w:p>
            <w:pPr>
              <w:pStyle w:val="TableParagraph"/>
              <w:ind w:left="448"/>
              <w:rPr>
                <w:sz w:val="17"/>
              </w:rPr>
            </w:pPr>
            <w:r>
              <w:rPr>
                <w:color w:val="231F20"/>
                <w:sz w:val="17"/>
              </w:rPr>
              <w:t>Aa, Ah, S, P</w:t>
            </w:r>
          </w:p>
        </w:tc>
        <w:tc>
          <w:tcPr>
            <w:tcW w:w="1247" w:type="dxa"/>
            <w:tcBorders>
              <w:right w:val="nil"/>
            </w:tcBorders>
          </w:tcPr>
          <w:p>
            <w:pPr>
              <w:pStyle w:val="TableParagraph"/>
              <w:ind w:left="448"/>
              <w:rPr>
                <w:sz w:val="17"/>
              </w:rPr>
            </w:pPr>
            <w:r>
              <w:rPr>
                <w:color w:val="231F20"/>
                <w:sz w:val="17"/>
              </w:rPr>
              <w:t>F, H</w:t>
            </w:r>
          </w:p>
        </w:tc>
      </w:tr>
      <w:tr>
        <w:trPr>
          <w:trHeight w:val="354" w:hRule="exact"/>
        </w:trPr>
        <w:tc>
          <w:tcPr>
            <w:tcW w:w="3345" w:type="dxa"/>
            <w:tcBorders>
              <w:left w:val="nil"/>
            </w:tcBorders>
          </w:tcPr>
          <w:p>
            <w:pPr>
              <w:pStyle w:val="TableParagraph"/>
              <w:ind w:left="113"/>
              <w:rPr>
                <w:i/>
                <w:sz w:val="17"/>
              </w:rPr>
            </w:pPr>
            <w:r>
              <w:rPr>
                <w:i/>
                <w:color w:val="231F20"/>
                <w:sz w:val="17"/>
              </w:rPr>
              <w:t>Pithecellobium  lanceolatum</w:t>
            </w:r>
          </w:p>
        </w:tc>
        <w:tc>
          <w:tcPr>
            <w:tcW w:w="2324" w:type="dxa"/>
          </w:tcPr>
          <w:p>
            <w:pPr>
              <w:pStyle w:val="TableParagraph"/>
              <w:ind w:left="505"/>
              <w:rPr>
                <w:sz w:val="17"/>
              </w:rPr>
            </w:pPr>
            <w:r>
              <w:rPr>
                <w:color w:val="231F20"/>
                <w:sz w:val="17"/>
              </w:rPr>
              <w:t>Pinzan</w:t>
            </w:r>
          </w:p>
        </w:tc>
        <w:tc>
          <w:tcPr>
            <w:tcW w:w="1871" w:type="dxa"/>
          </w:tcPr>
          <w:p>
            <w:pPr>
              <w:pStyle w:val="TableParagraph"/>
              <w:ind w:left="448"/>
              <w:rPr>
                <w:sz w:val="17"/>
              </w:rPr>
            </w:pPr>
            <w:r>
              <w:rPr>
                <w:color w:val="231F20"/>
                <w:sz w:val="17"/>
              </w:rPr>
              <w:t>Aa, Ah, L, S</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sz w:val="17"/>
              </w:rPr>
              <w:t>Salyx babilonica</w:t>
            </w:r>
          </w:p>
        </w:tc>
        <w:tc>
          <w:tcPr>
            <w:tcW w:w="2324" w:type="dxa"/>
          </w:tcPr>
          <w:p>
            <w:pPr>
              <w:pStyle w:val="TableParagraph"/>
              <w:ind w:left="505"/>
              <w:rPr>
                <w:sz w:val="17"/>
              </w:rPr>
            </w:pPr>
            <w:r>
              <w:rPr>
                <w:color w:val="231F20"/>
                <w:w w:val="105"/>
                <w:sz w:val="17"/>
              </w:rPr>
              <w:t>Sauce</w:t>
            </w:r>
          </w:p>
        </w:tc>
        <w:tc>
          <w:tcPr>
            <w:tcW w:w="1871" w:type="dxa"/>
          </w:tcPr>
          <w:p>
            <w:pPr>
              <w:pStyle w:val="TableParagraph"/>
              <w:ind w:left="448"/>
              <w:rPr>
                <w:sz w:val="17"/>
              </w:rPr>
            </w:pPr>
            <w:r>
              <w:rPr>
                <w:color w:val="231F20"/>
                <w:w w:val="105"/>
                <w:sz w:val="17"/>
              </w:rPr>
              <w:t>Aa, S</w:t>
            </w:r>
          </w:p>
        </w:tc>
        <w:tc>
          <w:tcPr>
            <w:tcW w:w="1247" w:type="dxa"/>
            <w:tcBorders>
              <w:right w:val="nil"/>
            </w:tcBorders>
          </w:tcPr>
          <w:p>
            <w:pPr>
              <w:pStyle w:val="TableParagraph"/>
              <w:ind w:left="448"/>
              <w:rPr>
                <w:sz w:val="17"/>
              </w:rPr>
            </w:pPr>
            <w:r>
              <w:rPr>
                <w:color w:val="231F20"/>
                <w:w w:val="99"/>
                <w:sz w:val="17"/>
              </w:rPr>
              <w:t>F</w:t>
            </w:r>
          </w:p>
        </w:tc>
      </w:tr>
      <w:tr>
        <w:trPr>
          <w:trHeight w:val="354" w:hRule="exact"/>
        </w:trPr>
        <w:tc>
          <w:tcPr>
            <w:tcW w:w="3345" w:type="dxa"/>
            <w:tcBorders>
              <w:left w:val="nil"/>
            </w:tcBorders>
          </w:tcPr>
          <w:p>
            <w:pPr>
              <w:pStyle w:val="TableParagraph"/>
              <w:ind w:left="113"/>
              <w:rPr>
                <w:i/>
                <w:sz w:val="17"/>
              </w:rPr>
            </w:pPr>
            <w:r>
              <w:rPr>
                <w:i/>
                <w:color w:val="231F20"/>
                <w:w w:val="105"/>
                <w:sz w:val="17"/>
              </w:rPr>
              <w:t>Acacia pennatula</w:t>
            </w:r>
          </w:p>
        </w:tc>
        <w:tc>
          <w:tcPr>
            <w:tcW w:w="2324" w:type="dxa"/>
          </w:tcPr>
          <w:p>
            <w:pPr>
              <w:pStyle w:val="TableParagraph"/>
              <w:ind w:left="505"/>
              <w:rPr>
                <w:sz w:val="17"/>
              </w:rPr>
            </w:pPr>
            <w:r>
              <w:rPr>
                <w:color w:val="231F20"/>
                <w:w w:val="105"/>
                <w:sz w:val="17"/>
              </w:rPr>
              <w:t>Tepame</w:t>
            </w:r>
          </w:p>
        </w:tc>
        <w:tc>
          <w:tcPr>
            <w:tcW w:w="1871" w:type="dxa"/>
          </w:tcPr>
          <w:p>
            <w:pPr>
              <w:pStyle w:val="TableParagraph"/>
              <w:ind w:left="448"/>
              <w:rPr>
                <w:sz w:val="17"/>
              </w:rPr>
            </w:pPr>
            <w:r>
              <w:rPr>
                <w:color w:val="231F20"/>
                <w:sz w:val="17"/>
              </w:rPr>
              <w:t>Aa, S, P</w:t>
            </w:r>
          </w:p>
        </w:tc>
        <w:tc>
          <w:tcPr>
            <w:tcW w:w="1247" w:type="dxa"/>
            <w:tcBorders>
              <w:right w:val="nil"/>
            </w:tcBorders>
          </w:tcPr>
          <w:p>
            <w:pPr>
              <w:pStyle w:val="TableParagraph"/>
              <w:ind w:left="448"/>
              <w:rPr>
                <w:sz w:val="17"/>
              </w:rPr>
            </w:pPr>
            <w:r>
              <w:rPr>
                <w:color w:val="231F20"/>
                <w:w w:val="110"/>
                <w:sz w:val="17"/>
              </w:rPr>
              <w:t>H</w:t>
            </w:r>
          </w:p>
        </w:tc>
      </w:tr>
      <w:tr>
        <w:trPr>
          <w:trHeight w:val="354" w:hRule="exact"/>
        </w:trPr>
        <w:tc>
          <w:tcPr>
            <w:tcW w:w="3345" w:type="dxa"/>
            <w:tcBorders>
              <w:left w:val="nil"/>
            </w:tcBorders>
          </w:tcPr>
          <w:p>
            <w:pPr>
              <w:pStyle w:val="TableParagraph"/>
              <w:ind w:left="113"/>
              <w:rPr>
                <w:i/>
                <w:sz w:val="17"/>
              </w:rPr>
            </w:pPr>
            <w:r>
              <w:rPr>
                <w:i/>
                <w:color w:val="231F20"/>
                <w:w w:val="105"/>
                <w:sz w:val="17"/>
              </w:rPr>
              <w:t>Lysiloma acapulcencis</w:t>
            </w:r>
          </w:p>
        </w:tc>
        <w:tc>
          <w:tcPr>
            <w:tcW w:w="2324" w:type="dxa"/>
          </w:tcPr>
          <w:p>
            <w:pPr>
              <w:pStyle w:val="TableParagraph"/>
              <w:ind w:left="505"/>
              <w:rPr>
                <w:sz w:val="17"/>
              </w:rPr>
            </w:pPr>
            <w:r>
              <w:rPr>
                <w:color w:val="231F20"/>
                <w:sz w:val="17"/>
              </w:rPr>
              <w:t>Tepehuaje</w:t>
            </w:r>
          </w:p>
        </w:tc>
        <w:tc>
          <w:tcPr>
            <w:tcW w:w="1871" w:type="dxa"/>
          </w:tcPr>
          <w:p>
            <w:pPr>
              <w:pStyle w:val="TableParagraph"/>
              <w:ind w:left="448"/>
              <w:rPr>
                <w:sz w:val="17"/>
              </w:rPr>
            </w:pPr>
            <w:r>
              <w:rPr>
                <w:color w:val="231F20"/>
                <w:sz w:val="17"/>
              </w:rPr>
              <w:t>Aa, P</w:t>
            </w:r>
          </w:p>
        </w:tc>
        <w:tc>
          <w:tcPr>
            <w:tcW w:w="1247" w:type="dxa"/>
            <w:tcBorders>
              <w:right w:val="nil"/>
            </w:tcBorders>
          </w:tcPr>
          <w:p>
            <w:pPr>
              <w:pStyle w:val="TableParagraph"/>
              <w:ind w:left="448"/>
              <w:rPr>
                <w:sz w:val="17"/>
              </w:rPr>
            </w:pPr>
            <w:r>
              <w:rPr>
                <w:color w:val="231F20"/>
                <w:sz w:val="17"/>
              </w:rPr>
              <w:t>H, F</w:t>
            </w:r>
          </w:p>
        </w:tc>
      </w:tr>
      <w:tr>
        <w:trPr>
          <w:trHeight w:val="354" w:hRule="exact"/>
        </w:trPr>
        <w:tc>
          <w:tcPr>
            <w:tcW w:w="3345" w:type="dxa"/>
            <w:tcBorders>
              <w:left w:val="nil"/>
            </w:tcBorders>
          </w:tcPr>
          <w:p>
            <w:pPr>
              <w:pStyle w:val="TableParagraph"/>
              <w:ind w:left="113"/>
              <w:rPr>
                <w:i/>
                <w:sz w:val="17"/>
              </w:rPr>
            </w:pPr>
            <w:r>
              <w:rPr>
                <w:i/>
                <w:color w:val="231F20"/>
                <w:w w:val="105"/>
                <w:sz w:val="17"/>
              </w:rPr>
              <w:t>Casimiroa edulis</w:t>
            </w:r>
          </w:p>
        </w:tc>
        <w:tc>
          <w:tcPr>
            <w:tcW w:w="2324" w:type="dxa"/>
          </w:tcPr>
          <w:p>
            <w:pPr>
              <w:pStyle w:val="TableParagraph"/>
              <w:ind w:left="505"/>
              <w:rPr>
                <w:sz w:val="17"/>
              </w:rPr>
            </w:pPr>
            <w:r>
              <w:rPr>
                <w:color w:val="231F20"/>
                <w:sz w:val="17"/>
              </w:rPr>
              <w:t>Zapote</w:t>
            </w:r>
          </w:p>
        </w:tc>
        <w:tc>
          <w:tcPr>
            <w:tcW w:w="1871" w:type="dxa"/>
          </w:tcPr>
          <w:p>
            <w:pPr>
              <w:pStyle w:val="TableParagraph"/>
              <w:ind w:left="448"/>
              <w:rPr>
                <w:sz w:val="17"/>
              </w:rPr>
            </w:pPr>
            <w:r>
              <w:rPr>
                <w:color w:val="231F20"/>
                <w:sz w:val="17"/>
              </w:rPr>
              <w:t>Aa, Ah, S, CV</w:t>
            </w:r>
          </w:p>
        </w:tc>
        <w:tc>
          <w:tcPr>
            <w:tcW w:w="1247" w:type="dxa"/>
            <w:tcBorders>
              <w:right w:val="nil"/>
            </w:tcBorders>
          </w:tcPr>
          <w:p>
            <w:pPr>
              <w:pStyle w:val="TableParagraph"/>
              <w:ind w:left="448"/>
              <w:rPr>
                <w:sz w:val="17"/>
              </w:rPr>
            </w:pPr>
            <w:r>
              <w:rPr>
                <w:color w:val="231F20"/>
                <w:w w:val="99"/>
                <w:sz w:val="17"/>
              </w:rPr>
              <w:t>F</w:t>
            </w:r>
          </w:p>
        </w:tc>
      </w:tr>
    </w:tbl>
    <w:p>
      <w:pPr>
        <w:spacing w:line="261" w:lineRule="auto" w:before="90"/>
        <w:ind w:left="1553" w:right="1655" w:firstLine="0"/>
        <w:jc w:val="left"/>
        <w:rPr>
          <w:sz w:val="15"/>
        </w:rPr>
      </w:pPr>
      <w:r>
        <w:rPr>
          <w:color w:val="231F20"/>
          <w:sz w:val="15"/>
        </w:rPr>
        <w:t>Aa: alimentación animal; Ah: alimentación humana; PCA: parte consumida por los animales; H: hoja; F: fruto; f: flor; T: todo; NC: no clasifica-   do; L: leña; S: sombra; P: postes; CV: cerca  </w:t>
      </w:r>
      <w:r>
        <w:rPr>
          <w:color w:val="231F20"/>
          <w:spacing w:val="25"/>
          <w:sz w:val="15"/>
        </w:rPr>
        <w:t> </w:t>
      </w:r>
      <w:r>
        <w:rPr>
          <w:color w:val="231F20"/>
          <w:sz w:val="15"/>
        </w:rPr>
        <w:t>viva.</w:t>
      </w:r>
    </w:p>
    <w:p>
      <w:pPr>
        <w:pStyle w:val="BodyText"/>
        <w:spacing w:before="4"/>
        <w:rPr>
          <w:sz w:val="11"/>
        </w:rPr>
      </w:pPr>
    </w:p>
    <w:p>
      <w:pPr>
        <w:spacing w:after="0"/>
        <w:rPr>
          <w:sz w:val="11"/>
        </w:rPr>
        <w:sectPr>
          <w:pgSz w:w="11900" w:h="14450"/>
          <w:pgMar w:header="0" w:footer="222" w:top="420" w:bottom="420" w:left="0" w:right="0"/>
        </w:sectPr>
      </w:pPr>
    </w:p>
    <w:p>
      <w:pPr>
        <w:pStyle w:val="BodyText"/>
        <w:spacing w:line="266" w:lineRule="auto" w:before="67"/>
        <w:ind w:left="1553"/>
        <w:jc w:val="both"/>
      </w:pPr>
      <w:r>
        <w:rPr>
          <w:color w:val="231F20"/>
        </w:rPr>
        <w:t>Otro aspecto </w:t>
      </w:r>
      <w:r>
        <w:rPr>
          <w:color w:val="231F20"/>
          <w:spacing w:val="2"/>
        </w:rPr>
        <w:t>importante  </w:t>
      </w:r>
      <w:r>
        <w:rPr>
          <w:color w:val="231F20"/>
        </w:rPr>
        <w:t>fue  que  se  observa-  ron  muchas  especies   vegetales   </w:t>
      </w:r>
      <w:r>
        <w:rPr>
          <w:color w:val="231F20"/>
          <w:spacing w:val="2"/>
        </w:rPr>
        <w:t>pertenecientes </w:t>
      </w:r>
      <w:r>
        <w:rPr>
          <w:color w:val="231F20"/>
        </w:rPr>
        <w:t>al estrato basal (Cuadro 11), de las cuales </w:t>
      </w:r>
      <w:r>
        <w:rPr>
          <w:color w:val="231F20"/>
          <w:spacing w:val="2"/>
        </w:rPr>
        <w:t>los </w:t>
      </w:r>
      <w:r>
        <w:rPr>
          <w:color w:val="231F20"/>
        </w:rPr>
        <w:t>productores no hicieron referencia. Esto pudiera deberse a que resultan poco </w:t>
      </w:r>
      <w:r>
        <w:rPr>
          <w:color w:val="231F20"/>
          <w:spacing w:val="2"/>
        </w:rPr>
        <w:t>importantes </w:t>
      </w:r>
      <w:r>
        <w:rPr>
          <w:color w:val="231F20"/>
        </w:rPr>
        <w:t>para    </w:t>
      </w:r>
      <w:r>
        <w:rPr>
          <w:color w:val="231F20"/>
          <w:spacing w:val="5"/>
        </w:rPr>
        <w:t> </w:t>
      </w:r>
      <w:r>
        <w:rPr>
          <w:color w:val="231F20"/>
        </w:rPr>
        <w:t>el</w:t>
      </w:r>
    </w:p>
    <w:p>
      <w:pPr>
        <w:pStyle w:val="BodyText"/>
        <w:spacing w:line="266" w:lineRule="auto" w:before="67"/>
        <w:ind w:left="411" w:right="1549"/>
        <w:jc w:val="both"/>
      </w:pPr>
      <w:r>
        <w:rPr/>
        <w:br w:type="column"/>
      </w:r>
      <w:r>
        <w:rPr>
          <w:color w:val="231F20"/>
        </w:rPr>
        <w:t>productor, en cuanto a que no proporcionan ma- dera ni leña, y ni mucho menos proveen sombra; sin embargo, son la principal  fuente  forrajera  y  de materia seca de los animales de las unidades   de </w:t>
      </w:r>
      <w:r>
        <w:rPr>
          <w:color w:val="231F20"/>
          <w:spacing w:val="4"/>
        </w:rPr>
        <w:t> </w:t>
      </w:r>
      <w:r>
        <w:rPr>
          <w:color w:val="231F20"/>
        </w:rPr>
        <w:t>producción.</w:t>
      </w:r>
    </w:p>
    <w:p>
      <w:pPr>
        <w:spacing w:after="0" w:line="266"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7285" w:val="left" w:leader="none"/>
        </w:tabs>
        <w:spacing w:before="64"/>
        <w:ind w:left="1551" w:right="0" w:firstLine="0"/>
        <w:jc w:val="left"/>
        <w:rPr>
          <w:sz w:val="12"/>
        </w:rPr>
      </w:pPr>
      <w:r>
        <w:rPr>
          <w:color w:val="231F20"/>
          <w:spacing w:val="-6"/>
          <w:w w:val="120"/>
          <w:sz w:val="22"/>
        </w:rPr>
        <w:t>114</w:t>
        <w:tab/>
      </w:r>
      <w:r>
        <w:rPr>
          <w:color w:val="231F20"/>
          <w:w w:val="120"/>
          <w:sz w:val="18"/>
        </w:rPr>
        <w:t>SECCIÓN 2.  B. S</w:t>
      </w:r>
      <w:r>
        <w:rPr>
          <w:color w:val="231F20"/>
          <w:w w:val="120"/>
          <w:sz w:val="12"/>
        </w:rPr>
        <w:t>iStemaS de doBle</w:t>
      </w:r>
      <w:r>
        <w:rPr>
          <w:color w:val="231F20"/>
          <w:spacing w:val="18"/>
          <w:w w:val="120"/>
          <w:sz w:val="12"/>
        </w:rPr>
        <w:t> </w:t>
      </w:r>
      <w:r>
        <w:rPr>
          <w:color w:val="231F20"/>
          <w:w w:val="120"/>
          <w:sz w:val="12"/>
        </w:rPr>
        <w:t>propóSito</w:t>
      </w:r>
    </w:p>
    <w:p>
      <w:pPr>
        <w:pStyle w:val="BodyText"/>
        <w:spacing w:before="7"/>
        <w:rPr>
          <w:sz w:val="28"/>
        </w:rPr>
      </w:pPr>
    </w:p>
    <w:p>
      <w:pPr>
        <w:spacing w:before="0"/>
        <w:ind w:left="1553" w:right="0" w:firstLine="0"/>
        <w:jc w:val="left"/>
        <w:rPr>
          <w:sz w:val="18"/>
        </w:rPr>
      </w:pPr>
      <w:r>
        <w:rPr>
          <w:color w:val="231F20"/>
          <w:sz w:val="18"/>
        </w:rPr>
        <w:t>Cuadro 10.         Árboles encontrados en las unidades de producción que no fueron reportados por los productores.</w:t>
      </w:r>
    </w:p>
    <w:p>
      <w:pPr>
        <w:pStyle w:val="BodyText"/>
        <w:spacing w:before="10"/>
        <w:rPr>
          <w:sz w:val="11"/>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52"/>
        <w:gridCol w:w="2290"/>
        <w:gridCol w:w="1826"/>
        <w:gridCol w:w="1497"/>
      </w:tblGrid>
      <w:tr>
        <w:trPr>
          <w:trHeight w:val="369" w:hRule="exact"/>
        </w:trPr>
        <w:tc>
          <w:tcPr>
            <w:tcW w:w="3152" w:type="dxa"/>
            <w:tcBorders>
              <w:left w:val="nil"/>
            </w:tcBorders>
          </w:tcPr>
          <w:p>
            <w:pPr>
              <w:pStyle w:val="TableParagraph"/>
              <w:spacing w:before="79"/>
              <w:ind w:left="869"/>
              <w:rPr>
                <w:rFonts w:ascii="Cambria" w:hAnsi="Cambria"/>
                <w:i/>
                <w:sz w:val="18"/>
              </w:rPr>
            </w:pPr>
            <w:r>
              <w:rPr>
                <w:rFonts w:ascii="Cambria" w:hAnsi="Cambria"/>
                <w:i/>
                <w:color w:val="231F20"/>
                <w:w w:val="105"/>
                <w:sz w:val="18"/>
              </w:rPr>
              <w:t>Nombre científico</w:t>
            </w:r>
          </w:p>
        </w:tc>
        <w:tc>
          <w:tcPr>
            <w:tcW w:w="2290" w:type="dxa"/>
          </w:tcPr>
          <w:p>
            <w:pPr>
              <w:pStyle w:val="TableParagraph"/>
              <w:spacing w:before="79"/>
              <w:ind w:left="532"/>
              <w:rPr>
                <w:rFonts w:ascii="Cambria"/>
                <w:i/>
                <w:sz w:val="18"/>
              </w:rPr>
            </w:pPr>
            <w:r>
              <w:rPr>
                <w:rFonts w:ascii="Cambria"/>
                <w:i/>
                <w:color w:val="231F20"/>
                <w:w w:val="105"/>
                <w:sz w:val="18"/>
              </w:rPr>
              <w:t>Nombre vulgar</w:t>
            </w:r>
          </w:p>
        </w:tc>
        <w:tc>
          <w:tcPr>
            <w:tcW w:w="1826" w:type="dxa"/>
          </w:tcPr>
          <w:p>
            <w:pPr>
              <w:pStyle w:val="TableParagraph"/>
              <w:spacing w:before="79"/>
              <w:ind w:left="699" w:right="699"/>
              <w:jc w:val="center"/>
              <w:rPr>
                <w:rFonts w:ascii="Cambria"/>
                <w:i/>
                <w:sz w:val="18"/>
              </w:rPr>
            </w:pPr>
            <w:r>
              <w:rPr>
                <w:rFonts w:ascii="Cambria"/>
                <w:i/>
                <w:color w:val="231F20"/>
                <w:w w:val="110"/>
                <w:sz w:val="18"/>
              </w:rPr>
              <w:t>Usos</w:t>
            </w:r>
          </w:p>
        </w:tc>
        <w:tc>
          <w:tcPr>
            <w:tcW w:w="1497" w:type="dxa"/>
            <w:tcBorders>
              <w:right w:val="nil"/>
            </w:tcBorders>
          </w:tcPr>
          <w:p>
            <w:pPr>
              <w:pStyle w:val="TableParagraph"/>
              <w:spacing w:before="79"/>
              <w:ind w:left="565" w:right="568"/>
              <w:jc w:val="center"/>
              <w:rPr>
                <w:rFonts w:ascii="Cambria"/>
                <w:i/>
                <w:sz w:val="18"/>
              </w:rPr>
            </w:pPr>
            <w:r>
              <w:rPr>
                <w:rFonts w:ascii="Cambria"/>
                <w:i/>
                <w:color w:val="231F20"/>
                <w:w w:val="105"/>
                <w:sz w:val="18"/>
              </w:rPr>
              <w:t>PCA</w:t>
            </w:r>
          </w:p>
        </w:tc>
      </w:tr>
      <w:tr>
        <w:trPr>
          <w:trHeight w:val="312" w:hRule="exact"/>
        </w:trPr>
        <w:tc>
          <w:tcPr>
            <w:tcW w:w="3152" w:type="dxa"/>
            <w:tcBorders>
              <w:left w:val="nil"/>
              <w:bottom w:val="nil"/>
            </w:tcBorders>
          </w:tcPr>
          <w:p>
            <w:pPr>
              <w:pStyle w:val="TableParagraph"/>
              <w:spacing w:before="45"/>
              <w:ind w:left="113"/>
              <w:rPr>
                <w:i/>
                <w:sz w:val="17"/>
              </w:rPr>
            </w:pPr>
            <w:r>
              <w:rPr>
                <w:i/>
                <w:color w:val="231F20"/>
                <w:sz w:val="17"/>
              </w:rPr>
              <w:t>Morus nigra</w:t>
            </w:r>
          </w:p>
        </w:tc>
        <w:tc>
          <w:tcPr>
            <w:tcW w:w="2290" w:type="dxa"/>
            <w:tcBorders>
              <w:bottom w:val="nil"/>
            </w:tcBorders>
          </w:tcPr>
          <w:p>
            <w:pPr>
              <w:pStyle w:val="TableParagraph"/>
              <w:spacing w:before="45"/>
              <w:ind w:left="108"/>
              <w:rPr>
                <w:sz w:val="17"/>
              </w:rPr>
            </w:pPr>
            <w:r>
              <w:rPr>
                <w:color w:val="231F20"/>
                <w:sz w:val="17"/>
              </w:rPr>
              <w:t>Árbol de mora</w:t>
            </w:r>
          </w:p>
        </w:tc>
        <w:tc>
          <w:tcPr>
            <w:tcW w:w="1826" w:type="dxa"/>
            <w:tcBorders>
              <w:bottom w:val="nil"/>
            </w:tcBorders>
          </w:tcPr>
          <w:p>
            <w:pPr>
              <w:pStyle w:val="TableParagraph"/>
              <w:spacing w:before="45"/>
              <w:ind w:left="335"/>
              <w:rPr>
                <w:sz w:val="17"/>
              </w:rPr>
            </w:pPr>
            <w:r>
              <w:rPr>
                <w:color w:val="231F20"/>
                <w:sz w:val="17"/>
              </w:rPr>
              <w:t>Aa, Ah, S</w:t>
            </w:r>
          </w:p>
        </w:tc>
        <w:tc>
          <w:tcPr>
            <w:tcW w:w="1497" w:type="dxa"/>
            <w:tcBorders>
              <w:bottom w:val="nil"/>
              <w:right w:val="nil"/>
            </w:tcBorders>
          </w:tcPr>
          <w:p>
            <w:pPr>
              <w:pStyle w:val="TableParagraph"/>
              <w:spacing w:before="45"/>
              <w:ind w:left="505"/>
              <w:rPr>
                <w:sz w:val="17"/>
              </w:rPr>
            </w:pPr>
            <w:r>
              <w:rPr>
                <w:color w:val="231F20"/>
                <w:sz w:val="17"/>
              </w:rPr>
              <w:t>H, F</w:t>
            </w:r>
          </w:p>
        </w:tc>
      </w:tr>
      <w:tr>
        <w:trPr>
          <w:trHeight w:val="297" w:hRule="exact"/>
        </w:trPr>
        <w:tc>
          <w:tcPr>
            <w:tcW w:w="3152" w:type="dxa"/>
            <w:tcBorders>
              <w:top w:val="nil"/>
              <w:left w:val="nil"/>
              <w:bottom w:val="nil"/>
            </w:tcBorders>
          </w:tcPr>
          <w:p>
            <w:pPr>
              <w:pStyle w:val="TableParagraph"/>
              <w:spacing w:before="35"/>
              <w:ind w:left="113"/>
              <w:rPr>
                <w:i/>
                <w:sz w:val="17"/>
              </w:rPr>
            </w:pPr>
            <w:r>
              <w:rPr>
                <w:i/>
                <w:color w:val="231F20"/>
                <w:sz w:val="17"/>
              </w:rPr>
              <w:t>Crescentia alata</w:t>
            </w:r>
          </w:p>
        </w:tc>
        <w:tc>
          <w:tcPr>
            <w:tcW w:w="2290" w:type="dxa"/>
            <w:tcBorders>
              <w:top w:val="nil"/>
              <w:bottom w:val="nil"/>
            </w:tcBorders>
          </w:tcPr>
          <w:p>
            <w:pPr>
              <w:pStyle w:val="TableParagraph"/>
              <w:spacing w:before="36"/>
              <w:ind w:left="108"/>
              <w:rPr>
                <w:sz w:val="17"/>
              </w:rPr>
            </w:pPr>
            <w:r>
              <w:rPr>
                <w:color w:val="231F20"/>
                <w:sz w:val="17"/>
              </w:rPr>
              <w:t>Cirian</w:t>
            </w:r>
          </w:p>
        </w:tc>
        <w:tc>
          <w:tcPr>
            <w:tcW w:w="1826" w:type="dxa"/>
            <w:tcBorders>
              <w:top w:val="nil"/>
              <w:bottom w:val="nil"/>
            </w:tcBorders>
          </w:tcPr>
          <w:p>
            <w:pPr>
              <w:pStyle w:val="TableParagraph"/>
              <w:spacing w:before="36"/>
              <w:ind w:left="335"/>
              <w:rPr>
                <w:sz w:val="17"/>
              </w:rPr>
            </w:pPr>
            <w:r>
              <w:rPr>
                <w:color w:val="231F20"/>
                <w:sz w:val="17"/>
              </w:rPr>
              <w:t>Aa</w:t>
            </w:r>
          </w:p>
        </w:tc>
        <w:tc>
          <w:tcPr>
            <w:tcW w:w="1497" w:type="dxa"/>
            <w:tcBorders>
              <w:top w:val="nil"/>
              <w:bottom w:val="nil"/>
              <w:right w:val="nil"/>
            </w:tcBorders>
          </w:tcPr>
          <w:p>
            <w:pPr>
              <w:pStyle w:val="TableParagraph"/>
              <w:spacing w:before="36"/>
              <w:ind w:left="505"/>
              <w:rPr>
                <w:sz w:val="17"/>
              </w:rPr>
            </w:pPr>
            <w:r>
              <w:rPr>
                <w:color w:val="231F20"/>
                <w:w w:val="110"/>
                <w:sz w:val="17"/>
              </w:rPr>
              <w:t>H</w:t>
            </w:r>
          </w:p>
        </w:tc>
      </w:tr>
      <w:tr>
        <w:trPr>
          <w:trHeight w:val="297" w:hRule="exact"/>
        </w:trPr>
        <w:tc>
          <w:tcPr>
            <w:tcW w:w="3152" w:type="dxa"/>
            <w:tcBorders>
              <w:top w:val="nil"/>
              <w:left w:val="nil"/>
              <w:bottom w:val="nil"/>
            </w:tcBorders>
          </w:tcPr>
          <w:p>
            <w:pPr>
              <w:pStyle w:val="TableParagraph"/>
              <w:spacing w:before="35"/>
              <w:ind w:left="113"/>
              <w:rPr>
                <w:i/>
                <w:sz w:val="17"/>
              </w:rPr>
            </w:pPr>
            <w:r>
              <w:rPr>
                <w:i/>
                <w:color w:val="231F20"/>
                <w:w w:val="105"/>
                <w:sz w:val="17"/>
              </w:rPr>
              <w:t>Guazuma ulmifolia</w:t>
            </w:r>
          </w:p>
        </w:tc>
        <w:tc>
          <w:tcPr>
            <w:tcW w:w="2290" w:type="dxa"/>
            <w:tcBorders>
              <w:top w:val="nil"/>
              <w:bottom w:val="nil"/>
            </w:tcBorders>
          </w:tcPr>
          <w:p>
            <w:pPr>
              <w:pStyle w:val="TableParagraph"/>
              <w:spacing w:before="36"/>
              <w:ind w:left="108"/>
              <w:rPr>
                <w:sz w:val="17"/>
              </w:rPr>
            </w:pPr>
            <w:r>
              <w:rPr>
                <w:color w:val="231F20"/>
                <w:sz w:val="17"/>
              </w:rPr>
              <w:t>Cuahulote</w:t>
            </w:r>
          </w:p>
        </w:tc>
        <w:tc>
          <w:tcPr>
            <w:tcW w:w="1826" w:type="dxa"/>
            <w:tcBorders>
              <w:top w:val="nil"/>
              <w:bottom w:val="nil"/>
            </w:tcBorders>
          </w:tcPr>
          <w:p>
            <w:pPr>
              <w:pStyle w:val="TableParagraph"/>
              <w:spacing w:before="36"/>
              <w:ind w:left="335"/>
              <w:rPr>
                <w:sz w:val="17"/>
              </w:rPr>
            </w:pPr>
            <w:r>
              <w:rPr>
                <w:color w:val="231F20"/>
                <w:sz w:val="17"/>
              </w:rPr>
              <w:t>Aa</w:t>
            </w:r>
          </w:p>
        </w:tc>
        <w:tc>
          <w:tcPr>
            <w:tcW w:w="1497" w:type="dxa"/>
            <w:tcBorders>
              <w:top w:val="nil"/>
              <w:bottom w:val="nil"/>
              <w:right w:val="nil"/>
            </w:tcBorders>
          </w:tcPr>
          <w:p>
            <w:pPr>
              <w:pStyle w:val="TableParagraph"/>
              <w:spacing w:before="36"/>
              <w:ind w:left="505"/>
              <w:rPr>
                <w:sz w:val="17"/>
              </w:rPr>
            </w:pPr>
            <w:r>
              <w:rPr>
                <w:color w:val="231F20"/>
                <w:w w:val="110"/>
                <w:sz w:val="17"/>
              </w:rPr>
              <w:t>H</w:t>
            </w:r>
          </w:p>
        </w:tc>
      </w:tr>
      <w:tr>
        <w:trPr>
          <w:trHeight w:val="297" w:hRule="exact"/>
        </w:trPr>
        <w:tc>
          <w:tcPr>
            <w:tcW w:w="3152" w:type="dxa"/>
            <w:tcBorders>
              <w:top w:val="nil"/>
              <w:left w:val="nil"/>
              <w:bottom w:val="nil"/>
            </w:tcBorders>
          </w:tcPr>
          <w:p>
            <w:pPr>
              <w:pStyle w:val="TableParagraph"/>
              <w:spacing w:before="35"/>
              <w:ind w:left="113"/>
              <w:rPr>
                <w:sz w:val="17"/>
              </w:rPr>
            </w:pPr>
            <w:r>
              <w:rPr>
                <w:i/>
                <w:color w:val="231F20"/>
                <w:sz w:val="17"/>
              </w:rPr>
              <w:t>Opuntia </w:t>
            </w:r>
            <w:r>
              <w:rPr>
                <w:color w:val="231F20"/>
                <w:sz w:val="17"/>
              </w:rPr>
              <w:t>spp.</w:t>
            </w:r>
          </w:p>
        </w:tc>
        <w:tc>
          <w:tcPr>
            <w:tcW w:w="2290" w:type="dxa"/>
            <w:tcBorders>
              <w:top w:val="nil"/>
              <w:bottom w:val="nil"/>
            </w:tcBorders>
          </w:tcPr>
          <w:p>
            <w:pPr>
              <w:pStyle w:val="TableParagraph"/>
              <w:spacing w:before="35"/>
              <w:ind w:left="108"/>
              <w:rPr>
                <w:sz w:val="17"/>
              </w:rPr>
            </w:pPr>
            <w:r>
              <w:rPr>
                <w:color w:val="231F20"/>
                <w:sz w:val="17"/>
              </w:rPr>
              <w:t>Nopal</w:t>
            </w:r>
          </w:p>
        </w:tc>
        <w:tc>
          <w:tcPr>
            <w:tcW w:w="1826" w:type="dxa"/>
            <w:tcBorders>
              <w:top w:val="nil"/>
              <w:bottom w:val="nil"/>
            </w:tcBorders>
          </w:tcPr>
          <w:p>
            <w:pPr>
              <w:pStyle w:val="TableParagraph"/>
              <w:spacing w:before="35"/>
              <w:ind w:left="335"/>
              <w:rPr>
                <w:sz w:val="17"/>
              </w:rPr>
            </w:pPr>
            <w:r>
              <w:rPr>
                <w:color w:val="231F20"/>
                <w:sz w:val="17"/>
              </w:rPr>
              <w:t>Aa, Ah</w:t>
            </w:r>
          </w:p>
        </w:tc>
        <w:tc>
          <w:tcPr>
            <w:tcW w:w="1497" w:type="dxa"/>
            <w:tcBorders>
              <w:top w:val="nil"/>
              <w:bottom w:val="nil"/>
              <w:right w:val="nil"/>
            </w:tcBorders>
          </w:tcPr>
          <w:p>
            <w:pPr>
              <w:pStyle w:val="TableParagraph"/>
              <w:spacing w:before="35"/>
              <w:ind w:left="505"/>
              <w:rPr>
                <w:sz w:val="17"/>
              </w:rPr>
            </w:pPr>
            <w:r>
              <w:rPr>
                <w:color w:val="231F20"/>
                <w:w w:val="102"/>
                <w:sz w:val="17"/>
              </w:rPr>
              <w:t>T</w:t>
            </w:r>
          </w:p>
        </w:tc>
      </w:tr>
      <w:tr>
        <w:trPr>
          <w:trHeight w:val="283" w:hRule="exact"/>
        </w:trPr>
        <w:tc>
          <w:tcPr>
            <w:tcW w:w="3152" w:type="dxa"/>
            <w:tcBorders>
              <w:top w:val="nil"/>
              <w:left w:val="nil"/>
            </w:tcBorders>
          </w:tcPr>
          <w:p>
            <w:pPr>
              <w:pStyle w:val="TableParagraph"/>
              <w:spacing w:before="35"/>
              <w:ind w:left="113"/>
              <w:rPr>
                <w:sz w:val="17"/>
              </w:rPr>
            </w:pPr>
            <w:r>
              <w:rPr>
                <w:color w:val="231F20"/>
                <w:w w:val="110"/>
                <w:sz w:val="17"/>
              </w:rPr>
              <w:t>NC</w:t>
            </w:r>
          </w:p>
        </w:tc>
        <w:tc>
          <w:tcPr>
            <w:tcW w:w="2290" w:type="dxa"/>
            <w:tcBorders>
              <w:top w:val="nil"/>
            </w:tcBorders>
          </w:tcPr>
          <w:p>
            <w:pPr>
              <w:pStyle w:val="TableParagraph"/>
              <w:spacing w:before="35"/>
              <w:ind w:left="108"/>
              <w:rPr>
                <w:sz w:val="17"/>
              </w:rPr>
            </w:pPr>
            <w:r>
              <w:rPr>
                <w:color w:val="231F20"/>
                <w:sz w:val="17"/>
              </w:rPr>
              <w:t>Vara meca</w:t>
            </w:r>
          </w:p>
        </w:tc>
        <w:tc>
          <w:tcPr>
            <w:tcW w:w="1826" w:type="dxa"/>
            <w:tcBorders>
              <w:top w:val="nil"/>
            </w:tcBorders>
          </w:tcPr>
          <w:p>
            <w:pPr>
              <w:pStyle w:val="TableParagraph"/>
              <w:spacing w:before="35"/>
              <w:ind w:left="335"/>
              <w:rPr>
                <w:sz w:val="17"/>
              </w:rPr>
            </w:pPr>
            <w:r>
              <w:rPr>
                <w:color w:val="231F20"/>
                <w:sz w:val="17"/>
              </w:rPr>
              <w:t>Aa</w:t>
            </w:r>
          </w:p>
        </w:tc>
        <w:tc>
          <w:tcPr>
            <w:tcW w:w="1497" w:type="dxa"/>
            <w:tcBorders>
              <w:top w:val="nil"/>
              <w:right w:val="nil"/>
            </w:tcBorders>
          </w:tcPr>
          <w:p>
            <w:pPr>
              <w:pStyle w:val="TableParagraph"/>
              <w:spacing w:before="35"/>
              <w:ind w:left="505"/>
              <w:rPr>
                <w:sz w:val="17"/>
              </w:rPr>
            </w:pPr>
            <w:r>
              <w:rPr>
                <w:color w:val="231F20"/>
                <w:sz w:val="17"/>
              </w:rPr>
              <w:t>H, F</w:t>
            </w:r>
          </w:p>
        </w:tc>
      </w:tr>
    </w:tbl>
    <w:p>
      <w:pPr>
        <w:spacing w:line="261" w:lineRule="auto" w:before="90"/>
        <w:ind w:left="1553" w:right="1655" w:firstLine="0"/>
        <w:jc w:val="left"/>
        <w:rPr>
          <w:sz w:val="15"/>
        </w:rPr>
      </w:pPr>
      <w:r>
        <w:rPr>
          <w:color w:val="231F20"/>
          <w:sz w:val="15"/>
        </w:rPr>
        <w:t>Aa: alimentación animal; Ah: alimentación humana; PCA: parte consumida por los animales; H: hoja; F: fruto; f: flor; T: todo; NC: no clasifica-   do; L: leña; S: sombra; P: postes; CV: cerca  </w:t>
      </w:r>
      <w:r>
        <w:rPr>
          <w:color w:val="231F20"/>
          <w:spacing w:val="25"/>
          <w:sz w:val="15"/>
        </w:rPr>
        <w:t> </w:t>
      </w:r>
      <w:r>
        <w:rPr>
          <w:color w:val="231F20"/>
          <w:sz w:val="15"/>
        </w:rPr>
        <w:t>viva.</w:t>
      </w:r>
    </w:p>
    <w:p>
      <w:pPr>
        <w:pStyle w:val="BodyText"/>
        <w:rPr>
          <w:sz w:val="14"/>
        </w:rPr>
      </w:pPr>
    </w:p>
    <w:p>
      <w:pPr>
        <w:pStyle w:val="BodyText"/>
        <w:rPr>
          <w:sz w:val="14"/>
        </w:rPr>
      </w:pPr>
    </w:p>
    <w:p>
      <w:pPr>
        <w:pStyle w:val="BodyText"/>
        <w:rPr>
          <w:sz w:val="14"/>
        </w:rPr>
      </w:pPr>
    </w:p>
    <w:p>
      <w:pPr>
        <w:spacing w:line="283" w:lineRule="auto" w:before="86"/>
        <w:ind w:left="1553" w:right="2063" w:firstLine="0"/>
        <w:jc w:val="left"/>
        <w:rPr>
          <w:sz w:val="18"/>
        </w:rPr>
      </w:pPr>
      <w:r>
        <w:rPr>
          <w:color w:val="231F20"/>
          <w:sz w:val="18"/>
        </w:rPr>
        <w:t>Cuadro </w:t>
      </w:r>
      <w:r>
        <w:rPr>
          <w:color w:val="231F20"/>
          <w:spacing w:val="-3"/>
          <w:sz w:val="18"/>
        </w:rPr>
        <w:t>11. </w:t>
      </w:r>
      <w:r>
        <w:rPr>
          <w:color w:val="231F20"/>
          <w:sz w:val="18"/>
        </w:rPr>
        <w:t>Especies vegetales del estrato basal, encontradas en las unidades de producción, consumidas  por  el  ganado.</w:t>
      </w:r>
    </w:p>
    <w:p>
      <w:pPr>
        <w:pStyle w:val="BodyText"/>
        <w:spacing w:before="7" w:after="1"/>
        <w:rPr>
          <w:sz w:val="8"/>
        </w:rPr>
      </w:pPr>
    </w:p>
    <w:tbl>
      <w:tblPr>
        <w:tblW w:w="0" w:type="auto"/>
        <w:jc w:val="left"/>
        <w:tblInd w:w="15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29"/>
        <w:gridCol w:w="2268"/>
        <w:gridCol w:w="1860"/>
        <w:gridCol w:w="1531"/>
      </w:tblGrid>
      <w:tr>
        <w:trPr>
          <w:trHeight w:val="369" w:hRule="exact"/>
        </w:trPr>
        <w:tc>
          <w:tcPr>
            <w:tcW w:w="3129" w:type="dxa"/>
            <w:tcBorders>
              <w:top w:val="single" w:sz="4" w:space="0" w:color="231F20"/>
              <w:bottom w:val="single" w:sz="4" w:space="0" w:color="231F20"/>
              <w:right w:val="single" w:sz="4" w:space="0" w:color="231F20"/>
            </w:tcBorders>
          </w:tcPr>
          <w:p>
            <w:pPr>
              <w:pStyle w:val="TableParagraph"/>
              <w:spacing w:before="79"/>
              <w:ind w:left="857"/>
              <w:rPr>
                <w:rFonts w:ascii="Cambria" w:hAnsi="Cambria"/>
                <w:i/>
                <w:sz w:val="18"/>
              </w:rPr>
            </w:pPr>
            <w:r>
              <w:rPr>
                <w:rFonts w:ascii="Cambria" w:hAnsi="Cambria"/>
                <w:i/>
                <w:color w:val="231F20"/>
                <w:w w:val="105"/>
                <w:sz w:val="18"/>
              </w:rPr>
              <w:t>Nombre científico</w:t>
            </w:r>
          </w:p>
        </w:tc>
        <w:tc>
          <w:tcPr>
            <w:tcW w:w="2268" w:type="dxa"/>
            <w:tcBorders>
              <w:top w:val="single" w:sz="4" w:space="0" w:color="231F20"/>
              <w:left w:val="single" w:sz="4" w:space="0" w:color="231F20"/>
              <w:bottom w:val="single" w:sz="4" w:space="0" w:color="231F20"/>
              <w:right w:val="single" w:sz="4" w:space="0" w:color="231F20"/>
            </w:tcBorders>
          </w:tcPr>
          <w:p>
            <w:pPr>
              <w:pStyle w:val="TableParagraph"/>
              <w:spacing w:before="79"/>
              <w:ind w:left="521"/>
              <w:rPr>
                <w:rFonts w:ascii="Cambria"/>
                <w:i/>
                <w:sz w:val="18"/>
              </w:rPr>
            </w:pPr>
            <w:r>
              <w:rPr>
                <w:rFonts w:ascii="Cambria"/>
                <w:i/>
                <w:color w:val="231F20"/>
                <w:w w:val="105"/>
                <w:sz w:val="18"/>
              </w:rPr>
              <w:t>Nombre vulgar</w:t>
            </w:r>
          </w:p>
        </w:tc>
        <w:tc>
          <w:tcPr>
            <w:tcW w:w="1860" w:type="dxa"/>
            <w:tcBorders>
              <w:top w:val="single" w:sz="4" w:space="0" w:color="231F20"/>
              <w:left w:val="single" w:sz="4" w:space="0" w:color="231F20"/>
              <w:bottom w:val="single" w:sz="4" w:space="0" w:color="231F20"/>
              <w:right w:val="single" w:sz="4" w:space="0" w:color="231F20"/>
            </w:tcBorders>
          </w:tcPr>
          <w:p>
            <w:pPr>
              <w:pStyle w:val="TableParagraph"/>
              <w:spacing w:before="79"/>
              <w:ind w:left="501"/>
              <w:rPr>
                <w:rFonts w:ascii="Cambria"/>
                <w:i/>
                <w:sz w:val="18"/>
              </w:rPr>
            </w:pPr>
            <w:r>
              <w:rPr>
                <w:rFonts w:ascii="Cambria"/>
                <w:i/>
                <w:color w:val="231F20"/>
                <w:w w:val="110"/>
                <w:sz w:val="18"/>
              </w:rPr>
              <w:t>Otros usos</w:t>
            </w:r>
          </w:p>
        </w:tc>
        <w:tc>
          <w:tcPr>
            <w:tcW w:w="1531" w:type="dxa"/>
            <w:tcBorders>
              <w:top w:val="single" w:sz="4" w:space="0" w:color="231F20"/>
              <w:left w:val="single" w:sz="4" w:space="0" w:color="231F20"/>
              <w:bottom w:val="single" w:sz="4" w:space="0" w:color="231F20"/>
            </w:tcBorders>
          </w:tcPr>
          <w:p>
            <w:pPr>
              <w:pStyle w:val="TableParagraph"/>
              <w:spacing w:before="79"/>
              <w:ind w:left="581" w:right="585"/>
              <w:jc w:val="center"/>
              <w:rPr>
                <w:rFonts w:ascii="Cambria"/>
                <w:i/>
                <w:sz w:val="18"/>
              </w:rPr>
            </w:pPr>
            <w:r>
              <w:rPr>
                <w:rFonts w:ascii="Cambria"/>
                <w:i/>
                <w:color w:val="231F20"/>
                <w:w w:val="105"/>
                <w:sz w:val="18"/>
              </w:rPr>
              <w:t>PCA</w:t>
            </w:r>
          </w:p>
        </w:tc>
      </w:tr>
      <w:tr>
        <w:trPr>
          <w:trHeight w:val="312" w:hRule="exact"/>
        </w:trPr>
        <w:tc>
          <w:tcPr>
            <w:tcW w:w="3129" w:type="dxa"/>
            <w:tcBorders>
              <w:top w:val="single" w:sz="4" w:space="0" w:color="231F20"/>
              <w:right w:val="single" w:sz="4" w:space="0" w:color="231F20"/>
            </w:tcBorders>
          </w:tcPr>
          <w:p>
            <w:pPr>
              <w:pStyle w:val="TableParagraph"/>
              <w:spacing w:before="45"/>
              <w:ind w:left="113"/>
              <w:rPr>
                <w:i/>
                <w:sz w:val="17"/>
              </w:rPr>
            </w:pPr>
            <w:r>
              <w:rPr>
                <w:i/>
                <w:color w:val="231F20"/>
                <w:w w:val="105"/>
                <w:sz w:val="17"/>
              </w:rPr>
              <w:t>Bidens odorata</w:t>
            </w:r>
          </w:p>
        </w:tc>
        <w:tc>
          <w:tcPr>
            <w:tcW w:w="2268" w:type="dxa"/>
            <w:tcBorders>
              <w:top w:val="single" w:sz="4" w:space="0" w:color="231F20"/>
              <w:left w:val="single" w:sz="4" w:space="0" w:color="231F20"/>
              <w:right w:val="single" w:sz="4" w:space="0" w:color="231F20"/>
            </w:tcBorders>
          </w:tcPr>
          <w:p>
            <w:pPr>
              <w:pStyle w:val="TableParagraph"/>
              <w:spacing w:before="45"/>
              <w:ind w:left="108"/>
              <w:rPr>
                <w:sz w:val="17"/>
              </w:rPr>
            </w:pPr>
            <w:r>
              <w:rPr>
                <w:color w:val="231F20"/>
                <w:sz w:val="17"/>
              </w:rPr>
              <w:t>Aceitillo</w:t>
            </w:r>
          </w:p>
        </w:tc>
        <w:tc>
          <w:tcPr>
            <w:tcW w:w="1860" w:type="dxa"/>
            <w:tcBorders>
              <w:top w:val="single" w:sz="4" w:space="0" w:color="231F20"/>
              <w:left w:val="single" w:sz="4" w:space="0" w:color="231F20"/>
              <w:right w:val="single" w:sz="4" w:space="0" w:color="231F20"/>
            </w:tcBorders>
          </w:tcPr>
          <w:p>
            <w:pPr>
              <w:pStyle w:val="TableParagraph"/>
              <w:spacing w:before="45"/>
              <w:ind w:left="505"/>
              <w:rPr>
                <w:sz w:val="17"/>
              </w:rPr>
            </w:pPr>
            <w:r>
              <w:rPr>
                <w:color w:val="231F20"/>
                <w:sz w:val="17"/>
              </w:rPr>
              <w:t>Aa</w:t>
            </w:r>
          </w:p>
        </w:tc>
        <w:tc>
          <w:tcPr>
            <w:tcW w:w="1531" w:type="dxa"/>
            <w:tcBorders>
              <w:top w:val="single" w:sz="4" w:space="0" w:color="231F20"/>
              <w:left w:val="single" w:sz="4" w:space="0" w:color="231F20"/>
            </w:tcBorders>
          </w:tcPr>
          <w:p>
            <w:pPr>
              <w:pStyle w:val="TableParagraph"/>
              <w:spacing w:before="4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Ahuituli</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Cabalonga</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Calalagua</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Capitaneja</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Chipinagua</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Chiquilillo</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Chirimia</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Cornicuelo</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i/>
                <w:sz w:val="17"/>
              </w:rPr>
            </w:pPr>
            <w:r>
              <w:rPr>
                <w:i/>
                <w:color w:val="231F20"/>
                <w:sz w:val="17"/>
              </w:rPr>
              <w:t>Larrea tridentata</w:t>
            </w:r>
          </w:p>
        </w:tc>
        <w:tc>
          <w:tcPr>
            <w:tcW w:w="2268" w:type="dxa"/>
            <w:tcBorders>
              <w:left w:val="single" w:sz="4" w:space="0" w:color="231F20"/>
              <w:right w:val="single" w:sz="4" w:space="0" w:color="231F20"/>
            </w:tcBorders>
          </w:tcPr>
          <w:p>
            <w:pPr>
              <w:pStyle w:val="TableParagraph"/>
              <w:spacing w:before="36"/>
              <w:ind w:left="108"/>
              <w:rPr>
                <w:sz w:val="17"/>
              </w:rPr>
            </w:pPr>
            <w:r>
              <w:rPr>
                <w:color w:val="231F20"/>
                <w:sz w:val="17"/>
              </w:rPr>
              <w:t>Gobernadora</w:t>
            </w:r>
          </w:p>
        </w:tc>
        <w:tc>
          <w:tcPr>
            <w:tcW w:w="1860" w:type="dxa"/>
            <w:tcBorders>
              <w:left w:val="single" w:sz="4" w:space="0" w:color="231F20"/>
              <w:right w:val="single" w:sz="4" w:space="0" w:color="231F20"/>
            </w:tcBorders>
          </w:tcPr>
          <w:p>
            <w:pPr>
              <w:pStyle w:val="TableParagraph"/>
              <w:spacing w:before="36"/>
              <w:ind w:left="505"/>
              <w:rPr>
                <w:sz w:val="17"/>
              </w:rPr>
            </w:pPr>
            <w:r>
              <w:rPr>
                <w:color w:val="231F20"/>
                <w:sz w:val="17"/>
              </w:rPr>
              <w:t>Aa</w:t>
            </w:r>
          </w:p>
        </w:tc>
        <w:tc>
          <w:tcPr>
            <w:tcW w:w="1531" w:type="dxa"/>
            <w:tcBorders>
              <w:left w:val="single" w:sz="4" w:space="0" w:color="231F20"/>
            </w:tcBorders>
          </w:tcPr>
          <w:p>
            <w:pPr>
              <w:pStyle w:val="TableParagraph"/>
              <w:spacing w:before="36"/>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Guacimilla</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10"/>
                <w:sz w:val="17"/>
              </w:rPr>
              <w:t>H</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Guayabilla</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Huajillo</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i/>
                <w:sz w:val="17"/>
              </w:rPr>
            </w:pPr>
            <w:r>
              <w:rPr>
                <w:i/>
                <w:color w:val="231F20"/>
                <w:w w:val="105"/>
                <w:sz w:val="17"/>
              </w:rPr>
              <w:t>Pseudosmodingium perniciosum</w:t>
            </w:r>
          </w:p>
        </w:tc>
        <w:tc>
          <w:tcPr>
            <w:tcW w:w="2268" w:type="dxa"/>
            <w:tcBorders>
              <w:left w:val="single" w:sz="4" w:space="0" w:color="231F20"/>
              <w:right w:val="single" w:sz="4" w:space="0" w:color="231F20"/>
            </w:tcBorders>
          </w:tcPr>
          <w:p>
            <w:pPr>
              <w:pStyle w:val="TableParagraph"/>
              <w:spacing w:before="36"/>
              <w:ind w:left="108"/>
              <w:rPr>
                <w:sz w:val="17"/>
              </w:rPr>
            </w:pPr>
            <w:r>
              <w:rPr>
                <w:color w:val="231F20"/>
                <w:sz w:val="17"/>
              </w:rPr>
              <w:t>Jiote</w:t>
            </w:r>
          </w:p>
        </w:tc>
        <w:tc>
          <w:tcPr>
            <w:tcW w:w="1860" w:type="dxa"/>
            <w:tcBorders>
              <w:left w:val="single" w:sz="4" w:space="0" w:color="231F20"/>
              <w:right w:val="single" w:sz="4" w:space="0" w:color="231F20"/>
            </w:tcBorders>
          </w:tcPr>
          <w:p>
            <w:pPr>
              <w:pStyle w:val="TableParagraph"/>
              <w:spacing w:before="36"/>
              <w:ind w:left="505"/>
              <w:rPr>
                <w:sz w:val="17"/>
              </w:rPr>
            </w:pPr>
            <w:r>
              <w:rPr>
                <w:color w:val="231F20"/>
                <w:sz w:val="17"/>
              </w:rPr>
              <w:t>Aa</w:t>
            </w:r>
          </w:p>
        </w:tc>
        <w:tc>
          <w:tcPr>
            <w:tcW w:w="1531" w:type="dxa"/>
            <w:tcBorders>
              <w:left w:val="single" w:sz="4" w:space="0" w:color="231F20"/>
            </w:tcBorders>
          </w:tcPr>
          <w:p>
            <w:pPr>
              <w:pStyle w:val="TableParagraph"/>
              <w:spacing w:before="36"/>
              <w:ind w:left="505"/>
              <w:rPr>
                <w:sz w:val="17"/>
              </w:rPr>
            </w:pPr>
            <w:r>
              <w:rPr>
                <w:color w:val="231F20"/>
                <w:w w:val="110"/>
                <w:sz w:val="17"/>
              </w:rPr>
              <w:t>H</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Jocoyol</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10"/>
                <w:sz w:val="17"/>
              </w:rPr>
              <w:t>H</w:t>
            </w:r>
          </w:p>
        </w:tc>
      </w:tr>
      <w:tr>
        <w:trPr>
          <w:trHeight w:val="297" w:hRule="exact"/>
        </w:trPr>
        <w:tc>
          <w:tcPr>
            <w:tcW w:w="3129" w:type="dxa"/>
            <w:tcBorders>
              <w:right w:val="single" w:sz="4" w:space="0" w:color="231F20"/>
            </w:tcBorders>
          </w:tcPr>
          <w:p>
            <w:pPr>
              <w:pStyle w:val="TableParagraph"/>
              <w:spacing w:before="35"/>
              <w:ind w:left="113"/>
              <w:rPr>
                <w:i/>
                <w:sz w:val="17"/>
              </w:rPr>
            </w:pPr>
            <w:r>
              <w:rPr>
                <w:i/>
                <w:color w:val="231F20"/>
                <w:w w:val="105"/>
                <w:sz w:val="17"/>
              </w:rPr>
              <w:t>Zea mays</w:t>
            </w:r>
          </w:p>
        </w:tc>
        <w:tc>
          <w:tcPr>
            <w:tcW w:w="2268" w:type="dxa"/>
            <w:tcBorders>
              <w:left w:val="single" w:sz="4" w:space="0" w:color="231F20"/>
              <w:right w:val="single" w:sz="4" w:space="0" w:color="231F20"/>
            </w:tcBorders>
          </w:tcPr>
          <w:p>
            <w:pPr>
              <w:pStyle w:val="TableParagraph"/>
              <w:spacing w:before="36"/>
              <w:ind w:left="108"/>
              <w:rPr>
                <w:sz w:val="17"/>
              </w:rPr>
            </w:pPr>
            <w:r>
              <w:rPr>
                <w:color w:val="231F20"/>
                <w:sz w:val="17"/>
              </w:rPr>
              <w:t>Maíz</w:t>
            </w:r>
          </w:p>
        </w:tc>
        <w:tc>
          <w:tcPr>
            <w:tcW w:w="1860" w:type="dxa"/>
            <w:tcBorders>
              <w:left w:val="single" w:sz="4" w:space="0" w:color="231F20"/>
              <w:right w:val="single" w:sz="4" w:space="0" w:color="231F20"/>
            </w:tcBorders>
          </w:tcPr>
          <w:p>
            <w:pPr>
              <w:pStyle w:val="TableParagraph"/>
              <w:spacing w:before="36"/>
              <w:ind w:left="505"/>
              <w:rPr>
                <w:sz w:val="17"/>
              </w:rPr>
            </w:pPr>
            <w:r>
              <w:rPr>
                <w:color w:val="231F20"/>
                <w:sz w:val="17"/>
              </w:rPr>
              <w:t>Aa, Ah</w:t>
            </w:r>
          </w:p>
        </w:tc>
        <w:tc>
          <w:tcPr>
            <w:tcW w:w="1531" w:type="dxa"/>
            <w:tcBorders>
              <w:left w:val="single" w:sz="4" w:space="0" w:color="231F20"/>
            </w:tcBorders>
          </w:tcPr>
          <w:p>
            <w:pPr>
              <w:pStyle w:val="TableParagraph"/>
              <w:spacing w:before="36"/>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i/>
                <w:sz w:val="17"/>
              </w:rPr>
            </w:pPr>
            <w:r>
              <w:rPr>
                <w:i/>
                <w:color w:val="231F20"/>
                <w:w w:val="105"/>
                <w:sz w:val="17"/>
              </w:rPr>
              <w:t>Chenopodium spp.</w:t>
            </w:r>
          </w:p>
        </w:tc>
        <w:tc>
          <w:tcPr>
            <w:tcW w:w="2268" w:type="dxa"/>
            <w:tcBorders>
              <w:left w:val="single" w:sz="4" w:space="0" w:color="231F20"/>
              <w:right w:val="single" w:sz="4" w:space="0" w:color="231F20"/>
            </w:tcBorders>
          </w:tcPr>
          <w:p>
            <w:pPr>
              <w:pStyle w:val="TableParagraph"/>
              <w:spacing w:before="36"/>
              <w:ind w:left="108"/>
              <w:rPr>
                <w:sz w:val="17"/>
              </w:rPr>
            </w:pPr>
            <w:r>
              <w:rPr>
                <w:color w:val="231F20"/>
                <w:sz w:val="17"/>
              </w:rPr>
              <w:t>Quelite</w:t>
            </w:r>
          </w:p>
        </w:tc>
        <w:tc>
          <w:tcPr>
            <w:tcW w:w="1860" w:type="dxa"/>
            <w:tcBorders>
              <w:left w:val="single" w:sz="4" w:space="0" w:color="231F20"/>
              <w:right w:val="single" w:sz="4" w:space="0" w:color="231F20"/>
            </w:tcBorders>
          </w:tcPr>
          <w:p>
            <w:pPr>
              <w:pStyle w:val="TableParagraph"/>
              <w:spacing w:before="36"/>
              <w:ind w:left="505"/>
              <w:rPr>
                <w:sz w:val="17"/>
              </w:rPr>
            </w:pPr>
            <w:r>
              <w:rPr>
                <w:color w:val="231F20"/>
                <w:sz w:val="17"/>
              </w:rPr>
              <w:t>Aa, Ah</w:t>
            </w:r>
          </w:p>
        </w:tc>
        <w:tc>
          <w:tcPr>
            <w:tcW w:w="1531" w:type="dxa"/>
            <w:tcBorders>
              <w:left w:val="single" w:sz="4" w:space="0" w:color="231F20"/>
            </w:tcBorders>
          </w:tcPr>
          <w:p>
            <w:pPr>
              <w:pStyle w:val="TableParagraph"/>
              <w:spacing w:before="36"/>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Quiebra plato</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w w:val="105"/>
                <w:sz w:val="17"/>
              </w:rPr>
              <w:t>Shunino</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sz w:val="17"/>
              </w:rPr>
              <w:t>Sierrilla</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97" w:hRule="exact"/>
        </w:trPr>
        <w:tc>
          <w:tcPr>
            <w:tcW w:w="3129" w:type="dxa"/>
            <w:tcBorders>
              <w:right w:val="single" w:sz="4" w:space="0" w:color="231F20"/>
            </w:tcBorders>
          </w:tcPr>
          <w:p>
            <w:pPr>
              <w:pStyle w:val="TableParagraph"/>
              <w:spacing w:before="35"/>
              <w:ind w:left="113"/>
              <w:rPr>
                <w:sz w:val="17"/>
              </w:rPr>
            </w:pPr>
            <w:r>
              <w:rPr>
                <w:color w:val="231F20"/>
                <w:w w:val="110"/>
                <w:sz w:val="17"/>
              </w:rPr>
              <w:t>NC</w:t>
            </w:r>
          </w:p>
        </w:tc>
        <w:tc>
          <w:tcPr>
            <w:tcW w:w="2268" w:type="dxa"/>
            <w:tcBorders>
              <w:left w:val="single" w:sz="4" w:space="0" w:color="231F20"/>
              <w:right w:val="single" w:sz="4" w:space="0" w:color="231F20"/>
            </w:tcBorders>
          </w:tcPr>
          <w:p>
            <w:pPr>
              <w:pStyle w:val="TableParagraph"/>
              <w:spacing w:before="35"/>
              <w:ind w:left="108"/>
              <w:rPr>
                <w:sz w:val="17"/>
              </w:rPr>
            </w:pPr>
            <w:r>
              <w:rPr>
                <w:color w:val="231F20"/>
                <w:w w:val="105"/>
                <w:sz w:val="17"/>
              </w:rPr>
              <w:t>Suelda</w:t>
            </w:r>
          </w:p>
        </w:tc>
        <w:tc>
          <w:tcPr>
            <w:tcW w:w="1860" w:type="dxa"/>
            <w:tcBorders>
              <w:left w:val="single" w:sz="4" w:space="0" w:color="231F20"/>
              <w:right w:val="single" w:sz="4" w:space="0" w:color="231F20"/>
            </w:tcBorders>
          </w:tcPr>
          <w:p>
            <w:pPr>
              <w:pStyle w:val="TableParagraph"/>
              <w:spacing w:before="35"/>
              <w:ind w:left="505"/>
              <w:rPr>
                <w:sz w:val="17"/>
              </w:rPr>
            </w:pPr>
            <w:r>
              <w:rPr>
                <w:color w:val="231F20"/>
                <w:sz w:val="17"/>
              </w:rPr>
              <w:t>Aa</w:t>
            </w:r>
          </w:p>
        </w:tc>
        <w:tc>
          <w:tcPr>
            <w:tcW w:w="1531" w:type="dxa"/>
            <w:tcBorders>
              <w:left w:val="single" w:sz="4" w:space="0" w:color="231F20"/>
            </w:tcBorders>
          </w:tcPr>
          <w:p>
            <w:pPr>
              <w:pStyle w:val="TableParagraph"/>
              <w:spacing w:before="35"/>
              <w:ind w:left="505"/>
              <w:rPr>
                <w:sz w:val="17"/>
              </w:rPr>
            </w:pPr>
            <w:r>
              <w:rPr>
                <w:color w:val="231F20"/>
                <w:w w:val="102"/>
                <w:sz w:val="17"/>
              </w:rPr>
              <w:t>T</w:t>
            </w:r>
          </w:p>
        </w:tc>
      </w:tr>
      <w:tr>
        <w:trPr>
          <w:trHeight w:val="283" w:hRule="exact"/>
        </w:trPr>
        <w:tc>
          <w:tcPr>
            <w:tcW w:w="3129" w:type="dxa"/>
            <w:tcBorders>
              <w:bottom w:val="single" w:sz="4" w:space="0" w:color="231F20"/>
              <w:right w:val="single" w:sz="4" w:space="0" w:color="231F20"/>
            </w:tcBorders>
          </w:tcPr>
          <w:p>
            <w:pPr>
              <w:pStyle w:val="TableParagraph"/>
              <w:spacing w:before="35"/>
              <w:ind w:left="113"/>
              <w:rPr>
                <w:i/>
                <w:sz w:val="17"/>
              </w:rPr>
            </w:pPr>
            <w:r>
              <w:rPr>
                <w:i/>
                <w:color w:val="231F20"/>
                <w:w w:val="105"/>
                <w:sz w:val="17"/>
              </w:rPr>
              <w:t>Salvia hispanica</w:t>
            </w:r>
          </w:p>
        </w:tc>
        <w:tc>
          <w:tcPr>
            <w:tcW w:w="2268" w:type="dxa"/>
            <w:tcBorders>
              <w:left w:val="single" w:sz="4" w:space="0" w:color="231F20"/>
              <w:bottom w:val="single" w:sz="4" w:space="0" w:color="231F20"/>
              <w:right w:val="single" w:sz="4" w:space="0" w:color="231F20"/>
            </w:tcBorders>
          </w:tcPr>
          <w:p>
            <w:pPr>
              <w:pStyle w:val="TableParagraph"/>
              <w:spacing w:before="36"/>
              <w:ind w:left="108"/>
              <w:rPr>
                <w:sz w:val="17"/>
              </w:rPr>
            </w:pPr>
            <w:r>
              <w:rPr>
                <w:color w:val="231F20"/>
                <w:sz w:val="17"/>
              </w:rPr>
              <w:t>Tepechia</w:t>
            </w:r>
          </w:p>
        </w:tc>
        <w:tc>
          <w:tcPr>
            <w:tcW w:w="1860" w:type="dxa"/>
            <w:tcBorders>
              <w:left w:val="single" w:sz="4" w:space="0" w:color="231F20"/>
              <w:bottom w:val="single" w:sz="4" w:space="0" w:color="231F20"/>
              <w:right w:val="single" w:sz="4" w:space="0" w:color="231F20"/>
            </w:tcBorders>
          </w:tcPr>
          <w:p>
            <w:pPr>
              <w:pStyle w:val="TableParagraph"/>
              <w:spacing w:before="36"/>
              <w:ind w:left="505"/>
              <w:rPr>
                <w:sz w:val="17"/>
              </w:rPr>
            </w:pPr>
            <w:r>
              <w:rPr>
                <w:color w:val="231F20"/>
                <w:sz w:val="17"/>
              </w:rPr>
              <w:t>Aa</w:t>
            </w:r>
          </w:p>
        </w:tc>
        <w:tc>
          <w:tcPr>
            <w:tcW w:w="1531" w:type="dxa"/>
            <w:tcBorders>
              <w:left w:val="single" w:sz="4" w:space="0" w:color="231F20"/>
              <w:bottom w:val="single" w:sz="4" w:space="0" w:color="231F20"/>
            </w:tcBorders>
          </w:tcPr>
          <w:p>
            <w:pPr>
              <w:pStyle w:val="TableParagraph"/>
              <w:spacing w:before="36"/>
              <w:ind w:left="505"/>
              <w:rPr>
                <w:sz w:val="17"/>
              </w:rPr>
            </w:pPr>
            <w:r>
              <w:rPr>
                <w:color w:val="231F20"/>
                <w:w w:val="102"/>
                <w:sz w:val="17"/>
              </w:rPr>
              <w:t>T</w:t>
            </w:r>
          </w:p>
        </w:tc>
      </w:tr>
    </w:tbl>
    <w:p>
      <w:pPr>
        <w:spacing w:before="100"/>
        <w:ind w:left="1553" w:right="2503" w:firstLine="0"/>
        <w:jc w:val="left"/>
        <w:rPr>
          <w:sz w:val="15"/>
        </w:rPr>
      </w:pPr>
      <w:r>
        <w:rPr>
          <w:color w:val="231F20"/>
          <w:sz w:val="15"/>
        </w:rPr>
        <w:t>Aa: alimentación animal; Ah: alimentación humana; PCA: parte consumida por los animales; H: hoja; T: todo; NC: no clasificado.</w:t>
      </w:r>
    </w:p>
    <w:p>
      <w:pPr>
        <w:spacing w:after="0"/>
        <w:jc w:val="left"/>
        <w:rPr>
          <w:sz w:val="15"/>
        </w:rPr>
        <w:sectPr>
          <w:pgSz w:w="11900" w:h="14450"/>
          <w:pgMar w:header="0" w:footer="222"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12"/>
          <w:sz w:val="18"/>
        </w:rPr>
        <w:t>7.         </w:t>
      </w:r>
      <w:r>
        <w:rPr>
          <w:color w:val="231F20"/>
          <w:spacing w:val="-8"/>
          <w:sz w:val="18"/>
        </w:rPr>
        <w:t> </w:t>
      </w:r>
      <w:r>
        <w:rPr>
          <w:color w:val="231F20"/>
          <w:sz w:val="18"/>
        </w:rPr>
        <w:t>La producción de bovinos de doble propósito en el trópico seco del centro de</w:t>
      </w:r>
      <w:r>
        <w:rPr>
          <w:color w:val="231F20"/>
          <w:spacing w:val="13"/>
          <w:sz w:val="18"/>
        </w:rPr>
        <w:t> </w:t>
      </w:r>
      <w:r>
        <w:rPr>
          <w:color w:val="231F20"/>
          <w:sz w:val="18"/>
        </w:rPr>
        <w:t>México...</w:t>
      </w:r>
      <w:r>
        <w:rPr>
          <w:color w:val="231F20"/>
          <w:sz w:val="22"/>
        </w:rPr>
        <w:tab/>
      </w:r>
      <w:r>
        <w:rPr>
          <w:color w:val="231F20"/>
          <w:spacing w:val="-9"/>
          <w:sz w:val="22"/>
        </w:rPr>
        <w:t>115</w:t>
      </w:r>
    </w:p>
    <w:p>
      <w:pPr>
        <w:spacing w:after="0"/>
        <w:jc w:val="left"/>
        <w:rPr>
          <w:sz w:val="22"/>
        </w:rPr>
        <w:sectPr>
          <w:pgSz w:w="11900" w:h="14450"/>
          <w:pgMar w:header="0" w:footer="222" w:top="420" w:bottom="420" w:left="0" w:right="0"/>
        </w:sectPr>
      </w:pPr>
    </w:p>
    <w:p>
      <w:pPr>
        <w:pStyle w:val="BodyText"/>
        <w:rPr>
          <w:sz w:val="29"/>
        </w:rPr>
      </w:pPr>
    </w:p>
    <w:p>
      <w:pPr>
        <w:pStyle w:val="BodyText"/>
        <w:ind w:left="1553"/>
        <w:jc w:val="both"/>
      </w:pPr>
      <w:r>
        <w:rPr>
          <w:color w:val="231F20"/>
          <w:w w:val="110"/>
        </w:rPr>
        <w:t>ÍNDICES VEGETALES</w:t>
      </w:r>
    </w:p>
    <w:p>
      <w:pPr>
        <w:pStyle w:val="BodyText"/>
        <w:spacing w:line="256" w:lineRule="auto" w:before="129"/>
        <w:ind w:left="1553"/>
        <w:jc w:val="both"/>
      </w:pPr>
      <w:r>
        <w:rPr>
          <w:color w:val="231F20"/>
        </w:rPr>
        <w:t>De las especies arbóreas, arbustivas y plantas basales censadas durante la realización de los transectos, se determinó el índice de valor de im- portancia, que se muestra en el Cuadro   12.</w:t>
      </w:r>
    </w:p>
    <w:p>
      <w:pPr>
        <w:pStyle w:val="BodyText"/>
        <w:spacing w:line="256" w:lineRule="auto" w:before="112"/>
        <w:ind w:left="1553"/>
        <w:jc w:val="both"/>
      </w:pPr>
      <w:r>
        <w:rPr>
          <w:color w:val="231F20"/>
        </w:rPr>
        <w:t>La otra especie con alto IVI es </w:t>
      </w:r>
      <w:r>
        <w:rPr>
          <w:i/>
          <w:color w:val="231F20"/>
        </w:rPr>
        <w:t>Haematoxylon bra- </w:t>
      </w:r>
      <w:r>
        <w:rPr>
          <w:i/>
          <w:color w:val="231F20"/>
        </w:rPr>
        <w:t>siletto, </w:t>
      </w:r>
      <w:r>
        <w:rPr>
          <w:color w:val="231F20"/>
        </w:rPr>
        <w:t>un árbol leguminoso con utilidad forrajera   y cuya madera se utiliza para hacer postes de cer- ca, aunque algunos productores prefieren utilizarlo como cerca viva. </w:t>
      </w:r>
      <w:r>
        <w:rPr>
          <w:i/>
          <w:color w:val="231F20"/>
        </w:rPr>
        <w:t>Acacia farnesiana </w:t>
      </w:r>
      <w:r>
        <w:rPr>
          <w:color w:val="231F20"/>
        </w:rPr>
        <w:t>es un arbus-    to leguminoso con potencial para ser incluido en   la dieta animal (García </w:t>
      </w:r>
      <w:r>
        <w:rPr>
          <w:i/>
          <w:color w:val="231F20"/>
        </w:rPr>
        <w:t>et al</w:t>
      </w:r>
      <w:r>
        <w:rPr>
          <w:color w:val="231F20"/>
        </w:rPr>
        <w:t>., 2009), pero es una planta no bien vista por los ganaderos, que la con- sideran invasora por su gran capacidad de repro- ducción que resulta en una disminución del área para</w:t>
      </w:r>
      <w:r>
        <w:rPr>
          <w:color w:val="231F20"/>
          <w:spacing w:val="-1"/>
        </w:rPr>
        <w:t> </w:t>
      </w:r>
      <w:r>
        <w:rPr>
          <w:color w:val="231F20"/>
        </w:rPr>
        <w:t>pastos.</w:t>
      </w:r>
    </w:p>
    <w:p>
      <w:pPr>
        <w:pStyle w:val="BodyText"/>
        <w:spacing w:line="256" w:lineRule="auto" w:before="112"/>
        <w:ind w:left="1553"/>
        <w:jc w:val="both"/>
      </w:pPr>
      <w:r>
        <w:rPr>
          <w:color w:val="231F20"/>
        </w:rPr>
        <w:t>Estudios previos ya mostraron que  existen  cua-  tro diferentes subsistemas de producción, todos pertenecientes al doble propósito pero con orien- taciones productivas distintas: centrados en la pro- ducción de leche, centrados en la producción de carne, centrados en la producción de becerros y doble propósito tradicional. La presencia de estos grupos permitió realizar un muestreo estratificado (Hernández </w:t>
      </w:r>
      <w:r>
        <w:rPr>
          <w:i/>
          <w:color w:val="231F20"/>
        </w:rPr>
        <w:t>et al., </w:t>
      </w:r>
      <w:r>
        <w:rPr>
          <w:color w:val="231F20"/>
        </w:rPr>
        <w:t>2004), resultando tres  </w:t>
      </w:r>
      <w:r>
        <w:rPr>
          <w:color w:val="231F20"/>
          <w:spacing w:val="1"/>
        </w:rPr>
        <w:t> </w:t>
      </w:r>
      <w:r>
        <w:rPr>
          <w:color w:val="231F20"/>
        </w:rPr>
        <w:t>unidades</w:t>
      </w:r>
    </w:p>
    <w:p>
      <w:pPr>
        <w:pStyle w:val="BodyText"/>
        <w:spacing w:before="3"/>
        <w:rPr>
          <w:sz w:val="28"/>
        </w:rPr>
      </w:pPr>
      <w:r>
        <w:rPr/>
        <w:br w:type="column"/>
      </w:r>
      <w:r>
        <w:rPr>
          <w:sz w:val="28"/>
        </w:rPr>
      </w:r>
    </w:p>
    <w:p>
      <w:pPr>
        <w:pStyle w:val="BodyText"/>
        <w:spacing w:line="266" w:lineRule="auto"/>
        <w:ind w:left="413" w:right="1551"/>
        <w:jc w:val="both"/>
      </w:pPr>
      <w:r>
        <w:rPr>
          <w:color w:val="231F20"/>
        </w:rPr>
        <w:t>de producción por cada sistema. Para determinar  el tipo de unidades de producción que podrían so- meterse a estudio se establecieron los siguientes criterios: estar registrado en alguna asociación ga- nadera, permitir la visita a su unidad de producción y permitir recorridos en sus áreas pastoriles. A la muestra de productores que aceptaron (Vilaboa </w:t>
      </w:r>
      <w:r>
        <w:rPr>
          <w:i/>
          <w:color w:val="231F20"/>
        </w:rPr>
        <w:t>et </w:t>
      </w:r>
      <w:r>
        <w:rPr>
          <w:i/>
          <w:color w:val="231F20"/>
        </w:rPr>
        <w:t>al., </w:t>
      </w:r>
      <w:r>
        <w:rPr>
          <w:color w:val="231F20"/>
        </w:rPr>
        <w:t>2009) se les aplicó una encuesta semiestruc- turada que recopiló información relacionada con aspectos de tipo general, uso y aprovechamiento del suelo, uso y conocimiento de los árboles y ar- bustos de utilidad forrajera, así como prácticas de regeneración y conservación de las especies arbó- reas presentes en sus unidades de  </w:t>
      </w:r>
      <w:r>
        <w:rPr>
          <w:color w:val="231F20"/>
          <w:spacing w:val="42"/>
        </w:rPr>
        <w:t> </w:t>
      </w:r>
      <w:r>
        <w:rPr>
          <w:color w:val="231F20"/>
        </w:rPr>
        <w:t>producción.</w:t>
      </w:r>
    </w:p>
    <w:p>
      <w:pPr>
        <w:pStyle w:val="BodyText"/>
        <w:spacing w:line="266" w:lineRule="auto" w:before="112"/>
        <w:ind w:left="413" w:right="1551"/>
        <w:jc w:val="both"/>
      </w:pPr>
      <w:r>
        <w:rPr>
          <w:color w:val="231F20"/>
        </w:rPr>
        <w:t>Después de analizar los diferentes índices de di- versidad, de acuerdo con el sistema de producción practicado (Cuadro </w:t>
      </w:r>
      <w:r>
        <w:rPr>
          <w:color w:val="231F20"/>
          <w:spacing w:val="-3"/>
        </w:rPr>
        <w:t>13), </w:t>
      </w:r>
      <w:r>
        <w:rPr>
          <w:color w:val="231F20"/>
        </w:rPr>
        <w:t>se observó que el sistema de doble propósito centrado en la producción de becerros presentó unos buenos índices de diver- sidad vegetal, así como de riqueza de especies, lo cual puede deberse al manejo de su unidad de producción, en la que se destina más de la mitad de su superficie (59%) a zonas de  agostaderos,  con un manejo mínimo (i.e., uso de fertilizantes, herbicidas,  desmonte),  y  se  permite  que</w:t>
      </w:r>
      <w:r>
        <w:rPr>
          <w:color w:val="231F20"/>
          <w:spacing w:val="11"/>
        </w:rPr>
        <w:t> </w:t>
      </w:r>
      <w:r>
        <w:rPr>
          <w:color w:val="231F20"/>
        </w:rPr>
        <w:t>crezcan</w:t>
      </w:r>
    </w:p>
    <w:p>
      <w:pPr>
        <w:spacing w:after="0" w:line="266" w:lineRule="auto"/>
        <w:jc w:val="both"/>
        <w:sectPr>
          <w:type w:val="continuous"/>
          <w:pgSz w:w="11900" w:h="14450"/>
          <w:pgMar w:top="420" w:bottom="420" w:left="0" w:right="0"/>
          <w:cols w:num="2" w:equalWidth="0">
            <w:col w:w="5722" w:space="40"/>
            <w:col w:w="6138"/>
          </w:cols>
        </w:sectPr>
      </w:pPr>
    </w:p>
    <w:p>
      <w:pPr>
        <w:pStyle w:val="BodyText"/>
        <w:spacing w:before="11"/>
        <w:rPr>
          <w:sz w:val="26"/>
        </w:rPr>
      </w:pPr>
    </w:p>
    <w:p>
      <w:pPr>
        <w:spacing w:before="71"/>
        <w:ind w:left="1553" w:right="2503" w:firstLine="0"/>
        <w:jc w:val="left"/>
        <w:rPr>
          <w:sz w:val="18"/>
        </w:rPr>
      </w:pPr>
      <w:r>
        <w:rPr>
          <w:color w:val="231F20"/>
          <w:sz w:val="18"/>
        </w:rPr>
        <w:t>Cuadro 12.        Especies vegetales con mayor índice de valor de importancia (IVI).</w:t>
      </w:r>
    </w:p>
    <w:p>
      <w:pPr>
        <w:pStyle w:val="BodyText"/>
        <w:spacing w:before="10"/>
        <w:rPr>
          <w:sz w:val="11"/>
        </w:rPr>
      </w:pPr>
    </w:p>
    <w:tbl>
      <w:tblPr>
        <w:tblW w:w="0" w:type="auto"/>
        <w:jc w:val="left"/>
        <w:tblInd w:w="15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35"/>
        <w:gridCol w:w="2007"/>
        <w:gridCol w:w="1723"/>
        <w:gridCol w:w="2222"/>
      </w:tblGrid>
      <w:tr>
        <w:trPr>
          <w:trHeight w:val="629" w:hRule="exact"/>
        </w:trPr>
        <w:tc>
          <w:tcPr>
            <w:tcW w:w="2835" w:type="dxa"/>
            <w:tcBorders>
              <w:top w:val="single" w:sz="4" w:space="0" w:color="231F20"/>
              <w:bottom w:val="single" w:sz="4" w:space="0" w:color="231F20"/>
              <w:right w:val="single" w:sz="4" w:space="0" w:color="231F20"/>
            </w:tcBorders>
          </w:tcPr>
          <w:p>
            <w:pPr>
              <w:pStyle w:val="TableParagraph"/>
              <w:spacing w:before="2"/>
              <w:rPr>
                <w:sz w:val="17"/>
              </w:rPr>
            </w:pPr>
          </w:p>
          <w:p>
            <w:pPr>
              <w:pStyle w:val="TableParagraph"/>
              <w:spacing w:before="0"/>
              <w:ind w:left="710"/>
              <w:rPr>
                <w:rFonts w:ascii="Cambria" w:hAnsi="Cambria"/>
                <w:i/>
                <w:sz w:val="18"/>
              </w:rPr>
            </w:pPr>
            <w:r>
              <w:rPr>
                <w:rFonts w:ascii="Cambria" w:hAnsi="Cambria"/>
                <w:i/>
                <w:color w:val="231F20"/>
                <w:w w:val="105"/>
                <w:sz w:val="18"/>
              </w:rPr>
              <w:t>Nombre científico</w:t>
            </w:r>
          </w:p>
        </w:tc>
        <w:tc>
          <w:tcPr>
            <w:tcW w:w="2007" w:type="dxa"/>
            <w:tcBorders>
              <w:top w:val="single" w:sz="4" w:space="0" w:color="231F20"/>
              <w:left w:val="single" w:sz="4" w:space="0" w:color="231F20"/>
              <w:bottom w:val="single" w:sz="4" w:space="0" w:color="231F20"/>
              <w:right w:val="single" w:sz="4" w:space="0" w:color="231F20"/>
            </w:tcBorders>
          </w:tcPr>
          <w:p>
            <w:pPr>
              <w:pStyle w:val="TableParagraph"/>
              <w:spacing w:before="2"/>
              <w:rPr>
                <w:sz w:val="17"/>
              </w:rPr>
            </w:pPr>
          </w:p>
          <w:p>
            <w:pPr>
              <w:pStyle w:val="TableParagraph"/>
              <w:spacing w:before="0"/>
              <w:ind w:left="391"/>
              <w:rPr>
                <w:rFonts w:ascii="Cambria"/>
                <w:i/>
                <w:sz w:val="18"/>
              </w:rPr>
            </w:pPr>
            <w:r>
              <w:rPr>
                <w:rFonts w:ascii="Cambria"/>
                <w:i/>
                <w:color w:val="231F20"/>
                <w:w w:val="105"/>
                <w:sz w:val="18"/>
              </w:rPr>
              <w:t>Nombre vulgar</w:t>
            </w:r>
          </w:p>
        </w:tc>
        <w:tc>
          <w:tcPr>
            <w:tcW w:w="1723" w:type="dxa"/>
            <w:tcBorders>
              <w:top w:val="single" w:sz="4" w:space="0" w:color="231F20"/>
              <w:left w:val="single" w:sz="4" w:space="0" w:color="231F20"/>
              <w:bottom w:val="single" w:sz="4" w:space="0" w:color="231F20"/>
              <w:right w:val="single" w:sz="4" w:space="0" w:color="231F20"/>
            </w:tcBorders>
          </w:tcPr>
          <w:p>
            <w:pPr>
              <w:pStyle w:val="TableParagraph"/>
              <w:spacing w:before="2"/>
              <w:rPr>
                <w:sz w:val="17"/>
              </w:rPr>
            </w:pPr>
          </w:p>
          <w:p>
            <w:pPr>
              <w:pStyle w:val="TableParagraph"/>
              <w:spacing w:before="0"/>
              <w:ind w:left="621" w:right="621"/>
              <w:jc w:val="center"/>
              <w:rPr>
                <w:rFonts w:ascii="Cambria"/>
                <w:i/>
                <w:sz w:val="18"/>
              </w:rPr>
            </w:pPr>
            <w:r>
              <w:rPr>
                <w:rFonts w:ascii="Cambria"/>
                <w:i/>
                <w:color w:val="231F20"/>
                <w:sz w:val="18"/>
              </w:rPr>
              <w:t>IVI</w:t>
            </w:r>
          </w:p>
        </w:tc>
        <w:tc>
          <w:tcPr>
            <w:tcW w:w="2222" w:type="dxa"/>
            <w:tcBorders>
              <w:top w:val="single" w:sz="4" w:space="0" w:color="231F20"/>
              <w:left w:val="single" w:sz="4" w:space="0" w:color="231F20"/>
              <w:bottom w:val="single" w:sz="4" w:space="0" w:color="231F20"/>
            </w:tcBorders>
          </w:tcPr>
          <w:p>
            <w:pPr>
              <w:pStyle w:val="TableParagraph"/>
              <w:spacing w:line="295" w:lineRule="auto" w:before="79"/>
              <w:ind w:left="530" w:right="162" w:hanging="353"/>
              <w:rPr>
                <w:rFonts w:ascii="Cambria" w:hAnsi="Cambria"/>
                <w:i/>
                <w:sz w:val="18"/>
              </w:rPr>
            </w:pPr>
            <w:r>
              <w:rPr>
                <w:rFonts w:ascii="Cambria" w:hAnsi="Cambria"/>
                <w:i/>
                <w:color w:val="231F20"/>
                <w:w w:val="110"/>
                <w:sz w:val="18"/>
              </w:rPr>
              <w:t>Presencia en la unidad </w:t>
            </w:r>
            <w:r>
              <w:rPr>
                <w:rFonts w:ascii="Cambria" w:hAnsi="Cambria"/>
                <w:i/>
                <w:color w:val="231F20"/>
                <w:w w:val="110"/>
                <w:sz w:val="18"/>
              </w:rPr>
              <w:t>de producción</w:t>
            </w:r>
          </w:p>
        </w:tc>
      </w:tr>
      <w:tr>
        <w:trPr>
          <w:trHeight w:val="368" w:hRule="exact"/>
        </w:trPr>
        <w:tc>
          <w:tcPr>
            <w:tcW w:w="2835" w:type="dxa"/>
            <w:tcBorders>
              <w:top w:val="single" w:sz="4" w:space="0" w:color="231F20"/>
              <w:right w:val="single" w:sz="4" w:space="0" w:color="231F20"/>
            </w:tcBorders>
          </w:tcPr>
          <w:p>
            <w:pPr>
              <w:pStyle w:val="TableParagraph"/>
              <w:ind w:left="113"/>
              <w:rPr>
                <w:i/>
                <w:sz w:val="17"/>
              </w:rPr>
            </w:pPr>
            <w:r>
              <w:rPr>
                <w:i/>
                <w:color w:val="231F20"/>
                <w:w w:val="105"/>
                <w:sz w:val="17"/>
              </w:rPr>
              <w:t>Ipomoea murucoides</w:t>
            </w:r>
          </w:p>
        </w:tc>
        <w:tc>
          <w:tcPr>
            <w:tcW w:w="2007" w:type="dxa"/>
            <w:tcBorders>
              <w:top w:val="single" w:sz="4" w:space="0" w:color="231F20"/>
              <w:left w:val="single" w:sz="4" w:space="0" w:color="231F20"/>
              <w:right w:val="single" w:sz="4" w:space="0" w:color="231F20"/>
            </w:tcBorders>
          </w:tcPr>
          <w:p>
            <w:pPr>
              <w:pStyle w:val="TableParagraph"/>
              <w:ind w:left="108"/>
              <w:rPr>
                <w:sz w:val="17"/>
              </w:rPr>
            </w:pPr>
            <w:r>
              <w:rPr>
                <w:color w:val="231F20"/>
                <w:sz w:val="17"/>
              </w:rPr>
              <w:t>Casahuate</w:t>
            </w:r>
          </w:p>
        </w:tc>
        <w:tc>
          <w:tcPr>
            <w:tcW w:w="1723" w:type="dxa"/>
            <w:tcBorders>
              <w:top w:val="single" w:sz="4" w:space="0" w:color="231F20"/>
              <w:left w:val="single" w:sz="4" w:space="0" w:color="231F20"/>
              <w:right w:val="single" w:sz="4" w:space="0" w:color="231F20"/>
            </w:tcBorders>
          </w:tcPr>
          <w:p>
            <w:pPr>
              <w:pStyle w:val="TableParagraph"/>
              <w:ind w:left="621" w:right="621"/>
              <w:jc w:val="center"/>
              <w:rPr>
                <w:sz w:val="17"/>
              </w:rPr>
            </w:pPr>
            <w:r>
              <w:rPr>
                <w:color w:val="231F20"/>
                <w:w w:val="110"/>
                <w:sz w:val="17"/>
              </w:rPr>
              <w:t>0,798</w:t>
            </w:r>
          </w:p>
        </w:tc>
        <w:tc>
          <w:tcPr>
            <w:tcW w:w="2222" w:type="dxa"/>
            <w:tcBorders>
              <w:top w:val="single" w:sz="4" w:space="0" w:color="231F20"/>
              <w:left w:val="single" w:sz="4" w:space="0" w:color="231F20"/>
            </w:tcBorders>
          </w:tcPr>
          <w:p>
            <w:pPr>
              <w:pStyle w:val="TableParagraph"/>
              <w:ind w:left="80"/>
              <w:jc w:val="center"/>
              <w:rPr>
                <w:sz w:val="17"/>
              </w:rPr>
            </w:pPr>
            <w:r>
              <w:rPr>
                <w:color w:val="231F20"/>
                <w:w w:val="115"/>
                <w:sz w:val="17"/>
              </w:rPr>
              <w:t>2</w:t>
            </w:r>
          </w:p>
        </w:tc>
      </w:tr>
      <w:tr>
        <w:trPr>
          <w:trHeight w:val="354" w:hRule="exact"/>
        </w:trPr>
        <w:tc>
          <w:tcPr>
            <w:tcW w:w="2835" w:type="dxa"/>
            <w:tcBorders>
              <w:right w:val="single" w:sz="4" w:space="0" w:color="231F20"/>
            </w:tcBorders>
          </w:tcPr>
          <w:p>
            <w:pPr>
              <w:pStyle w:val="TableParagraph"/>
              <w:spacing w:before="63"/>
              <w:ind w:left="113"/>
              <w:rPr>
                <w:i/>
                <w:sz w:val="17"/>
              </w:rPr>
            </w:pPr>
            <w:r>
              <w:rPr>
                <w:i/>
                <w:color w:val="231F20"/>
                <w:w w:val="105"/>
                <w:sz w:val="17"/>
              </w:rPr>
              <w:t>Acacia farnesiana</w:t>
            </w:r>
          </w:p>
        </w:tc>
        <w:tc>
          <w:tcPr>
            <w:tcW w:w="2007" w:type="dxa"/>
            <w:tcBorders>
              <w:left w:val="single" w:sz="4" w:space="0" w:color="231F20"/>
              <w:right w:val="single" w:sz="4" w:space="0" w:color="231F20"/>
            </w:tcBorders>
          </w:tcPr>
          <w:p>
            <w:pPr>
              <w:pStyle w:val="TableParagraph"/>
              <w:spacing w:before="64"/>
              <w:ind w:left="108"/>
              <w:rPr>
                <w:sz w:val="17"/>
              </w:rPr>
            </w:pPr>
            <w:r>
              <w:rPr>
                <w:color w:val="231F20"/>
                <w:w w:val="105"/>
                <w:sz w:val="17"/>
              </w:rPr>
              <w:t>Huizache</w:t>
            </w:r>
          </w:p>
        </w:tc>
        <w:tc>
          <w:tcPr>
            <w:tcW w:w="1723" w:type="dxa"/>
            <w:tcBorders>
              <w:left w:val="single" w:sz="4" w:space="0" w:color="231F20"/>
              <w:right w:val="single" w:sz="4" w:space="0" w:color="231F20"/>
            </w:tcBorders>
          </w:tcPr>
          <w:p>
            <w:pPr>
              <w:pStyle w:val="TableParagraph"/>
              <w:spacing w:before="64"/>
              <w:ind w:left="621" w:right="621"/>
              <w:jc w:val="center"/>
              <w:rPr>
                <w:sz w:val="17"/>
              </w:rPr>
            </w:pPr>
            <w:r>
              <w:rPr>
                <w:color w:val="231F20"/>
                <w:w w:val="110"/>
                <w:sz w:val="17"/>
              </w:rPr>
              <w:t>0,603</w:t>
            </w:r>
          </w:p>
        </w:tc>
        <w:tc>
          <w:tcPr>
            <w:tcW w:w="2222" w:type="dxa"/>
            <w:tcBorders>
              <w:left w:val="single" w:sz="4" w:space="0" w:color="231F20"/>
            </w:tcBorders>
          </w:tcPr>
          <w:p>
            <w:pPr>
              <w:pStyle w:val="TableParagraph"/>
              <w:spacing w:before="64"/>
              <w:ind w:left="984" w:right="994"/>
              <w:jc w:val="center"/>
              <w:rPr>
                <w:sz w:val="17"/>
              </w:rPr>
            </w:pPr>
            <w:r>
              <w:rPr>
                <w:color w:val="231F20"/>
                <w:w w:val="115"/>
                <w:sz w:val="17"/>
              </w:rPr>
              <w:t>10</w:t>
            </w:r>
          </w:p>
        </w:tc>
      </w:tr>
      <w:tr>
        <w:trPr>
          <w:trHeight w:val="354" w:hRule="exact"/>
        </w:trPr>
        <w:tc>
          <w:tcPr>
            <w:tcW w:w="2835" w:type="dxa"/>
            <w:tcBorders>
              <w:right w:val="single" w:sz="4" w:space="0" w:color="231F20"/>
            </w:tcBorders>
          </w:tcPr>
          <w:p>
            <w:pPr>
              <w:pStyle w:val="TableParagraph"/>
              <w:spacing w:before="64"/>
              <w:ind w:left="113"/>
              <w:rPr>
                <w:sz w:val="17"/>
              </w:rPr>
            </w:pPr>
            <w:r>
              <w:rPr>
                <w:color w:val="231F20"/>
                <w:w w:val="110"/>
                <w:sz w:val="17"/>
              </w:rPr>
              <w:t>NC</w:t>
            </w:r>
          </w:p>
        </w:tc>
        <w:tc>
          <w:tcPr>
            <w:tcW w:w="2007" w:type="dxa"/>
            <w:tcBorders>
              <w:left w:val="single" w:sz="4" w:space="0" w:color="231F20"/>
              <w:right w:val="single" w:sz="4" w:space="0" w:color="231F20"/>
            </w:tcBorders>
          </w:tcPr>
          <w:p>
            <w:pPr>
              <w:pStyle w:val="TableParagraph"/>
              <w:spacing w:before="64"/>
              <w:ind w:left="108"/>
              <w:rPr>
                <w:sz w:val="17"/>
              </w:rPr>
            </w:pPr>
            <w:r>
              <w:rPr>
                <w:color w:val="231F20"/>
                <w:sz w:val="17"/>
              </w:rPr>
              <w:t>Tepechia</w:t>
            </w:r>
          </w:p>
        </w:tc>
        <w:tc>
          <w:tcPr>
            <w:tcW w:w="1723" w:type="dxa"/>
            <w:tcBorders>
              <w:left w:val="single" w:sz="4" w:space="0" w:color="231F20"/>
              <w:right w:val="single" w:sz="4" w:space="0" w:color="231F20"/>
            </w:tcBorders>
          </w:tcPr>
          <w:p>
            <w:pPr>
              <w:pStyle w:val="TableParagraph"/>
              <w:spacing w:before="64"/>
              <w:ind w:left="621" w:right="622"/>
              <w:jc w:val="center"/>
              <w:rPr>
                <w:sz w:val="17"/>
              </w:rPr>
            </w:pPr>
            <w:r>
              <w:rPr>
                <w:color w:val="231F20"/>
                <w:w w:val="110"/>
                <w:sz w:val="17"/>
              </w:rPr>
              <w:t>0,320</w:t>
            </w:r>
          </w:p>
        </w:tc>
        <w:tc>
          <w:tcPr>
            <w:tcW w:w="2222" w:type="dxa"/>
            <w:tcBorders>
              <w:left w:val="single" w:sz="4" w:space="0" w:color="231F20"/>
            </w:tcBorders>
          </w:tcPr>
          <w:p>
            <w:pPr>
              <w:pStyle w:val="TableParagraph"/>
              <w:spacing w:before="64"/>
              <w:ind w:left="80"/>
              <w:jc w:val="center"/>
              <w:rPr>
                <w:sz w:val="17"/>
              </w:rPr>
            </w:pPr>
            <w:r>
              <w:rPr>
                <w:color w:val="231F20"/>
                <w:w w:val="115"/>
                <w:sz w:val="17"/>
              </w:rPr>
              <w:t>3</w:t>
            </w:r>
          </w:p>
        </w:tc>
      </w:tr>
      <w:tr>
        <w:trPr>
          <w:trHeight w:val="354" w:hRule="exact"/>
        </w:trPr>
        <w:tc>
          <w:tcPr>
            <w:tcW w:w="2835" w:type="dxa"/>
            <w:tcBorders>
              <w:right w:val="single" w:sz="4" w:space="0" w:color="231F20"/>
            </w:tcBorders>
          </w:tcPr>
          <w:p>
            <w:pPr>
              <w:pStyle w:val="TableParagraph"/>
              <w:spacing w:before="63"/>
              <w:ind w:left="113"/>
              <w:rPr>
                <w:i/>
                <w:sz w:val="17"/>
              </w:rPr>
            </w:pPr>
            <w:r>
              <w:rPr>
                <w:i/>
                <w:color w:val="231F20"/>
                <w:w w:val="105"/>
                <w:sz w:val="17"/>
              </w:rPr>
              <w:t>Guazuma ulmifolia</w:t>
            </w:r>
          </w:p>
        </w:tc>
        <w:tc>
          <w:tcPr>
            <w:tcW w:w="2007" w:type="dxa"/>
            <w:tcBorders>
              <w:left w:val="single" w:sz="4" w:space="0" w:color="231F20"/>
              <w:right w:val="single" w:sz="4" w:space="0" w:color="231F20"/>
            </w:tcBorders>
          </w:tcPr>
          <w:p>
            <w:pPr>
              <w:pStyle w:val="TableParagraph"/>
              <w:spacing w:before="64"/>
              <w:ind w:left="108"/>
              <w:rPr>
                <w:sz w:val="17"/>
              </w:rPr>
            </w:pPr>
            <w:r>
              <w:rPr>
                <w:color w:val="231F20"/>
                <w:w w:val="105"/>
                <w:sz w:val="17"/>
              </w:rPr>
              <w:t>Guazima</w:t>
            </w:r>
          </w:p>
        </w:tc>
        <w:tc>
          <w:tcPr>
            <w:tcW w:w="1723" w:type="dxa"/>
            <w:tcBorders>
              <w:left w:val="single" w:sz="4" w:space="0" w:color="231F20"/>
              <w:right w:val="single" w:sz="4" w:space="0" w:color="231F20"/>
            </w:tcBorders>
          </w:tcPr>
          <w:p>
            <w:pPr>
              <w:pStyle w:val="TableParagraph"/>
              <w:spacing w:before="64"/>
              <w:ind w:left="621" w:right="621"/>
              <w:jc w:val="center"/>
              <w:rPr>
                <w:sz w:val="17"/>
              </w:rPr>
            </w:pPr>
            <w:r>
              <w:rPr>
                <w:color w:val="231F20"/>
                <w:w w:val="110"/>
                <w:sz w:val="17"/>
              </w:rPr>
              <w:t>0,653</w:t>
            </w:r>
          </w:p>
        </w:tc>
        <w:tc>
          <w:tcPr>
            <w:tcW w:w="2222" w:type="dxa"/>
            <w:tcBorders>
              <w:left w:val="single" w:sz="4" w:space="0" w:color="231F20"/>
            </w:tcBorders>
          </w:tcPr>
          <w:p>
            <w:pPr>
              <w:pStyle w:val="TableParagraph"/>
              <w:spacing w:before="64"/>
              <w:ind w:left="80"/>
              <w:jc w:val="center"/>
              <w:rPr>
                <w:sz w:val="17"/>
              </w:rPr>
            </w:pPr>
            <w:r>
              <w:rPr>
                <w:color w:val="231F20"/>
                <w:w w:val="115"/>
                <w:sz w:val="17"/>
              </w:rPr>
              <w:t>5</w:t>
            </w:r>
          </w:p>
        </w:tc>
      </w:tr>
      <w:tr>
        <w:trPr>
          <w:trHeight w:val="354" w:hRule="exact"/>
        </w:trPr>
        <w:tc>
          <w:tcPr>
            <w:tcW w:w="2835" w:type="dxa"/>
            <w:tcBorders>
              <w:right w:val="single" w:sz="4" w:space="0" w:color="231F20"/>
            </w:tcBorders>
          </w:tcPr>
          <w:p>
            <w:pPr>
              <w:pStyle w:val="TableParagraph"/>
              <w:spacing w:before="64"/>
              <w:ind w:left="113"/>
              <w:rPr>
                <w:sz w:val="17"/>
              </w:rPr>
            </w:pPr>
            <w:r>
              <w:rPr>
                <w:color w:val="231F20"/>
                <w:w w:val="110"/>
                <w:sz w:val="17"/>
              </w:rPr>
              <w:t>NC</w:t>
            </w:r>
          </w:p>
        </w:tc>
        <w:tc>
          <w:tcPr>
            <w:tcW w:w="2007" w:type="dxa"/>
            <w:tcBorders>
              <w:left w:val="single" w:sz="4" w:space="0" w:color="231F20"/>
              <w:right w:val="single" w:sz="4" w:space="0" w:color="231F20"/>
            </w:tcBorders>
          </w:tcPr>
          <w:p>
            <w:pPr>
              <w:pStyle w:val="TableParagraph"/>
              <w:spacing w:before="64"/>
              <w:ind w:left="108"/>
              <w:rPr>
                <w:sz w:val="17"/>
              </w:rPr>
            </w:pPr>
            <w:r>
              <w:rPr>
                <w:color w:val="231F20"/>
                <w:sz w:val="17"/>
              </w:rPr>
              <w:t>Cabrigo</w:t>
            </w:r>
          </w:p>
        </w:tc>
        <w:tc>
          <w:tcPr>
            <w:tcW w:w="1723" w:type="dxa"/>
            <w:tcBorders>
              <w:left w:val="single" w:sz="4" w:space="0" w:color="231F20"/>
              <w:right w:val="single" w:sz="4" w:space="0" w:color="231F20"/>
            </w:tcBorders>
          </w:tcPr>
          <w:p>
            <w:pPr>
              <w:pStyle w:val="TableParagraph"/>
              <w:spacing w:before="64"/>
              <w:ind w:left="621" w:right="621"/>
              <w:jc w:val="center"/>
              <w:rPr>
                <w:sz w:val="17"/>
              </w:rPr>
            </w:pPr>
            <w:r>
              <w:rPr>
                <w:color w:val="231F20"/>
                <w:w w:val="110"/>
                <w:sz w:val="17"/>
              </w:rPr>
              <w:t>0,638</w:t>
            </w:r>
          </w:p>
        </w:tc>
        <w:tc>
          <w:tcPr>
            <w:tcW w:w="2222" w:type="dxa"/>
            <w:tcBorders>
              <w:left w:val="single" w:sz="4" w:space="0" w:color="231F20"/>
            </w:tcBorders>
          </w:tcPr>
          <w:p>
            <w:pPr>
              <w:pStyle w:val="TableParagraph"/>
              <w:spacing w:before="64"/>
              <w:ind w:left="80"/>
              <w:jc w:val="center"/>
              <w:rPr>
                <w:sz w:val="17"/>
              </w:rPr>
            </w:pPr>
            <w:r>
              <w:rPr>
                <w:color w:val="231F20"/>
                <w:w w:val="115"/>
                <w:sz w:val="17"/>
              </w:rPr>
              <w:t>3</w:t>
            </w:r>
          </w:p>
        </w:tc>
      </w:tr>
      <w:tr>
        <w:trPr>
          <w:trHeight w:val="354" w:hRule="exact"/>
        </w:trPr>
        <w:tc>
          <w:tcPr>
            <w:tcW w:w="2835" w:type="dxa"/>
            <w:tcBorders>
              <w:right w:val="single" w:sz="4" w:space="0" w:color="231F20"/>
            </w:tcBorders>
          </w:tcPr>
          <w:p>
            <w:pPr>
              <w:pStyle w:val="TableParagraph"/>
              <w:spacing w:before="63"/>
              <w:ind w:left="113"/>
              <w:rPr>
                <w:i/>
                <w:sz w:val="17"/>
              </w:rPr>
            </w:pPr>
            <w:r>
              <w:rPr>
                <w:i/>
                <w:color w:val="231F20"/>
                <w:sz w:val="17"/>
              </w:rPr>
              <w:t>Lysiloma divaricata</w:t>
            </w:r>
          </w:p>
        </w:tc>
        <w:tc>
          <w:tcPr>
            <w:tcW w:w="2007" w:type="dxa"/>
            <w:tcBorders>
              <w:left w:val="single" w:sz="4" w:space="0" w:color="231F20"/>
              <w:right w:val="single" w:sz="4" w:space="0" w:color="231F20"/>
            </w:tcBorders>
          </w:tcPr>
          <w:p>
            <w:pPr>
              <w:pStyle w:val="TableParagraph"/>
              <w:spacing w:before="64"/>
              <w:ind w:left="108"/>
              <w:rPr>
                <w:sz w:val="17"/>
              </w:rPr>
            </w:pPr>
            <w:r>
              <w:rPr>
                <w:color w:val="231F20"/>
                <w:sz w:val="17"/>
              </w:rPr>
              <w:t>Cuitaz</w:t>
            </w:r>
          </w:p>
        </w:tc>
        <w:tc>
          <w:tcPr>
            <w:tcW w:w="1723" w:type="dxa"/>
            <w:tcBorders>
              <w:left w:val="single" w:sz="4" w:space="0" w:color="231F20"/>
              <w:right w:val="single" w:sz="4" w:space="0" w:color="231F20"/>
            </w:tcBorders>
          </w:tcPr>
          <w:p>
            <w:pPr>
              <w:pStyle w:val="TableParagraph"/>
              <w:spacing w:before="64"/>
              <w:ind w:left="621" w:right="622"/>
              <w:jc w:val="center"/>
              <w:rPr>
                <w:sz w:val="17"/>
              </w:rPr>
            </w:pPr>
            <w:r>
              <w:rPr>
                <w:color w:val="231F20"/>
                <w:w w:val="110"/>
                <w:sz w:val="17"/>
              </w:rPr>
              <w:t>0,531</w:t>
            </w:r>
          </w:p>
        </w:tc>
        <w:tc>
          <w:tcPr>
            <w:tcW w:w="2222" w:type="dxa"/>
            <w:tcBorders>
              <w:left w:val="single" w:sz="4" w:space="0" w:color="231F20"/>
            </w:tcBorders>
          </w:tcPr>
          <w:p>
            <w:pPr>
              <w:pStyle w:val="TableParagraph"/>
              <w:spacing w:before="64"/>
              <w:ind w:left="80"/>
              <w:jc w:val="center"/>
              <w:rPr>
                <w:sz w:val="17"/>
              </w:rPr>
            </w:pPr>
            <w:r>
              <w:rPr>
                <w:color w:val="231F20"/>
                <w:w w:val="115"/>
                <w:sz w:val="17"/>
              </w:rPr>
              <w:t>7</w:t>
            </w:r>
          </w:p>
        </w:tc>
      </w:tr>
      <w:tr>
        <w:trPr>
          <w:trHeight w:val="354" w:hRule="exact"/>
        </w:trPr>
        <w:tc>
          <w:tcPr>
            <w:tcW w:w="2835" w:type="dxa"/>
            <w:tcBorders>
              <w:right w:val="single" w:sz="4" w:space="0" w:color="231F20"/>
            </w:tcBorders>
          </w:tcPr>
          <w:p>
            <w:pPr>
              <w:pStyle w:val="TableParagraph"/>
              <w:spacing w:before="63"/>
              <w:ind w:left="113"/>
              <w:rPr>
                <w:i/>
                <w:sz w:val="17"/>
              </w:rPr>
            </w:pPr>
            <w:r>
              <w:rPr>
                <w:i/>
                <w:color w:val="231F20"/>
                <w:sz w:val="17"/>
              </w:rPr>
              <w:t>Haematoxylon brasiletto</w:t>
            </w:r>
          </w:p>
        </w:tc>
        <w:tc>
          <w:tcPr>
            <w:tcW w:w="2007" w:type="dxa"/>
            <w:tcBorders>
              <w:left w:val="single" w:sz="4" w:space="0" w:color="231F20"/>
              <w:right w:val="single" w:sz="4" w:space="0" w:color="231F20"/>
            </w:tcBorders>
          </w:tcPr>
          <w:p>
            <w:pPr>
              <w:pStyle w:val="TableParagraph"/>
              <w:spacing w:before="64"/>
              <w:ind w:left="108"/>
              <w:rPr>
                <w:sz w:val="17"/>
              </w:rPr>
            </w:pPr>
            <w:r>
              <w:rPr>
                <w:color w:val="231F20"/>
                <w:sz w:val="17"/>
              </w:rPr>
              <w:t>Palo Brasil</w:t>
            </w:r>
          </w:p>
        </w:tc>
        <w:tc>
          <w:tcPr>
            <w:tcW w:w="1723" w:type="dxa"/>
            <w:tcBorders>
              <w:left w:val="single" w:sz="4" w:space="0" w:color="231F20"/>
              <w:right w:val="single" w:sz="4" w:space="0" w:color="231F20"/>
            </w:tcBorders>
          </w:tcPr>
          <w:p>
            <w:pPr>
              <w:pStyle w:val="TableParagraph"/>
              <w:spacing w:before="64"/>
              <w:ind w:left="618" w:right="623"/>
              <w:jc w:val="center"/>
              <w:rPr>
                <w:sz w:val="17"/>
              </w:rPr>
            </w:pPr>
            <w:r>
              <w:rPr>
                <w:color w:val="231F20"/>
                <w:w w:val="110"/>
                <w:sz w:val="17"/>
              </w:rPr>
              <w:t>0,716</w:t>
            </w:r>
          </w:p>
        </w:tc>
        <w:tc>
          <w:tcPr>
            <w:tcW w:w="2222" w:type="dxa"/>
            <w:tcBorders>
              <w:left w:val="single" w:sz="4" w:space="0" w:color="231F20"/>
            </w:tcBorders>
          </w:tcPr>
          <w:p>
            <w:pPr>
              <w:pStyle w:val="TableParagraph"/>
              <w:spacing w:before="64"/>
              <w:ind w:left="80"/>
              <w:jc w:val="center"/>
              <w:rPr>
                <w:sz w:val="17"/>
              </w:rPr>
            </w:pPr>
            <w:r>
              <w:rPr>
                <w:color w:val="231F20"/>
                <w:w w:val="115"/>
                <w:sz w:val="17"/>
              </w:rPr>
              <w:t>2</w:t>
            </w:r>
          </w:p>
        </w:tc>
      </w:tr>
      <w:tr>
        <w:trPr>
          <w:trHeight w:val="339" w:hRule="exact"/>
        </w:trPr>
        <w:tc>
          <w:tcPr>
            <w:tcW w:w="2835" w:type="dxa"/>
            <w:tcBorders>
              <w:bottom w:val="single" w:sz="4" w:space="0" w:color="231F20"/>
              <w:right w:val="single" w:sz="4" w:space="0" w:color="231F20"/>
            </w:tcBorders>
          </w:tcPr>
          <w:p>
            <w:pPr>
              <w:pStyle w:val="TableParagraph"/>
              <w:spacing w:before="63"/>
              <w:ind w:left="113"/>
              <w:rPr>
                <w:i/>
                <w:sz w:val="17"/>
              </w:rPr>
            </w:pPr>
            <w:r>
              <w:rPr>
                <w:i/>
                <w:color w:val="231F20"/>
                <w:w w:val="105"/>
                <w:sz w:val="17"/>
              </w:rPr>
              <w:t>Ceiba pentandra</w:t>
            </w:r>
          </w:p>
        </w:tc>
        <w:tc>
          <w:tcPr>
            <w:tcW w:w="2007" w:type="dxa"/>
            <w:tcBorders>
              <w:left w:val="single" w:sz="4" w:space="0" w:color="231F20"/>
              <w:bottom w:val="single" w:sz="4" w:space="0" w:color="231F20"/>
              <w:right w:val="single" w:sz="4" w:space="0" w:color="231F20"/>
            </w:tcBorders>
          </w:tcPr>
          <w:p>
            <w:pPr>
              <w:pStyle w:val="TableParagraph"/>
              <w:spacing w:before="64"/>
              <w:ind w:left="108"/>
              <w:rPr>
                <w:sz w:val="17"/>
              </w:rPr>
            </w:pPr>
            <w:r>
              <w:rPr>
                <w:color w:val="231F20"/>
                <w:sz w:val="17"/>
              </w:rPr>
              <w:t>Pochote</w:t>
            </w:r>
          </w:p>
        </w:tc>
        <w:tc>
          <w:tcPr>
            <w:tcW w:w="1723" w:type="dxa"/>
            <w:tcBorders>
              <w:left w:val="single" w:sz="4" w:space="0" w:color="231F20"/>
              <w:bottom w:val="single" w:sz="4" w:space="0" w:color="231F20"/>
              <w:right w:val="single" w:sz="4" w:space="0" w:color="231F20"/>
            </w:tcBorders>
          </w:tcPr>
          <w:p>
            <w:pPr>
              <w:pStyle w:val="TableParagraph"/>
              <w:spacing w:before="64"/>
              <w:ind w:left="621" w:right="621"/>
              <w:jc w:val="center"/>
              <w:rPr>
                <w:sz w:val="17"/>
              </w:rPr>
            </w:pPr>
            <w:r>
              <w:rPr>
                <w:color w:val="231F20"/>
                <w:w w:val="110"/>
                <w:sz w:val="17"/>
              </w:rPr>
              <w:t>0,263</w:t>
            </w:r>
          </w:p>
        </w:tc>
        <w:tc>
          <w:tcPr>
            <w:tcW w:w="2222" w:type="dxa"/>
            <w:tcBorders>
              <w:left w:val="single" w:sz="4" w:space="0" w:color="231F20"/>
              <w:bottom w:val="single" w:sz="4" w:space="0" w:color="231F20"/>
            </w:tcBorders>
          </w:tcPr>
          <w:p>
            <w:pPr>
              <w:pStyle w:val="TableParagraph"/>
              <w:spacing w:before="64"/>
              <w:ind w:left="80"/>
              <w:jc w:val="center"/>
              <w:rPr>
                <w:sz w:val="17"/>
              </w:rPr>
            </w:pPr>
            <w:r>
              <w:rPr>
                <w:color w:val="231F20"/>
                <w:w w:val="115"/>
                <w:sz w:val="17"/>
              </w:rPr>
              <w:t>2</w:t>
            </w:r>
          </w:p>
        </w:tc>
      </w:tr>
    </w:tbl>
    <w:p>
      <w:pPr>
        <w:spacing w:after="0"/>
        <w:jc w:val="center"/>
        <w:rPr>
          <w:sz w:val="17"/>
        </w:rPr>
        <w:sectPr>
          <w:type w:val="continuous"/>
          <w:pgSz w:w="11900" w:h="14450"/>
          <w:pgMar w:top="420" w:bottom="420" w:left="0" w:right="0"/>
        </w:sectPr>
      </w:pPr>
    </w:p>
    <w:p>
      <w:pPr>
        <w:pStyle w:val="BodyText"/>
      </w:pPr>
    </w:p>
    <w:p>
      <w:pPr>
        <w:pStyle w:val="BodyText"/>
      </w:pPr>
    </w:p>
    <w:p>
      <w:pPr>
        <w:pStyle w:val="BodyText"/>
        <w:rPr>
          <w:sz w:val="17"/>
        </w:rPr>
      </w:pPr>
    </w:p>
    <w:p>
      <w:pPr>
        <w:tabs>
          <w:tab w:pos="7285" w:val="left" w:leader="none"/>
        </w:tabs>
        <w:spacing w:before="64"/>
        <w:ind w:left="1551" w:right="0" w:firstLine="0"/>
        <w:jc w:val="left"/>
        <w:rPr>
          <w:sz w:val="12"/>
        </w:rPr>
      </w:pPr>
      <w:r>
        <w:rPr>
          <w:color w:val="231F20"/>
          <w:spacing w:val="-6"/>
          <w:w w:val="120"/>
          <w:sz w:val="22"/>
        </w:rPr>
        <w:t>116</w:t>
        <w:tab/>
      </w:r>
      <w:r>
        <w:rPr>
          <w:color w:val="231F20"/>
          <w:w w:val="120"/>
          <w:sz w:val="18"/>
        </w:rPr>
        <w:t>SECCIÓN 2.  B. S</w:t>
      </w:r>
      <w:r>
        <w:rPr>
          <w:color w:val="231F20"/>
          <w:w w:val="120"/>
          <w:sz w:val="12"/>
        </w:rPr>
        <w:t>iStemaS de doBle</w:t>
      </w:r>
      <w:r>
        <w:rPr>
          <w:color w:val="231F20"/>
          <w:spacing w:val="18"/>
          <w:w w:val="120"/>
          <w:sz w:val="12"/>
        </w:rPr>
        <w:t> </w:t>
      </w:r>
      <w:r>
        <w:rPr>
          <w:color w:val="231F20"/>
          <w:w w:val="120"/>
          <w:sz w:val="12"/>
        </w:rPr>
        <w:t>propóSito</w:t>
      </w:r>
    </w:p>
    <w:p>
      <w:pPr>
        <w:pStyle w:val="BodyText"/>
        <w:spacing w:before="9"/>
        <w:rPr>
          <w:sz w:val="22"/>
        </w:rPr>
      </w:pPr>
    </w:p>
    <w:p>
      <w:pPr>
        <w:spacing w:before="71"/>
        <w:ind w:left="1551" w:right="2503" w:firstLine="0"/>
        <w:jc w:val="left"/>
        <w:rPr>
          <w:sz w:val="18"/>
        </w:rPr>
      </w:pPr>
      <w:r>
        <w:rPr>
          <w:color w:val="231F20"/>
          <w:sz w:val="18"/>
        </w:rPr>
        <w:t>Cuadro 13.       Índices de diversidad y riqueza vegetal por grupos de productores.</w:t>
      </w:r>
    </w:p>
    <w:p>
      <w:pPr>
        <w:pStyle w:val="BodyText"/>
        <w:spacing w:before="10"/>
        <w:rPr>
          <w:sz w:val="11"/>
        </w:rPr>
      </w:pPr>
    </w:p>
    <w:tbl>
      <w:tblPr>
        <w:tblW w:w="0" w:type="auto"/>
        <w:jc w:val="left"/>
        <w:tblInd w:w="154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57"/>
        <w:gridCol w:w="1757"/>
        <w:gridCol w:w="1757"/>
        <w:gridCol w:w="1757"/>
        <w:gridCol w:w="1757"/>
      </w:tblGrid>
      <w:tr>
        <w:trPr>
          <w:trHeight w:val="369" w:hRule="exact"/>
        </w:trPr>
        <w:tc>
          <w:tcPr>
            <w:tcW w:w="1757" w:type="dxa"/>
            <w:tcBorders>
              <w:left w:val="nil"/>
            </w:tcBorders>
          </w:tcPr>
          <w:p>
            <w:pPr>
              <w:pStyle w:val="TableParagraph"/>
              <w:spacing w:before="79"/>
              <w:ind w:left="507" w:right="502"/>
              <w:jc w:val="center"/>
              <w:rPr>
                <w:rFonts w:ascii="Cambria"/>
                <w:i/>
                <w:sz w:val="18"/>
              </w:rPr>
            </w:pPr>
            <w:r>
              <w:rPr>
                <w:rFonts w:ascii="Cambria"/>
                <w:i/>
                <w:color w:val="231F20"/>
                <w:w w:val="110"/>
                <w:sz w:val="18"/>
              </w:rPr>
              <w:t>Grupo</w:t>
            </w:r>
          </w:p>
        </w:tc>
        <w:tc>
          <w:tcPr>
            <w:tcW w:w="1757" w:type="dxa"/>
          </w:tcPr>
          <w:p>
            <w:pPr>
              <w:pStyle w:val="TableParagraph"/>
              <w:spacing w:before="79"/>
              <w:ind w:left="161" w:right="161"/>
              <w:jc w:val="center"/>
              <w:rPr>
                <w:rFonts w:ascii="Cambria"/>
                <w:i/>
                <w:sz w:val="18"/>
              </w:rPr>
            </w:pPr>
            <w:r>
              <w:rPr>
                <w:rFonts w:ascii="Cambria"/>
                <w:i/>
                <w:color w:val="231F20"/>
                <w:w w:val="105"/>
                <w:sz w:val="18"/>
              </w:rPr>
              <w:t>Margalef</w:t>
            </w:r>
          </w:p>
        </w:tc>
        <w:tc>
          <w:tcPr>
            <w:tcW w:w="1757" w:type="dxa"/>
          </w:tcPr>
          <w:p>
            <w:pPr>
              <w:pStyle w:val="TableParagraph"/>
              <w:spacing w:before="79"/>
              <w:ind w:left="161" w:right="161"/>
              <w:jc w:val="center"/>
              <w:rPr>
                <w:rFonts w:ascii="Cambria"/>
                <w:i/>
                <w:sz w:val="18"/>
              </w:rPr>
            </w:pPr>
            <w:r>
              <w:rPr>
                <w:rFonts w:ascii="Cambria"/>
                <w:i/>
                <w:color w:val="231F20"/>
                <w:w w:val="105"/>
                <w:sz w:val="18"/>
              </w:rPr>
              <w:t>Menhinick</w:t>
            </w:r>
          </w:p>
        </w:tc>
        <w:tc>
          <w:tcPr>
            <w:tcW w:w="1757" w:type="dxa"/>
          </w:tcPr>
          <w:p>
            <w:pPr>
              <w:pStyle w:val="TableParagraph"/>
              <w:spacing w:before="79"/>
              <w:ind w:left="161" w:right="161"/>
              <w:jc w:val="center"/>
              <w:rPr>
                <w:rFonts w:ascii="Cambria"/>
                <w:i/>
                <w:sz w:val="18"/>
              </w:rPr>
            </w:pPr>
            <w:r>
              <w:rPr>
                <w:rFonts w:ascii="Cambria"/>
                <w:i/>
                <w:color w:val="231F20"/>
                <w:w w:val="110"/>
                <w:sz w:val="18"/>
              </w:rPr>
              <w:t>Shanon-Weinner</w:t>
            </w:r>
          </w:p>
        </w:tc>
        <w:tc>
          <w:tcPr>
            <w:tcW w:w="1757" w:type="dxa"/>
            <w:tcBorders>
              <w:right w:val="nil"/>
            </w:tcBorders>
          </w:tcPr>
          <w:p>
            <w:pPr>
              <w:pStyle w:val="TableParagraph"/>
              <w:spacing w:before="79"/>
              <w:ind w:left="507" w:right="511"/>
              <w:jc w:val="center"/>
              <w:rPr>
                <w:rFonts w:ascii="Cambria"/>
                <w:i/>
                <w:sz w:val="18"/>
              </w:rPr>
            </w:pPr>
            <w:r>
              <w:rPr>
                <w:rFonts w:ascii="Cambria"/>
                <w:i/>
                <w:color w:val="231F20"/>
                <w:w w:val="110"/>
                <w:sz w:val="18"/>
              </w:rPr>
              <w:t>Simpson</w:t>
            </w:r>
          </w:p>
        </w:tc>
      </w:tr>
      <w:tr>
        <w:trPr>
          <w:trHeight w:val="369" w:hRule="exact"/>
        </w:trPr>
        <w:tc>
          <w:tcPr>
            <w:tcW w:w="1757" w:type="dxa"/>
            <w:tcBorders>
              <w:left w:val="nil"/>
              <w:bottom w:val="nil"/>
            </w:tcBorders>
          </w:tcPr>
          <w:p>
            <w:pPr>
              <w:pStyle w:val="TableParagraph"/>
              <w:ind w:left="113"/>
              <w:rPr>
                <w:sz w:val="17"/>
              </w:rPr>
            </w:pPr>
            <w:r>
              <w:rPr>
                <w:color w:val="231F20"/>
                <w:sz w:val="17"/>
              </w:rPr>
              <w:t>Rango</w:t>
            </w:r>
          </w:p>
        </w:tc>
        <w:tc>
          <w:tcPr>
            <w:tcW w:w="1757" w:type="dxa"/>
            <w:tcBorders>
              <w:bottom w:val="nil"/>
            </w:tcBorders>
          </w:tcPr>
          <w:p>
            <w:pPr>
              <w:pStyle w:val="TableParagraph"/>
              <w:ind w:left="161" w:right="161"/>
              <w:jc w:val="center"/>
              <w:rPr>
                <w:sz w:val="17"/>
              </w:rPr>
            </w:pPr>
            <w:r>
              <w:rPr>
                <w:color w:val="231F20"/>
                <w:w w:val="110"/>
                <w:sz w:val="17"/>
              </w:rPr>
              <w:t>1-5</w:t>
            </w:r>
          </w:p>
        </w:tc>
        <w:tc>
          <w:tcPr>
            <w:tcW w:w="1757" w:type="dxa"/>
            <w:tcBorders>
              <w:bottom w:val="nil"/>
            </w:tcBorders>
          </w:tcPr>
          <w:p>
            <w:pPr>
              <w:pStyle w:val="TableParagraph"/>
              <w:ind w:left="161" w:right="161"/>
              <w:jc w:val="center"/>
              <w:rPr>
                <w:sz w:val="17"/>
              </w:rPr>
            </w:pPr>
            <w:r>
              <w:rPr>
                <w:color w:val="231F20"/>
                <w:w w:val="110"/>
                <w:sz w:val="17"/>
              </w:rPr>
              <w:t>0-3</w:t>
            </w:r>
          </w:p>
        </w:tc>
        <w:tc>
          <w:tcPr>
            <w:tcW w:w="1757" w:type="dxa"/>
            <w:tcBorders>
              <w:bottom w:val="nil"/>
            </w:tcBorders>
          </w:tcPr>
          <w:p>
            <w:pPr>
              <w:pStyle w:val="TableParagraph"/>
              <w:ind w:left="161" w:right="161"/>
              <w:jc w:val="center"/>
              <w:rPr>
                <w:sz w:val="17"/>
              </w:rPr>
            </w:pPr>
            <w:r>
              <w:rPr>
                <w:color w:val="231F20"/>
                <w:w w:val="110"/>
                <w:sz w:val="17"/>
              </w:rPr>
              <w:t>0-5</w:t>
            </w:r>
          </w:p>
        </w:tc>
        <w:tc>
          <w:tcPr>
            <w:tcW w:w="1757" w:type="dxa"/>
            <w:tcBorders>
              <w:bottom w:val="nil"/>
              <w:right w:val="nil"/>
            </w:tcBorders>
          </w:tcPr>
          <w:p>
            <w:pPr>
              <w:pStyle w:val="TableParagraph"/>
              <w:ind w:left="507" w:right="511"/>
              <w:jc w:val="center"/>
              <w:rPr>
                <w:sz w:val="17"/>
              </w:rPr>
            </w:pPr>
            <w:r>
              <w:rPr>
                <w:color w:val="231F20"/>
                <w:w w:val="110"/>
                <w:sz w:val="17"/>
              </w:rPr>
              <w:t>0-1</w:t>
            </w:r>
          </w:p>
        </w:tc>
      </w:tr>
      <w:tr>
        <w:trPr>
          <w:trHeight w:val="354" w:hRule="exact"/>
        </w:trPr>
        <w:tc>
          <w:tcPr>
            <w:tcW w:w="1757" w:type="dxa"/>
            <w:tcBorders>
              <w:top w:val="nil"/>
              <w:left w:val="nil"/>
              <w:bottom w:val="nil"/>
            </w:tcBorders>
          </w:tcPr>
          <w:p>
            <w:pPr>
              <w:pStyle w:val="TableParagraph"/>
              <w:spacing w:before="64"/>
              <w:ind w:left="113"/>
              <w:rPr>
                <w:sz w:val="17"/>
              </w:rPr>
            </w:pPr>
            <w:r>
              <w:rPr>
                <w:color w:val="231F20"/>
                <w:w w:val="110"/>
                <w:sz w:val="17"/>
              </w:rPr>
              <w:t>DPL</w:t>
            </w:r>
          </w:p>
        </w:tc>
        <w:tc>
          <w:tcPr>
            <w:tcW w:w="1757" w:type="dxa"/>
            <w:tcBorders>
              <w:top w:val="nil"/>
              <w:bottom w:val="nil"/>
            </w:tcBorders>
          </w:tcPr>
          <w:p>
            <w:pPr>
              <w:pStyle w:val="TableParagraph"/>
              <w:spacing w:before="64"/>
              <w:ind w:left="161" w:right="161"/>
              <w:jc w:val="center"/>
              <w:rPr>
                <w:sz w:val="17"/>
              </w:rPr>
            </w:pPr>
            <w:r>
              <w:rPr>
                <w:color w:val="231F20"/>
                <w:w w:val="110"/>
                <w:sz w:val="17"/>
              </w:rPr>
              <w:t>3,949</w:t>
            </w:r>
          </w:p>
        </w:tc>
        <w:tc>
          <w:tcPr>
            <w:tcW w:w="1757" w:type="dxa"/>
            <w:tcBorders>
              <w:top w:val="nil"/>
              <w:bottom w:val="nil"/>
            </w:tcBorders>
          </w:tcPr>
          <w:p>
            <w:pPr>
              <w:pStyle w:val="TableParagraph"/>
              <w:spacing w:before="64"/>
              <w:ind w:left="156" w:right="161"/>
              <w:jc w:val="center"/>
              <w:rPr>
                <w:sz w:val="17"/>
              </w:rPr>
            </w:pPr>
            <w:r>
              <w:rPr>
                <w:color w:val="231F20"/>
                <w:w w:val="110"/>
                <w:sz w:val="17"/>
              </w:rPr>
              <w:t>1,470</w:t>
            </w:r>
          </w:p>
        </w:tc>
        <w:tc>
          <w:tcPr>
            <w:tcW w:w="1757" w:type="dxa"/>
            <w:tcBorders>
              <w:top w:val="nil"/>
              <w:bottom w:val="nil"/>
            </w:tcBorders>
          </w:tcPr>
          <w:p>
            <w:pPr>
              <w:pStyle w:val="TableParagraph"/>
              <w:spacing w:before="64"/>
              <w:ind w:left="161" w:right="161"/>
              <w:jc w:val="center"/>
              <w:rPr>
                <w:sz w:val="17"/>
              </w:rPr>
            </w:pPr>
            <w:r>
              <w:rPr>
                <w:color w:val="231F20"/>
                <w:w w:val="110"/>
                <w:sz w:val="17"/>
              </w:rPr>
              <w:t>3,008</w:t>
            </w:r>
          </w:p>
        </w:tc>
        <w:tc>
          <w:tcPr>
            <w:tcW w:w="1757" w:type="dxa"/>
            <w:tcBorders>
              <w:top w:val="nil"/>
              <w:bottom w:val="nil"/>
              <w:right w:val="nil"/>
            </w:tcBorders>
          </w:tcPr>
          <w:p>
            <w:pPr>
              <w:pStyle w:val="TableParagraph"/>
              <w:spacing w:before="64"/>
              <w:ind w:left="507" w:right="510"/>
              <w:jc w:val="center"/>
              <w:rPr>
                <w:sz w:val="17"/>
              </w:rPr>
            </w:pPr>
            <w:r>
              <w:rPr>
                <w:color w:val="231F20"/>
                <w:w w:val="110"/>
                <w:sz w:val="17"/>
              </w:rPr>
              <w:t>0,793</w:t>
            </w:r>
          </w:p>
        </w:tc>
      </w:tr>
      <w:tr>
        <w:trPr>
          <w:trHeight w:val="354" w:hRule="exact"/>
        </w:trPr>
        <w:tc>
          <w:tcPr>
            <w:tcW w:w="1757" w:type="dxa"/>
            <w:tcBorders>
              <w:top w:val="nil"/>
              <w:left w:val="nil"/>
              <w:bottom w:val="nil"/>
            </w:tcBorders>
          </w:tcPr>
          <w:p>
            <w:pPr>
              <w:pStyle w:val="TableParagraph"/>
              <w:spacing w:before="64"/>
              <w:ind w:left="113"/>
              <w:rPr>
                <w:sz w:val="17"/>
              </w:rPr>
            </w:pPr>
            <w:r>
              <w:rPr>
                <w:color w:val="231F20"/>
                <w:w w:val="110"/>
                <w:sz w:val="17"/>
              </w:rPr>
              <w:t>DPC</w:t>
            </w:r>
          </w:p>
        </w:tc>
        <w:tc>
          <w:tcPr>
            <w:tcW w:w="1757" w:type="dxa"/>
            <w:tcBorders>
              <w:top w:val="nil"/>
              <w:bottom w:val="nil"/>
            </w:tcBorders>
          </w:tcPr>
          <w:p>
            <w:pPr>
              <w:pStyle w:val="TableParagraph"/>
              <w:spacing w:before="64"/>
              <w:ind w:left="156" w:right="161"/>
              <w:jc w:val="center"/>
              <w:rPr>
                <w:sz w:val="17"/>
              </w:rPr>
            </w:pPr>
            <w:r>
              <w:rPr>
                <w:color w:val="231F20"/>
                <w:w w:val="110"/>
                <w:sz w:val="17"/>
              </w:rPr>
              <w:t>3,774</w:t>
            </w:r>
          </w:p>
        </w:tc>
        <w:tc>
          <w:tcPr>
            <w:tcW w:w="1757" w:type="dxa"/>
            <w:tcBorders>
              <w:top w:val="nil"/>
              <w:bottom w:val="nil"/>
            </w:tcBorders>
          </w:tcPr>
          <w:p>
            <w:pPr>
              <w:pStyle w:val="TableParagraph"/>
              <w:spacing w:before="64"/>
              <w:ind w:left="161" w:right="161"/>
              <w:jc w:val="center"/>
              <w:rPr>
                <w:sz w:val="17"/>
              </w:rPr>
            </w:pPr>
            <w:r>
              <w:rPr>
                <w:color w:val="231F20"/>
                <w:w w:val="110"/>
                <w:sz w:val="17"/>
              </w:rPr>
              <w:t>1,547</w:t>
            </w:r>
          </w:p>
        </w:tc>
        <w:tc>
          <w:tcPr>
            <w:tcW w:w="1757" w:type="dxa"/>
            <w:tcBorders>
              <w:top w:val="nil"/>
              <w:bottom w:val="nil"/>
            </w:tcBorders>
          </w:tcPr>
          <w:p>
            <w:pPr>
              <w:pStyle w:val="TableParagraph"/>
              <w:spacing w:before="64"/>
              <w:ind w:left="161" w:right="161"/>
              <w:jc w:val="center"/>
              <w:rPr>
                <w:sz w:val="17"/>
              </w:rPr>
            </w:pPr>
            <w:r>
              <w:rPr>
                <w:color w:val="231F20"/>
                <w:w w:val="110"/>
                <w:sz w:val="17"/>
              </w:rPr>
              <w:t>2,688</w:t>
            </w:r>
          </w:p>
        </w:tc>
        <w:tc>
          <w:tcPr>
            <w:tcW w:w="1757" w:type="dxa"/>
            <w:tcBorders>
              <w:top w:val="nil"/>
              <w:bottom w:val="nil"/>
              <w:right w:val="nil"/>
            </w:tcBorders>
          </w:tcPr>
          <w:p>
            <w:pPr>
              <w:pStyle w:val="TableParagraph"/>
              <w:spacing w:before="64"/>
              <w:ind w:left="507" w:right="510"/>
              <w:jc w:val="center"/>
              <w:rPr>
                <w:sz w:val="17"/>
              </w:rPr>
            </w:pPr>
            <w:r>
              <w:rPr>
                <w:color w:val="231F20"/>
                <w:w w:val="110"/>
                <w:sz w:val="17"/>
              </w:rPr>
              <w:t>0,723</w:t>
            </w:r>
          </w:p>
        </w:tc>
      </w:tr>
      <w:tr>
        <w:trPr>
          <w:trHeight w:val="354" w:hRule="exact"/>
        </w:trPr>
        <w:tc>
          <w:tcPr>
            <w:tcW w:w="1757" w:type="dxa"/>
            <w:tcBorders>
              <w:top w:val="nil"/>
              <w:left w:val="nil"/>
              <w:bottom w:val="nil"/>
            </w:tcBorders>
          </w:tcPr>
          <w:p>
            <w:pPr>
              <w:pStyle w:val="TableParagraph"/>
              <w:spacing w:before="64"/>
              <w:ind w:left="113"/>
              <w:rPr>
                <w:sz w:val="17"/>
              </w:rPr>
            </w:pPr>
            <w:r>
              <w:rPr>
                <w:color w:val="231F20"/>
                <w:w w:val="105"/>
                <w:sz w:val="17"/>
              </w:rPr>
              <w:t>DPT</w:t>
            </w:r>
          </w:p>
        </w:tc>
        <w:tc>
          <w:tcPr>
            <w:tcW w:w="1757" w:type="dxa"/>
            <w:tcBorders>
              <w:top w:val="nil"/>
              <w:bottom w:val="nil"/>
            </w:tcBorders>
          </w:tcPr>
          <w:p>
            <w:pPr>
              <w:pStyle w:val="TableParagraph"/>
              <w:spacing w:before="64"/>
              <w:ind w:left="161" w:right="161"/>
              <w:jc w:val="center"/>
              <w:rPr>
                <w:sz w:val="17"/>
              </w:rPr>
            </w:pPr>
            <w:r>
              <w:rPr>
                <w:color w:val="231F20"/>
                <w:w w:val="110"/>
                <w:sz w:val="17"/>
              </w:rPr>
              <w:t>3,633</w:t>
            </w:r>
          </w:p>
        </w:tc>
        <w:tc>
          <w:tcPr>
            <w:tcW w:w="1757" w:type="dxa"/>
            <w:tcBorders>
              <w:top w:val="nil"/>
              <w:bottom w:val="nil"/>
            </w:tcBorders>
          </w:tcPr>
          <w:p>
            <w:pPr>
              <w:pStyle w:val="TableParagraph"/>
              <w:spacing w:before="64"/>
              <w:ind w:left="156" w:right="161"/>
              <w:jc w:val="center"/>
              <w:rPr>
                <w:sz w:val="17"/>
              </w:rPr>
            </w:pPr>
            <w:r>
              <w:rPr>
                <w:color w:val="231F20"/>
                <w:w w:val="110"/>
                <w:sz w:val="17"/>
              </w:rPr>
              <w:t>1,117</w:t>
            </w:r>
          </w:p>
        </w:tc>
        <w:tc>
          <w:tcPr>
            <w:tcW w:w="1757" w:type="dxa"/>
            <w:tcBorders>
              <w:top w:val="nil"/>
              <w:bottom w:val="nil"/>
            </w:tcBorders>
          </w:tcPr>
          <w:p>
            <w:pPr>
              <w:pStyle w:val="TableParagraph"/>
              <w:spacing w:before="64"/>
              <w:ind w:left="161" w:right="161"/>
              <w:jc w:val="center"/>
              <w:rPr>
                <w:sz w:val="17"/>
              </w:rPr>
            </w:pPr>
            <w:r>
              <w:rPr>
                <w:color w:val="231F20"/>
                <w:w w:val="110"/>
                <w:sz w:val="17"/>
              </w:rPr>
              <w:t>2,665</w:t>
            </w:r>
          </w:p>
        </w:tc>
        <w:tc>
          <w:tcPr>
            <w:tcW w:w="1757" w:type="dxa"/>
            <w:tcBorders>
              <w:top w:val="nil"/>
              <w:bottom w:val="nil"/>
              <w:right w:val="nil"/>
            </w:tcBorders>
          </w:tcPr>
          <w:p>
            <w:pPr>
              <w:pStyle w:val="TableParagraph"/>
              <w:spacing w:before="64"/>
              <w:ind w:left="501" w:right="511"/>
              <w:jc w:val="center"/>
              <w:rPr>
                <w:sz w:val="17"/>
              </w:rPr>
            </w:pPr>
            <w:r>
              <w:rPr>
                <w:color w:val="231F20"/>
                <w:w w:val="110"/>
                <w:sz w:val="17"/>
              </w:rPr>
              <w:t>0,775</w:t>
            </w:r>
          </w:p>
        </w:tc>
      </w:tr>
      <w:tr>
        <w:trPr>
          <w:trHeight w:val="339" w:hRule="exact"/>
        </w:trPr>
        <w:tc>
          <w:tcPr>
            <w:tcW w:w="1757" w:type="dxa"/>
            <w:tcBorders>
              <w:top w:val="nil"/>
              <w:left w:val="nil"/>
            </w:tcBorders>
          </w:tcPr>
          <w:p>
            <w:pPr>
              <w:pStyle w:val="TableParagraph"/>
              <w:spacing w:before="64"/>
              <w:ind w:left="113"/>
              <w:rPr>
                <w:sz w:val="17"/>
              </w:rPr>
            </w:pPr>
            <w:r>
              <w:rPr>
                <w:color w:val="231F20"/>
                <w:w w:val="110"/>
                <w:sz w:val="17"/>
              </w:rPr>
              <w:t>DPB</w:t>
            </w:r>
          </w:p>
        </w:tc>
        <w:tc>
          <w:tcPr>
            <w:tcW w:w="1757" w:type="dxa"/>
            <w:tcBorders>
              <w:top w:val="nil"/>
            </w:tcBorders>
          </w:tcPr>
          <w:p>
            <w:pPr>
              <w:pStyle w:val="TableParagraph"/>
              <w:spacing w:before="64"/>
              <w:ind w:left="156" w:right="161"/>
              <w:jc w:val="center"/>
              <w:rPr>
                <w:sz w:val="17"/>
              </w:rPr>
            </w:pPr>
            <w:r>
              <w:rPr>
                <w:color w:val="231F20"/>
                <w:w w:val="110"/>
                <w:sz w:val="17"/>
              </w:rPr>
              <w:t>4,774</w:t>
            </w:r>
          </w:p>
        </w:tc>
        <w:tc>
          <w:tcPr>
            <w:tcW w:w="1757" w:type="dxa"/>
            <w:tcBorders>
              <w:top w:val="nil"/>
            </w:tcBorders>
          </w:tcPr>
          <w:p>
            <w:pPr>
              <w:pStyle w:val="TableParagraph"/>
              <w:spacing w:before="64"/>
              <w:ind w:left="161" w:right="161"/>
              <w:jc w:val="center"/>
              <w:rPr>
                <w:sz w:val="17"/>
              </w:rPr>
            </w:pPr>
            <w:r>
              <w:rPr>
                <w:color w:val="231F20"/>
                <w:w w:val="110"/>
                <w:sz w:val="17"/>
              </w:rPr>
              <w:t>1,684</w:t>
            </w:r>
          </w:p>
        </w:tc>
        <w:tc>
          <w:tcPr>
            <w:tcW w:w="1757" w:type="dxa"/>
            <w:tcBorders>
              <w:top w:val="nil"/>
            </w:tcBorders>
          </w:tcPr>
          <w:p>
            <w:pPr>
              <w:pStyle w:val="TableParagraph"/>
              <w:spacing w:before="64"/>
              <w:ind w:left="160" w:right="161"/>
              <w:jc w:val="center"/>
              <w:rPr>
                <w:sz w:val="17"/>
              </w:rPr>
            </w:pPr>
            <w:r>
              <w:rPr>
                <w:color w:val="231F20"/>
                <w:w w:val="110"/>
                <w:sz w:val="17"/>
              </w:rPr>
              <w:t>3,537</w:t>
            </w:r>
          </w:p>
        </w:tc>
        <w:tc>
          <w:tcPr>
            <w:tcW w:w="1757" w:type="dxa"/>
            <w:tcBorders>
              <w:top w:val="nil"/>
              <w:right w:val="nil"/>
            </w:tcBorders>
          </w:tcPr>
          <w:p>
            <w:pPr>
              <w:pStyle w:val="TableParagraph"/>
              <w:spacing w:before="64"/>
              <w:ind w:left="501" w:right="511"/>
              <w:jc w:val="center"/>
              <w:rPr>
                <w:sz w:val="17"/>
              </w:rPr>
            </w:pPr>
            <w:r>
              <w:rPr>
                <w:color w:val="231F20"/>
                <w:w w:val="110"/>
                <w:sz w:val="17"/>
              </w:rPr>
              <w:t>0,875</w:t>
            </w:r>
          </w:p>
        </w:tc>
      </w:tr>
    </w:tbl>
    <w:p>
      <w:pPr>
        <w:spacing w:line="261" w:lineRule="auto" w:before="90"/>
        <w:ind w:left="1551" w:right="1655" w:firstLine="0"/>
        <w:jc w:val="left"/>
        <w:rPr>
          <w:sz w:val="15"/>
        </w:rPr>
      </w:pPr>
      <w:r>
        <w:rPr>
          <w:color w:val="231F20"/>
          <w:sz w:val="15"/>
        </w:rPr>
        <w:t>DPL: doble propósito enfocados a la producción de leche; DPC: doble propósito enfocados a la producción de carne; DPT: doble propósito tradicional; DPB: doble propósito enfocados a la producción de   becerros.</w:t>
      </w:r>
    </w:p>
    <w:p>
      <w:pPr>
        <w:pStyle w:val="BodyText"/>
      </w:pPr>
    </w:p>
    <w:p>
      <w:pPr>
        <w:pStyle w:val="BodyText"/>
      </w:pPr>
    </w:p>
    <w:p>
      <w:pPr>
        <w:spacing w:after="0"/>
        <w:sectPr>
          <w:pgSz w:w="11900" w:h="14450"/>
          <w:pgMar w:header="0" w:footer="222" w:top="420" w:bottom="420" w:left="0" w:right="0"/>
        </w:sectPr>
      </w:pPr>
    </w:p>
    <w:p>
      <w:pPr>
        <w:pStyle w:val="BodyText"/>
        <w:spacing w:line="259" w:lineRule="auto" w:before="67"/>
        <w:ind w:left="1553"/>
        <w:jc w:val="both"/>
      </w:pPr>
      <w:r>
        <w:rPr>
          <w:color w:val="231F20"/>
        </w:rPr>
        <w:t>especies nativas producto de la regeneración natu- ral (Virgilio </w:t>
      </w:r>
      <w:r>
        <w:rPr>
          <w:i/>
          <w:color w:val="231F20"/>
        </w:rPr>
        <w:t>et al.,  </w:t>
      </w:r>
      <w:r>
        <w:rPr>
          <w:color w:val="231F20"/>
        </w:rPr>
        <w:t>2002).</w:t>
      </w:r>
    </w:p>
    <w:p>
      <w:pPr>
        <w:pStyle w:val="BodyText"/>
        <w:spacing w:line="259" w:lineRule="auto" w:before="113"/>
        <w:ind w:left="1553"/>
        <w:jc w:val="both"/>
      </w:pPr>
      <w:r>
        <w:rPr>
          <w:color w:val="231F20"/>
        </w:rPr>
        <w:t>El que haya buenos índices de diversidad vegetal y </w:t>
      </w:r>
      <w:r>
        <w:rPr>
          <w:color w:val="231F20"/>
          <w:spacing w:val="-3"/>
        </w:rPr>
        <w:t>riqueza </w:t>
      </w:r>
      <w:r>
        <w:rPr>
          <w:color w:val="231F20"/>
        </w:rPr>
        <w:t>de especies indica un agroecosistema sus- tentable, lo cual permite al productor</w:t>
      </w:r>
      <w:r>
        <w:rPr>
          <w:color w:val="231F20"/>
          <w:spacing w:val="-5"/>
        </w:rPr>
        <w:t> </w:t>
      </w:r>
      <w:r>
        <w:rPr>
          <w:color w:val="231F20"/>
        </w:rPr>
        <w:t>agropecuario tener un mayor equilibrio en agostadero, de tal</w:t>
      </w:r>
      <w:r>
        <w:rPr>
          <w:color w:val="231F20"/>
          <w:spacing w:val="-27"/>
        </w:rPr>
        <w:t> </w:t>
      </w:r>
      <w:r>
        <w:rPr>
          <w:color w:val="231F20"/>
        </w:rPr>
        <w:t>for- ma que, por ejemplo en la época de estiaje ante la </w:t>
      </w:r>
      <w:r>
        <w:rPr>
          <w:color w:val="231F20"/>
          <w:spacing w:val="-3"/>
        </w:rPr>
        <w:t>escasez </w:t>
      </w:r>
      <w:r>
        <w:rPr>
          <w:color w:val="231F20"/>
        </w:rPr>
        <w:t>de pastos, otro tipo de forrajes a partir de árboles y arbustos contribuye a los requerimientos de consumo de materia seca y nutrientes (princi- palmente proteína cruda) de los animales, evitan- do que el productor recurra al uso de suplementos en grandes cantidades (&gt;6 kg/vaca y día) que re- presentan altos costos y disminuyen los ingresos económicos. Los grupos que presentaron menores índices</w:t>
      </w:r>
      <w:r>
        <w:rPr>
          <w:color w:val="231F20"/>
          <w:spacing w:val="-6"/>
        </w:rPr>
        <w:t> </w:t>
      </w:r>
      <w:r>
        <w:rPr>
          <w:color w:val="231F20"/>
        </w:rPr>
        <w:t>de</w:t>
      </w:r>
      <w:r>
        <w:rPr>
          <w:color w:val="231F20"/>
          <w:spacing w:val="-6"/>
        </w:rPr>
        <w:t> </w:t>
      </w:r>
      <w:r>
        <w:rPr>
          <w:color w:val="231F20"/>
        </w:rPr>
        <w:t>diversidad</w:t>
      </w:r>
      <w:r>
        <w:rPr>
          <w:color w:val="231F20"/>
          <w:spacing w:val="-6"/>
        </w:rPr>
        <w:t> </w:t>
      </w:r>
      <w:r>
        <w:rPr>
          <w:color w:val="231F20"/>
        </w:rPr>
        <w:t>fueron</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orientan</w:t>
      </w:r>
      <w:r>
        <w:rPr>
          <w:color w:val="231F20"/>
          <w:spacing w:val="-6"/>
        </w:rPr>
        <w:t> </w:t>
      </w:r>
      <w:r>
        <w:rPr>
          <w:color w:val="231F20"/>
        </w:rPr>
        <w:t>a</w:t>
      </w:r>
      <w:r>
        <w:rPr>
          <w:color w:val="231F20"/>
          <w:spacing w:val="-6"/>
        </w:rPr>
        <w:t> </w:t>
      </w:r>
      <w:r>
        <w:rPr>
          <w:color w:val="231F20"/>
        </w:rPr>
        <w:t>la producción de carne y el grupo de doble propósito </w:t>
      </w:r>
      <w:r>
        <w:rPr>
          <w:color w:val="231F20"/>
          <w:spacing w:val="-2"/>
        </w:rPr>
        <w:t>tradicional.</w:t>
      </w:r>
    </w:p>
    <w:p>
      <w:pPr>
        <w:pStyle w:val="BodyText"/>
        <w:spacing w:line="259" w:lineRule="auto" w:before="113"/>
        <w:ind w:left="1553"/>
        <w:jc w:val="both"/>
      </w:pPr>
      <w:r>
        <w:rPr>
          <w:color w:val="231F20"/>
        </w:rPr>
        <w:t>El bajo índice de diversidad vegetal de los sistemas de doble propósito centrados en la producción de carne puede deberse a que son productores a quienes no les interesa mantener por largos pe- riodos a los animales, ya que tienen un sistema intensivo de producción y tratan de que el retorno económico sea lo más pronto posible. Es por ello que destinan gran cantidad de su superficie a la producción de praderas mejoradas, que aumen- ten la ganancia de peso de sus animales para    que</w:t>
      </w:r>
    </w:p>
    <w:p>
      <w:pPr>
        <w:pStyle w:val="BodyText"/>
        <w:spacing w:line="261" w:lineRule="auto" w:before="84"/>
        <w:ind w:left="412" w:right="1551"/>
        <w:jc w:val="both"/>
      </w:pPr>
      <w:r>
        <w:rPr/>
        <w:br w:type="column"/>
      </w:r>
      <w:r>
        <w:rPr>
          <w:color w:val="231F20"/>
        </w:rPr>
        <w:t>puedan pasar en el menor tiempo posible al corral de engorda. La presencia de estas praderas origina extensas superficies de monocultivo cubiertas de pastos introducidos, que desplazan a las especies nativas con menores atributos nutricionales pero con mayor resistencia y diversidad.</w:t>
      </w:r>
    </w:p>
    <w:p>
      <w:pPr>
        <w:pStyle w:val="BodyText"/>
        <w:spacing w:line="261" w:lineRule="auto" w:before="114"/>
        <w:ind w:left="412" w:right="1551"/>
        <w:jc w:val="both"/>
      </w:pPr>
      <w:r>
        <w:rPr>
          <w:color w:val="231F20"/>
        </w:rPr>
        <w:t>En lo que se refiere a los ganaderos de doble pro- pósito tradicional, sus unidades de producción pre- sentan baja diversidad vegetal debido a las malas prácticas de manejo que tienen, como la quema programada, cuyo fin es disminuir biomasa muerta en temporada de sequía para que cuando se inicie el ciclo de lluvias se produzca un rebrote acelerado de la planta; sin embargo, con ello sólo provocan una disminución en la diversidad de especies, ya que únicamente sobreviven aquellas especies cu- yos tallos son capaces de soportar el fuego. Otro factor que afecta directamente a la diversidad de estas unidades de producción es el sobrepastoreo  y la falta de suplementos alimenticios que ayuden al animal a cubrir sus requerimientos nutricionales mínimos, lo que ocasiona que éste consuma en temporada de lluvias plantas más apetecibles y en menor estado de maduración, con lo cual se afec- ta el ciclo reproductivo del vegetal y se genera un mayor crecimiento y reproducción de las plantas menos palatables, que  perjudica  directamente  a la diversidad vegetal del potrero. Por su parte,   </w:t>
      </w:r>
      <w:r>
        <w:rPr>
          <w:color w:val="231F20"/>
          <w:spacing w:val="12"/>
        </w:rPr>
        <w:t> </w:t>
      </w:r>
      <w:r>
        <w:rPr>
          <w:color w:val="231F20"/>
        </w:rPr>
        <w:t>en</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12"/>
          <w:sz w:val="18"/>
        </w:rPr>
        <w:t>7.         </w:t>
      </w:r>
      <w:r>
        <w:rPr>
          <w:color w:val="231F20"/>
          <w:spacing w:val="-8"/>
          <w:sz w:val="18"/>
        </w:rPr>
        <w:t> </w:t>
      </w:r>
      <w:r>
        <w:rPr>
          <w:color w:val="231F20"/>
          <w:sz w:val="18"/>
        </w:rPr>
        <w:t>La producción de bovinos de doble propósito en el trópico seco del centro de</w:t>
      </w:r>
      <w:r>
        <w:rPr>
          <w:color w:val="231F20"/>
          <w:spacing w:val="13"/>
          <w:sz w:val="18"/>
        </w:rPr>
        <w:t> </w:t>
      </w:r>
      <w:r>
        <w:rPr>
          <w:color w:val="231F20"/>
          <w:sz w:val="18"/>
        </w:rPr>
        <w:t>México...</w:t>
      </w:r>
      <w:r>
        <w:rPr>
          <w:color w:val="231F20"/>
          <w:sz w:val="22"/>
        </w:rPr>
        <w:tab/>
      </w:r>
      <w:r>
        <w:rPr>
          <w:color w:val="231F20"/>
          <w:spacing w:val="-9"/>
          <w:sz w:val="22"/>
        </w:rPr>
        <w:t>117</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temporada de sequía, la necesidad del animal por cubrir su ingesta diaria de materia seca hace que consuma prácticamente la planta entera, incluyen- do la raíz, y así se produce una pérdida progresiva de  las especies.</w:t>
      </w:r>
    </w:p>
    <w:p>
      <w:pPr>
        <w:pStyle w:val="BodyText"/>
        <w:spacing w:line="256" w:lineRule="auto" w:before="113"/>
        <w:ind w:left="1553"/>
        <w:jc w:val="both"/>
      </w:pPr>
      <w:r>
        <w:rPr>
          <w:color w:val="231F20"/>
        </w:rPr>
        <w:t>Los productores del sistema de doble propósito centrados en la producción de leche hacen un mejor uso de sus áreas de praderas y agostadero, lo cual proporciona no sólo beneficios económicos al disminuir la cantidad de alimentos comprados, sino que además aporta el sabor característico a la leche y al queso añejo o queso molido característi- co de la región (Rebollar </w:t>
      </w:r>
      <w:r>
        <w:rPr>
          <w:i/>
          <w:color w:val="231F20"/>
        </w:rPr>
        <w:t>et al.,    </w:t>
      </w:r>
      <w:r>
        <w:rPr>
          <w:color w:val="231F20"/>
        </w:rPr>
        <w:t>2011b).</w:t>
      </w:r>
    </w:p>
    <w:p>
      <w:pPr>
        <w:pStyle w:val="BodyText"/>
        <w:spacing w:line="256" w:lineRule="auto" w:before="113"/>
        <w:ind w:left="1553"/>
        <w:jc w:val="both"/>
      </w:pPr>
      <w:r>
        <w:rPr>
          <w:color w:val="231F20"/>
        </w:rPr>
        <w:t>Se puede mencionar que el sistema de produc- ción bovino de Zacazonapan presenta unos índi- ces de riqueza y de diversidad vegetal por encima del promedio de los valores de dichos índices, lo que sugiere unas altas expectativas de sustentabi- lidad ecológica; de igual forma, no se encontraron diferencias en cuanto a los índices de diversidad vegetal por sistema</w:t>
      </w:r>
      <w:r>
        <w:rPr>
          <w:color w:val="231F20"/>
          <w:spacing w:val="12"/>
        </w:rPr>
        <w:t> </w:t>
      </w:r>
      <w:r>
        <w:rPr>
          <w:color w:val="231F20"/>
        </w:rPr>
        <w:t>productivo.</w:t>
      </w:r>
    </w:p>
    <w:p>
      <w:pPr>
        <w:pStyle w:val="BodyText"/>
        <w:spacing w:line="256" w:lineRule="auto" w:before="113"/>
        <w:ind w:left="1553"/>
        <w:jc w:val="both"/>
      </w:pPr>
      <w:r>
        <w:rPr>
          <w:color w:val="231F20"/>
        </w:rPr>
        <w:t>En general creemos que los buenos índices de riqueza vegetal y de  diversidad  de  especies  en  los potreros se deben a que los productores no utilizan fertilizantes sintéticos ni herbicidas, permi- tiendo así un equilibrio entre especies; sin embar- go, lo más importante es la baja carga animal que existe (</w:t>
      </w:r>
      <w:r>
        <w:rPr>
          <w:rFonts w:ascii="Symbol" w:hAnsi="Symbol"/>
          <w:color w:val="231F20"/>
        </w:rPr>
        <w:t></w:t>
      </w:r>
      <w:r>
        <w:rPr>
          <w:color w:val="231F20"/>
        </w:rPr>
        <w:t>1,4 vacas/ha). Los productores,  aunque  no manejan el concepto de carga animal, por su experiencia ya saben el número de</w:t>
      </w:r>
      <w:r>
        <w:rPr>
          <w:color w:val="231F20"/>
          <w:spacing w:val="1"/>
        </w:rPr>
        <w:t> </w:t>
      </w:r>
      <w:r>
        <w:rPr>
          <w:color w:val="231F20"/>
        </w:rPr>
        <w:t>animales</w:t>
      </w:r>
      <w:r>
        <w:rPr>
          <w:color w:val="231F20"/>
          <w:spacing w:val="30"/>
        </w:rPr>
        <w:t> </w:t>
      </w:r>
      <w:r>
        <w:rPr>
          <w:color w:val="231F20"/>
        </w:rPr>
        <w:t>que</w:t>
      </w:r>
      <w:r>
        <w:rPr>
          <w:color w:val="231F20"/>
          <w:w w:val="103"/>
        </w:rPr>
        <w:t> </w:t>
      </w:r>
      <w:r>
        <w:rPr>
          <w:color w:val="231F20"/>
        </w:rPr>
        <w:t>deben introducir en cada potrero durante la época de lluvias, de tal manera que quede una cantidad importante de forraje para ser consumido en la época de</w:t>
      </w:r>
      <w:r>
        <w:rPr>
          <w:color w:val="231F20"/>
          <w:spacing w:val="30"/>
        </w:rPr>
        <w:t> </w:t>
      </w:r>
      <w:r>
        <w:rPr>
          <w:color w:val="231F20"/>
        </w:rPr>
        <w:t>estiaje.</w:t>
      </w:r>
    </w:p>
    <w:p>
      <w:pPr>
        <w:pStyle w:val="BodyText"/>
        <w:spacing w:line="256" w:lineRule="auto" w:before="113"/>
        <w:ind w:left="1553"/>
        <w:jc w:val="both"/>
      </w:pPr>
      <w:r>
        <w:rPr>
          <w:color w:val="231F20"/>
        </w:rPr>
        <w:t>Los ganaderos de Zacazonapan conocen los árbo- les y arbustos que consume el ganado, así como  los beneficios adyacentes que pueden obtener de ellos; sin embargo, desconocen las  herbáceas  y  las especies del estrato basal que consumen sus animales. Las nuevas generaciones de ganaderos son  conscientes  de  las  ventajas  que  ofrecen </w:t>
      </w:r>
      <w:r>
        <w:rPr>
          <w:color w:val="231F20"/>
          <w:spacing w:val="28"/>
        </w:rPr>
        <w:t> </w:t>
      </w:r>
      <w:r>
        <w:rPr>
          <w:color w:val="231F20"/>
        </w:rPr>
        <w:t>las</w:t>
      </w:r>
    </w:p>
    <w:p>
      <w:pPr>
        <w:pStyle w:val="BodyText"/>
        <w:spacing w:before="3"/>
        <w:rPr>
          <w:sz w:val="28"/>
        </w:rPr>
      </w:pPr>
      <w:r>
        <w:rPr/>
        <w:br w:type="column"/>
      </w:r>
      <w:r>
        <w:rPr>
          <w:sz w:val="28"/>
        </w:rPr>
      </w:r>
    </w:p>
    <w:p>
      <w:pPr>
        <w:pStyle w:val="BodyText"/>
        <w:spacing w:line="256" w:lineRule="auto"/>
        <w:ind w:left="412" w:right="1551"/>
        <w:jc w:val="both"/>
      </w:pPr>
      <w:r>
        <w:rPr>
          <w:color w:val="231F20"/>
        </w:rPr>
        <w:t>buenas prácticas de manejo, y de la necesidad de conservar la diversidad vegetal de la zona, pero ninguno de ellos realiza prácticas de conservación  y regeneración</w:t>
      </w:r>
      <w:r>
        <w:rPr>
          <w:color w:val="231F20"/>
          <w:spacing w:val="13"/>
        </w:rPr>
        <w:t> </w:t>
      </w:r>
      <w:r>
        <w:rPr>
          <w:color w:val="231F20"/>
        </w:rPr>
        <w:t>planificadas.</w:t>
      </w:r>
    </w:p>
    <w:p>
      <w:pPr>
        <w:pStyle w:val="BodyText"/>
      </w:pPr>
    </w:p>
    <w:p>
      <w:pPr>
        <w:pStyle w:val="BodyText"/>
        <w:spacing w:before="152"/>
        <w:ind w:left="412"/>
        <w:jc w:val="both"/>
      </w:pPr>
      <w:r>
        <w:rPr>
          <w:color w:val="231F20"/>
          <w:w w:val="115"/>
        </w:rPr>
        <w:t>CONCLUSIONES</w:t>
      </w:r>
    </w:p>
    <w:p>
      <w:pPr>
        <w:pStyle w:val="BodyText"/>
        <w:spacing w:line="256" w:lineRule="auto" w:before="130"/>
        <w:ind w:left="412" w:right="1551"/>
        <w:jc w:val="both"/>
      </w:pPr>
      <w:r>
        <w:rPr>
          <w:color w:val="231F20"/>
        </w:rPr>
        <w:t>Los sistemas de producción de doble propósito de Zacazonapan son sustentables  en  lo  económico, al tener adecuados márgenes de ganancia por litro de leche. La actividad lechera genera ingresos que permiten cubrir los costos de operación de la uni- dad de producción, así como los gastos diarios de  la familia, mientras que la producción de carne, en forma de venta de becerros destetados, becerros vendidos como pie de cría, vacas de desecho o animales finalizados, representa las ganancias del sistema, aunque éstas se ven capitalizadas una o dos veces al </w:t>
      </w:r>
      <w:r>
        <w:rPr>
          <w:color w:val="231F20"/>
          <w:spacing w:val="13"/>
        </w:rPr>
        <w:t> </w:t>
      </w:r>
      <w:r>
        <w:rPr>
          <w:color w:val="231F20"/>
        </w:rPr>
        <w:t>año.</w:t>
      </w:r>
    </w:p>
    <w:p>
      <w:pPr>
        <w:pStyle w:val="BodyText"/>
        <w:spacing w:line="256" w:lineRule="auto" w:before="113"/>
        <w:ind w:left="412" w:right="1551"/>
        <w:jc w:val="both"/>
      </w:pPr>
      <w:r>
        <w:rPr>
          <w:color w:val="231F20"/>
        </w:rPr>
        <w:t>El principal problema que enfrenta el sistema de producción de doble propósito de Zacazonapan es la dependencia de granos, de los cuales se prevé que seguirá aumentando el precio, sobre todo de- bido a la sequía que padecen en estos momentos algunas zonas productoras importantes en Méxi- co, por lo que los productores y los investigadores deberán trabajar en el desarrollo de estrategias de alimentación encaminadas a mantener rendimien- tos adecuados de la leche y de la carne al menor costo posible, basadas en los insumos disponibles localmente, pero sobre todo en el uso racional y eficiente de los recursos forrajeros del lugar.</w:t>
      </w:r>
    </w:p>
    <w:p>
      <w:pPr>
        <w:pStyle w:val="BodyText"/>
        <w:spacing w:line="256" w:lineRule="auto" w:before="113"/>
        <w:ind w:left="412" w:right="1551"/>
        <w:jc w:val="both"/>
      </w:pPr>
      <w:r>
        <w:rPr>
          <w:color w:val="231F20"/>
        </w:rPr>
        <w:t>Los recursos locales, tales como pastos, arbusti- vas, arbóreas y herbáceas, desempeñan un  pa-  pel importante  en  la  sustentabilidad  económica  y ecológica de este tipo de sistemas al proveer alimento para los animales, sobre todo las plantas leguminosas que aportan proteína de bajo costo  en forma de follaje, frutos y flores. Además, ofre- cen otro tipo de servicios, como sombra, retención del suelo, cortinas de aire, cercos vivos, madera y alimento para el</w:t>
      </w:r>
      <w:r>
        <w:rPr>
          <w:color w:val="231F20"/>
          <w:spacing w:val="37"/>
        </w:rPr>
        <w:t> </w:t>
      </w:r>
      <w:r>
        <w:rPr>
          <w:color w:val="231F20"/>
        </w:rPr>
        <w:t>hombre.</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285" w:val="left" w:leader="none"/>
        </w:tabs>
        <w:spacing w:before="64"/>
        <w:ind w:left="1551" w:right="0" w:firstLine="0"/>
        <w:jc w:val="left"/>
        <w:rPr>
          <w:sz w:val="12"/>
        </w:rPr>
      </w:pPr>
      <w:r>
        <w:rPr>
          <w:color w:val="231F20"/>
          <w:spacing w:val="-6"/>
          <w:w w:val="120"/>
          <w:sz w:val="22"/>
        </w:rPr>
        <w:t>118</w:t>
        <w:tab/>
      </w:r>
      <w:r>
        <w:rPr>
          <w:color w:val="231F20"/>
          <w:w w:val="120"/>
          <w:sz w:val="18"/>
        </w:rPr>
        <w:t>SECCIÓN 2.  B. S</w:t>
      </w:r>
      <w:r>
        <w:rPr>
          <w:color w:val="231F20"/>
          <w:w w:val="120"/>
          <w:sz w:val="12"/>
        </w:rPr>
        <w:t>iStemaS de doBle</w:t>
      </w:r>
      <w:r>
        <w:rPr>
          <w:color w:val="231F20"/>
          <w:spacing w:val="18"/>
          <w:w w:val="120"/>
          <w:sz w:val="12"/>
        </w:rPr>
        <w:t> </w:t>
      </w:r>
      <w:r>
        <w:rPr>
          <w:color w:val="231F20"/>
          <w:w w:val="120"/>
          <w:sz w:val="12"/>
        </w:rPr>
        <w:t>propóSito</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Las amenazas principales al sistema son, por un lado, la continuidad de algunas unidades de pro- ducción por no vislumbrarse un relevo generacio- nal de productores en edad avanzada. Por otro lado, se prevé que para el año </w:t>
      </w:r>
      <w:r>
        <w:rPr>
          <w:color w:val="231F20"/>
          <w:spacing w:val="-6"/>
        </w:rPr>
        <w:t>2015  </w:t>
      </w:r>
      <w:r>
        <w:rPr>
          <w:color w:val="231F20"/>
        </w:rPr>
        <w:t>el mercado   de productos agropecuarios sea cada vez más ur- bano y con mayor poder adquisitivo </w:t>
      </w:r>
      <w:r>
        <w:rPr>
          <w:color w:val="231F20"/>
          <w:spacing w:val="2"/>
        </w:rPr>
        <w:t>(FIRA, </w:t>
      </w:r>
      <w:r>
        <w:rPr>
          <w:color w:val="231F20"/>
          <w:spacing w:val="-4"/>
        </w:rPr>
        <w:t>2011), </w:t>
      </w:r>
      <w:r>
        <w:rPr>
          <w:color w:val="231F20"/>
        </w:rPr>
        <w:t>por lo que los productores deberán proveer de le- che, carne y quesos que garanticen la inocuidad alimentaria a precios</w:t>
      </w:r>
      <w:r>
        <w:rPr>
          <w:color w:val="231F20"/>
          <w:spacing w:val="11"/>
        </w:rPr>
        <w:t> </w:t>
      </w:r>
      <w:r>
        <w:rPr>
          <w:color w:val="231F20"/>
        </w:rPr>
        <w:t>competitivos.</w:t>
      </w:r>
    </w:p>
    <w:p>
      <w:pPr>
        <w:pStyle w:val="BodyText"/>
      </w:pPr>
    </w:p>
    <w:p>
      <w:pPr>
        <w:pStyle w:val="BodyText"/>
        <w:spacing w:before="152"/>
        <w:ind w:left="1553"/>
        <w:jc w:val="both"/>
      </w:pPr>
      <w:r>
        <w:rPr>
          <w:color w:val="231F20"/>
          <w:w w:val="110"/>
        </w:rPr>
        <w:t>BIBLIOGRAFÍA</w:t>
      </w:r>
    </w:p>
    <w:p>
      <w:pPr>
        <w:spacing w:line="264" w:lineRule="auto" w:before="129"/>
        <w:ind w:left="1837" w:right="0" w:hanging="284"/>
        <w:jc w:val="both"/>
        <w:rPr>
          <w:sz w:val="18"/>
        </w:rPr>
      </w:pPr>
      <w:r>
        <w:rPr>
          <w:color w:val="231F20"/>
          <w:sz w:val="18"/>
        </w:rPr>
        <w:t>Arriaga-Jordán C.M., </w:t>
      </w:r>
      <w:r>
        <w:rPr>
          <w:color w:val="231F20"/>
          <w:spacing w:val="-3"/>
          <w:sz w:val="18"/>
        </w:rPr>
        <w:t>Espinoza </w:t>
      </w:r>
      <w:r>
        <w:rPr>
          <w:color w:val="231F20"/>
          <w:sz w:val="18"/>
        </w:rPr>
        <w:t>O.A., Albarrán </w:t>
      </w:r>
      <w:r>
        <w:rPr>
          <w:color w:val="231F20"/>
          <w:spacing w:val="-5"/>
          <w:sz w:val="18"/>
        </w:rPr>
        <w:t>P.B., </w:t>
      </w:r>
      <w:r>
        <w:rPr>
          <w:color w:val="231F20"/>
          <w:spacing w:val="-2"/>
          <w:sz w:val="18"/>
        </w:rPr>
        <w:t>García </w:t>
      </w:r>
      <w:r>
        <w:rPr>
          <w:color w:val="231F20"/>
          <w:sz w:val="18"/>
        </w:rPr>
        <w:t>M.A.,</w:t>
      </w:r>
      <w:r>
        <w:rPr>
          <w:color w:val="231F20"/>
          <w:spacing w:val="-14"/>
          <w:sz w:val="18"/>
        </w:rPr>
        <w:t> </w:t>
      </w:r>
      <w:r>
        <w:rPr>
          <w:color w:val="231F20"/>
          <w:sz w:val="18"/>
        </w:rPr>
        <w:t>Ruiz</w:t>
      </w:r>
      <w:r>
        <w:rPr>
          <w:color w:val="231F20"/>
          <w:spacing w:val="-14"/>
          <w:sz w:val="18"/>
        </w:rPr>
        <w:t> </w:t>
      </w:r>
      <w:r>
        <w:rPr>
          <w:color w:val="231F20"/>
          <w:sz w:val="18"/>
        </w:rPr>
        <w:t>A.M.,</w:t>
      </w:r>
      <w:r>
        <w:rPr>
          <w:color w:val="231F20"/>
          <w:spacing w:val="-14"/>
          <w:sz w:val="18"/>
        </w:rPr>
        <w:t> </w:t>
      </w:r>
      <w:r>
        <w:rPr>
          <w:color w:val="231F20"/>
          <w:sz w:val="18"/>
        </w:rPr>
        <w:t>Heredia</w:t>
      </w:r>
      <w:r>
        <w:rPr>
          <w:color w:val="231F20"/>
          <w:spacing w:val="-14"/>
          <w:sz w:val="18"/>
        </w:rPr>
        <w:t> </w:t>
      </w:r>
      <w:r>
        <w:rPr>
          <w:color w:val="231F20"/>
          <w:sz w:val="18"/>
        </w:rPr>
        <w:t>N.D.,</w:t>
      </w:r>
      <w:r>
        <w:rPr>
          <w:color w:val="231F20"/>
          <w:spacing w:val="-14"/>
          <w:sz w:val="18"/>
        </w:rPr>
        <w:t> </w:t>
      </w:r>
      <w:r>
        <w:rPr>
          <w:color w:val="231F20"/>
          <w:sz w:val="18"/>
        </w:rPr>
        <w:t>Guadarrama</w:t>
      </w:r>
      <w:r>
        <w:rPr>
          <w:color w:val="231F20"/>
          <w:spacing w:val="-14"/>
          <w:sz w:val="18"/>
        </w:rPr>
        <w:t> </w:t>
      </w:r>
      <w:r>
        <w:rPr>
          <w:color w:val="231F20"/>
          <w:sz w:val="18"/>
        </w:rPr>
        <w:t>E.J.,</w:t>
      </w:r>
      <w:r>
        <w:rPr>
          <w:color w:val="231F20"/>
          <w:spacing w:val="-14"/>
          <w:sz w:val="18"/>
        </w:rPr>
        <w:t> </w:t>
      </w:r>
      <w:r>
        <w:rPr>
          <w:color w:val="231F20"/>
          <w:sz w:val="18"/>
        </w:rPr>
        <w:t>Caste- lán O.O. </w:t>
      </w:r>
      <w:r>
        <w:rPr>
          <w:color w:val="231F20"/>
          <w:spacing w:val="-3"/>
          <w:sz w:val="18"/>
        </w:rPr>
        <w:t>(2006). </w:t>
      </w:r>
      <w:r>
        <w:rPr>
          <w:color w:val="231F20"/>
          <w:sz w:val="18"/>
        </w:rPr>
        <w:t>Desempeño económico de estrate- gias de alimentación de ganado lechero en sistemas campesinos del altiplano central de México. En: Ca- vallotti</w:t>
      </w:r>
      <w:r>
        <w:rPr>
          <w:color w:val="231F20"/>
          <w:spacing w:val="-13"/>
          <w:sz w:val="18"/>
        </w:rPr>
        <w:t> </w:t>
      </w:r>
      <w:r>
        <w:rPr>
          <w:color w:val="231F20"/>
          <w:spacing w:val="-4"/>
          <w:sz w:val="18"/>
        </w:rPr>
        <w:t>V.B.A.,</w:t>
      </w:r>
      <w:r>
        <w:rPr>
          <w:color w:val="231F20"/>
          <w:spacing w:val="-13"/>
          <w:sz w:val="18"/>
        </w:rPr>
        <w:t> </w:t>
      </w:r>
      <w:r>
        <w:rPr>
          <w:color w:val="231F20"/>
          <w:spacing w:val="-3"/>
          <w:sz w:val="18"/>
        </w:rPr>
        <w:t>Hernández</w:t>
      </w:r>
      <w:r>
        <w:rPr>
          <w:color w:val="231F20"/>
          <w:spacing w:val="-13"/>
          <w:sz w:val="18"/>
        </w:rPr>
        <w:t> </w:t>
      </w:r>
      <w:r>
        <w:rPr>
          <w:color w:val="231F20"/>
          <w:sz w:val="18"/>
        </w:rPr>
        <w:t>M.M.,</w:t>
      </w:r>
      <w:r>
        <w:rPr>
          <w:color w:val="231F20"/>
          <w:spacing w:val="-13"/>
          <w:sz w:val="18"/>
        </w:rPr>
        <w:t> </w:t>
      </w:r>
      <w:r>
        <w:rPr>
          <w:color w:val="231F20"/>
          <w:spacing w:val="-3"/>
          <w:sz w:val="18"/>
        </w:rPr>
        <w:t>Ramírez</w:t>
      </w:r>
      <w:r>
        <w:rPr>
          <w:color w:val="231F20"/>
          <w:spacing w:val="-13"/>
          <w:sz w:val="18"/>
        </w:rPr>
        <w:t> </w:t>
      </w:r>
      <w:r>
        <w:rPr>
          <w:color w:val="231F20"/>
          <w:spacing w:val="-5"/>
          <w:sz w:val="18"/>
        </w:rPr>
        <w:t>V.B.,</w:t>
      </w:r>
      <w:r>
        <w:rPr>
          <w:color w:val="231F20"/>
          <w:spacing w:val="-13"/>
          <w:sz w:val="18"/>
        </w:rPr>
        <w:t> </w:t>
      </w:r>
      <w:r>
        <w:rPr>
          <w:color w:val="231F20"/>
          <w:sz w:val="18"/>
        </w:rPr>
        <w:t>editores. Ganadería, desarrollo sustentable y combate a la po- </w:t>
      </w:r>
      <w:r>
        <w:rPr>
          <w:color w:val="231F20"/>
          <w:spacing w:val="-3"/>
          <w:sz w:val="18"/>
        </w:rPr>
        <w:t>breza: </w:t>
      </w:r>
      <w:r>
        <w:rPr>
          <w:color w:val="231F20"/>
          <w:sz w:val="18"/>
        </w:rPr>
        <w:t>los grandes retos. 7ª Reunión Nacional, </w:t>
      </w:r>
      <w:r>
        <w:rPr>
          <w:color w:val="231F20"/>
          <w:spacing w:val="-3"/>
          <w:sz w:val="18"/>
        </w:rPr>
        <w:t>2006. </w:t>
      </w:r>
      <w:r>
        <w:rPr>
          <w:color w:val="231F20"/>
          <w:sz w:val="18"/>
        </w:rPr>
        <w:t>Universidad Autónoma de Chapingo,</w:t>
      </w:r>
      <w:r>
        <w:rPr>
          <w:color w:val="231F20"/>
          <w:spacing w:val="-20"/>
          <w:sz w:val="18"/>
        </w:rPr>
        <w:t> </w:t>
      </w:r>
      <w:r>
        <w:rPr>
          <w:color w:val="231F20"/>
          <w:sz w:val="18"/>
        </w:rPr>
        <w:t>México.</w:t>
      </w:r>
    </w:p>
    <w:p>
      <w:pPr>
        <w:spacing w:line="264" w:lineRule="auto" w:before="55"/>
        <w:ind w:left="1837" w:right="0" w:hanging="284"/>
        <w:jc w:val="both"/>
        <w:rPr>
          <w:sz w:val="18"/>
        </w:rPr>
      </w:pPr>
      <w:r>
        <w:rPr>
          <w:color w:val="231F20"/>
          <w:sz w:val="18"/>
        </w:rPr>
        <w:t>Arrollo P.E.J.L. (1999). Zacazonapan. Monografía munici- pal. Instituto Mexiquense de la Cultura.</w:t>
      </w:r>
    </w:p>
    <w:p>
      <w:pPr>
        <w:spacing w:line="264" w:lineRule="auto" w:before="55"/>
        <w:ind w:left="1837" w:right="0" w:hanging="284"/>
        <w:jc w:val="both"/>
        <w:rPr>
          <w:sz w:val="18"/>
        </w:rPr>
      </w:pPr>
      <w:r>
        <w:rPr>
          <w:color w:val="231F20"/>
          <w:sz w:val="18"/>
        </w:rPr>
        <w:t>Basáñez A.J., Alanís J.L., Ballido E. (2008). Composición florística y estructura arbórea de la selva mediana subperennifolia del ejido “El Remolino”, Papantla, Veracruz.  </w:t>
      </w:r>
      <w:r>
        <w:rPr>
          <w:i/>
          <w:color w:val="231F20"/>
          <w:sz w:val="18"/>
        </w:rPr>
        <w:t>AIA,  </w:t>
      </w:r>
      <w:r>
        <w:rPr>
          <w:color w:val="231F20"/>
          <w:sz w:val="18"/>
        </w:rPr>
        <w:t>12(2): 3-21.</w:t>
      </w:r>
    </w:p>
    <w:p>
      <w:pPr>
        <w:spacing w:line="264" w:lineRule="auto" w:before="55"/>
        <w:ind w:left="1837" w:right="0" w:hanging="284"/>
        <w:jc w:val="both"/>
        <w:rPr>
          <w:sz w:val="18"/>
        </w:rPr>
      </w:pPr>
      <w:r>
        <w:rPr>
          <w:color w:val="231F20"/>
          <w:sz w:val="18"/>
        </w:rPr>
        <w:t>Fideicomisos Instituidos en Relación con la Agricultura (FIRA). (2011). Panorama agroalimentario: leche y lácteos. Disponible en línea en: </w:t>
      </w:r>
      <w:hyperlink r:id="rId110">
        <w:r>
          <w:rPr>
            <w:color w:val="231F20"/>
            <w:sz w:val="18"/>
          </w:rPr>
          <w:t>www.fira.gob.mx/</w:t>
        </w:r>
      </w:hyperlink>
      <w:r>
        <w:rPr>
          <w:color w:val="231F20"/>
          <w:sz w:val="18"/>
        </w:rPr>
        <w:t> InfEspDtoXML/TemasUsuario.jsp (Consultado  el  9 de  enero  de 2011.)</w:t>
      </w:r>
    </w:p>
    <w:p>
      <w:pPr>
        <w:spacing w:line="264" w:lineRule="auto" w:before="55"/>
        <w:ind w:left="1837" w:right="0" w:hanging="284"/>
        <w:jc w:val="both"/>
        <w:rPr>
          <w:sz w:val="18"/>
        </w:rPr>
      </w:pPr>
      <w:r>
        <w:rPr>
          <w:color w:val="231F20"/>
          <w:sz w:val="18"/>
        </w:rPr>
        <w:t>García L.A. (1996). Las importaciones mexicanas de le- che descremada en polvo en el contexto del merca- do mundial y regional. 2ª ed. Universidad Autónoma </w:t>
      </w:r>
      <w:r>
        <w:rPr>
          <w:color w:val="231F20"/>
          <w:w w:val="95"/>
          <w:sz w:val="18"/>
        </w:rPr>
        <w:t>Metropolitana,  México.</w:t>
      </w:r>
    </w:p>
    <w:p>
      <w:pPr>
        <w:spacing w:before="55"/>
        <w:ind w:left="1553" w:right="0" w:firstLine="0"/>
        <w:jc w:val="both"/>
        <w:rPr>
          <w:sz w:val="18"/>
        </w:rPr>
      </w:pPr>
      <w:r>
        <w:rPr>
          <w:color w:val="231F20"/>
          <w:sz w:val="18"/>
        </w:rPr>
        <w:t>García </w:t>
      </w:r>
      <w:r>
        <w:rPr>
          <w:color w:val="231F20"/>
          <w:spacing w:val="-3"/>
          <w:sz w:val="18"/>
        </w:rPr>
        <w:t>W.L.R.,  </w:t>
      </w:r>
      <w:r>
        <w:rPr>
          <w:color w:val="231F20"/>
          <w:sz w:val="18"/>
        </w:rPr>
        <w:t>Goñi C.S., Olguín </w:t>
      </w:r>
      <w:r>
        <w:rPr>
          <w:color w:val="231F20"/>
          <w:spacing w:val="-3"/>
          <w:sz w:val="18"/>
        </w:rPr>
        <w:t>L.P.A.,  </w:t>
      </w:r>
      <w:r>
        <w:rPr>
          <w:color w:val="231F20"/>
          <w:sz w:val="18"/>
        </w:rPr>
        <w:t>Díaz S.G.,  Arriaga</w:t>
      </w:r>
    </w:p>
    <w:p>
      <w:pPr>
        <w:spacing w:line="264" w:lineRule="auto" w:before="21"/>
        <w:ind w:left="1837" w:right="0" w:firstLine="0"/>
        <w:jc w:val="both"/>
        <w:rPr>
          <w:sz w:val="18"/>
        </w:rPr>
      </w:pPr>
      <w:r>
        <w:rPr>
          <w:color w:val="231F20"/>
          <w:sz w:val="18"/>
        </w:rPr>
        <w:t>J.C.M. (2009). Huizache (Acacia farnesiana) whole pods (flesh and seeds) as an alternative feed for sheep in México. </w:t>
      </w:r>
      <w:r>
        <w:rPr>
          <w:i/>
          <w:color w:val="231F20"/>
          <w:sz w:val="18"/>
        </w:rPr>
        <w:t>Tropical Animal Health and Pro- </w:t>
      </w:r>
      <w:r>
        <w:rPr>
          <w:i/>
          <w:color w:val="231F20"/>
          <w:sz w:val="18"/>
        </w:rPr>
        <w:t>duction</w:t>
      </w:r>
      <w:r>
        <w:rPr>
          <w:color w:val="231F20"/>
          <w:sz w:val="18"/>
        </w:rPr>
        <w:t>,   41:  1615-1621.</w:t>
      </w:r>
    </w:p>
    <w:p>
      <w:pPr>
        <w:spacing w:line="264" w:lineRule="auto" w:before="55"/>
        <w:ind w:left="1837" w:right="0" w:hanging="284"/>
        <w:jc w:val="both"/>
        <w:rPr>
          <w:sz w:val="18"/>
        </w:rPr>
      </w:pPr>
      <w:r>
        <w:rPr>
          <w:color w:val="231F20"/>
          <w:sz w:val="18"/>
        </w:rPr>
        <w:t>Hernández S.R., Fernández C.C., Baptista L.P. (2004). Metodología de la investigación. 3ª ed. McGraw-Hill </w:t>
      </w:r>
      <w:r>
        <w:rPr>
          <w:color w:val="231F20"/>
          <w:w w:val="95"/>
          <w:sz w:val="18"/>
        </w:rPr>
        <w:t>Interamericana,  México.</w:t>
      </w:r>
    </w:p>
    <w:p>
      <w:pPr>
        <w:spacing w:line="266" w:lineRule="auto" w:before="71"/>
        <w:ind w:left="696" w:right="1551" w:hanging="284"/>
        <w:jc w:val="both"/>
        <w:rPr>
          <w:sz w:val="18"/>
        </w:rPr>
      </w:pPr>
      <w:r>
        <w:rPr/>
        <w:br w:type="column"/>
      </w:r>
      <w:r>
        <w:rPr>
          <w:color w:val="231F20"/>
          <w:sz w:val="18"/>
        </w:rPr>
        <w:t>Olivares-Pérez J., Avilés-Nova F., Albarrán-Portillo B., Rojas-Hernández S., Castelán-Ortega O.A. (2011). Identificación, usos y mediciones de leguminosas arbóreas forrajeras en ranchos ganaderos del sur del Estado de México. </w:t>
      </w:r>
      <w:r>
        <w:rPr>
          <w:i/>
          <w:color w:val="231F20"/>
          <w:sz w:val="18"/>
        </w:rPr>
        <w:t>Tropical and Subtropical Agro- </w:t>
      </w:r>
      <w:r>
        <w:rPr>
          <w:i/>
          <w:color w:val="231F20"/>
          <w:sz w:val="18"/>
        </w:rPr>
        <w:t>ecosystems,   </w:t>
      </w:r>
      <w:r>
        <w:rPr>
          <w:color w:val="231F20"/>
          <w:sz w:val="18"/>
        </w:rPr>
        <w:t>14:  739-748.</w:t>
      </w:r>
    </w:p>
    <w:p>
      <w:pPr>
        <w:spacing w:before="57"/>
        <w:ind w:left="412" w:right="1446" w:firstLine="0"/>
        <w:jc w:val="left"/>
        <w:rPr>
          <w:sz w:val="18"/>
        </w:rPr>
      </w:pPr>
      <w:r>
        <w:rPr>
          <w:color w:val="231F20"/>
          <w:sz w:val="18"/>
        </w:rPr>
        <w:t>Rebollar  R.S.,  González  R.F.J.,  Cardoso  J.D., Hernández</w:t>
      </w:r>
    </w:p>
    <w:p>
      <w:pPr>
        <w:spacing w:line="266" w:lineRule="auto" w:before="25"/>
        <w:ind w:left="696" w:right="1551" w:firstLine="0"/>
        <w:jc w:val="both"/>
        <w:rPr>
          <w:sz w:val="18"/>
        </w:rPr>
      </w:pPr>
      <w:r>
        <w:rPr>
          <w:color w:val="231F20"/>
          <w:sz w:val="18"/>
        </w:rPr>
        <w:t>M.J. (2011a). La comercialización de la caña de azú- car para fruta (Saccharum officinarum) del sur del Estado de México. </w:t>
      </w:r>
      <w:r>
        <w:rPr>
          <w:i/>
          <w:color w:val="231F20"/>
          <w:sz w:val="18"/>
        </w:rPr>
        <w:t>Ciencias Agrícolas Informa, </w:t>
      </w:r>
      <w:r>
        <w:rPr>
          <w:color w:val="231F20"/>
          <w:sz w:val="18"/>
        </w:rPr>
        <w:t>en prensa.</w:t>
      </w:r>
    </w:p>
    <w:p>
      <w:pPr>
        <w:spacing w:line="266" w:lineRule="auto" w:before="57"/>
        <w:ind w:left="696" w:right="1551" w:hanging="284"/>
        <w:jc w:val="both"/>
        <w:rPr>
          <w:sz w:val="18"/>
        </w:rPr>
      </w:pPr>
      <w:r>
        <w:rPr>
          <w:color w:val="231F20"/>
          <w:sz w:val="18"/>
        </w:rPr>
        <w:t>Rebollar R.S., Hernández-Martínez J., González-Razo </w:t>
      </w:r>
      <w:r>
        <w:rPr>
          <w:color w:val="231F20"/>
          <w:spacing w:val="-5"/>
          <w:sz w:val="18"/>
        </w:rPr>
        <w:t>F., </w:t>
      </w:r>
      <w:r>
        <w:rPr>
          <w:color w:val="231F20"/>
          <w:sz w:val="18"/>
        </w:rPr>
        <w:t>Albarrán-Portillo, B., Rojo-Rubio R. </w:t>
      </w:r>
      <w:r>
        <w:rPr>
          <w:color w:val="231F20"/>
          <w:spacing w:val="-3"/>
          <w:sz w:val="18"/>
        </w:rPr>
        <w:t>(2011b).  </w:t>
      </w:r>
      <w:r>
        <w:rPr>
          <w:color w:val="231F20"/>
          <w:sz w:val="18"/>
        </w:rPr>
        <w:t>Canales  y márgenes de comercialización del queso añejo en Zacazonapan, México. </w:t>
      </w:r>
      <w:r>
        <w:rPr>
          <w:i/>
          <w:color w:val="231F20"/>
          <w:sz w:val="18"/>
        </w:rPr>
        <w:t>Archivos de Zootecnia, </w:t>
      </w:r>
      <w:r>
        <w:rPr>
          <w:color w:val="231F20"/>
          <w:sz w:val="18"/>
        </w:rPr>
        <w:t>60: 883-889.</w:t>
      </w:r>
    </w:p>
    <w:p>
      <w:pPr>
        <w:spacing w:line="266" w:lineRule="auto" w:before="57"/>
        <w:ind w:left="696" w:right="1551" w:hanging="284"/>
        <w:jc w:val="both"/>
        <w:rPr>
          <w:sz w:val="18"/>
        </w:rPr>
      </w:pPr>
      <w:r>
        <w:rPr>
          <w:color w:val="231F20"/>
          <w:sz w:val="18"/>
        </w:rPr>
        <w:t>Rivas R.L. (2002). Impacto económico  de  la  adopción de pastos mejorados en América Latina </w:t>
      </w:r>
      <w:r>
        <w:rPr>
          <w:color w:val="231F20"/>
          <w:spacing w:val="-3"/>
          <w:sz w:val="18"/>
        </w:rPr>
        <w:t>Tropical. </w:t>
      </w:r>
      <w:r>
        <w:rPr>
          <w:color w:val="231F20"/>
          <w:sz w:val="18"/>
        </w:rPr>
        <w:t>Simposio internacional sobre rentabilidad en las empresas ganaderas. Organizado por la Universidad Nacional Autónoma de México. Facultad de Medi- cina Veterinaria y Zootecnia. Centro de Enseñanza, Investigación y Extensión en Ganadería </w:t>
      </w:r>
      <w:r>
        <w:rPr>
          <w:color w:val="231F20"/>
          <w:spacing w:val="-3"/>
          <w:sz w:val="18"/>
        </w:rPr>
        <w:t>Tropical. </w:t>
      </w:r>
      <w:r>
        <w:rPr>
          <w:color w:val="231F20"/>
          <w:sz w:val="18"/>
        </w:rPr>
        <w:t>No- viembre</w:t>
      </w:r>
      <w:r>
        <w:rPr>
          <w:color w:val="231F20"/>
          <w:spacing w:val="31"/>
          <w:sz w:val="18"/>
        </w:rPr>
        <w:t> </w:t>
      </w:r>
      <w:r>
        <w:rPr>
          <w:color w:val="231F20"/>
          <w:sz w:val="18"/>
        </w:rPr>
        <w:t>23.</w:t>
      </w:r>
    </w:p>
    <w:p>
      <w:pPr>
        <w:spacing w:line="266" w:lineRule="auto" w:before="57"/>
        <w:ind w:left="696" w:right="1551" w:hanging="284"/>
        <w:jc w:val="both"/>
        <w:rPr>
          <w:sz w:val="18"/>
        </w:rPr>
      </w:pPr>
      <w:r>
        <w:rPr>
          <w:color w:val="231F20"/>
          <w:sz w:val="18"/>
        </w:rPr>
        <w:t>Mosquera R.L.J., Robledo M.D., Asprilla, P.A. (2007). Di- versidad florística de dos zonas de bosque tropical húmedo en el municipio de Alto Baudó, Chocó-Co- lombia. </w:t>
      </w:r>
      <w:r>
        <w:rPr>
          <w:i/>
          <w:color w:val="231F20"/>
          <w:sz w:val="18"/>
        </w:rPr>
        <w:t>Acta Biol Colomb, </w:t>
      </w:r>
      <w:r>
        <w:rPr>
          <w:color w:val="231F20"/>
          <w:sz w:val="18"/>
        </w:rPr>
        <w:t>12:    75-90.</w:t>
      </w:r>
    </w:p>
    <w:p>
      <w:pPr>
        <w:spacing w:line="266" w:lineRule="auto" w:before="57"/>
        <w:ind w:left="696" w:right="1551" w:hanging="284"/>
        <w:jc w:val="both"/>
        <w:rPr>
          <w:sz w:val="18"/>
        </w:rPr>
      </w:pPr>
      <w:r>
        <w:rPr>
          <w:color w:val="231F20"/>
          <w:sz w:val="18"/>
        </w:rPr>
        <w:t>Secretaría de Ganadería, Agricultura, Desarrollo Rural, Pesca y Alimentación (SAGARPA). (2008).  Servicios de Información Agroalimentaria y Pesquera (SIAP). Disponible en línea en: </w:t>
      </w:r>
      <w:hyperlink r:id="rId111">
        <w:r>
          <w:rPr>
            <w:color w:val="231F20"/>
            <w:sz w:val="18"/>
          </w:rPr>
          <w:t>www.siap.sagarpa.gob.mx</w:t>
        </w:r>
      </w:hyperlink>
      <w:r>
        <w:rPr>
          <w:color w:val="231F20"/>
          <w:sz w:val="18"/>
        </w:rPr>
        <w:t> (Consultado  el  9  de  enero  de 2012.)</w:t>
      </w:r>
    </w:p>
    <w:p>
      <w:pPr>
        <w:spacing w:line="266" w:lineRule="auto" w:before="57"/>
        <w:ind w:left="696" w:right="1551" w:hanging="284"/>
        <w:jc w:val="both"/>
        <w:rPr>
          <w:sz w:val="18"/>
        </w:rPr>
      </w:pPr>
      <w:r>
        <w:rPr>
          <w:color w:val="231F20"/>
          <w:sz w:val="18"/>
        </w:rPr>
        <w:t>Vilaboa A.J., Díaz R.P., Ruiz R.O., Platas R.E.D., González M.S., Juárez L.F. (2009). Caracterización socioeco- nómica y tecnológica de los agroecosistemas con bovinos de doble propósito de la región del Papa- loapan, Veracruz, México. </w:t>
      </w:r>
      <w:r>
        <w:rPr>
          <w:i/>
          <w:color w:val="231F20"/>
          <w:sz w:val="18"/>
        </w:rPr>
        <w:t>Tropical and Subtropical </w:t>
      </w:r>
      <w:r>
        <w:rPr>
          <w:i/>
          <w:color w:val="231F20"/>
          <w:sz w:val="18"/>
        </w:rPr>
        <w:t>Agroecosystems,  </w:t>
      </w:r>
      <w:r>
        <w:rPr>
          <w:color w:val="231F20"/>
          <w:sz w:val="18"/>
        </w:rPr>
        <w:t>10:   53-62.</w:t>
      </w:r>
    </w:p>
    <w:p>
      <w:pPr>
        <w:spacing w:line="266" w:lineRule="auto" w:before="57"/>
        <w:ind w:left="696" w:right="1551" w:hanging="284"/>
        <w:jc w:val="both"/>
        <w:rPr>
          <w:sz w:val="18"/>
        </w:rPr>
      </w:pPr>
      <w:r>
        <w:rPr>
          <w:color w:val="231F20"/>
          <w:sz w:val="18"/>
        </w:rPr>
        <w:t>Virgilio M.V., Rogério M.M., Matta M.R., Pimenta A.I. (2002). Manejo de la regeneración natural de espe- cies arbóreas nativas para la formación de sistemas silvopastoriles en las zonas de bosques secos del sureste de Brasil. </w:t>
      </w:r>
      <w:r>
        <w:rPr>
          <w:i/>
          <w:color w:val="231F20"/>
          <w:sz w:val="18"/>
        </w:rPr>
        <w:t>Agroforestería en las Américas, </w:t>
      </w:r>
      <w:r>
        <w:rPr>
          <w:color w:val="231F20"/>
          <w:sz w:val="18"/>
        </w:rPr>
        <w:t>9: 48-52.</w:t>
      </w:r>
    </w:p>
    <w:p>
      <w:pPr>
        <w:spacing w:after="0" w:line="26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pPr>
    </w:p>
    <w:p>
      <w:pPr>
        <w:pStyle w:val="BodyText"/>
      </w:pPr>
    </w:p>
    <w:p>
      <w:pPr>
        <w:pStyle w:val="BodyText"/>
        <w:spacing w:before="11"/>
        <w:rPr>
          <w:sz w:val="25"/>
        </w:rPr>
      </w:pPr>
    </w:p>
    <w:p>
      <w:pPr>
        <w:pStyle w:val="ListParagraph"/>
        <w:numPr>
          <w:ilvl w:val="0"/>
          <w:numId w:val="11"/>
        </w:numPr>
        <w:tabs>
          <w:tab w:pos="2110" w:val="left" w:leader="none"/>
        </w:tabs>
        <w:spacing w:line="240" w:lineRule="auto" w:before="12" w:after="0"/>
        <w:ind w:left="2109" w:right="0" w:hanging="556"/>
        <w:jc w:val="both"/>
        <w:rPr>
          <w:sz w:val="28"/>
        </w:rPr>
      </w:pPr>
      <w:r>
        <w:rPr>
          <w:color w:val="6D6E71"/>
          <w:w w:val="120"/>
          <w:sz w:val="40"/>
        </w:rPr>
        <w:t>S</w:t>
      </w:r>
      <w:r>
        <w:rPr>
          <w:color w:val="6D6E71"/>
          <w:w w:val="120"/>
          <w:sz w:val="28"/>
        </w:rPr>
        <w:t>iStemaS  de  bovinoS  produCtoreS  de</w:t>
      </w:r>
      <w:r>
        <w:rPr>
          <w:color w:val="6D6E71"/>
          <w:spacing w:val="-22"/>
          <w:w w:val="120"/>
          <w:sz w:val="28"/>
        </w:rPr>
        <w:t> </w:t>
      </w:r>
      <w:r>
        <w:rPr>
          <w:color w:val="6D6E71"/>
          <w:spacing w:val="3"/>
          <w:w w:val="120"/>
          <w:sz w:val="28"/>
        </w:rPr>
        <w:t>Carne</w:t>
      </w:r>
    </w:p>
    <w:p>
      <w:pPr>
        <w:pStyle w:val="Heading3"/>
        <w:spacing w:before="290"/>
        <w:rPr>
          <w:sz w:val="60"/>
        </w:rPr>
      </w:pPr>
      <w:bookmarkStart w:name="_TOC_250007" w:id="5"/>
      <w:r>
        <w:rPr>
          <w:color w:val="231F20"/>
          <w:w w:val="110"/>
        </w:rPr>
        <w:t>CAPÍTULO </w:t>
      </w:r>
      <w:bookmarkEnd w:id="5"/>
      <w:r>
        <w:rPr>
          <w:color w:val="231F20"/>
          <w:w w:val="110"/>
          <w:sz w:val="60"/>
        </w:rPr>
        <w:t>8</w:t>
      </w:r>
    </w:p>
    <w:p>
      <w:pPr>
        <w:spacing w:before="219"/>
        <w:ind w:left="1553" w:right="0" w:firstLine="0"/>
        <w:jc w:val="both"/>
        <w:rPr>
          <w:sz w:val="36"/>
        </w:rPr>
      </w:pPr>
      <w:r>
        <w:rPr>
          <w:color w:val="231F20"/>
          <w:spacing w:val="3"/>
          <w:w w:val="105"/>
          <w:sz w:val="36"/>
        </w:rPr>
        <w:t>LA </w:t>
      </w:r>
      <w:r>
        <w:rPr>
          <w:color w:val="231F20"/>
          <w:w w:val="105"/>
          <w:sz w:val="36"/>
        </w:rPr>
        <w:t>PRODUCCIÓN DE BOVINOS </w:t>
      </w:r>
      <w:r>
        <w:rPr>
          <w:color w:val="231F20"/>
          <w:spacing w:val="-4"/>
          <w:w w:val="105"/>
          <w:sz w:val="36"/>
        </w:rPr>
        <w:t>PARA </w:t>
      </w:r>
      <w:r>
        <w:rPr>
          <w:color w:val="231F20"/>
          <w:spacing w:val="55"/>
          <w:w w:val="105"/>
          <w:sz w:val="36"/>
        </w:rPr>
        <w:t> </w:t>
      </w:r>
      <w:r>
        <w:rPr>
          <w:color w:val="231F20"/>
          <w:spacing w:val="4"/>
          <w:w w:val="105"/>
          <w:sz w:val="36"/>
        </w:rPr>
        <w:t>CARNE</w:t>
      </w:r>
    </w:p>
    <w:p>
      <w:pPr>
        <w:spacing w:before="0"/>
        <w:ind w:left="1553" w:right="2778" w:firstLine="0"/>
        <w:jc w:val="left"/>
        <w:rPr>
          <w:sz w:val="36"/>
        </w:rPr>
      </w:pPr>
      <w:r>
        <w:rPr>
          <w:color w:val="231F20"/>
          <w:w w:val="105"/>
          <w:sz w:val="36"/>
        </w:rPr>
        <w:t>Y SU IMPORTANCIA EN EL DESARROLLO RURAL EN EL TRÓPICO SECO DEL ESTADO  DE   MÉXICO</w:t>
      </w:r>
    </w:p>
    <w:p>
      <w:pPr>
        <w:pStyle w:val="Heading4"/>
        <w:spacing w:before="307"/>
        <w:ind w:right="3587"/>
        <w:jc w:val="left"/>
      </w:pPr>
      <w:r>
        <w:rPr>
          <w:i/>
          <w:color w:val="231F20"/>
        </w:rPr>
        <w:t>Anastacio García Martínez</w:t>
      </w:r>
      <w:r>
        <w:rPr>
          <w:i/>
          <w:color w:val="231F20"/>
          <w:position w:val="9"/>
          <w:sz w:val="16"/>
        </w:rPr>
        <w:t>*</w:t>
      </w:r>
      <w:r>
        <w:rPr>
          <w:i/>
          <w:color w:val="231F20"/>
        </w:rPr>
        <w:t>, Benito Albarrán Portillo, </w:t>
      </w:r>
      <w:r>
        <w:rPr>
          <w:color w:val="231F20"/>
        </w:rPr>
        <w:t>Samuel  Rebollar  Rebollar  y  Cristina  Campuzano  de Nova</w:t>
      </w:r>
    </w:p>
    <w:p>
      <w:pPr>
        <w:pStyle w:val="BodyText"/>
        <w:spacing w:line="254" w:lineRule="auto" w:before="175"/>
        <w:ind w:left="1553" w:right="3809"/>
      </w:pPr>
      <w:r>
        <w:rPr>
          <w:color w:val="231F20"/>
        </w:rPr>
        <w:t>Centro Universitario UAEM Temascaltepec. Km. 67,5 Carretera Toluca-Tejupilco. Temascaltepec de González, Estado de México, México,    C.P.  51300</w:t>
      </w:r>
    </w:p>
    <w:p>
      <w:pPr>
        <w:pStyle w:val="BodyText"/>
      </w:pPr>
    </w:p>
    <w:p>
      <w:pPr>
        <w:pStyle w:val="BodyText"/>
        <w:spacing w:before="2"/>
        <w:rPr>
          <w:sz w:val="23"/>
        </w:rPr>
      </w:pPr>
      <w:r>
        <w:rPr/>
        <w:pict>
          <v:line style="position:absolute;mso-position-horizontal-relative:page;mso-position-vertical-relative:paragraph;z-index:2968;mso-wrap-distance-left:0;mso-wrap-distance-right:0" from="77.692902pt,16.354214pt" to="517.062902pt,16.354214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0"/>
        <w:jc w:val="both"/>
      </w:pPr>
      <w:r>
        <w:rPr>
          <w:color w:val="231F20"/>
        </w:rPr>
        <w:t>La ganadería en condiciones tropicales constituye una actividad importante debido a su carácter multifun- cional. Por un lado están sus funciones productivas y económicas para el bienestar de la población directa- mente involucrada, y por otro la conservación del medio ambiente y de los recursos naturales. El objetivo del trabajo fue evaluar la importancia económica para el desarrollo de las unidades de producción de ganado bovino en el sur del Estado de México. La información analizada por estratos (E1, E2 y E3), según    el tamaño del hato (unidades ganaderas totales), se obtuvo mediante una encuesta estructurada aplicada    a 50 titulares de las unidades de producción. Los principales resultados indicaron que la alimentación es el rubro de mayor importancia, al representar un 55,5% del costo total, y su tendencia guarda una estrecha relación con el tamaño de la unidad de producción. La orientación productiva es hacia la producción de carne, principalmente la venta de becerros destetados (72,18%), aunque la venta de ganado engordado también es importante. El margen neto representa $71786,24 en promedio, aunque es mayor en las unidades de producción más grandes. En este tenor se evidencia que la ganadería es la principal actividad económica en la zona de estudio, al obtener un margen neto de </w:t>
      </w:r>
      <w:r>
        <w:rPr>
          <w:color w:val="231F20"/>
          <w:spacing w:val="2"/>
        </w:rPr>
        <w:t>$60492,84 </w:t>
      </w:r>
      <w:r>
        <w:rPr>
          <w:color w:val="231F20"/>
        </w:rPr>
        <w:t>por unidad de trabajo año  </w:t>
      </w:r>
      <w:r>
        <w:rPr>
          <w:color w:val="231F20"/>
          <w:spacing w:val="-3"/>
        </w:rPr>
        <w:t>(UTA), </w:t>
      </w:r>
      <w:r>
        <w:rPr>
          <w:color w:val="231F20"/>
        </w:rPr>
        <w:t>3643,68 por vaca y año, y </w:t>
      </w:r>
      <w:r>
        <w:rPr>
          <w:color w:val="231F20"/>
          <w:spacing w:val="-3"/>
        </w:rPr>
        <w:t>$2039,12 </w:t>
      </w:r>
      <w:r>
        <w:rPr>
          <w:color w:val="231F20"/>
        </w:rPr>
        <w:t>por hectárea de superficie forrajera por año, con una especiali- zación marcada en la producción de carne en condiciones extensivas, y ésta se afianza como una actividad económica importante para el desarrollo </w:t>
      </w:r>
      <w:r>
        <w:rPr>
          <w:color w:val="231F20"/>
          <w:spacing w:val="3"/>
        </w:rPr>
        <w:t> </w:t>
      </w:r>
      <w:r>
        <w:rPr>
          <w:color w:val="231F20"/>
        </w:rPr>
        <w:t>local.</w:t>
      </w:r>
    </w:p>
    <w:p>
      <w:pPr>
        <w:pStyle w:val="BodyText"/>
        <w:spacing w:before="114"/>
        <w:ind w:left="1553"/>
        <w:jc w:val="both"/>
      </w:pPr>
      <w:r>
        <w:rPr>
          <w:color w:val="231F20"/>
        </w:rPr>
        <w:t>Palabras clave: Estratificación - Desarrollo económico -Doble propósito - Zonas tropicales.</w:t>
      </w:r>
    </w:p>
    <w:p>
      <w:pPr>
        <w:pStyle w:val="BodyText"/>
        <w:spacing w:before="3"/>
      </w:pPr>
      <w:r>
        <w:rPr/>
        <w:pict>
          <v:line style="position:absolute;mso-position-horizontal-relative:page;mso-position-vertical-relative:paragraph;z-index:2992;mso-wrap-distance-left:0;mso-wrap-distance-right:0" from="77.692902pt,14.572355pt" to="517.062902pt,14.572355pt" stroked="true" strokeweight=".5pt" strokecolor="#231f20">
            <w10:wrap type="topAndBottom"/>
          </v:line>
        </w:pict>
      </w:r>
      <w:r>
        <w:rPr/>
        <w:pict>
          <v:group style="position:absolute;margin-left:77.692902pt;margin-top:22.599955pt;width:70.9pt;height:.5pt;mso-position-horizontal-relative:page;mso-position-vertical-relative:paragraph;z-index:3016;mso-wrap-distance-left:0;mso-wrap-distance-right:0" coordorigin="1554,452" coordsize="1418,10">
            <v:line style="position:absolute" from="1589,457" to="2951,457" stroked="true" strokeweight=".5pt" strokecolor="#231f20">
              <v:stroke dashstyle="dash"/>
            </v:line>
            <v:line style="position:absolute" from="1559,457" to="1559,457" stroked="true" strokeweight=".5pt" strokecolor="#231f20"/>
            <v:line style="position:absolute" from="2966,457" to="2966,457" stroked="true" strokeweight=".5pt" strokecolor="#231f20"/>
            <w10:wrap type="topAndBottom"/>
          </v:group>
        </w:pict>
      </w:r>
    </w:p>
    <w:p>
      <w:pPr>
        <w:pStyle w:val="BodyText"/>
        <w:spacing w:before="2"/>
        <w:rPr>
          <w:sz w:val="7"/>
        </w:rPr>
      </w:pPr>
    </w:p>
    <w:p>
      <w:pPr>
        <w:spacing w:after="0"/>
        <w:rPr>
          <w:sz w:val="7"/>
        </w:rPr>
        <w:sectPr>
          <w:pgSz w:w="11900" w:h="14450"/>
          <w:pgMar w:header="0" w:footer="222" w:top="420" w:bottom="420" w:left="0" w:right="0"/>
        </w:sectPr>
      </w:pPr>
    </w:p>
    <w:p>
      <w:pPr>
        <w:spacing w:before="70"/>
        <w:ind w:left="1553" w:right="-8" w:firstLine="0"/>
        <w:jc w:val="left"/>
        <w:rPr>
          <w:sz w:val="16"/>
        </w:rPr>
      </w:pPr>
      <w:r>
        <w:rPr>
          <w:color w:val="231F20"/>
          <w:sz w:val="16"/>
        </w:rPr>
        <w:t>* Para correspondencia:  </w:t>
      </w:r>
      <w:hyperlink r:id="rId112">
        <w:r>
          <w:rPr>
            <w:color w:val="231F20"/>
            <w:sz w:val="16"/>
          </w:rPr>
          <w:t>angama.agm@gmail.com</w:t>
        </w:r>
      </w:hyperlink>
    </w:p>
    <w:p>
      <w:pPr>
        <w:pStyle w:val="BodyText"/>
        <w:spacing w:before="9"/>
      </w:pPr>
      <w:r>
        <w:rPr/>
        <w:br w:type="column"/>
      </w:r>
      <w:r>
        <w:rPr/>
      </w:r>
    </w:p>
    <w:p>
      <w:pPr>
        <w:pStyle w:val="Heading5"/>
        <w:ind w:left="1524" w:right="1531"/>
        <w:jc w:val="center"/>
      </w:pPr>
      <w:r>
        <w:rPr>
          <w:color w:val="231F20"/>
          <w:w w:val="115"/>
        </w:rPr>
        <w:t>119</w:t>
      </w:r>
    </w:p>
    <w:p>
      <w:pPr>
        <w:spacing w:after="0"/>
        <w:jc w:val="center"/>
        <w:sectPr>
          <w:type w:val="continuous"/>
          <w:pgSz w:w="11900" w:h="14450"/>
          <w:pgMar w:top="420" w:bottom="420" w:left="0" w:right="0"/>
          <w:cols w:num="2" w:equalWidth="0">
            <w:col w:w="4865" w:space="3555"/>
            <w:col w:w="3480"/>
          </w:cols>
        </w:sectPr>
      </w:pPr>
    </w:p>
    <w:p>
      <w:pPr>
        <w:pStyle w:val="BodyText"/>
      </w:pPr>
    </w:p>
    <w:p>
      <w:pPr>
        <w:pStyle w:val="BodyText"/>
      </w:pPr>
    </w:p>
    <w:p>
      <w:pPr>
        <w:pStyle w:val="BodyText"/>
        <w:rPr>
          <w:sz w:val="17"/>
        </w:rPr>
      </w:pPr>
    </w:p>
    <w:p>
      <w:pPr>
        <w:tabs>
          <w:tab w:pos="6320" w:val="left" w:leader="none"/>
        </w:tabs>
        <w:spacing w:before="64"/>
        <w:ind w:left="1551" w:right="0" w:firstLine="0"/>
        <w:jc w:val="left"/>
        <w:rPr>
          <w:sz w:val="12"/>
        </w:rPr>
      </w:pPr>
      <w:r>
        <w:rPr>
          <w:color w:val="231F20"/>
          <w:spacing w:val="-5"/>
          <w:w w:val="120"/>
          <w:sz w:val="22"/>
        </w:rPr>
        <w:t>120</w:t>
        <w:tab/>
      </w:r>
      <w:r>
        <w:rPr>
          <w:color w:val="231F20"/>
          <w:w w:val="120"/>
          <w:sz w:val="18"/>
        </w:rPr>
        <w:t>SECCIÓN 2.  C. S</w:t>
      </w:r>
      <w:r>
        <w:rPr>
          <w:color w:val="231F20"/>
          <w:w w:val="120"/>
          <w:sz w:val="12"/>
        </w:rPr>
        <w:t>iStemaS  de  bovinoS  produCtoreS  de</w:t>
      </w:r>
      <w:r>
        <w:rPr>
          <w:color w:val="231F20"/>
          <w:spacing w:val="-2"/>
          <w:w w:val="120"/>
          <w:sz w:val="12"/>
        </w:rPr>
        <w:t> </w:t>
      </w:r>
      <w:r>
        <w:rPr>
          <w:color w:val="231F20"/>
          <w:w w:val="120"/>
          <w:sz w:val="12"/>
        </w:rPr>
        <w:t>Carne</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9" w:lineRule="auto" w:before="133"/>
        <w:ind w:left="1553"/>
        <w:jc w:val="both"/>
      </w:pPr>
      <w:r>
        <w:rPr>
          <w:color w:val="231F20"/>
        </w:rPr>
        <w:t>La ganadería en condiciones de  manejo  extensi- vo sigue constituyendo una actividad importante,   a pesar del acelerado crecimiento de actividades económicas alternativas como el turismo y de una población rural cada vez más escasa (Gibon </w:t>
      </w:r>
      <w:r>
        <w:rPr>
          <w:i/>
          <w:color w:val="231F20"/>
        </w:rPr>
        <w:t>et al</w:t>
      </w:r>
      <w:r>
        <w:rPr>
          <w:color w:val="231F20"/>
        </w:rPr>
        <w:t>., 2004). Hoy por </w:t>
      </w:r>
      <w:r>
        <w:rPr>
          <w:color w:val="231F20"/>
          <w:spacing w:val="-3"/>
        </w:rPr>
        <w:t>hoy, </w:t>
      </w:r>
      <w:r>
        <w:rPr>
          <w:color w:val="231F20"/>
        </w:rPr>
        <w:t>el carácter multifuncional de este tipo de ganadería es ampliamente reconoci- do, y además de las funciones productivas y eco- nómicas deben considerarse las relacionadas con  la conservación del medio ambiente y los recursos naturales, la seguridad alimentaria y el desarrollo rural, entre otras (Bernués </w:t>
      </w:r>
      <w:r>
        <w:rPr>
          <w:i/>
          <w:color w:val="231F20"/>
        </w:rPr>
        <w:t>et al</w:t>
      </w:r>
      <w:r>
        <w:rPr>
          <w:color w:val="231F20"/>
        </w:rPr>
        <w:t>., 2005). Es decir,   la actividad agropecuaria en estas zonas se asocia con diversos objetivos que se refieren a la pro- ducción primaria, pero también a sus funciones medioambientales y sociales, dada su contribución positiva a la cohesión económica y social (Laurent </w:t>
      </w:r>
      <w:r>
        <w:rPr>
          <w:i/>
          <w:color w:val="231F20"/>
        </w:rPr>
        <w:t>et al</w:t>
      </w:r>
      <w:r>
        <w:rPr>
          <w:color w:val="231F20"/>
        </w:rPr>
        <w:t>., 2003). Sin embargo, se ha identificado la vulnerabilidad de estos sistemas de producción, sobre todo en aquellos de escasos recursos, abun- dantes en zonas marginadas, por lo que son alta- mente susceptibles al abandono (García-Martínez </w:t>
      </w:r>
      <w:r>
        <w:rPr>
          <w:i/>
          <w:color w:val="231F20"/>
        </w:rPr>
        <w:t>et  al</w:t>
      </w:r>
      <w:r>
        <w:rPr>
          <w:color w:val="231F20"/>
        </w:rPr>
        <w:t>.,</w:t>
      </w:r>
      <w:r>
        <w:rPr>
          <w:color w:val="231F20"/>
          <w:spacing w:val="27"/>
        </w:rPr>
        <w:t> </w:t>
      </w:r>
      <w:r>
        <w:rPr>
          <w:color w:val="231F20"/>
        </w:rPr>
        <w:t>2009).</w:t>
      </w:r>
    </w:p>
    <w:p>
      <w:pPr>
        <w:pStyle w:val="BodyText"/>
        <w:spacing w:line="259" w:lineRule="auto" w:before="113"/>
        <w:ind w:left="1553"/>
        <w:jc w:val="both"/>
      </w:pPr>
      <w:r>
        <w:rPr>
          <w:color w:val="231F20"/>
        </w:rPr>
        <w:t>Por todo lo anterior, es evidente que la sostenibili- dad de estos sistemas ganaderos está condiciona- da por su capacidad de adaptación a los cambios sociales y económicos del entorno. Para ello, sus modelos productivos deben ajustarse a las nuevas oportunidades, restricciones y prioridades que la dinámica de dicho entorno establece, concretadas en la sostenibilidad del medio natural, la seguridad y la calidad de los productos obtenidos, las innova- ciones tecnológicas y organizativas, y los cambios importantes en los mercados (García-Martínez, 2008).</w:t>
      </w:r>
    </w:p>
    <w:p>
      <w:pPr>
        <w:pStyle w:val="BodyText"/>
        <w:spacing w:line="259" w:lineRule="auto" w:before="113"/>
        <w:ind w:left="1553"/>
        <w:jc w:val="both"/>
      </w:pPr>
      <w:r>
        <w:rPr>
          <w:color w:val="231F20"/>
        </w:rPr>
        <w:t>En función de todo ello, la ganadería de doble pro- pósito es un ejemplo claro y característico de las zonas tropicales bajo un sistema de manejo exten- sivo, especializado principalmente en la</w:t>
      </w:r>
      <w:r>
        <w:rPr>
          <w:color w:val="231F20"/>
          <w:spacing w:val="-12"/>
        </w:rPr>
        <w:t> </w:t>
      </w:r>
      <w:r>
        <w:rPr>
          <w:color w:val="231F20"/>
        </w:rPr>
        <w:t>producción de</w:t>
      </w:r>
      <w:r>
        <w:rPr>
          <w:color w:val="231F20"/>
          <w:spacing w:val="20"/>
        </w:rPr>
        <w:t> </w:t>
      </w:r>
      <w:r>
        <w:rPr>
          <w:color w:val="231F20"/>
        </w:rPr>
        <w:t>carne</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menor</w:t>
      </w:r>
      <w:r>
        <w:rPr>
          <w:color w:val="231F20"/>
          <w:spacing w:val="20"/>
        </w:rPr>
        <w:t> </w:t>
      </w:r>
      <w:r>
        <w:rPr>
          <w:color w:val="231F20"/>
        </w:rPr>
        <w:t>medida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producción</w:t>
      </w:r>
      <w:r>
        <w:rPr>
          <w:color w:val="231F20"/>
          <w:spacing w:val="20"/>
        </w:rPr>
        <w:t> </w:t>
      </w:r>
      <w:r>
        <w:rPr>
          <w:color w:val="231F20"/>
        </w:rPr>
        <w:t>de</w:t>
      </w:r>
    </w:p>
    <w:p>
      <w:pPr>
        <w:pStyle w:val="BodyText"/>
        <w:spacing w:line="259" w:lineRule="auto" w:before="67"/>
        <w:ind w:left="412" w:right="1551"/>
        <w:jc w:val="both"/>
      </w:pPr>
      <w:r>
        <w:rPr/>
        <w:br w:type="column"/>
      </w:r>
      <w:r>
        <w:rPr>
          <w:color w:val="231F20"/>
        </w:rPr>
        <w:t>leche. Presenta una marcada estacionalidad (pe- riodos de lluvias y de estiaje) que condiciona la producción de forraje y las estrategias de alimen- tación. El ganado  se  encuentra  principalmente  en agostaderos y las condiciones para la produc- ción son de alta rusticidad (Macedo </w:t>
      </w:r>
      <w:r>
        <w:rPr>
          <w:i/>
          <w:color w:val="231F20"/>
        </w:rPr>
        <w:t>et al</w:t>
      </w:r>
      <w:r>
        <w:rPr>
          <w:color w:val="231F20"/>
        </w:rPr>
        <w:t>., 2003; </w:t>
      </w:r>
      <w:r>
        <w:rPr>
          <w:color w:val="231F20"/>
          <w:spacing w:val="-3"/>
        </w:rPr>
        <w:t>INIFAP, </w:t>
      </w:r>
      <w:r>
        <w:rPr>
          <w:color w:val="231F20"/>
          <w:spacing w:val="32"/>
        </w:rPr>
        <w:t> </w:t>
      </w:r>
      <w:r>
        <w:rPr>
          <w:color w:val="231F20"/>
        </w:rPr>
        <w:t>2002).</w:t>
      </w:r>
    </w:p>
    <w:p>
      <w:pPr>
        <w:pStyle w:val="BodyText"/>
        <w:spacing w:line="259" w:lineRule="auto" w:before="114"/>
        <w:ind w:left="412" w:right="1551"/>
        <w:jc w:val="both"/>
      </w:pPr>
      <w:r>
        <w:rPr>
          <w:color w:val="231F20"/>
        </w:rPr>
        <w:t>El análisis de la diversidad de los sistemas ganade- ros ha sido abordado desde diversas perspectivas en los últimos años, entre las que destacan, por    su importancia, la caracterización y la tipificación de las unidades de producción con el objeto de realizar diagnósticos que permitan entender su funcionamiento. En estas metodologías pueden aplicarse diversas herramientas para la recopila- ción de información, su análisis y la interpretación de los resultados. En cuanto a la recogida de in- formación, podemos señalar las encuestas estruc- turadas, ampliamente utilizadas en el estudio de sistemas agropecuarios (García-Martínez </w:t>
      </w:r>
      <w:r>
        <w:rPr>
          <w:i/>
          <w:color w:val="231F20"/>
        </w:rPr>
        <w:t>et al</w:t>
      </w:r>
      <w:r>
        <w:rPr>
          <w:color w:val="231F20"/>
        </w:rPr>
        <w:t>., 2009; Olaizola y Gibon, </w:t>
      </w:r>
      <w:r>
        <w:rPr>
          <w:color w:val="231F20"/>
          <w:spacing w:val="-3"/>
        </w:rPr>
        <w:t>1997), </w:t>
      </w:r>
      <w:r>
        <w:rPr>
          <w:color w:val="231F20"/>
        </w:rPr>
        <w:t>las semiestructura- das y los seguimientos técnico-económicos, carac- terizados por su carácter dinámico (Ruiz y Oregui, </w:t>
      </w:r>
      <w:r>
        <w:rPr>
          <w:color w:val="231F20"/>
          <w:spacing w:val="-3"/>
        </w:rPr>
        <w:t>2001) </w:t>
      </w:r>
      <w:r>
        <w:rPr>
          <w:color w:val="231F20"/>
        </w:rPr>
        <w:t>que permite la recolección de información más precisa y detallada a lo largo del  </w:t>
      </w:r>
      <w:r>
        <w:rPr>
          <w:color w:val="231F20"/>
          <w:spacing w:val="4"/>
        </w:rPr>
        <w:t> </w:t>
      </w:r>
      <w:r>
        <w:rPr>
          <w:color w:val="231F20"/>
        </w:rPr>
        <w:t>tiempo.</w:t>
      </w:r>
    </w:p>
    <w:p>
      <w:pPr>
        <w:pStyle w:val="BodyText"/>
        <w:spacing w:line="259" w:lineRule="auto" w:before="114"/>
        <w:ind w:left="412" w:right="1551"/>
        <w:jc w:val="both"/>
      </w:pPr>
      <w:r>
        <w:rPr>
          <w:color w:val="231F20"/>
        </w:rPr>
        <w:t>El establecimiento de tipos de unidades de pro- ducción ganaderas constituye un método de elección para el estudio y el diagnóstico, dada la diversidad de éstas. Con ello se pretende ofrecer una visión lo suficientemente simplificada de la realidad mediante la reducción de la multitud de casos individuales, pero al mismo tiempo se trata de mantener la idea original de heterogeneidad. Así mismo, la estratificación supone la agrupación en tipos homogéneos según los criterios estable- cidos por el investigador (García-Martínez </w:t>
      </w:r>
      <w:r>
        <w:rPr>
          <w:i/>
          <w:color w:val="231F20"/>
        </w:rPr>
        <w:t>et al</w:t>
      </w:r>
      <w:r>
        <w:rPr>
          <w:color w:val="231F20"/>
        </w:rPr>
        <w:t>., </w:t>
      </w:r>
      <w:r>
        <w:rPr>
          <w:color w:val="231F20"/>
          <w:spacing w:val="-4"/>
        </w:rPr>
        <w:t>2011).</w:t>
      </w:r>
    </w:p>
    <w:p>
      <w:pPr>
        <w:pStyle w:val="BodyText"/>
        <w:spacing w:line="259" w:lineRule="auto" w:before="114"/>
        <w:ind w:left="412" w:right="1551"/>
        <w:jc w:val="both"/>
      </w:pPr>
      <w:r>
        <w:rPr>
          <w:color w:val="231F20"/>
        </w:rPr>
        <w:t>El objetivo del presente trabajo fue evaluar los sistemas de producción de ganado bovino  en  el sur del Estado de México y analizar su importancia económica para el desarrollo  local.</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8.     </w:t>
      </w:r>
      <w:r>
        <w:rPr>
          <w:color w:val="231F20"/>
          <w:spacing w:val="25"/>
          <w:sz w:val="18"/>
        </w:rPr>
        <w:t> </w:t>
      </w:r>
      <w:r>
        <w:rPr>
          <w:color w:val="231F20"/>
          <w:sz w:val="18"/>
        </w:rPr>
        <w:t>La producción de bovinos para carne y su importancia en el desarrollo</w:t>
      </w:r>
      <w:r>
        <w:rPr>
          <w:color w:val="231F20"/>
          <w:spacing w:val="13"/>
          <w:sz w:val="18"/>
        </w:rPr>
        <w:t> </w:t>
      </w:r>
      <w:r>
        <w:rPr>
          <w:color w:val="231F20"/>
          <w:sz w:val="18"/>
        </w:rPr>
        <w:t>rural…</w:t>
      </w:r>
      <w:r>
        <w:rPr>
          <w:color w:val="231F20"/>
          <w:sz w:val="22"/>
        </w:rPr>
        <w:tab/>
      </w:r>
      <w:r>
        <w:rPr>
          <w:color w:val="231F20"/>
          <w:spacing w:val="-5"/>
          <w:sz w:val="22"/>
        </w:rPr>
        <w:t>121</w:t>
      </w:r>
    </w:p>
    <w:p>
      <w:pPr>
        <w:spacing w:after="0"/>
        <w:jc w:val="left"/>
        <w:rPr>
          <w:sz w:val="22"/>
        </w:rPr>
        <w:sectPr>
          <w:pgSz w:w="11900" w:h="14450"/>
          <w:pgMar w:header="0" w:footer="222" w:top="420" w:bottom="420" w:left="0" w:right="0"/>
        </w:sectPr>
      </w:pPr>
    </w:p>
    <w:p>
      <w:pPr>
        <w:pStyle w:val="BodyText"/>
        <w:rPr>
          <w:sz w:val="29"/>
        </w:rPr>
      </w:pPr>
    </w:p>
    <w:p>
      <w:pPr>
        <w:pStyle w:val="BodyText"/>
        <w:ind w:left="1553"/>
        <w:jc w:val="both"/>
      </w:pPr>
      <w:r>
        <w:rPr>
          <w:color w:val="231F20"/>
          <w:w w:val="110"/>
        </w:rPr>
        <w:t>ANTECEDENTES</w:t>
      </w:r>
    </w:p>
    <w:p>
      <w:pPr>
        <w:spacing w:line="266" w:lineRule="auto" w:before="130"/>
        <w:ind w:left="1553" w:right="1367" w:firstLine="0"/>
        <w:jc w:val="left"/>
        <w:rPr>
          <w:rFonts w:ascii="Cambria" w:hAnsi="Cambria"/>
          <w:i/>
          <w:sz w:val="20"/>
        </w:rPr>
      </w:pPr>
      <w:r>
        <w:rPr>
          <w:rFonts w:ascii="Cambria" w:hAnsi="Cambria"/>
          <w:i/>
          <w:color w:val="231F20"/>
          <w:w w:val="105"/>
          <w:sz w:val="20"/>
        </w:rPr>
        <w:t>Importancia de la explotación </w:t>
      </w:r>
      <w:r>
        <w:rPr>
          <w:rFonts w:ascii="Cambria" w:hAnsi="Cambria"/>
          <w:i/>
          <w:color w:val="231F20"/>
          <w:w w:val="105"/>
          <w:sz w:val="20"/>
        </w:rPr>
        <w:t>de  ganado  bovino  en México</w:t>
      </w:r>
    </w:p>
    <w:p>
      <w:pPr>
        <w:pStyle w:val="BodyText"/>
        <w:spacing w:line="256" w:lineRule="auto" w:before="114"/>
        <w:ind w:left="1553"/>
        <w:jc w:val="both"/>
      </w:pPr>
      <w:r>
        <w:rPr>
          <w:color w:val="231F20"/>
        </w:rPr>
        <w:t>Se estima que en México la ganadería se desarro- lla sobre aproximadamente </w:t>
      </w:r>
      <w:r>
        <w:rPr>
          <w:color w:val="231F20"/>
          <w:spacing w:val="-6"/>
        </w:rPr>
        <w:t>110 </w:t>
      </w:r>
      <w:r>
        <w:rPr>
          <w:color w:val="231F20"/>
        </w:rPr>
        <w:t>millones de hec- táreas, que representan el 55,84% de la superficie del territorio nacional </w:t>
      </w:r>
      <w:r>
        <w:rPr>
          <w:color w:val="231F20"/>
          <w:spacing w:val="-5"/>
        </w:rPr>
        <w:t>(197 </w:t>
      </w:r>
      <w:r>
        <w:rPr>
          <w:color w:val="231F20"/>
        </w:rPr>
        <w:t>millones de hectáreas). Los sistemas de producción pueden ser tecnifica- dos e integrados, o sistemas de producción tradi- cionales con nulo acceso a las nuevas tecnologías (Ruiz </w:t>
      </w:r>
      <w:r>
        <w:rPr>
          <w:i/>
          <w:color w:val="231F20"/>
        </w:rPr>
        <w:t>et al</w:t>
      </w:r>
      <w:r>
        <w:rPr>
          <w:color w:val="231F20"/>
        </w:rPr>
        <w:t>., </w:t>
      </w:r>
      <w:r>
        <w:rPr>
          <w:color w:val="231F20"/>
          <w:spacing w:val="-3"/>
        </w:rPr>
        <w:t>2001), </w:t>
      </w:r>
      <w:r>
        <w:rPr>
          <w:color w:val="231F20"/>
        </w:rPr>
        <w:t>o sistemas intensivos, exten- sivos y mixtos, o de doble propósito (SAGARPA, </w:t>
      </w:r>
      <w:r>
        <w:rPr>
          <w:color w:val="231F20"/>
          <w:spacing w:val="-4"/>
        </w:rPr>
        <w:t>2010). </w:t>
      </w:r>
      <w:r>
        <w:rPr>
          <w:color w:val="231F20"/>
        </w:rPr>
        <w:t>Es una actividad económica diversificada relevante, realizada por un alto porcentaje de la población en las zonas rurales (García-Martínez </w:t>
      </w:r>
      <w:r>
        <w:rPr>
          <w:i/>
          <w:color w:val="231F20"/>
        </w:rPr>
        <w:t>et </w:t>
      </w:r>
      <w:r>
        <w:rPr>
          <w:i/>
          <w:color w:val="231F20"/>
        </w:rPr>
        <w:t>al</w:t>
      </w:r>
      <w:r>
        <w:rPr>
          <w:color w:val="231F20"/>
        </w:rPr>
        <w:t>., 2009), que se caracteriza  por  la  generación  de recursos económicos para un gran número de familias que han aplicado diversas estrategias de producción. Sin embargo, hoy día muchos siste- mas no han tenido el desarrollo esperado y se notan grandes rezagos, lo que evidencia diversas limitaciones de gestión y manejo (Magaña-Mon- forte </w:t>
      </w:r>
      <w:r>
        <w:rPr>
          <w:i/>
          <w:color w:val="231F20"/>
        </w:rPr>
        <w:t>et al</w:t>
      </w:r>
      <w:r>
        <w:rPr>
          <w:color w:val="231F20"/>
        </w:rPr>
        <w:t>., 2006; Vázquez, </w:t>
      </w:r>
      <w:r>
        <w:rPr>
          <w:color w:val="231F20"/>
          <w:spacing w:val="-3"/>
        </w:rPr>
        <w:t>1997). </w:t>
      </w:r>
      <w:r>
        <w:rPr>
          <w:color w:val="231F20"/>
        </w:rPr>
        <w:t>Estas limitacio- nes dependen principalmente de factores básicos relacionados con el tipo de ganado, la orientación productiva y el manejo general del hato, y de as- pectos de tipo reproductivo y productivo, pero so- bre todo de alimentación, lo que ha condicionado su desarrollo y afectado los modos de vida del productor y de su grupo familiar (García-Martínez, 2008).</w:t>
      </w:r>
    </w:p>
    <w:p>
      <w:pPr>
        <w:pStyle w:val="BodyText"/>
        <w:spacing w:line="256" w:lineRule="auto" w:before="113"/>
        <w:ind w:left="1553"/>
        <w:jc w:val="both"/>
      </w:pPr>
      <w:r>
        <w:rPr>
          <w:color w:val="231F20"/>
        </w:rPr>
        <w:t>Diversas investigaciones han dado pauta al de- sarrollo de diferentes estrategias encaminadas a mejorar los aspectos productivos (Hernández  </w:t>
      </w:r>
      <w:r>
        <w:rPr>
          <w:i/>
          <w:color w:val="231F20"/>
        </w:rPr>
        <w:t>et  </w:t>
      </w:r>
      <w:r>
        <w:rPr>
          <w:i/>
          <w:color w:val="231F20"/>
        </w:rPr>
        <w:t>al</w:t>
      </w:r>
      <w:r>
        <w:rPr>
          <w:color w:val="231F20"/>
        </w:rPr>
        <w:t>., 2008; Albarrán-Portillo  </w:t>
      </w:r>
      <w:r>
        <w:rPr>
          <w:i/>
          <w:color w:val="231F20"/>
        </w:rPr>
        <w:t>et  al</w:t>
      </w:r>
      <w:r>
        <w:rPr>
          <w:color w:val="231F20"/>
        </w:rPr>
        <w:t>.,  2008),  aunque la mayoría no se adaptan a las condiciones reales de manejo debido al constante cambio del medio socioeconómico en que estos sistemas ganaderos se desarrollan (García-Martínez </w:t>
      </w:r>
      <w:r>
        <w:rPr>
          <w:i/>
          <w:color w:val="231F20"/>
        </w:rPr>
        <w:t>et al</w:t>
      </w:r>
      <w:r>
        <w:rPr>
          <w:color w:val="231F20"/>
        </w:rPr>
        <w:t>.,   2009).</w:t>
      </w:r>
    </w:p>
    <w:p>
      <w:pPr>
        <w:pStyle w:val="BodyText"/>
        <w:spacing w:line="256" w:lineRule="auto" w:before="113"/>
        <w:ind w:left="1553"/>
        <w:jc w:val="both"/>
      </w:pPr>
      <w:r>
        <w:rPr>
          <w:color w:val="231F20"/>
        </w:rPr>
        <w:t>Los sistemas de ganado bovino (leche, carne o doble  propósito)  se  encuentran  muy   difundidos</w:t>
      </w:r>
    </w:p>
    <w:p>
      <w:pPr>
        <w:pStyle w:val="BodyText"/>
        <w:spacing w:before="3"/>
        <w:rPr>
          <w:sz w:val="28"/>
        </w:rPr>
      </w:pPr>
      <w:r>
        <w:rPr/>
        <w:br w:type="column"/>
      </w:r>
      <w:r>
        <w:rPr>
          <w:sz w:val="28"/>
        </w:rPr>
      </w:r>
    </w:p>
    <w:p>
      <w:pPr>
        <w:pStyle w:val="BodyText"/>
        <w:spacing w:line="256" w:lineRule="auto"/>
        <w:ind w:left="413" w:right="1551"/>
        <w:jc w:val="both"/>
      </w:pPr>
      <w:r>
        <w:rPr>
          <w:color w:val="231F20"/>
        </w:rPr>
        <w:t>en las zonas rurales  del  país,  caracterizadas  por su diversidad y condiciones agroecológicas (suelo, topografía y clima) que les confieren identidades particulares de producción (Ruiz </w:t>
      </w:r>
      <w:r>
        <w:rPr>
          <w:i/>
          <w:color w:val="231F20"/>
        </w:rPr>
        <w:t>et al</w:t>
      </w:r>
      <w:r>
        <w:rPr>
          <w:color w:val="231F20"/>
        </w:rPr>
        <w:t>., 2001). En condiciones de clima templado, el sistema se ca- racteriza por la engorda intensiva en corral, el uso de adelantos tecnológicos y esquemas de buenas prácticas de manejo, gestión y administración que se reflejan en una mayor productividad, mientras que la producción de leche se caracteriza por la presencia de pequeñas unidades de producción campesinas (Albarrán-Portillo </w:t>
      </w:r>
      <w:r>
        <w:rPr>
          <w:i/>
          <w:color w:val="231F20"/>
        </w:rPr>
        <w:t>et al</w:t>
      </w:r>
      <w:r>
        <w:rPr>
          <w:color w:val="231F20"/>
        </w:rPr>
        <w:t>., 2009). Sin embargo, los sistemas ganaderos en zonas tropi- cales o semitropicales se centran en la producción de carne en pastoreo con finalización intensiva en corral, y en menor grado en la producción de le- che (Canizal y Rivera, 2007). Así, la producción de carne se ha convertido en una actividad de gran importancia, en particular en las zonas con agos- taderos, que contribuye de manera determinante en la oferta de productos de origen animal (De la Fuente,  1989).</w:t>
      </w:r>
    </w:p>
    <w:p>
      <w:pPr>
        <w:pStyle w:val="BodyText"/>
        <w:spacing w:line="256" w:lineRule="auto" w:before="113"/>
        <w:ind w:left="413" w:right="1551"/>
        <w:jc w:val="both"/>
      </w:pPr>
      <w:r>
        <w:rPr>
          <w:color w:val="231F20"/>
        </w:rPr>
        <w:t>Las condiciones agroclimáticas influyen en gran medida en la producción y la disponibilidad de forrajes para la alimentación del ganado, pues se observan dos periodos, el de secas y el de lluvias, cada uno con características que definen las es- trategias de manejo y de producción, lo cual limi- ta mucho su desarrollo (Esparza-Jiménez, 2009; Albarrán-Portillo </w:t>
      </w:r>
      <w:r>
        <w:rPr>
          <w:i/>
          <w:color w:val="231F20"/>
        </w:rPr>
        <w:t>et al</w:t>
      </w:r>
      <w:r>
        <w:rPr>
          <w:color w:val="231F20"/>
        </w:rPr>
        <w:t>.,</w:t>
      </w:r>
      <w:r>
        <w:rPr>
          <w:color w:val="231F20"/>
          <w:spacing w:val="33"/>
        </w:rPr>
        <w:t> </w:t>
      </w:r>
      <w:r>
        <w:rPr>
          <w:color w:val="231F20"/>
        </w:rPr>
        <w:t>2009).</w:t>
      </w:r>
    </w:p>
    <w:p>
      <w:pPr>
        <w:pStyle w:val="BodyText"/>
        <w:spacing w:before="7"/>
        <w:rPr>
          <w:sz w:val="18"/>
        </w:rPr>
      </w:pPr>
    </w:p>
    <w:p>
      <w:pPr>
        <w:spacing w:line="266" w:lineRule="auto" w:before="0"/>
        <w:ind w:left="413" w:right="1476" w:firstLine="0"/>
        <w:jc w:val="left"/>
        <w:rPr>
          <w:rFonts w:ascii="Cambria" w:hAnsi="Cambria"/>
          <w:i/>
          <w:sz w:val="20"/>
        </w:rPr>
      </w:pPr>
      <w:r>
        <w:rPr>
          <w:rFonts w:ascii="Cambria" w:hAnsi="Cambria"/>
          <w:i/>
          <w:color w:val="231F20"/>
          <w:w w:val="110"/>
          <w:sz w:val="20"/>
        </w:rPr>
        <w:t>La producción de bovinos de doble propósito </w:t>
      </w:r>
      <w:r>
        <w:rPr>
          <w:rFonts w:ascii="Cambria" w:hAnsi="Cambria"/>
          <w:i/>
          <w:color w:val="231F20"/>
          <w:w w:val="110"/>
          <w:sz w:val="20"/>
        </w:rPr>
        <w:t>en condiciones tropicales</w:t>
      </w:r>
    </w:p>
    <w:p>
      <w:pPr>
        <w:pStyle w:val="BodyText"/>
        <w:spacing w:line="256" w:lineRule="auto" w:before="114"/>
        <w:ind w:left="413" w:right="1551"/>
        <w:jc w:val="both"/>
      </w:pPr>
      <w:r>
        <w:rPr>
          <w:color w:val="231F20"/>
        </w:rPr>
        <w:t>El territorio nacional cuenta  con  una  extensión  de </w:t>
      </w:r>
      <w:r>
        <w:rPr>
          <w:color w:val="231F20"/>
          <w:spacing w:val="-4"/>
        </w:rPr>
        <w:t>196,7 </w:t>
      </w:r>
      <w:r>
        <w:rPr>
          <w:color w:val="231F20"/>
        </w:rPr>
        <w:t>millones de hectáreas, de las cuales el 48,3% corresponde a zonas áridas y semiáridas, características del norte del país, el 28,3% lo cons- tituyen los trópicos húmedo y seco distribuidos a  lo largo de las costas del Pacífico y del Golfo y el sur-sureste, y el 23,4% pertenece a zonas templa- das, en su mayoría del altiplano central (SAGARPA, </w:t>
      </w:r>
      <w:r>
        <w:rPr>
          <w:color w:val="231F20"/>
          <w:spacing w:val="-4"/>
        </w:rPr>
        <w:t>2010).  </w:t>
      </w:r>
      <w:r>
        <w:rPr>
          <w:color w:val="231F20"/>
        </w:rPr>
        <w:t>La existencia de estas zonas hace que   </w:t>
      </w:r>
      <w:r>
        <w:rPr>
          <w:color w:val="231F20"/>
          <w:spacing w:val="36"/>
        </w:rPr>
        <w:t> </w:t>
      </w:r>
      <w:r>
        <w:rPr>
          <w:color w:val="231F20"/>
        </w:rPr>
        <w:t>Mé-</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320" w:val="left" w:leader="none"/>
        </w:tabs>
        <w:spacing w:before="64"/>
        <w:ind w:left="1551" w:right="0" w:firstLine="0"/>
        <w:jc w:val="left"/>
        <w:rPr>
          <w:sz w:val="12"/>
        </w:rPr>
      </w:pPr>
      <w:r>
        <w:rPr>
          <w:color w:val="231F20"/>
          <w:spacing w:val="-5"/>
          <w:w w:val="120"/>
          <w:sz w:val="22"/>
        </w:rPr>
        <w:t>122</w:t>
        <w:tab/>
      </w:r>
      <w:r>
        <w:rPr>
          <w:color w:val="231F20"/>
          <w:w w:val="120"/>
          <w:sz w:val="18"/>
        </w:rPr>
        <w:t>SECCIÓN 2.  C. S</w:t>
      </w:r>
      <w:r>
        <w:rPr>
          <w:color w:val="231F20"/>
          <w:w w:val="120"/>
          <w:sz w:val="12"/>
        </w:rPr>
        <w:t>iStemaS  de  bovinoS  produCtoreS  de</w:t>
      </w:r>
      <w:r>
        <w:rPr>
          <w:color w:val="231F20"/>
          <w:spacing w:val="-2"/>
          <w:w w:val="120"/>
          <w:sz w:val="12"/>
        </w:rPr>
        <w:t> </w:t>
      </w:r>
      <w:r>
        <w:rPr>
          <w:color w:val="231F20"/>
          <w:w w:val="120"/>
          <w:sz w:val="12"/>
        </w:rPr>
        <w:t>Carne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right="1"/>
        <w:jc w:val="both"/>
      </w:pPr>
      <w:r>
        <w:rPr>
          <w:color w:val="231F20"/>
        </w:rPr>
        <w:t>xico cuente con una gran diversidad de sistemas agroganaderos, con características propias que determinan en gran medida la raza de los anima- les y la orientación productiva, así como el tipo de producto obtenido (leche o carne) para abastecer el mercado local, regional, nacional o internacional (Canizal y Rivera, </w:t>
      </w:r>
      <w:r>
        <w:rPr>
          <w:color w:val="231F20"/>
          <w:spacing w:val="-3"/>
        </w:rPr>
        <w:t>2007). </w:t>
      </w:r>
      <w:r>
        <w:rPr>
          <w:color w:val="231F20"/>
        </w:rPr>
        <w:t>En el censo ganadero na- cional realizado en </w:t>
      </w:r>
      <w:r>
        <w:rPr>
          <w:color w:val="231F20"/>
          <w:spacing w:val="-4"/>
        </w:rPr>
        <w:t>2007  </w:t>
      </w:r>
      <w:r>
        <w:rPr>
          <w:color w:val="231F20"/>
        </w:rPr>
        <w:t>se reportó la existencia  de </w:t>
      </w:r>
      <w:r>
        <w:rPr>
          <w:color w:val="231F20"/>
          <w:spacing w:val="3"/>
        </w:rPr>
        <w:t>1129217 </w:t>
      </w:r>
      <w:r>
        <w:rPr>
          <w:color w:val="231F20"/>
        </w:rPr>
        <w:t>unidades de producción de ganado bovino, con un total de 23,4 millones de cabezas. Este inventario indica que el 32% del hato nacio- nal se explota en sistemas especializados </w:t>
      </w:r>
      <w:r>
        <w:rPr>
          <w:color w:val="231F20"/>
          <w:spacing w:val="-3"/>
        </w:rPr>
        <w:t>(17% </w:t>
      </w:r>
      <w:r>
        <w:rPr>
          <w:color w:val="231F20"/>
        </w:rPr>
        <w:t>leche y </w:t>
      </w:r>
      <w:r>
        <w:rPr>
          <w:color w:val="231F20"/>
          <w:spacing w:val="-3"/>
        </w:rPr>
        <w:t>15% </w:t>
      </w:r>
      <w:r>
        <w:rPr>
          <w:color w:val="231F20"/>
        </w:rPr>
        <w:t>carne),  el  </w:t>
      </w:r>
      <w:r>
        <w:rPr>
          <w:color w:val="231F20"/>
          <w:spacing w:val="-5"/>
        </w:rPr>
        <w:t>15  </w:t>
      </w:r>
      <w:r>
        <w:rPr>
          <w:color w:val="231F20"/>
        </w:rPr>
        <w:t>%  semiespecializados, el 8% es de traspatio y el 60% se considera  de doble  propósito  (INEGI, </w:t>
      </w:r>
      <w:r>
        <w:rPr>
          <w:color w:val="231F20"/>
          <w:spacing w:val="3"/>
        </w:rPr>
        <w:t> </w:t>
      </w:r>
      <w:r>
        <w:rPr>
          <w:color w:val="231F20"/>
        </w:rPr>
        <w:t>2009).</w:t>
      </w:r>
    </w:p>
    <w:p>
      <w:pPr>
        <w:pStyle w:val="BodyText"/>
        <w:spacing w:line="256" w:lineRule="auto" w:before="112"/>
        <w:ind w:left="1553" w:right="1"/>
        <w:jc w:val="both"/>
      </w:pPr>
      <w:r>
        <w:rPr>
          <w:color w:val="231F20"/>
        </w:rPr>
        <w:t>Del área tropical de México (51,2 millones de hec- táreas), el 37% se dedica a la producción agrope- cuaria, en la cual se pastorea el 40% del inventario nacional (9,3 millones de cabezas), que produce aproximadamente  el  28%  y  el  39%  de  la  leche  y la carne que se consumen en el país, respecti- vamente. La mayor parte de estos productos pro- vienen de unas </w:t>
      </w:r>
      <w:r>
        <w:rPr>
          <w:color w:val="231F20"/>
          <w:spacing w:val="7"/>
        </w:rPr>
        <w:t>3900000 </w:t>
      </w:r>
      <w:r>
        <w:rPr>
          <w:color w:val="231F20"/>
        </w:rPr>
        <w:t>vacas que se manejan bajo un sistema de doble propósito   </w:t>
      </w:r>
      <w:r>
        <w:rPr>
          <w:color w:val="231F20"/>
          <w:spacing w:val="35"/>
        </w:rPr>
        <w:t> </w:t>
      </w:r>
      <w:r>
        <w:rPr>
          <w:color w:val="231F20"/>
          <w:spacing w:val="-3"/>
        </w:rPr>
        <w:t>(SIAP,  </w:t>
      </w:r>
      <w:r>
        <w:rPr>
          <w:color w:val="231F20"/>
          <w:spacing w:val="-4"/>
        </w:rPr>
        <w:t>2012).</w:t>
      </w:r>
    </w:p>
    <w:p>
      <w:pPr>
        <w:pStyle w:val="BodyText"/>
        <w:spacing w:line="256" w:lineRule="auto" w:before="112"/>
        <w:ind w:left="1553"/>
        <w:jc w:val="both"/>
      </w:pPr>
      <w:r>
        <w:rPr>
          <w:color w:val="231F20"/>
        </w:rPr>
        <w:t>A pesar del número de animales y del volumen de producción que obtienen, estos sistemas de doble propósito presentan algunas limitaciones para su desarrollo, ocasionadas tanto por factores internos como por el tradicionalismo en los esquemas de producción, el bajo potencial productivo del gana- do, la escasa adopción de la moderna tecnología y la falta de conocimiento de aspectos productivos    y de rentabilidad del sistema. Entre los factores ex- ternos destacan los apoyos crediticios</w:t>
      </w:r>
      <w:r>
        <w:rPr>
          <w:color w:val="231F20"/>
          <w:spacing w:val="-7"/>
        </w:rPr>
        <w:t> </w:t>
      </w:r>
      <w:r>
        <w:rPr>
          <w:color w:val="231F20"/>
        </w:rPr>
        <w:t>inoportunos, la falta de programas de apoyo técnico eficiente, la falta de tecnología apropiada para las condiciones locales, la notoria intervención de intermediarios en los canales de comercialización y que el precio de los productos obtenidos no aumenta al mismo ritmo que los insumos utilizados en la producción (SAGARPA,  </w:t>
      </w:r>
      <w:r>
        <w:rPr>
          <w:color w:val="231F20"/>
          <w:spacing w:val="-5"/>
        </w:rPr>
        <w:t>2010;  </w:t>
      </w:r>
      <w:r>
        <w:rPr>
          <w:color w:val="231F20"/>
        </w:rPr>
        <w:t>Rivera, </w:t>
      </w:r>
      <w:r>
        <w:rPr>
          <w:color w:val="231F20"/>
          <w:spacing w:val="37"/>
        </w:rPr>
        <w:t> </w:t>
      </w:r>
      <w:r>
        <w:rPr>
          <w:color w:val="231F20"/>
        </w:rPr>
        <w:t>1998).</w:t>
      </w:r>
    </w:p>
    <w:p>
      <w:pPr>
        <w:pStyle w:val="BodyText"/>
        <w:spacing w:line="259" w:lineRule="auto" w:before="67"/>
        <w:ind w:left="411" w:right="1551"/>
        <w:jc w:val="both"/>
      </w:pPr>
      <w:r>
        <w:rPr/>
        <w:br w:type="column"/>
      </w:r>
      <w:r>
        <w:rPr>
          <w:color w:val="231F20"/>
        </w:rPr>
        <w:t>En general, el sistema de producción presenta un modelo extensivo, baja productividad y uso reduci- do de insumos externos, ordeño manual y extrac- ción parcial de la leche, para un mejor desarrollo de los terneros. El ganado presente es de tipo  cebú y sus cruzas con razas europeas para carne (Pech </w:t>
      </w:r>
      <w:r>
        <w:rPr>
          <w:i/>
          <w:color w:val="231F20"/>
        </w:rPr>
        <w:t>et al</w:t>
      </w:r>
      <w:r>
        <w:rPr>
          <w:color w:val="231F20"/>
        </w:rPr>
        <w:t>., 2004), mientras que para producción de leche se observan cruzas de razas cebuinas (Brahaman, Indobrasil, Guzerat, etc.) con Suizo Pardo o Holstein Frisian (Baez,   </w:t>
      </w:r>
      <w:r>
        <w:rPr>
          <w:color w:val="231F20"/>
          <w:spacing w:val="10"/>
        </w:rPr>
        <w:t> </w:t>
      </w:r>
      <w:r>
        <w:rPr>
          <w:color w:val="231F20"/>
        </w:rPr>
        <w:t>2000).</w:t>
      </w:r>
    </w:p>
    <w:p>
      <w:pPr>
        <w:pStyle w:val="BodyText"/>
        <w:spacing w:line="259" w:lineRule="auto" w:before="114"/>
        <w:ind w:left="411" w:right="1551"/>
        <w:jc w:val="both"/>
      </w:pPr>
      <w:r>
        <w:rPr>
          <w:color w:val="231F20"/>
        </w:rPr>
        <w:t>Por otra parte, la marcada estacionalidad (periodo seco y periodo de lluvias) se refleja en la produc- ción de forraje (pastos introducidos y pastizales naturales) para la alimentación del ganado, con una gran producción durante el periodo de lluvias  y un escaso rendimiento durante el estiaje (Alba- rrán-Portillo </w:t>
      </w:r>
      <w:r>
        <w:rPr>
          <w:i/>
          <w:color w:val="231F20"/>
        </w:rPr>
        <w:t>et al., </w:t>
      </w:r>
      <w:r>
        <w:rPr>
          <w:color w:val="231F20"/>
        </w:rPr>
        <w:t>2008). Además, es notoria la falta de prácticas de conservación de los forrajes, lo que impide la utilización eficiente de los recur- sos forrajeros disponibles (Macedo </w:t>
      </w:r>
      <w:r>
        <w:rPr>
          <w:i/>
          <w:color w:val="231F20"/>
        </w:rPr>
        <w:t>et al</w:t>
      </w:r>
      <w:r>
        <w:rPr>
          <w:color w:val="231F20"/>
        </w:rPr>
        <w:t>., 2003; Román,  </w:t>
      </w:r>
      <w:r>
        <w:rPr>
          <w:color w:val="231F20"/>
          <w:spacing w:val="5"/>
        </w:rPr>
        <w:t> </w:t>
      </w:r>
      <w:r>
        <w:rPr>
          <w:color w:val="231F20"/>
          <w:spacing w:val="-3"/>
        </w:rPr>
        <w:t>1991).</w:t>
      </w:r>
    </w:p>
    <w:p>
      <w:pPr>
        <w:pStyle w:val="BodyText"/>
        <w:spacing w:line="259" w:lineRule="auto" w:before="114"/>
        <w:ind w:left="411" w:right="1551"/>
        <w:jc w:val="both"/>
      </w:pPr>
      <w:r>
        <w:rPr>
          <w:color w:val="231F20"/>
        </w:rPr>
        <w:t>La extensión territorial del Estado  de  México  es de  </w:t>
      </w:r>
      <w:r>
        <w:rPr>
          <w:color w:val="231F20"/>
          <w:spacing w:val="2"/>
        </w:rPr>
        <w:t>22351  </w:t>
      </w:r>
      <w:r>
        <w:rPr>
          <w:color w:val="231F20"/>
        </w:rPr>
        <w:t>km</w:t>
      </w:r>
      <w:r>
        <w:rPr>
          <w:color w:val="231F20"/>
          <w:position w:val="7"/>
          <w:sz w:val="11"/>
        </w:rPr>
        <w:t>2  </w:t>
      </w:r>
      <w:r>
        <w:rPr>
          <w:color w:val="231F20"/>
        </w:rPr>
        <w:t>(el  </w:t>
      </w:r>
      <w:r>
        <w:rPr>
          <w:color w:val="231F20"/>
          <w:spacing w:val="-3"/>
        </w:rPr>
        <w:t>1,1%   </w:t>
      </w:r>
      <w:r>
        <w:rPr>
          <w:color w:val="231F20"/>
        </w:rPr>
        <w:t>del  territorio  nacional),  y de ella se dedican alrededor de 1,3 millones de hectáreas, un </w:t>
      </w:r>
      <w:r>
        <w:rPr>
          <w:color w:val="231F20"/>
          <w:spacing w:val="-5"/>
        </w:rPr>
        <w:t>37,44%, </w:t>
      </w:r>
      <w:r>
        <w:rPr>
          <w:color w:val="231F20"/>
        </w:rPr>
        <w:t>para la producción ganade- ra (487700 ha), un 52,36% a la agricultura y un 10,2% para actividades diversas. De las </w:t>
      </w:r>
      <w:r>
        <w:rPr>
          <w:color w:val="231F20"/>
          <w:spacing w:val="2"/>
        </w:rPr>
        <w:t>680700 </w:t>
      </w:r>
      <w:r>
        <w:rPr>
          <w:color w:val="231F20"/>
        </w:rPr>
        <w:t>hectáreas para actividades agrícolas, el </w:t>
      </w:r>
      <w:r>
        <w:rPr>
          <w:color w:val="231F20"/>
          <w:spacing w:val="-3"/>
        </w:rPr>
        <w:t>85,21%  </w:t>
      </w:r>
      <w:r>
        <w:rPr>
          <w:color w:val="231F20"/>
        </w:rPr>
        <w:t>está ocupado por cultivos de maíz, el 12,49% por pastos y el </w:t>
      </w:r>
      <w:r>
        <w:rPr>
          <w:color w:val="231F20"/>
          <w:spacing w:val="-3"/>
        </w:rPr>
        <w:t>2,31%  </w:t>
      </w:r>
      <w:r>
        <w:rPr>
          <w:color w:val="231F20"/>
        </w:rPr>
        <w:t>por alfalfa (SAGARPA,    </w:t>
      </w:r>
      <w:r>
        <w:rPr>
          <w:color w:val="231F20"/>
          <w:spacing w:val="17"/>
        </w:rPr>
        <w:t> </w:t>
      </w:r>
      <w:r>
        <w:rPr>
          <w:color w:val="231F20"/>
          <w:spacing w:val="-4"/>
        </w:rPr>
        <w:t>2010).</w:t>
      </w:r>
    </w:p>
    <w:p>
      <w:pPr>
        <w:pStyle w:val="BodyText"/>
        <w:spacing w:line="259" w:lineRule="auto" w:before="114"/>
        <w:ind w:left="411" w:right="1551"/>
        <w:jc w:val="both"/>
      </w:pPr>
      <w:r>
        <w:rPr>
          <w:color w:val="231F20"/>
        </w:rPr>
        <w:t>La región sur del Estado, caracterizada por un sis- tema ganadero de doble propósito que se com- plementa con la actividad agrícola (Hernández </w:t>
      </w:r>
      <w:r>
        <w:rPr>
          <w:i/>
          <w:color w:val="231F20"/>
        </w:rPr>
        <w:t>et </w:t>
      </w:r>
      <w:r>
        <w:rPr>
          <w:i/>
          <w:color w:val="231F20"/>
        </w:rPr>
        <w:t>al</w:t>
      </w:r>
      <w:r>
        <w:rPr>
          <w:color w:val="231F20"/>
        </w:rPr>
        <w:t>., 2008), es considerada como una zona emi- nentemente ganadera, ya que históricamente ha concentrado el mayor inventario de ganado bovi- no, que según el SIAP en </w:t>
      </w:r>
      <w:r>
        <w:rPr>
          <w:color w:val="231F20"/>
          <w:spacing w:val="-6"/>
        </w:rPr>
        <w:t>2010 </w:t>
      </w:r>
      <w:r>
        <w:rPr>
          <w:color w:val="231F20"/>
        </w:rPr>
        <w:t>era de 674861 ca- bezas (559254 para carne y 115607 para leche),     lo que representa el 2,07% del total nacional. De acuerdo  con  la  orientación,  el  censo </w:t>
      </w:r>
      <w:r>
        <w:rPr>
          <w:color w:val="231F20"/>
          <w:spacing w:val="30"/>
        </w:rPr>
        <w:t> </w:t>
      </w:r>
      <w:r>
        <w:rPr>
          <w:color w:val="231F20"/>
        </w:rPr>
        <w:t>representa</w:t>
      </w:r>
    </w:p>
    <w:p>
      <w:pPr>
        <w:spacing w:after="0" w:line="259" w:lineRule="auto"/>
        <w:jc w:val="both"/>
        <w:sectPr>
          <w:type w:val="continuous"/>
          <w:pgSz w:w="11900" w:h="14450"/>
          <w:pgMar w:top="420" w:bottom="420" w:left="0" w:right="0"/>
          <w:cols w:num="2" w:equalWidth="0">
            <w:col w:w="5723" w:space="40"/>
            <w:col w:w="6137"/>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8.     </w:t>
      </w:r>
      <w:r>
        <w:rPr>
          <w:color w:val="231F20"/>
          <w:spacing w:val="25"/>
          <w:sz w:val="18"/>
        </w:rPr>
        <w:t> </w:t>
      </w:r>
      <w:r>
        <w:rPr>
          <w:color w:val="231F20"/>
          <w:sz w:val="18"/>
        </w:rPr>
        <w:t>La producción de bovinos para carne y su importancia en el desarrollo</w:t>
      </w:r>
      <w:r>
        <w:rPr>
          <w:color w:val="231F20"/>
          <w:spacing w:val="13"/>
          <w:sz w:val="18"/>
        </w:rPr>
        <w:t> </w:t>
      </w:r>
      <w:r>
        <w:rPr>
          <w:color w:val="231F20"/>
          <w:sz w:val="18"/>
        </w:rPr>
        <w:t>rural…</w:t>
      </w:r>
      <w:r>
        <w:rPr>
          <w:color w:val="231F20"/>
          <w:sz w:val="22"/>
        </w:rPr>
        <w:tab/>
      </w:r>
      <w:r>
        <w:rPr>
          <w:color w:val="231F20"/>
          <w:spacing w:val="-5"/>
          <w:sz w:val="22"/>
        </w:rPr>
        <w:t>123</w:t>
      </w:r>
    </w:p>
    <w:p>
      <w:pPr>
        <w:spacing w:after="0"/>
        <w:jc w:val="left"/>
        <w:rPr>
          <w:sz w:val="22"/>
        </w:rPr>
        <w:sectPr>
          <w:pgSz w:w="11900" w:h="14450"/>
          <w:pgMar w:header="0" w:footer="222" w:top="420" w:bottom="420" w:left="0" w:right="0"/>
        </w:sectPr>
      </w:pPr>
    </w:p>
    <w:p>
      <w:pPr>
        <w:pStyle w:val="BodyText"/>
        <w:spacing w:line="261" w:lineRule="auto" w:before="345"/>
        <w:ind w:left="1553"/>
        <w:jc w:val="both"/>
      </w:pPr>
      <w:r>
        <w:rPr>
          <w:color w:val="231F20"/>
        </w:rPr>
        <w:t>un 1,85% para carne y un 4,87% para leche. Además, se caracteriza por una topografía acci- dentada, con suelos pobres en nutrientes y ca- rente de riego, con praderas naturales o inducidas cuyo manejo es mínimo, y procesos acelerados de desertificación aproximadamente en un </w:t>
      </w:r>
      <w:r>
        <w:rPr>
          <w:color w:val="231F20"/>
          <w:spacing w:val="-4"/>
        </w:rPr>
        <w:t>70% </w:t>
      </w:r>
      <w:r>
        <w:rPr>
          <w:color w:val="231F20"/>
        </w:rPr>
        <w:t>del territorio </w:t>
      </w:r>
      <w:r>
        <w:rPr>
          <w:color w:val="231F20"/>
          <w:spacing w:val="-3"/>
        </w:rPr>
        <w:t>(COTECOCA, 1999). </w:t>
      </w:r>
      <w:r>
        <w:rPr>
          <w:color w:val="231F20"/>
        </w:rPr>
        <w:t>En este sentido, du- rante </w:t>
      </w:r>
      <w:r>
        <w:rPr>
          <w:color w:val="231F20"/>
          <w:spacing w:val="-7"/>
        </w:rPr>
        <w:t>2010 </w:t>
      </w:r>
      <w:r>
        <w:rPr>
          <w:color w:val="231F20"/>
        </w:rPr>
        <w:t>el Estado de México produjo 42 989 to- neladas de carne de bovino, correspondientes al 2,4%  de  la  producción  nacional,  mientras  que   la región sur participó con un </w:t>
      </w:r>
      <w:r>
        <w:rPr>
          <w:color w:val="231F20"/>
          <w:spacing w:val="-3"/>
        </w:rPr>
        <w:t>32,10% </w:t>
      </w:r>
      <w:r>
        <w:rPr>
          <w:color w:val="231F20"/>
        </w:rPr>
        <w:t>al reportar una producción de </w:t>
      </w:r>
      <w:r>
        <w:rPr>
          <w:color w:val="231F20"/>
          <w:spacing w:val="-5"/>
        </w:rPr>
        <w:t>13 </w:t>
      </w:r>
      <w:r>
        <w:rPr>
          <w:color w:val="231F20"/>
        </w:rPr>
        <w:t>800 toneladas. Respecto a    la producción de leche, se reportaron 464 502 li- tros, lo que representa el 4,42% del total nacional, y la región participó con un </w:t>
      </w:r>
      <w:r>
        <w:rPr>
          <w:color w:val="231F20"/>
          <w:spacing w:val="-5"/>
        </w:rPr>
        <w:t>3,61% </w:t>
      </w:r>
      <w:r>
        <w:rPr>
          <w:color w:val="231F20"/>
        </w:rPr>
        <w:t>al reportar una producción  de  16772  litros  </w:t>
      </w:r>
      <w:r>
        <w:rPr>
          <w:color w:val="231F20"/>
          <w:spacing w:val="-4"/>
        </w:rPr>
        <w:t>(SIAP,</w:t>
      </w:r>
      <w:r>
        <w:rPr>
          <w:color w:val="231F20"/>
          <w:spacing w:val="14"/>
        </w:rPr>
        <w:t> </w:t>
      </w:r>
      <w:r>
        <w:rPr>
          <w:color w:val="231F20"/>
          <w:spacing w:val="-5"/>
        </w:rPr>
        <w:t>2010).</w:t>
      </w:r>
    </w:p>
    <w:p>
      <w:pPr>
        <w:spacing w:line="283" w:lineRule="auto" w:before="353"/>
        <w:ind w:left="412" w:right="2565" w:firstLine="0"/>
        <w:jc w:val="left"/>
        <w:rPr>
          <w:rFonts w:ascii="Cambria" w:hAnsi="Cambria"/>
          <w:i/>
          <w:sz w:val="20"/>
        </w:rPr>
      </w:pPr>
      <w:r>
        <w:rPr/>
        <w:br w:type="column"/>
      </w:r>
      <w:r>
        <w:rPr>
          <w:rFonts w:ascii="Cambria" w:hAnsi="Cambria"/>
          <w:i/>
          <w:color w:val="231F20"/>
          <w:w w:val="110"/>
          <w:sz w:val="20"/>
        </w:rPr>
        <w:t>La ganadería de doble propósito </w:t>
      </w:r>
      <w:r>
        <w:rPr>
          <w:rFonts w:ascii="Cambria" w:hAnsi="Cambria"/>
          <w:i/>
          <w:color w:val="231F20"/>
          <w:w w:val="110"/>
          <w:sz w:val="20"/>
        </w:rPr>
        <w:t>en el municipio de Amatepec</w:t>
      </w:r>
    </w:p>
    <w:p>
      <w:pPr>
        <w:pStyle w:val="BodyText"/>
        <w:spacing w:line="271" w:lineRule="auto" w:before="112"/>
        <w:ind w:left="412" w:right="1551"/>
        <w:jc w:val="both"/>
      </w:pPr>
      <w:r>
        <w:rPr>
          <w:color w:val="231F20"/>
        </w:rPr>
        <w:t>El </w:t>
      </w:r>
      <w:r>
        <w:rPr>
          <w:color w:val="231F20"/>
          <w:spacing w:val="-3"/>
        </w:rPr>
        <w:t>municipio </w:t>
      </w:r>
      <w:r>
        <w:rPr>
          <w:color w:val="231F20"/>
        </w:rPr>
        <w:t>de </w:t>
      </w:r>
      <w:r>
        <w:rPr>
          <w:color w:val="231F20"/>
          <w:spacing w:val="-3"/>
        </w:rPr>
        <w:t>Amatepec </w:t>
      </w:r>
      <w:r>
        <w:rPr>
          <w:color w:val="231F20"/>
        </w:rPr>
        <w:t>se </w:t>
      </w:r>
      <w:r>
        <w:rPr>
          <w:color w:val="231F20"/>
          <w:spacing w:val="-3"/>
        </w:rPr>
        <w:t>localiza </w:t>
      </w:r>
      <w:r>
        <w:rPr>
          <w:color w:val="231F20"/>
        </w:rPr>
        <w:t>a </w:t>
      </w:r>
      <w:r>
        <w:rPr>
          <w:color w:val="231F20"/>
          <w:spacing w:val="-7"/>
        </w:rPr>
        <w:t>139 </w:t>
      </w:r>
      <w:r>
        <w:rPr>
          <w:color w:val="231F20"/>
          <w:spacing w:val="-3"/>
        </w:rPr>
        <w:t>kilóme- tros </w:t>
      </w:r>
      <w:r>
        <w:rPr>
          <w:color w:val="231F20"/>
        </w:rPr>
        <w:t>de la </w:t>
      </w:r>
      <w:r>
        <w:rPr>
          <w:color w:val="231F20"/>
          <w:spacing w:val="-3"/>
        </w:rPr>
        <w:t>capital </w:t>
      </w:r>
      <w:r>
        <w:rPr>
          <w:color w:val="231F20"/>
        </w:rPr>
        <w:t>del </w:t>
      </w:r>
      <w:r>
        <w:rPr>
          <w:color w:val="231F20"/>
          <w:spacing w:val="-3"/>
        </w:rPr>
        <w:t>Estado </w:t>
      </w:r>
      <w:r>
        <w:rPr>
          <w:color w:val="231F20"/>
        </w:rPr>
        <w:t>de </w:t>
      </w:r>
      <w:r>
        <w:rPr>
          <w:color w:val="231F20"/>
          <w:spacing w:val="-3"/>
        </w:rPr>
        <w:t>México </w:t>
      </w:r>
      <w:r>
        <w:rPr>
          <w:color w:val="231F20"/>
        </w:rPr>
        <w:t>y se </w:t>
      </w:r>
      <w:r>
        <w:rPr>
          <w:color w:val="231F20"/>
          <w:spacing w:val="-3"/>
        </w:rPr>
        <w:t>ubica entre </w:t>
      </w:r>
      <w:r>
        <w:rPr>
          <w:color w:val="231F20"/>
        </w:rPr>
        <w:t>los </w:t>
      </w:r>
      <w:r>
        <w:rPr>
          <w:color w:val="231F20"/>
          <w:spacing w:val="-3"/>
        </w:rPr>
        <w:t>paralelos </w:t>
      </w:r>
      <w:r>
        <w:rPr>
          <w:color w:val="231F20"/>
          <w:spacing w:val="-5"/>
        </w:rPr>
        <w:t>18º </w:t>
      </w:r>
      <w:r>
        <w:rPr>
          <w:color w:val="231F20"/>
        </w:rPr>
        <w:t>40’ </w:t>
      </w:r>
      <w:r>
        <w:rPr>
          <w:color w:val="231F20"/>
          <w:spacing w:val="-4"/>
        </w:rPr>
        <w:t>58” </w:t>
      </w:r>
      <w:r>
        <w:rPr>
          <w:color w:val="231F20"/>
        </w:rPr>
        <w:t>de </w:t>
      </w:r>
      <w:r>
        <w:rPr>
          <w:color w:val="231F20"/>
          <w:spacing w:val="-3"/>
        </w:rPr>
        <w:t>latitud  </w:t>
      </w:r>
      <w:r>
        <w:rPr>
          <w:color w:val="231F20"/>
        </w:rPr>
        <w:t>Norte y  los </w:t>
      </w:r>
      <w:r>
        <w:rPr>
          <w:color w:val="231F20"/>
          <w:spacing w:val="-3"/>
        </w:rPr>
        <w:t>meridianos </w:t>
      </w:r>
      <w:r>
        <w:rPr>
          <w:color w:val="231F20"/>
          <w:spacing w:val="-5"/>
        </w:rPr>
        <w:t>100º 11’ 11” </w:t>
      </w:r>
      <w:r>
        <w:rPr>
          <w:color w:val="231F20"/>
        </w:rPr>
        <w:t>de </w:t>
      </w:r>
      <w:r>
        <w:rPr>
          <w:color w:val="231F20"/>
          <w:spacing w:val="-3"/>
        </w:rPr>
        <w:t>longitud Oeste del meridiano </w:t>
      </w:r>
      <w:r>
        <w:rPr>
          <w:color w:val="231F20"/>
        </w:rPr>
        <w:t>de </w:t>
      </w:r>
      <w:r>
        <w:rPr>
          <w:color w:val="231F20"/>
          <w:spacing w:val="-3"/>
        </w:rPr>
        <w:t>Greenwich, </w:t>
      </w:r>
      <w:r>
        <w:rPr>
          <w:color w:val="231F20"/>
        </w:rPr>
        <w:t>al </w:t>
      </w:r>
      <w:r>
        <w:rPr>
          <w:color w:val="231F20"/>
          <w:spacing w:val="-3"/>
        </w:rPr>
        <w:t>suroeste </w:t>
      </w:r>
      <w:r>
        <w:rPr>
          <w:color w:val="231F20"/>
        </w:rPr>
        <w:t>de </w:t>
      </w:r>
      <w:r>
        <w:rPr>
          <w:color w:val="231F20"/>
          <w:spacing w:val="-3"/>
        </w:rPr>
        <w:t>Ciudad de México </w:t>
      </w:r>
      <w:r>
        <w:rPr>
          <w:color w:val="231F20"/>
        </w:rPr>
        <w:t>y de </w:t>
      </w:r>
      <w:r>
        <w:rPr>
          <w:color w:val="231F20"/>
          <w:spacing w:val="-6"/>
        </w:rPr>
        <w:t>Toluca. </w:t>
      </w:r>
      <w:r>
        <w:rPr>
          <w:color w:val="231F20"/>
          <w:spacing w:val="-4"/>
        </w:rPr>
        <w:t>Forma </w:t>
      </w:r>
      <w:r>
        <w:rPr>
          <w:color w:val="231F20"/>
        </w:rPr>
        <w:t>parte de la región so- </w:t>
      </w:r>
      <w:r>
        <w:rPr>
          <w:color w:val="231F20"/>
          <w:spacing w:val="-3"/>
        </w:rPr>
        <w:t>cioeconómica número </w:t>
      </w:r>
      <w:r>
        <w:rPr>
          <w:color w:val="231F20"/>
        </w:rPr>
        <w:t>IV </w:t>
      </w:r>
      <w:r>
        <w:rPr>
          <w:color w:val="231F20"/>
          <w:spacing w:val="-3"/>
        </w:rPr>
        <w:t>(Plan </w:t>
      </w:r>
      <w:r>
        <w:rPr>
          <w:color w:val="231F20"/>
        </w:rPr>
        <w:t>de </w:t>
      </w:r>
      <w:r>
        <w:rPr>
          <w:color w:val="231F20"/>
          <w:spacing w:val="-3"/>
        </w:rPr>
        <w:t>Desarrollo del Estado </w:t>
      </w:r>
      <w:r>
        <w:rPr>
          <w:color w:val="231F20"/>
        </w:rPr>
        <w:t>de </w:t>
      </w:r>
      <w:r>
        <w:rPr>
          <w:color w:val="231F20"/>
          <w:spacing w:val="-3"/>
        </w:rPr>
        <w:t>México, </w:t>
      </w:r>
      <w:r>
        <w:rPr>
          <w:color w:val="231F20"/>
          <w:spacing w:val="-7"/>
        </w:rPr>
        <w:t>2011) </w:t>
      </w:r>
      <w:r>
        <w:rPr>
          <w:color w:val="231F20"/>
        </w:rPr>
        <w:t>con </w:t>
      </w:r>
      <w:r>
        <w:rPr>
          <w:color w:val="231F20"/>
          <w:spacing w:val="-3"/>
        </w:rPr>
        <w:t>sede </w:t>
      </w:r>
      <w:r>
        <w:rPr>
          <w:color w:val="231F20"/>
        </w:rPr>
        <w:t>en </w:t>
      </w:r>
      <w:r>
        <w:rPr>
          <w:color w:val="231F20"/>
          <w:spacing w:val="-5"/>
        </w:rPr>
        <w:t>Tejupilco </w:t>
      </w:r>
      <w:r>
        <w:rPr>
          <w:color w:val="231F20"/>
          <w:spacing w:val="-3"/>
        </w:rPr>
        <w:t>de Hidalgo, Estado </w:t>
      </w:r>
      <w:r>
        <w:rPr>
          <w:color w:val="231F20"/>
        </w:rPr>
        <w:t>de </w:t>
      </w:r>
      <w:r>
        <w:rPr>
          <w:color w:val="231F20"/>
          <w:spacing w:val="-3"/>
        </w:rPr>
        <w:t>México, </w:t>
      </w:r>
      <w:r>
        <w:rPr>
          <w:color w:val="231F20"/>
        </w:rPr>
        <w:t>y es </w:t>
      </w:r>
      <w:r>
        <w:rPr>
          <w:color w:val="231F20"/>
          <w:spacing w:val="-3"/>
        </w:rPr>
        <w:t>colindante </w:t>
      </w:r>
      <w:r>
        <w:rPr>
          <w:color w:val="231F20"/>
        </w:rPr>
        <w:t>con </w:t>
      </w:r>
      <w:r>
        <w:rPr>
          <w:color w:val="231F20"/>
          <w:spacing w:val="-3"/>
        </w:rPr>
        <w:t>los municipios </w:t>
      </w:r>
      <w:r>
        <w:rPr>
          <w:color w:val="231F20"/>
        </w:rPr>
        <w:t>de </w:t>
      </w:r>
      <w:r>
        <w:rPr>
          <w:color w:val="231F20"/>
          <w:spacing w:val="-3"/>
        </w:rPr>
        <w:t>Luvianos, </w:t>
      </w:r>
      <w:r>
        <w:rPr>
          <w:color w:val="231F20"/>
          <w:spacing w:val="-5"/>
        </w:rPr>
        <w:t>Tejupilco, </w:t>
      </w:r>
      <w:r>
        <w:rPr>
          <w:color w:val="231F20"/>
          <w:spacing w:val="-3"/>
        </w:rPr>
        <w:t>Sultepec </w:t>
      </w:r>
      <w:r>
        <w:rPr>
          <w:color w:val="231F20"/>
        </w:rPr>
        <w:t>y </w:t>
      </w:r>
      <w:r>
        <w:rPr>
          <w:color w:val="231F20"/>
          <w:spacing w:val="-4"/>
        </w:rPr>
        <w:t>Tlataya </w:t>
      </w:r>
      <w:r>
        <w:rPr>
          <w:color w:val="231F20"/>
          <w:spacing w:val="-3"/>
        </w:rPr>
        <w:t>(Fig. </w:t>
      </w:r>
      <w:r>
        <w:rPr>
          <w:color w:val="231F20"/>
        </w:rPr>
        <w:t>1). Su </w:t>
      </w:r>
      <w:r>
        <w:rPr>
          <w:color w:val="231F20"/>
          <w:spacing w:val="-3"/>
        </w:rPr>
        <w:t>topografía </w:t>
      </w:r>
      <w:r>
        <w:rPr>
          <w:color w:val="231F20"/>
        </w:rPr>
        <w:t>es </w:t>
      </w:r>
      <w:r>
        <w:rPr>
          <w:color w:val="231F20"/>
          <w:spacing w:val="-3"/>
        </w:rPr>
        <w:t>heterogénea, </w:t>
      </w:r>
      <w:r>
        <w:rPr>
          <w:color w:val="231F20"/>
        </w:rPr>
        <w:t>ya que </w:t>
      </w:r>
      <w:r>
        <w:rPr>
          <w:color w:val="231F20"/>
          <w:spacing w:val="-3"/>
        </w:rPr>
        <w:t>por </w:t>
      </w:r>
      <w:r>
        <w:rPr>
          <w:color w:val="231F20"/>
        </w:rPr>
        <w:t>una parte hay </w:t>
      </w:r>
      <w:r>
        <w:rPr>
          <w:color w:val="231F20"/>
          <w:spacing w:val="-3"/>
        </w:rPr>
        <w:t>sierras cuya pendiente </w:t>
      </w:r>
      <w:r>
        <w:rPr>
          <w:color w:val="231F20"/>
        </w:rPr>
        <w:t>es </w:t>
      </w:r>
      <w:r>
        <w:rPr>
          <w:color w:val="231F20"/>
          <w:spacing w:val="-3"/>
        </w:rPr>
        <w:t>superior al </w:t>
      </w:r>
      <w:r>
        <w:rPr>
          <w:color w:val="231F20"/>
          <w:spacing w:val="-4"/>
        </w:rPr>
        <w:t>25%  </w:t>
      </w:r>
      <w:r>
        <w:rPr>
          <w:color w:val="231F20"/>
        </w:rPr>
        <w:t>en las </w:t>
      </w:r>
      <w:r>
        <w:rPr>
          <w:color w:val="231F20"/>
          <w:spacing w:val="-3"/>
        </w:rPr>
        <w:t>zonas  este  </w:t>
      </w:r>
      <w:r>
        <w:rPr>
          <w:color w:val="231F20"/>
        </w:rPr>
        <w:t>y </w:t>
      </w:r>
      <w:r>
        <w:rPr>
          <w:color w:val="231F20"/>
          <w:spacing w:val="-3"/>
        </w:rPr>
        <w:t>oeste,  </w:t>
      </w:r>
      <w:r>
        <w:rPr>
          <w:color w:val="231F20"/>
        </w:rPr>
        <w:t>y </w:t>
      </w:r>
      <w:r>
        <w:rPr>
          <w:color w:val="231F20"/>
          <w:spacing w:val="-3"/>
        </w:rPr>
        <w:t>pendientes  </w:t>
      </w:r>
      <w:r>
        <w:rPr>
          <w:color w:val="231F20"/>
        </w:rPr>
        <w:t>de </w:t>
      </w:r>
      <w:r>
        <w:rPr>
          <w:color w:val="231F20"/>
          <w:spacing w:val="22"/>
        </w:rPr>
        <w:t> </w:t>
      </w:r>
      <w:r>
        <w:rPr>
          <w:color w:val="231F20"/>
          <w:spacing w:val="-3"/>
        </w:rPr>
        <w:t>0°</w:t>
      </w:r>
    </w:p>
    <w:p>
      <w:pPr>
        <w:spacing w:after="0" w:line="271" w:lineRule="auto"/>
        <w:jc w:val="both"/>
        <w:sectPr>
          <w:type w:val="continuous"/>
          <w:pgSz w:w="11900" w:h="14450"/>
          <w:pgMar w:top="420" w:bottom="420" w:left="0" w:right="0"/>
          <w:cols w:num="2" w:equalWidth="0">
            <w:col w:w="5723" w:space="40"/>
            <w:col w:w="6137"/>
          </w:cols>
        </w:sectPr>
      </w:pPr>
    </w:p>
    <w:p>
      <w:pPr>
        <w:pStyle w:val="BodyText"/>
      </w:pPr>
    </w:p>
    <w:p>
      <w:pPr>
        <w:pStyle w:val="BodyText"/>
        <w:spacing w:before="5"/>
        <w:rPr>
          <w:sz w:val="24"/>
        </w:rPr>
      </w:pPr>
    </w:p>
    <w:p>
      <w:pPr>
        <w:pStyle w:val="BodyText"/>
        <w:ind w:left="2651"/>
      </w:pPr>
      <w:r>
        <w:rPr/>
        <w:drawing>
          <wp:inline distT="0" distB="0" distL="0" distR="0">
            <wp:extent cx="4164716" cy="3614166"/>
            <wp:effectExtent l="0" t="0" r="0" b="0"/>
            <wp:docPr id="65" name="image62.png" descr=""/>
            <wp:cNvGraphicFramePr>
              <a:graphicFrameLocks noChangeAspect="1"/>
            </wp:cNvGraphicFramePr>
            <a:graphic>
              <a:graphicData uri="http://schemas.openxmlformats.org/drawingml/2006/picture">
                <pic:pic>
                  <pic:nvPicPr>
                    <pic:cNvPr id="66" name="image62.png"/>
                    <pic:cNvPicPr/>
                  </pic:nvPicPr>
                  <pic:blipFill>
                    <a:blip r:embed="rId113" cstate="print"/>
                    <a:stretch>
                      <a:fillRect/>
                    </a:stretch>
                  </pic:blipFill>
                  <pic:spPr>
                    <a:xfrm>
                      <a:off x="0" y="0"/>
                      <a:ext cx="4164716" cy="3614166"/>
                    </a:xfrm>
                    <a:prstGeom prst="rect">
                      <a:avLst/>
                    </a:prstGeom>
                  </pic:spPr>
                </pic:pic>
              </a:graphicData>
            </a:graphic>
          </wp:inline>
        </w:drawing>
      </w:r>
      <w:r>
        <w:rPr/>
      </w:r>
    </w:p>
    <w:p>
      <w:pPr>
        <w:pStyle w:val="BodyText"/>
        <w:spacing w:before="3"/>
        <w:rPr>
          <w:sz w:val="14"/>
        </w:rPr>
      </w:pPr>
    </w:p>
    <w:p>
      <w:pPr>
        <w:spacing w:before="0"/>
        <w:ind w:left="3732" w:right="2503" w:firstLine="0"/>
        <w:jc w:val="left"/>
        <w:rPr>
          <w:sz w:val="18"/>
        </w:rPr>
      </w:pPr>
      <w:r>
        <w:rPr>
          <w:color w:val="231F20"/>
          <w:sz w:val="18"/>
        </w:rPr>
        <w:t>Figura 1.   Situación geográfica del municipio de   Amatepec.</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6320" w:val="left" w:leader="none"/>
        </w:tabs>
        <w:spacing w:before="64"/>
        <w:ind w:left="1551" w:right="0" w:firstLine="0"/>
        <w:jc w:val="left"/>
        <w:rPr>
          <w:sz w:val="12"/>
        </w:rPr>
      </w:pPr>
      <w:r>
        <w:rPr>
          <w:color w:val="231F20"/>
          <w:spacing w:val="-5"/>
          <w:w w:val="120"/>
          <w:sz w:val="22"/>
        </w:rPr>
        <w:t>124</w:t>
        <w:tab/>
      </w:r>
      <w:r>
        <w:rPr>
          <w:color w:val="231F20"/>
          <w:w w:val="120"/>
          <w:sz w:val="18"/>
        </w:rPr>
        <w:t>SECCIÓN 2.  C. S</w:t>
      </w:r>
      <w:r>
        <w:rPr>
          <w:color w:val="231F20"/>
          <w:w w:val="120"/>
          <w:sz w:val="12"/>
        </w:rPr>
        <w:t>iStemaS  de  bovinoS  produCtoreS  de</w:t>
      </w:r>
      <w:r>
        <w:rPr>
          <w:color w:val="231F20"/>
          <w:spacing w:val="-2"/>
          <w:w w:val="120"/>
          <w:sz w:val="12"/>
        </w:rPr>
        <w:t> </w:t>
      </w:r>
      <w:r>
        <w:rPr>
          <w:color w:val="231F20"/>
          <w:w w:val="120"/>
          <w:sz w:val="12"/>
        </w:rPr>
        <w:t>Carne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a </w:t>
      </w:r>
      <w:r>
        <w:rPr>
          <w:color w:val="231F20"/>
          <w:spacing w:val="-4"/>
        </w:rPr>
        <w:t>25° </w:t>
      </w:r>
      <w:r>
        <w:rPr>
          <w:color w:val="231F20"/>
        </w:rPr>
        <w:t>en las partes </w:t>
      </w:r>
      <w:r>
        <w:rPr>
          <w:color w:val="231F20"/>
          <w:spacing w:val="-3"/>
        </w:rPr>
        <w:t>centro, </w:t>
      </w:r>
      <w:r>
        <w:rPr>
          <w:color w:val="231F20"/>
        </w:rPr>
        <w:t>norte y sur del </w:t>
      </w:r>
      <w:r>
        <w:rPr>
          <w:color w:val="231F20"/>
          <w:spacing w:val="-3"/>
        </w:rPr>
        <w:t>municipio. Estas características </w:t>
      </w:r>
      <w:r>
        <w:rPr>
          <w:color w:val="231F20"/>
        </w:rPr>
        <w:t>del </w:t>
      </w:r>
      <w:r>
        <w:rPr>
          <w:color w:val="231F20"/>
          <w:spacing w:val="-3"/>
        </w:rPr>
        <w:t>terreno </w:t>
      </w:r>
      <w:r>
        <w:rPr>
          <w:color w:val="231F20"/>
        </w:rPr>
        <w:t>han </w:t>
      </w:r>
      <w:r>
        <w:rPr>
          <w:color w:val="231F20"/>
          <w:spacing w:val="-3"/>
        </w:rPr>
        <w:t>desempeñado </w:t>
      </w:r>
      <w:r>
        <w:rPr>
          <w:color w:val="231F20"/>
        </w:rPr>
        <w:t>un </w:t>
      </w:r>
      <w:r>
        <w:rPr>
          <w:color w:val="231F20"/>
          <w:spacing w:val="-3"/>
        </w:rPr>
        <w:t>papel importante </w:t>
      </w:r>
      <w:r>
        <w:rPr>
          <w:color w:val="231F20"/>
        </w:rPr>
        <w:t>en el </w:t>
      </w:r>
      <w:r>
        <w:rPr>
          <w:color w:val="231F20"/>
          <w:spacing w:val="-3"/>
        </w:rPr>
        <w:t>desarrollo urbano </w:t>
      </w:r>
      <w:r>
        <w:rPr>
          <w:color w:val="231F20"/>
        </w:rPr>
        <w:t>del </w:t>
      </w:r>
      <w:r>
        <w:rPr>
          <w:color w:val="231F20"/>
          <w:spacing w:val="-3"/>
        </w:rPr>
        <w:t>mu- nicipio </w:t>
      </w:r>
      <w:r>
        <w:rPr>
          <w:color w:val="231F20"/>
        </w:rPr>
        <w:t>de </w:t>
      </w:r>
      <w:r>
        <w:rPr>
          <w:color w:val="231F20"/>
          <w:spacing w:val="-3"/>
        </w:rPr>
        <w:t>Amatepec. Cuenta </w:t>
      </w:r>
      <w:r>
        <w:rPr>
          <w:color w:val="231F20"/>
        </w:rPr>
        <w:t>con una </w:t>
      </w:r>
      <w:r>
        <w:rPr>
          <w:color w:val="231F20"/>
          <w:spacing w:val="-3"/>
        </w:rPr>
        <w:t>superficie de </w:t>
      </w:r>
      <w:r>
        <w:rPr>
          <w:color w:val="231F20"/>
        </w:rPr>
        <w:t>62 </w:t>
      </w:r>
      <w:r>
        <w:rPr>
          <w:color w:val="231F20"/>
          <w:spacing w:val="-3"/>
        </w:rPr>
        <w:t>494,2 </w:t>
      </w:r>
      <w:r>
        <w:rPr>
          <w:color w:val="231F20"/>
        </w:rPr>
        <w:t>ha, que </w:t>
      </w:r>
      <w:r>
        <w:rPr>
          <w:color w:val="231F20"/>
          <w:spacing w:val="-3"/>
        </w:rPr>
        <w:t>representan </w:t>
      </w:r>
      <w:r>
        <w:rPr>
          <w:color w:val="231F20"/>
        </w:rPr>
        <w:t>el </w:t>
      </w:r>
      <w:r>
        <w:rPr>
          <w:color w:val="231F20"/>
          <w:spacing w:val="-6"/>
        </w:rPr>
        <w:t>2,78% </w:t>
      </w:r>
      <w:r>
        <w:rPr>
          <w:color w:val="231F20"/>
        </w:rPr>
        <w:t>del </w:t>
      </w:r>
      <w:r>
        <w:rPr>
          <w:color w:val="231F20"/>
          <w:spacing w:val="-3"/>
        </w:rPr>
        <w:t>territo-  </w:t>
      </w:r>
      <w:r>
        <w:rPr>
          <w:color w:val="231F20"/>
        </w:rPr>
        <w:t>rio </w:t>
      </w:r>
      <w:r>
        <w:rPr>
          <w:color w:val="231F20"/>
          <w:spacing w:val="-3"/>
        </w:rPr>
        <w:t>estatal, distribuida </w:t>
      </w:r>
      <w:r>
        <w:rPr>
          <w:color w:val="231F20"/>
        </w:rPr>
        <w:t>en </w:t>
      </w:r>
      <w:r>
        <w:rPr>
          <w:color w:val="231F20"/>
          <w:spacing w:val="-5"/>
        </w:rPr>
        <w:t>192 </w:t>
      </w:r>
      <w:r>
        <w:rPr>
          <w:color w:val="231F20"/>
          <w:spacing w:val="-3"/>
        </w:rPr>
        <w:t>localidades; Amatepec </w:t>
      </w:r>
      <w:r>
        <w:rPr>
          <w:color w:val="231F20"/>
        </w:rPr>
        <w:t>es la </w:t>
      </w:r>
      <w:r>
        <w:rPr>
          <w:color w:val="231F20"/>
          <w:spacing w:val="-3"/>
        </w:rPr>
        <w:t>cabecera municipal. Predominan </w:t>
      </w:r>
      <w:r>
        <w:rPr>
          <w:color w:val="231F20"/>
        </w:rPr>
        <w:t>dos </w:t>
      </w:r>
      <w:r>
        <w:rPr>
          <w:color w:val="231F20"/>
          <w:spacing w:val="-3"/>
        </w:rPr>
        <w:t>tipos de clima: </w:t>
      </w:r>
      <w:r>
        <w:rPr>
          <w:color w:val="231F20"/>
        </w:rPr>
        <w:t>el </w:t>
      </w:r>
      <w:r>
        <w:rPr>
          <w:color w:val="231F20"/>
          <w:spacing w:val="-3"/>
        </w:rPr>
        <w:t>cálido </w:t>
      </w:r>
      <w:r>
        <w:rPr>
          <w:color w:val="231F20"/>
        </w:rPr>
        <w:t>y el </w:t>
      </w:r>
      <w:r>
        <w:rPr>
          <w:color w:val="231F20"/>
          <w:spacing w:val="-3"/>
        </w:rPr>
        <w:t>templado. </w:t>
      </w:r>
      <w:r>
        <w:rPr>
          <w:color w:val="231F20"/>
        </w:rPr>
        <w:t>Del </w:t>
      </w:r>
      <w:r>
        <w:rPr>
          <w:color w:val="231F20"/>
          <w:spacing w:val="-3"/>
        </w:rPr>
        <w:t>primero  destaca </w:t>
      </w:r>
      <w:r>
        <w:rPr>
          <w:color w:val="231F20"/>
        </w:rPr>
        <w:t>el </w:t>
      </w:r>
      <w:r>
        <w:rPr>
          <w:color w:val="231F20"/>
          <w:spacing w:val="-3"/>
        </w:rPr>
        <w:t>cálido  subhúmedo,  </w:t>
      </w:r>
      <w:r>
        <w:rPr>
          <w:color w:val="231F20"/>
        </w:rPr>
        <w:t>con  </w:t>
      </w:r>
      <w:r>
        <w:rPr>
          <w:color w:val="231F20"/>
          <w:spacing w:val="-3"/>
        </w:rPr>
        <w:t>lluvias  </w:t>
      </w:r>
      <w:r>
        <w:rPr>
          <w:color w:val="231F20"/>
        </w:rPr>
        <w:t>en  </w:t>
      </w:r>
      <w:r>
        <w:rPr>
          <w:color w:val="231F20"/>
          <w:spacing w:val="-3"/>
        </w:rPr>
        <w:t>verano  </w:t>
      </w:r>
      <w:r>
        <w:rPr>
          <w:color w:val="231F20"/>
          <w:spacing w:val="-4"/>
        </w:rPr>
        <w:t>(Aw), </w:t>
      </w:r>
      <w:r>
        <w:rPr>
          <w:color w:val="231F20"/>
        </w:rPr>
        <w:t>y el </w:t>
      </w:r>
      <w:r>
        <w:rPr>
          <w:color w:val="231F20"/>
          <w:spacing w:val="-3"/>
        </w:rPr>
        <w:t>semicálido subhúmedo, </w:t>
      </w:r>
      <w:r>
        <w:rPr>
          <w:color w:val="231F20"/>
        </w:rPr>
        <w:t>con </w:t>
      </w:r>
      <w:r>
        <w:rPr>
          <w:color w:val="231F20"/>
          <w:spacing w:val="-3"/>
        </w:rPr>
        <w:t>lluvias </w:t>
      </w:r>
      <w:r>
        <w:rPr>
          <w:color w:val="231F20"/>
        </w:rPr>
        <w:t>en </w:t>
      </w:r>
      <w:r>
        <w:rPr>
          <w:color w:val="231F20"/>
          <w:spacing w:val="-3"/>
        </w:rPr>
        <w:t>verano (Aew), característicos </w:t>
      </w:r>
      <w:r>
        <w:rPr>
          <w:color w:val="231F20"/>
        </w:rPr>
        <w:t>de la </w:t>
      </w:r>
      <w:r>
        <w:rPr>
          <w:color w:val="231F20"/>
          <w:spacing w:val="-3"/>
        </w:rPr>
        <w:t>zona oriente </w:t>
      </w:r>
      <w:r>
        <w:rPr>
          <w:color w:val="231F20"/>
        </w:rPr>
        <w:t>por la </w:t>
      </w:r>
      <w:r>
        <w:rPr>
          <w:color w:val="231F20"/>
          <w:spacing w:val="-3"/>
        </w:rPr>
        <w:t>Go- leta, </w:t>
      </w:r>
      <w:r>
        <w:rPr>
          <w:color w:val="231F20"/>
          <w:spacing w:val="-4"/>
        </w:rPr>
        <w:t>Tlachichilpan </w:t>
      </w:r>
      <w:r>
        <w:rPr>
          <w:color w:val="231F20"/>
        </w:rPr>
        <w:t>y </w:t>
      </w:r>
      <w:r>
        <w:rPr>
          <w:color w:val="231F20"/>
          <w:spacing w:val="-3"/>
        </w:rPr>
        <w:t>otras delegaciones </w:t>
      </w:r>
      <w:r>
        <w:rPr>
          <w:color w:val="231F20"/>
        </w:rPr>
        <w:t>que se </w:t>
      </w:r>
      <w:r>
        <w:rPr>
          <w:color w:val="231F20"/>
          <w:spacing w:val="-3"/>
        </w:rPr>
        <w:t>ubi- </w:t>
      </w:r>
      <w:r>
        <w:rPr>
          <w:color w:val="231F20"/>
        </w:rPr>
        <w:t>can en la </w:t>
      </w:r>
      <w:r>
        <w:rPr>
          <w:color w:val="231F20"/>
          <w:spacing w:val="-3"/>
        </w:rPr>
        <w:t>sierra, </w:t>
      </w:r>
      <w:r>
        <w:rPr>
          <w:color w:val="231F20"/>
        </w:rPr>
        <w:t>así </w:t>
      </w:r>
      <w:r>
        <w:rPr>
          <w:color w:val="231F20"/>
          <w:spacing w:val="-3"/>
        </w:rPr>
        <w:t>como </w:t>
      </w:r>
      <w:r>
        <w:rPr>
          <w:color w:val="231F20"/>
        </w:rPr>
        <w:t>en la </w:t>
      </w:r>
      <w:r>
        <w:rPr>
          <w:color w:val="231F20"/>
          <w:spacing w:val="-3"/>
        </w:rPr>
        <w:t>cabecera municipal. </w:t>
      </w:r>
      <w:r>
        <w:rPr>
          <w:color w:val="231F20"/>
        </w:rPr>
        <w:t>Del </w:t>
      </w:r>
      <w:r>
        <w:rPr>
          <w:color w:val="231F20"/>
          <w:spacing w:val="-3"/>
        </w:rPr>
        <w:t>segundo, destaca </w:t>
      </w:r>
      <w:r>
        <w:rPr>
          <w:color w:val="231F20"/>
        </w:rPr>
        <w:t>el </w:t>
      </w:r>
      <w:r>
        <w:rPr>
          <w:color w:val="231F20"/>
          <w:spacing w:val="-3"/>
        </w:rPr>
        <w:t>clima templado subhú- medo </w:t>
      </w:r>
      <w:r>
        <w:rPr>
          <w:color w:val="231F20"/>
        </w:rPr>
        <w:t>con </w:t>
      </w:r>
      <w:r>
        <w:rPr>
          <w:color w:val="231F20"/>
          <w:spacing w:val="-3"/>
        </w:rPr>
        <w:t>lluvias </w:t>
      </w:r>
      <w:r>
        <w:rPr>
          <w:color w:val="231F20"/>
        </w:rPr>
        <w:t>en </w:t>
      </w:r>
      <w:r>
        <w:rPr>
          <w:color w:val="231F20"/>
          <w:spacing w:val="-3"/>
        </w:rPr>
        <w:t>verano (Cw), característico de </w:t>
      </w:r>
      <w:r>
        <w:rPr>
          <w:color w:val="231F20"/>
        </w:rPr>
        <w:t>las </w:t>
      </w:r>
      <w:r>
        <w:rPr>
          <w:color w:val="231F20"/>
          <w:spacing w:val="-3"/>
        </w:rPr>
        <w:t>delegaciones </w:t>
      </w:r>
      <w:r>
        <w:rPr>
          <w:color w:val="231F20"/>
        </w:rPr>
        <w:t>que se </w:t>
      </w:r>
      <w:r>
        <w:rPr>
          <w:color w:val="231F20"/>
          <w:spacing w:val="-3"/>
        </w:rPr>
        <w:t>encuentran </w:t>
      </w:r>
      <w:r>
        <w:rPr>
          <w:color w:val="231F20"/>
        </w:rPr>
        <w:t>en las </w:t>
      </w:r>
      <w:r>
        <w:rPr>
          <w:color w:val="231F20"/>
          <w:spacing w:val="-3"/>
        </w:rPr>
        <w:t>partes poniente, </w:t>
      </w:r>
      <w:r>
        <w:rPr>
          <w:color w:val="231F20"/>
        </w:rPr>
        <w:t>norte y sur del </w:t>
      </w:r>
      <w:r>
        <w:rPr>
          <w:color w:val="231F20"/>
          <w:spacing w:val="-3"/>
        </w:rPr>
        <w:t>municipio. </w:t>
      </w:r>
      <w:r>
        <w:rPr>
          <w:color w:val="231F20"/>
        </w:rPr>
        <w:t>La </w:t>
      </w:r>
      <w:r>
        <w:rPr>
          <w:color w:val="231F20"/>
          <w:spacing w:val="-3"/>
        </w:rPr>
        <w:t>temperatura varía entre </w:t>
      </w:r>
      <w:r>
        <w:rPr>
          <w:color w:val="231F20"/>
        </w:rPr>
        <w:t>los </w:t>
      </w:r>
      <w:r>
        <w:rPr>
          <w:color w:val="231F20"/>
          <w:spacing w:val="-5"/>
        </w:rPr>
        <w:t>15° </w:t>
      </w:r>
      <w:r>
        <w:rPr>
          <w:color w:val="231F20"/>
        </w:rPr>
        <w:t>y los </w:t>
      </w:r>
      <w:r>
        <w:rPr>
          <w:color w:val="231F20"/>
          <w:spacing w:val="-3"/>
        </w:rPr>
        <w:t>40°C. </w:t>
      </w:r>
      <w:r>
        <w:rPr>
          <w:color w:val="231F20"/>
        </w:rPr>
        <w:t>El </w:t>
      </w:r>
      <w:r>
        <w:rPr>
          <w:color w:val="231F20"/>
          <w:spacing w:val="-3"/>
        </w:rPr>
        <w:t>periodo </w:t>
      </w:r>
      <w:r>
        <w:rPr>
          <w:color w:val="231F20"/>
        </w:rPr>
        <w:t>de </w:t>
      </w:r>
      <w:r>
        <w:rPr>
          <w:color w:val="231F20"/>
          <w:spacing w:val="-3"/>
        </w:rPr>
        <w:t>mayor calor </w:t>
      </w:r>
      <w:r>
        <w:rPr>
          <w:color w:val="231F20"/>
        </w:rPr>
        <w:t>es de </w:t>
      </w:r>
      <w:r>
        <w:rPr>
          <w:color w:val="231F20"/>
          <w:spacing w:val="-3"/>
        </w:rPr>
        <w:t>marzo </w:t>
      </w:r>
      <w:r>
        <w:rPr>
          <w:color w:val="231F20"/>
        </w:rPr>
        <w:t>a </w:t>
      </w:r>
      <w:r>
        <w:rPr>
          <w:color w:val="231F20"/>
          <w:spacing w:val="-3"/>
        </w:rPr>
        <w:t>julio, </w:t>
      </w:r>
      <w:r>
        <w:rPr>
          <w:color w:val="231F20"/>
        </w:rPr>
        <w:t>y las </w:t>
      </w:r>
      <w:r>
        <w:rPr>
          <w:color w:val="231F20"/>
          <w:spacing w:val="-3"/>
        </w:rPr>
        <w:t>temperaturas más frías </w:t>
      </w:r>
      <w:r>
        <w:rPr>
          <w:color w:val="231F20"/>
        </w:rPr>
        <w:t>se dan en los </w:t>
      </w:r>
      <w:r>
        <w:rPr>
          <w:color w:val="231F20"/>
          <w:spacing w:val="-3"/>
        </w:rPr>
        <w:t>meses </w:t>
      </w:r>
      <w:r>
        <w:rPr>
          <w:color w:val="231F20"/>
        </w:rPr>
        <w:t>de </w:t>
      </w:r>
      <w:r>
        <w:rPr>
          <w:color w:val="231F20"/>
          <w:spacing w:val="-3"/>
        </w:rPr>
        <w:t>noviembre, diciembre, enero </w:t>
      </w:r>
      <w:r>
        <w:rPr>
          <w:color w:val="231F20"/>
        </w:rPr>
        <w:t>y </w:t>
      </w:r>
      <w:r>
        <w:rPr>
          <w:color w:val="231F20"/>
          <w:spacing w:val="-3"/>
        </w:rPr>
        <w:t>febrero. </w:t>
      </w:r>
      <w:r>
        <w:rPr>
          <w:color w:val="231F20"/>
        </w:rPr>
        <w:t>La </w:t>
      </w:r>
      <w:r>
        <w:rPr>
          <w:color w:val="231F20"/>
          <w:spacing w:val="-3"/>
        </w:rPr>
        <w:t>precipitación promedio </w:t>
      </w:r>
      <w:r>
        <w:rPr>
          <w:color w:val="231F20"/>
        </w:rPr>
        <w:t>es </w:t>
      </w:r>
      <w:r>
        <w:rPr>
          <w:color w:val="231F20"/>
          <w:spacing w:val="-3"/>
        </w:rPr>
        <w:t>de </w:t>
      </w:r>
      <w:r>
        <w:rPr>
          <w:color w:val="231F20"/>
          <w:spacing w:val="-5"/>
        </w:rPr>
        <w:t>1203,2 </w:t>
      </w:r>
      <w:r>
        <w:rPr>
          <w:color w:val="231F20"/>
        </w:rPr>
        <w:t>mm, con </w:t>
      </w:r>
      <w:r>
        <w:rPr>
          <w:color w:val="231F20"/>
          <w:spacing w:val="-3"/>
        </w:rPr>
        <w:t>mucha variación dentro </w:t>
      </w:r>
      <w:r>
        <w:rPr>
          <w:color w:val="231F20"/>
        </w:rPr>
        <w:t>del mu- </w:t>
      </w:r>
      <w:r>
        <w:rPr>
          <w:color w:val="231F20"/>
          <w:spacing w:val="-3"/>
        </w:rPr>
        <w:t>nicipio, </w:t>
      </w:r>
      <w:r>
        <w:rPr>
          <w:color w:val="231F20"/>
        </w:rPr>
        <w:t>y la </w:t>
      </w:r>
      <w:r>
        <w:rPr>
          <w:color w:val="231F20"/>
          <w:spacing w:val="-3"/>
        </w:rPr>
        <w:t>época </w:t>
      </w:r>
      <w:r>
        <w:rPr>
          <w:color w:val="231F20"/>
        </w:rPr>
        <w:t>de </w:t>
      </w:r>
      <w:r>
        <w:rPr>
          <w:color w:val="231F20"/>
          <w:spacing w:val="-3"/>
        </w:rPr>
        <w:t>lluvias ocurre principalmente </w:t>
      </w:r>
      <w:r>
        <w:rPr>
          <w:color w:val="231F20"/>
        </w:rPr>
        <w:t>en los </w:t>
      </w:r>
      <w:r>
        <w:rPr>
          <w:color w:val="231F20"/>
          <w:spacing w:val="-3"/>
        </w:rPr>
        <w:t>meses </w:t>
      </w:r>
      <w:r>
        <w:rPr>
          <w:color w:val="231F20"/>
        </w:rPr>
        <w:t>de </w:t>
      </w:r>
      <w:r>
        <w:rPr>
          <w:color w:val="231F20"/>
          <w:spacing w:val="-3"/>
        </w:rPr>
        <w:t>junio </w:t>
      </w:r>
      <w:r>
        <w:rPr>
          <w:color w:val="231F20"/>
        </w:rPr>
        <w:t>a </w:t>
      </w:r>
      <w:r>
        <w:rPr>
          <w:color w:val="231F20"/>
          <w:spacing w:val="-3"/>
        </w:rPr>
        <w:t>octubre (Plan </w:t>
      </w:r>
      <w:r>
        <w:rPr>
          <w:color w:val="231F20"/>
        </w:rPr>
        <w:t>de </w:t>
      </w:r>
      <w:r>
        <w:rPr>
          <w:color w:val="231F20"/>
          <w:spacing w:val="-3"/>
        </w:rPr>
        <w:t>Desarrollo Urbano  </w:t>
      </w:r>
      <w:r>
        <w:rPr>
          <w:color w:val="231F20"/>
        </w:rPr>
        <w:t>del  </w:t>
      </w:r>
      <w:r>
        <w:rPr>
          <w:color w:val="231F20"/>
          <w:spacing w:val="-3"/>
        </w:rPr>
        <w:t>Municipio  </w:t>
      </w:r>
      <w:r>
        <w:rPr>
          <w:color w:val="231F20"/>
        </w:rPr>
        <w:t>de  </w:t>
      </w:r>
      <w:r>
        <w:rPr>
          <w:color w:val="231F20"/>
          <w:spacing w:val="-3"/>
        </w:rPr>
        <w:t>Amatepec,</w:t>
      </w:r>
      <w:r>
        <w:rPr>
          <w:color w:val="231F20"/>
          <w:spacing w:val="14"/>
        </w:rPr>
        <w:t> </w:t>
      </w:r>
      <w:r>
        <w:rPr>
          <w:color w:val="231F20"/>
          <w:spacing w:val="-6"/>
        </w:rPr>
        <w:t>2001-2006).</w:t>
      </w:r>
    </w:p>
    <w:p>
      <w:pPr>
        <w:pStyle w:val="BodyText"/>
        <w:spacing w:before="7"/>
        <w:rPr>
          <w:sz w:val="18"/>
        </w:rPr>
      </w:pPr>
    </w:p>
    <w:p>
      <w:pPr>
        <w:spacing w:before="0"/>
        <w:ind w:left="1553" w:right="0" w:firstLine="0"/>
        <w:jc w:val="both"/>
        <w:rPr>
          <w:rFonts w:ascii="Cambria"/>
          <w:i/>
          <w:sz w:val="20"/>
        </w:rPr>
      </w:pPr>
      <w:r>
        <w:rPr>
          <w:rFonts w:ascii="Cambria"/>
          <w:i/>
          <w:color w:val="231F20"/>
          <w:w w:val="110"/>
          <w:sz w:val="20"/>
        </w:rPr>
        <w:t>Aprovechamiento del suelo</w:t>
      </w:r>
    </w:p>
    <w:p>
      <w:pPr>
        <w:spacing w:before="27"/>
        <w:ind w:left="1553" w:right="0" w:firstLine="0"/>
        <w:jc w:val="both"/>
        <w:rPr>
          <w:rFonts w:ascii="Cambria" w:hAnsi="Cambria"/>
          <w:i/>
          <w:sz w:val="20"/>
        </w:rPr>
      </w:pPr>
      <w:r>
        <w:rPr>
          <w:rFonts w:ascii="Cambria" w:hAnsi="Cambria"/>
          <w:i/>
          <w:color w:val="231F20"/>
          <w:w w:val="105"/>
          <w:sz w:val="20"/>
        </w:rPr>
        <w:t>e importancia de la   ganadería</w:t>
      </w:r>
    </w:p>
    <w:p>
      <w:pPr>
        <w:pStyle w:val="BodyText"/>
        <w:spacing w:line="256" w:lineRule="auto" w:before="140"/>
        <w:ind w:left="1553"/>
        <w:jc w:val="both"/>
      </w:pPr>
      <w:r>
        <w:rPr>
          <w:color w:val="231F20"/>
        </w:rPr>
        <w:t>Los suelos característicos están compuestos por terrenos arcillosos, calcáreos, arenosos y rocosos. Su uso y aprovechamiento se muestra en el Cua- dro 1, en el cual puede verse que la agricultura ha sido desplazada como una actividad</w:t>
      </w:r>
      <w:r>
        <w:rPr>
          <w:color w:val="231F20"/>
          <w:spacing w:val="14"/>
        </w:rPr>
        <w:t> </w:t>
      </w:r>
      <w:r>
        <w:rPr>
          <w:color w:val="231F20"/>
        </w:rPr>
        <w:t>terciaria,</w:t>
      </w:r>
      <w:r>
        <w:rPr>
          <w:color w:val="231F20"/>
          <w:spacing w:val="20"/>
        </w:rPr>
        <w:t> </w:t>
      </w:r>
      <w:r>
        <w:rPr>
          <w:color w:val="231F20"/>
        </w:rPr>
        <w:t>que</w:t>
      </w:r>
      <w:r>
        <w:rPr>
          <w:color w:val="231F20"/>
          <w:w w:val="103"/>
        </w:rPr>
        <w:t> </w:t>
      </w:r>
      <w:r>
        <w:rPr>
          <w:color w:val="231F20"/>
        </w:rPr>
        <w:t>en el segundo nivel se encuentra el aprovecha- miento forestal y que el municipio es propiamente ganadero, ya que la mayor parte de la superficie se destina a esta actividad, de modo que se ha con- vertido en la fuente más importante generadora  de empleo en el municipio y en la región sur del Estado de México, con una franja ganadera que    se inicia en los municipios colindantes del Estado de Guerrero para continuar por los municipios de Tlatlaya,  Amatepec,  </w:t>
      </w:r>
      <w:r>
        <w:rPr>
          <w:color w:val="231F20"/>
          <w:spacing w:val="-3"/>
        </w:rPr>
        <w:t>Tejupilco,  </w:t>
      </w:r>
      <w:r>
        <w:rPr>
          <w:color w:val="231F20"/>
        </w:rPr>
        <w:t>Luvianos,</w:t>
      </w:r>
      <w:r>
        <w:rPr>
          <w:color w:val="231F20"/>
          <w:spacing w:val="20"/>
        </w:rPr>
        <w:t> </w:t>
      </w:r>
      <w:r>
        <w:rPr>
          <w:color w:val="231F20"/>
        </w:rPr>
        <w:t>Zacazona</w:t>
      </w:r>
    </w:p>
    <w:p>
      <w:pPr>
        <w:spacing w:before="71"/>
        <w:ind w:left="413" w:right="0" w:firstLine="0"/>
        <w:jc w:val="both"/>
        <w:rPr>
          <w:sz w:val="18"/>
        </w:rPr>
      </w:pPr>
      <w:r>
        <w:rPr/>
        <w:br w:type="column"/>
      </w:r>
      <w:r>
        <w:rPr>
          <w:color w:val="231F20"/>
          <w:sz w:val="18"/>
        </w:rPr>
        <w:t>Cuadro 1.   Uso y aprovechamiento del   suelo.</w:t>
      </w:r>
    </w:p>
    <w:p>
      <w:pPr>
        <w:pStyle w:val="BodyText"/>
        <w:spacing w:before="10"/>
        <w:rPr>
          <w:sz w:val="11"/>
        </w:rPr>
      </w:pPr>
    </w:p>
    <w:tbl>
      <w:tblPr>
        <w:tblW w:w="0" w:type="auto"/>
        <w:jc w:val="left"/>
        <w:tblInd w:w="4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61"/>
        <w:gridCol w:w="1554"/>
        <w:gridCol w:w="1242"/>
      </w:tblGrid>
      <w:tr>
        <w:trPr>
          <w:trHeight w:val="369" w:hRule="exact"/>
        </w:trPr>
        <w:tc>
          <w:tcPr>
            <w:tcW w:w="1361" w:type="dxa"/>
            <w:tcBorders>
              <w:left w:val="nil"/>
            </w:tcBorders>
          </w:tcPr>
          <w:p>
            <w:pPr>
              <w:pStyle w:val="TableParagraph"/>
              <w:spacing w:before="79"/>
              <w:ind w:left="138"/>
              <w:rPr>
                <w:rFonts w:ascii="Cambria"/>
                <w:i/>
                <w:sz w:val="18"/>
              </w:rPr>
            </w:pPr>
            <w:r>
              <w:rPr>
                <w:rFonts w:ascii="Cambria"/>
                <w:i/>
                <w:color w:val="231F20"/>
                <w:w w:val="110"/>
                <w:sz w:val="18"/>
              </w:rPr>
              <w:t>Uso del suelo</w:t>
            </w:r>
          </w:p>
        </w:tc>
        <w:tc>
          <w:tcPr>
            <w:tcW w:w="1554" w:type="dxa"/>
          </w:tcPr>
          <w:p>
            <w:pPr>
              <w:pStyle w:val="TableParagraph"/>
              <w:spacing w:before="79"/>
              <w:ind w:left="126"/>
              <w:rPr>
                <w:rFonts w:ascii="Cambria"/>
                <w:i/>
                <w:sz w:val="18"/>
              </w:rPr>
            </w:pPr>
            <w:r>
              <w:rPr>
                <w:rFonts w:ascii="Cambria"/>
                <w:i/>
                <w:color w:val="231F20"/>
                <w:w w:val="105"/>
                <w:sz w:val="18"/>
              </w:rPr>
              <w:t>Superficie (km</w:t>
            </w:r>
            <w:r>
              <w:rPr>
                <w:rFonts w:ascii="Cambria"/>
                <w:i/>
                <w:color w:val="231F20"/>
                <w:w w:val="105"/>
                <w:position w:val="6"/>
                <w:sz w:val="10"/>
              </w:rPr>
              <w:t>2</w:t>
            </w:r>
            <w:r>
              <w:rPr>
                <w:rFonts w:ascii="Cambria"/>
                <w:i/>
                <w:color w:val="231F20"/>
                <w:w w:val="105"/>
                <w:sz w:val="18"/>
              </w:rPr>
              <w:t>)</w:t>
            </w:r>
          </w:p>
        </w:tc>
        <w:tc>
          <w:tcPr>
            <w:tcW w:w="1242" w:type="dxa"/>
            <w:tcBorders>
              <w:right w:val="nil"/>
            </w:tcBorders>
          </w:tcPr>
          <w:p>
            <w:pPr>
              <w:pStyle w:val="TableParagraph"/>
              <w:spacing w:before="79"/>
              <w:ind w:left="192" w:right="101"/>
              <w:rPr>
                <w:rFonts w:ascii="Cambria"/>
                <w:i/>
                <w:sz w:val="18"/>
              </w:rPr>
            </w:pPr>
            <w:r>
              <w:rPr>
                <w:rFonts w:ascii="Cambria"/>
                <w:i/>
                <w:color w:val="231F20"/>
                <w:w w:val="105"/>
                <w:sz w:val="18"/>
              </w:rPr>
              <w:t>Porcentaje</w:t>
            </w:r>
          </w:p>
        </w:tc>
      </w:tr>
      <w:tr>
        <w:trPr>
          <w:trHeight w:val="354" w:hRule="exact"/>
        </w:trPr>
        <w:tc>
          <w:tcPr>
            <w:tcW w:w="1361" w:type="dxa"/>
            <w:tcBorders>
              <w:left w:val="nil"/>
            </w:tcBorders>
          </w:tcPr>
          <w:p>
            <w:pPr>
              <w:pStyle w:val="TableParagraph"/>
              <w:ind w:left="113"/>
              <w:rPr>
                <w:sz w:val="17"/>
              </w:rPr>
            </w:pPr>
            <w:r>
              <w:rPr>
                <w:color w:val="231F20"/>
                <w:sz w:val="17"/>
              </w:rPr>
              <w:t>Agrícola</w:t>
            </w:r>
          </w:p>
        </w:tc>
        <w:tc>
          <w:tcPr>
            <w:tcW w:w="1554" w:type="dxa"/>
          </w:tcPr>
          <w:p>
            <w:pPr>
              <w:pStyle w:val="TableParagraph"/>
              <w:ind w:left="440"/>
              <w:rPr>
                <w:sz w:val="17"/>
              </w:rPr>
            </w:pPr>
            <w:r>
              <w:rPr>
                <w:color w:val="231F20"/>
                <w:w w:val="115"/>
                <w:sz w:val="17"/>
              </w:rPr>
              <w:t>12217,62</w:t>
            </w:r>
          </w:p>
        </w:tc>
        <w:tc>
          <w:tcPr>
            <w:tcW w:w="1242" w:type="dxa"/>
            <w:tcBorders>
              <w:right w:val="nil"/>
            </w:tcBorders>
          </w:tcPr>
          <w:p>
            <w:pPr>
              <w:pStyle w:val="TableParagraph"/>
              <w:ind w:left="418" w:right="101"/>
              <w:rPr>
                <w:sz w:val="17"/>
              </w:rPr>
            </w:pPr>
            <w:r>
              <w:rPr>
                <w:color w:val="231F20"/>
                <w:w w:val="110"/>
                <w:sz w:val="17"/>
              </w:rPr>
              <w:t>19,55</w:t>
            </w:r>
          </w:p>
        </w:tc>
      </w:tr>
      <w:tr>
        <w:trPr>
          <w:trHeight w:val="354" w:hRule="exact"/>
        </w:trPr>
        <w:tc>
          <w:tcPr>
            <w:tcW w:w="1361" w:type="dxa"/>
            <w:tcBorders>
              <w:left w:val="nil"/>
            </w:tcBorders>
          </w:tcPr>
          <w:p>
            <w:pPr>
              <w:pStyle w:val="TableParagraph"/>
              <w:ind w:left="113"/>
              <w:rPr>
                <w:sz w:val="17"/>
              </w:rPr>
            </w:pPr>
            <w:r>
              <w:rPr>
                <w:color w:val="231F20"/>
                <w:sz w:val="17"/>
              </w:rPr>
              <w:t>Forestal</w:t>
            </w:r>
          </w:p>
        </w:tc>
        <w:tc>
          <w:tcPr>
            <w:tcW w:w="1554" w:type="dxa"/>
          </w:tcPr>
          <w:p>
            <w:pPr>
              <w:pStyle w:val="TableParagraph"/>
              <w:ind w:left="411"/>
              <w:rPr>
                <w:sz w:val="17"/>
              </w:rPr>
            </w:pPr>
            <w:r>
              <w:rPr>
                <w:color w:val="231F20"/>
                <w:w w:val="115"/>
                <w:sz w:val="17"/>
              </w:rPr>
              <w:t>21360,52</w:t>
            </w:r>
          </w:p>
        </w:tc>
        <w:tc>
          <w:tcPr>
            <w:tcW w:w="1242" w:type="dxa"/>
            <w:tcBorders>
              <w:right w:val="nil"/>
            </w:tcBorders>
          </w:tcPr>
          <w:p>
            <w:pPr>
              <w:pStyle w:val="TableParagraph"/>
              <w:ind w:left="418" w:right="101"/>
              <w:rPr>
                <w:sz w:val="17"/>
              </w:rPr>
            </w:pPr>
            <w:r>
              <w:rPr>
                <w:color w:val="231F20"/>
                <w:w w:val="110"/>
                <w:sz w:val="17"/>
              </w:rPr>
              <w:t>34,18</w:t>
            </w:r>
          </w:p>
        </w:tc>
      </w:tr>
      <w:tr>
        <w:trPr>
          <w:trHeight w:val="354" w:hRule="exact"/>
        </w:trPr>
        <w:tc>
          <w:tcPr>
            <w:tcW w:w="1361" w:type="dxa"/>
            <w:tcBorders>
              <w:left w:val="nil"/>
            </w:tcBorders>
          </w:tcPr>
          <w:p>
            <w:pPr>
              <w:pStyle w:val="TableParagraph"/>
              <w:ind w:left="113"/>
              <w:rPr>
                <w:sz w:val="17"/>
              </w:rPr>
            </w:pPr>
            <w:r>
              <w:rPr>
                <w:color w:val="231F20"/>
                <w:sz w:val="17"/>
              </w:rPr>
              <w:t>Pecuario</w:t>
            </w:r>
          </w:p>
        </w:tc>
        <w:tc>
          <w:tcPr>
            <w:tcW w:w="1554" w:type="dxa"/>
          </w:tcPr>
          <w:p>
            <w:pPr>
              <w:pStyle w:val="TableParagraph"/>
              <w:ind w:left="408"/>
              <w:rPr>
                <w:sz w:val="17"/>
              </w:rPr>
            </w:pPr>
            <w:r>
              <w:rPr>
                <w:color w:val="231F20"/>
                <w:w w:val="115"/>
                <w:sz w:val="17"/>
              </w:rPr>
              <w:t>28059,90</w:t>
            </w:r>
          </w:p>
        </w:tc>
        <w:tc>
          <w:tcPr>
            <w:tcW w:w="1242" w:type="dxa"/>
            <w:tcBorders>
              <w:right w:val="nil"/>
            </w:tcBorders>
          </w:tcPr>
          <w:p>
            <w:pPr>
              <w:pStyle w:val="TableParagraph"/>
              <w:ind w:left="408" w:right="101"/>
              <w:rPr>
                <w:sz w:val="17"/>
              </w:rPr>
            </w:pPr>
            <w:r>
              <w:rPr>
                <w:color w:val="231F20"/>
                <w:w w:val="110"/>
                <w:sz w:val="17"/>
              </w:rPr>
              <w:t>44,90</w:t>
            </w:r>
          </w:p>
        </w:tc>
      </w:tr>
      <w:tr>
        <w:trPr>
          <w:trHeight w:val="354" w:hRule="exact"/>
        </w:trPr>
        <w:tc>
          <w:tcPr>
            <w:tcW w:w="1361" w:type="dxa"/>
            <w:tcBorders>
              <w:left w:val="nil"/>
            </w:tcBorders>
          </w:tcPr>
          <w:p>
            <w:pPr>
              <w:pStyle w:val="TableParagraph"/>
              <w:ind w:left="113"/>
              <w:rPr>
                <w:sz w:val="17"/>
              </w:rPr>
            </w:pPr>
            <w:r>
              <w:rPr>
                <w:color w:val="231F20"/>
                <w:sz w:val="17"/>
              </w:rPr>
              <w:t>Urbano</w:t>
            </w:r>
          </w:p>
        </w:tc>
        <w:tc>
          <w:tcPr>
            <w:tcW w:w="1554" w:type="dxa"/>
          </w:tcPr>
          <w:p>
            <w:pPr>
              <w:pStyle w:val="TableParagraph"/>
              <w:ind w:left="730"/>
              <w:rPr>
                <w:sz w:val="17"/>
              </w:rPr>
            </w:pPr>
            <w:r>
              <w:rPr>
                <w:color w:val="231F20"/>
                <w:w w:val="110"/>
                <w:sz w:val="17"/>
              </w:rPr>
              <w:t>81,24</w:t>
            </w:r>
          </w:p>
        </w:tc>
        <w:tc>
          <w:tcPr>
            <w:tcW w:w="1242" w:type="dxa"/>
            <w:tcBorders>
              <w:right w:val="nil"/>
            </w:tcBorders>
          </w:tcPr>
          <w:p>
            <w:pPr>
              <w:pStyle w:val="TableParagraph"/>
              <w:ind w:left="514" w:right="101"/>
              <w:rPr>
                <w:sz w:val="17"/>
              </w:rPr>
            </w:pPr>
            <w:r>
              <w:rPr>
                <w:color w:val="231F20"/>
                <w:w w:val="110"/>
                <w:sz w:val="17"/>
              </w:rPr>
              <w:t>0,13</w:t>
            </w:r>
          </w:p>
        </w:tc>
      </w:tr>
      <w:tr>
        <w:trPr>
          <w:trHeight w:val="354" w:hRule="exact"/>
        </w:trPr>
        <w:tc>
          <w:tcPr>
            <w:tcW w:w="1361" w:type="dxa"/>
            <w:tcBorders>
              <w:left w:val="nil"/>
            </w:tcBorders>
          </w:tcPr>
          <w:p>
            <w:pPr>
              <w:pStyle w:val="TableParagraph"/>
              <w:ind w:left="113"/>
              <w:rPr>
                <w:sz w:val="17"/>
              </w:rPr>
            </w:pPr>
            <w:r>
              <w:rPr>
                <w:color w:val="231F20"/>
                <w:sz w:val="17"/>
              </w:rPr>
              <w:t>Otros</w:t>
            </w:r>
          </w:p>
        </w:tc>
        <w:tc>
          <w:tcPr>
            <w:tcW w:w="1554" w:type="dxa"/>
          </w:tcPr>
          <w:p>
            <w:pPr>
              <w:pStyle w:val="TableParagraph"/>
              <w:ind w:left="635"/>
              <w:rPr>
                <w:sz w:val="17"/>
              </w:rPr>
            </w:pPr>
            <w:r>
              <w:rPr>
                <w:color w:val="231F20"/>
                <w:w w:val="110"/>
                <w:sz w:val="17"/>
              </w:rPr>
              <w:t>774,93</w:t>
            </w:r>
          </w:p>
        </w:tc>
        <w:tc>
          <w:tcPr>
            <w:tcW w:w="1242" w:type="dxa"/>
            <w:tcBorders>
              <w:right w:val="nil"/>
            </w:tcBorders>
          </w:tcPr>
          <w:p>
            <w:pPr>
              <w:pStyle w:val="TableParagraph"/>
              <w:ind w:left="511" w:right="101"/>
              <w:rPr>
                <w:sz w:val="17"/>
              </w:rPr>
            </w:pPr>
            <w:r>
              <w:rPr>
                <w:color w:val="231F20"/>
                <w:w w:val="110"/>
                <w:sz w:val="17"/>
              </w:rPr>
              <w:t>1,24</w:t>
            </w:r>
          </w:p>
        </w:tc>
      </w:tr>
      <w:tr>
        <w:trPr>
          <w:trHeight w:val="354" w:hRule="exact"/>
        </w:trPr>
        <w:tc>
          <w:tcPr>
            <w:tcW w:w="1361" w:type="dxa"/>
            <w:tcBorders>
              <w:left w:val="nil"/>
            </w:tcBorders>
          </w:tcPr>
          <w:p>
            <w:pPr>
              <w:pStyle w:val="TableParagraph"/>
              <w:ind w:left="113"/>
              <w:rPr>
                <w:sz w:val="17"/>
              </w:rPr>
            </w:pPr>
            <w:r>
              <w:rPr>
                <w:color w:val="231F20"/>
                <w:sz w:val="17"/>
              </w:rPr>
              <w:t>Total</w:t>
            </w:r>
          </w:p>
        </w:tc>
        <w:tc>
          <w:tcPr>
            <w:tcW w:w="1554" w:type="dxa"/>
          </w:tcPr>
          <w:p>
            <w:pPr>
              <w:pStyle w:val="TableParagraph"/>
              <w:ind w:left="405"/>
              <w:rPr>
                <w:sz w:val="17"/>
              </w:rPr>
            </w:pPr>
            <w:r>
              <w:rPr>
                <w:color w:val="231F20"/>
                <w:w w:val="115"/>
                <w:sz w:val="17"/>
              </w:rPr>
              <w:t>62494,21</w:t>
            </w:r>
          </w:p>
        </w:tc>
        <w:tc>
          <w:tcPr>
            <w:tcW w:w="1242" w:type="dxa"/>
            <w:tcBorders>
              <w:right w:val="nil"/>
            </w:tcBorders>
          </w:tcPr>
          <w:p>
            <w:pPr>
              <w:pStyle w:val="TableParagraph"/>
              <w:ind w:left="335" w:right="101"/>
              <w:rPr>
                <w:sz w:val="17"/>
              </w:rPr>
            </w:pPr>
            <w:r>
              <w:rPr>
                <w:color w:val="231F20"/>
                <w:w w:val="115"/>
                <w:sz w:val="17"/>
              </w:rPr>
              <w:t>100</w:t>
            </w:r>
          </w:p>
        </w:tc>
      </w:tr>
    </w:tbl>
    <w:p>
      <w:pPr>
        <w:spacing w:before="94"/>
        <w:ind w:left="413" w:right="0" w:firstLine="0"/>
        <w:jc w:val="both"/>
        <w:rPr>
          <w:sz w:val="15"/>
        </w:rPr>
      </w:pPr>
      <w:r>
        <w:rPr>
          <w:color w:val="231F20"/>
          <w:sz w:val="15"/>
        </w:rPr>
        <w:t>Fuente: Bitácora Mexiquense del Bicentenario,   2010.</w:t>
      </w:r>
    </w:p>
    <w:p>
      <w:pPr>
        <w:pStyle w:val="BodyText"/>
        <w:rPr>
          <w:sz w:val="14"/>
        </w:rPr>
      </w:pPr>
    </w:p>
    <w:p>
      <w:pPr>
        <w:pStyle w:val="BodyText"/>
        <w:spacing w:before="9"/>
        <w:rPr>
          <w:sz w:val="17"/>
        </w:rPr>
      </w:pPr>
    </w:p>
    <w:p>
      <w:pPr>
        <w:pStyle w:val="BodyText"/>
        <w:spacing w:line="261" w:lineRule="auto"/>
        <w:ind w:left="413" w:right="1446"/>
      </w:pPr>
      <w:r>
        <w:rPr>
          <w:color w:val="231F20"/>
        </w:rPr>
        <w:t>pan y Otzoloapan (Plan Municipal de Desarrollo Urbano  de  Amatepec,   2001-2006).</w:t>
      </w:r>
    </w:p>
    <w:p>
      <w:pPr>
        <w:pStyle w:val="BodyText"/>
        <w:spacing w:line="261" w:lineRule="auto" w:before="114"/>
        <w:ind w:left="413" w:right="1551"/>
        <w:jc w:val="both"/>
      </w:pPr>
      <w:r>
        <w:rPr>
          <w:color w:val="231F20"/>
        </w:rPr>
        <w:t>De acuerdo  con  los  datos  del  INEGI  </w:t>
      </w:r>
      <w:r>
        <w:rPr>
          <w:color w:val="231F20"/>
          <w:spacing w:val="-4"/>
        </w:rPr>
        <w:t>(2011),  </w:t>
      </w:r>
      <w:r>
        <w:rPr>
          <w:color w:val="231F20"/>
        </w:rPr>
        <w:t>en  la estructura general del  hato  (Cuadro  2)  desta- ca la presencia de animales de doble propósito.     El comercio de ganado tradicional se realiza por medio de tratos de compra-venta en pie y entre productor e intermediario. Este comercio muestra una mayor actividad durante el periodo de estiaje, cuando el ganado está flaco y por lo tanto los pre- cios son desventajosos para los productores. Esta situación limita el enorme potencial de esta zona para impulsar la ganadería (INEGI,   </w:t>
      </w:r>
      <w:r>
        <w:rPr>
          <w:color w:val="231F20"/>
          <w:spacing w:val="21"/>
        </w:rPr>
        <w:t> </w:t>
      </w:r>
      <w:r>
        <w:rPr>
          <w:color w:val="231F20"/>
          <w:spacing w:val="-4"/>
        </w:rPr>
        <w:t>2010).</w:t>
      </w:r>
    </w:p>
    <w:p>
      <w:pPr>
        <w:pStyle w:val="BodyText"/>
        <w:spacing w:before="10"/>
        <w:rPr>
          <w:sz w:val="24"/>
        </w:rPr>
      </w:pPr>
    </w:p>
    <w:p>
      <w:pPr>
        <w:spacing w:before="0"/>
        <w:ind w:left="413" w:right="0" w:firstLine="0"/>
        <w:jc w:val="both"/>
        <w:rPr>
          <w:sz w:val="18"/>
        </w:rPr>
      </w:pPr>
      <w:r>
        <w:rPr>
          <w:color w:val="231F20"/>
          <w:sz w:val="18"/>
        </w:rPr>
        <w:t>Cuadro 2.   Estructura ganadera en la zona de   estudio.</w:t>
      </w:r>
    </w:p>
    <w:p>
      <w:pPr>
        <w:pStyle w:val="BodyText"/>
        <w:spacing w:before="5"/>
        <w:rPr>
          <w:sz w:val="12"/>
        </w:rPr>
      </w:pPr>
    </w:p>
    <w:tbl>
      <w:tblPr>
        <w:tblW w:w="0" w:type="auto"/>
        <w:jc w:val="left"/>
        <w:tblInd w:w="4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83"/>
        <w:gridCol w:w="2083"/>
      </w:tblGrid>
      <w:tr>
        <w:trPr>
          <w:trHeight w:val="369" w:hRule="exact"/>
        </w:trPr>
        <w:tc>
          <w:tcPr>
            <w:tcW w:w="2083" w:type="dxa"/>
            <w:tcBorders>
              <w:left w:val="nil"/>
            </w:tcBorders>
          </w:tcPr>
          <w:p>
            <w:pPr>
              <w:pStyle w:val="TableParagraph"/>
              <w:spacing w:before="79"/>
              <w:ind w:left="707" w:right="702"/>
              <w:jc w:val="center"/>
              <w:rPr>
                <w:rFonts w:ascii="Cambria"/>
                <w:i/>
                <w:sz w:val="18"/>
              </w:rPr>
            </w:pPr>
            <w:r>
              <w:rPr>
                <w:rFonts w:ascii="Cambria"/>
                <w:i/>
                <w:color w:val="231F20"/>
                <w:sz w:val="18"/>
              </w:rPr>
              <w:t>Tipo</w:t>
            </w:r>
          </w:p>
        </w:tc>
        <w:tc>
          <w:tcPr>
            <w:tcW w:w="2083" w:type="dxa"/>
            <w:tcBorders>
              <w:right w:val="nil"/>
            </w:tcBorders>
          </w:tcPr>
          <w:p>
            <w:pPr>
              <w:pStyle w:val="TableParagraph"/>
              <w:spacing w:before="79"/>
              <w:ind w:left="459"/>
              <w:rPr>
                <w:rFonts w:ascii="Cambria" w:hAnsi="Cambria"/>
                <w:i/>
                <w:sz w:val="18"/>
              </w:rPr>
            </w:pPr>
            <w:r>
              <w:rPr>
                <w:rFonts w:ascii="Cambria" w:hAnsi="Cambria"/>
                <w:i/>
                <w:color w:val="231F20"/>
                <w:w w:val="110"/>
                <w:sz w:val="18"/>
              </w:rPr>
              <w:t>Nº de cabezas</w:t>
            </w:r>
          </w:p>
        </w:tc>
      </w:tr>
      <w:tr>
        <w:trPr>
          <w:trHeight w:val="354" w:hRule="exact"/>
        </w:trPr>
        <w:tc>
          <w:tcPr>
            <w:tcW w:w="2083" w:type="dxa"/>
            <w:tcBorders>
              <w:left w:val="nil"/>
            </w:tcBorders>
          </w:tcPr>
          <w:p>
            <w:pPr>
              <w:pStyle w:val="TableParagraph"/>
              <w:ind w:left="113"/>
              <w:rPr>
                <w:sz w:val="17"/>
              </w:rPr>
            </w:pPr>
            <w:r>
              <w:rPr>
                <w:color w:val="231F20"/>
                <w:sz w:val="17"/>
              </w:rPr>
              <w:t>Para leche</w:t>
            </w:r>
          </w:p>
        </w:tc>
        <w:tc>
          <w:tcPr>
            <w:tcW w:w="2083" w:type="dxa"/>
            <w:tcBorders>
              <w:right w:val="nil"/>
            </w:tcBorders>
          </w:tcPr>
          <w:p>
            <w:pPr>
              <w:pStyle w:val="TableParagraph"/>
              <w:ind w:left="796" w:right="585"/>
              <w:jc w:val="center"/>
              <w:rPr>
                <w:sz w:val="17"/>
              </w:rPr>
            </w:pPr>
            <w:r>
              <w:rPr>
                <w:color w:val="231F20"/>
                <w:w w:val="115"/>
                <w:sz w:val="17"/>
              </w:rPr>
              <w:t>2004</w:t>
            </w:r>
          </w:p>
        </w:tc>
      </w:tr>
      <w:tr>
        <w:trPr>
          <w:trHeight w:val="354" w:hRule="exact"/>
        </w:trPr>
        <w:tc>
          <w:tcPr>
            <w:tcW w:w="2083" w:type="dxa"/>
            <w:tcBorders>
              <w:left w:val="nil"/>
            </w:tcBorders>
          </w:tcPr>
          <w:p>
            <w:pPr>
              <w:pStyle w:val="TableParagraph"/>
              <w:ind w:left="113"/>
              <w:rPr>
                <w:sz w:val="17"/>
              </w:rPr>
            </w:pPr>
            <w:r>
              <w:rPr>
                <w:color w:val="231F20"/>
                <w:sz w:val="17"/>
              </w:rPr>
              <w:t>Para carne</w:t>
            </w:r>
          </w:p>
        </w:tc>
        <w:tc>
          <w:tcPr>
            <w:tcW w:w="2083" w:type="dxa"/>
            <w:tcBorders>
              <w:right w:val="nil"/>
            </w:tcBorders>
          </w:tcPr>
          <w:p>
            <w:pPr>
              <w:pStyle w:val="TableParagraph"/>
              <w:ind w:left="796" w:right="489"/>
              <w:jc w:val="center"/>
              <w:rPr>
                <w:sz w:val="17"/>
              </w:rPr>
            </w:pPr>
            <w:r>
              <w:rPr>
                <w:color w:val="231F20"/>
                <w:w w:val="115"/>
                <w:sz w:val="17"/>
              </w:rPr>
              <w:t>954</w:t>
            </w:r>
          </w:p>
        </w:tc>
      </w:tr>
      <w:tr>
        <w:trPr>
          <w:trHeight w:val="354" w:hRule="exact"/>
        </w:trPr>
        <w:tc>
          <w:tcPr>
            <w:tcW w:w="2083" w:type="dxa"/>
            <w:tcBorders>
              <w:left w:val="nil"/>
            </w:tcBorders>
          </w:tcPr>
          <w:p>
            <w:pPr>
              <w:pStyle w:val="TableParagraph"/>
              <w:ind w:left="113"/>
              <w:rPr>
                <w:sz w:val="17"/>
              </w:rPr>
            </w:pPr>
            <w:r>
              <w:rPr>
                <w:color w:val="231F20"/>
                <w:sz w:val="17"/>
              </w:rPr>
              <w:t>Doble propósito</w:t>
            </w:r>
          </w:p>
        </w:tc>
        <w:tc>
          <w:tcPr>
            <w:tcW w:w="2083" w:type="dxa"/>
            <w:tcBorders>
              <w:right w:val="nil"/>
            </w:tcBorders>
          </w:tcPr>
          <w:p>
            <w:pPr>
              <w:pStyle w:val="TableParagraph"/>
              <w:ind w:left="796" w:right="585"/>
              <w:jc w:val="center"/>
              <w:rPr>
                <w:sz w:val="17"/>
              </w:rPr>
            </w:pPr>
            <w:r>
              <w:rPr>
                <w:color w:val="231F20"/>
                <w:w w:val="115"/>
                <w:sz w:val="17"/>
              </w:rPr>
              <w:t>4059</w:t>
            </w:r>
          </w:p>
        </w:tc>
      </w:tr>
      <w:tr>
        <w:trPr>
          <w:trHeight w:val="354" w:hRule="exact"/>
        </w:trPr>
        <w:tc>
          <w:tcPr>
            <w:tcW w:w="2083" w:type="dxa"/>
            <w:tcBorders>
              <w:left w:val="nil"/>
            </w:tcBorders>
          </w:tcPr>
          <w:p>
            <w:pPr>
              <w:pStyle w:val="TableParagraph"/>
              <w:ind w:left="113"/>
              <w:rPr>
                <w:sz w:val="17"/>
              </w:rPr>
            </w:pPr>
            <w:r>
              <w:rPr>
                <w:color w:val="231F20"/>
                <w:sz w:val="17"/>
              </w:rPr>
              <w:t>Para trabajo</w:t>
            </w:r>
          </w:p>
        </w:tc>
        <w:tc>
          <w:tcPr>
            <w:tcW w:w="2083" w:type="dxa"/>
            <w:tcBorders>
              <w:right w:val="nil"/>
            </w:tcBorders>
          </w:tcPr>
          <w:p>
            <w:pPr>
              <w:pStyle w:val="TableParagraph"/>
              <w:ind w:left="796" w:right="390"/>
              <w:jc w:val="center"/>
              <w:rPr>
                <w:sz w:val="17"/>
              </w:rPr>
            </w:pPr>
            <w:r>
              <w:rPr>
                <w:color w:val="231F20"/>
                <w:w w:val="115"/>
                <w:sz w:val="17"/>
              </w:rPr>
              <w:t>28</w:t>
            </w:r>
          </w:p>
        </w:tc>
      </w:tr>
      <w:tr>
        <w:trPr>
          <w:trHeight w:val="354" w:hRule="exact"/>
        </w:trPr>
        <w:tc>
          <w:tcPr>
            <w:tcW w:w="2083" w:type="dxa"/>
            <w:tcBorders>
              <w:left w:val="nil"/>
            </w:tcBorders>
          </w:tcPr>
          <w:p>
            <w:pPr>
              <w:pStyle w:val="TableParagraph"/>
              <w:ind w:left="113"/>
              <w:rPr>
                <w:sz w:val="17"/>
              </w:rPr>
            </w:pPr>
            <w:r>
              <w:rPr>
                <w:color w:val="231F20"/>
                <w:sz w:val="17"/>
              </w:rPr>
              <w:t>Total  en producción</w:t>
            </w:r>
          </w:p>
        </w:tc>
        <w:tc>
          <w:tcPr>
            <w:tcW w:w="2083" w:type="dxa"/>
            <w:tcBorders>
              <w:right w:val="nil"/>
            </w:tcBorders>
          </w:tcPr>
          <w:p>
            <w:pPr>
              <w:pStyle w:val="TableParagraph"/>
              <w:ind w:left="796" w:right="582"/>
              <w:jc w:val="center"/>
              <w:rPr>
                <w:sz w:val="17"/>
              </w:rPr>
            </w:pPr>
            <w:r>
              <w:rPr>
                <w:color w:val="231F20"/>
                <w:w w:val="115"/>
                <w:sz w:val="17"/>
              </w:rPr>
              <w:t>7045</w:t>
            </w:r>
          </w:p>
        </w:tc>
      </w:tr>
      <w:tr>
        <w:trPr>
          <w:trHeight w:val="354" w:hRule="exact"/>
        </w:trPr>
        <w:tc>
          <w:tcPr>
            <w:tcW w:w="2083" w:type="dxa"/>
            <w:tcBorders>
              <w:left w:val="nil"/>
            </w:tcBorders>
          </w:tcPr>
          <w:p>
            <w:pPr>
              <w:pStyle w:val="TableParagraph"/>
              <w:ind w:left="113"/>
              <w:rPr>
                <w:sz w:val="17"/>
              </w:rPr>
            </w:pPr>
            <w:r>
              <w:rPr>
                <w:color w:val="231F20"/>
                <w:sz w:val="17"/>
              </w:rPr>
              <w:t>Reposición</w:t>
            </w:r>
          </w:p>
        </w:tc>
        <w:tc>
          <w:tcPr>
            <w:tcW w:w="2083" w:type="dxa"/>
            <w:tcBorders>
              <w:right w:val="nil"/>
            </w:tcBorders>
          </w:tcPr>
          <w:p>
            <w:pPr>
              <w:pStyle w:val="TableParagraph"/>
              <w:ind w:left="796" w:right="702"/>
              <w:jc w:val="center"/>
              <w:rPr>
                <w:sz w:val="17"/>
              </w:rPr>
            </w:pPr>
            <w:r>
              <w:rPr>
                <w:color w:val="231F20"/>
                <w:w w:val="115"/>
                <w:sz w:val="17"/>
              </w:rPr>
              <w:t>12 481</w:t>
            </w:r>
          </w:p>
        </w:tc>
      </w:tr>
      <w:tr>
        <w:trPr>
          <w:trHeight w:val="354" w:hRule="exact"/>
        </w:trPr>
        <w:tc>
          <w:tcPr>
            <w:tcW w:w="2083" w:type="dxa"/>
            <w:tcBorders>
              <w:left w:val="nil"/>
            </w:tcBorders>
          </w:tcPr>
          <w:p>
            <w:pPr>
              <w:pStyle w:val="TableParagraph"/>
              <w:ind w:left="113"/>
              <w:rPr>
                <w:sz w:val="17"/>
              </w:rPr>
            </w:pPr>
            <w:r>
              <w:rPr>
                <w:color w:val="231F20"/>
                <w:w w:val="105"/>
                <w:sz w:val="17"/>
              </w:rPr>
              <w:t>Sementales</w:t>
            </w:r>
          </w:p>
        </w:tc>
        <w:tc>
          <w:tcPr>
            <w:tcW w:w="2083" w:type="dxa"/>
            <w:tcBorders>
              <w:right w:val="nil"/>
            </w:tcBorders>
          </w:tcPr>
          <w:p>
            <w:pPr>
              <w:pStyle w:val="TableParagraph"/>
              <w:ind w:left="796" w:right="483"/>
              <w:jc w:val="center"/>
              <w:rPr>
                <w:sz w:val="17"/>
              </w:rPr>
            </w:pPr>
            <w:r>
              <w:rPr>
                <w:color w:val="231F20"/>
                <w:w w:val="115"/>
                <w:sz w:val="17"/>
              </w:rPr>
              <w:t>879</w:t>
            </w:r>
          </w:p>
        </w:tc>
      </w:tr>
      <w:tr>
        <w:trPr>
          <w:trHeight w:val="354" w:hRule="exact"/>
        </w:trPr>
        <w:tc>
          <w:tcPr>
            <w:tcW w:w="2083" w:type="dxa"/>
            <w:tcBorders>
              <w:left w:val="nil"/>
            </w:tcBorders>
          </w:tcPr>
          <w:p>
            <w:pPr>
              <w:pStyle w:val="TableParagraph"/>
              <w:ind w:left="113"/>
              <w:rPr>
                <w:sz w:val="17"/>
              </w:rPr>
            </w:pPr>
            <w:r>
              <w:rPr>
                <w:color w:val="231F20"/>
                <w:sz w:val="17"/>
              </w:rPr>
              <w:t>Total</w:t>
            </w:r>
          </w:p>
        </w:tc>
        <w:tc>
          <w:tcPr>
            <w:tcW w:w="2083" w:type="dxa"/>
            <w:tcBorders>
              <w:right w:val="nil"/>
            </w:tcBorders>
          </w:tcPr>
          <w:p>
            <w:pPr>
              <w:pStyle w:val="TableParagraph"/>
              <w:ind w:left="793" w:right="702"/>
              <w:jc w:val="center"/>
              <w:rPr>
                <w:sz w:val="17"/>
              </w:rPr>
            </w:pPr>
            <w:r>
              <w:rPr>
                <w:color w:val="231F20"/>
                <w:w w:val="115"/>
                <w:sz w:val="17"/>
              </w:rPr>
              <w:t>20405</w:t>
            </w:r>
          </w:p>
        </w:tc>
      </w:tr>
    </w:tbl>
    <w:p>
      <w:pPr>
        <w:spacing w:before="101"/>
        <w:ind w:left="413" w:right="0" w:firstLine="0"/>
        <w:jc w:val="both"/>
        <w:rPr>
          <w:sz w:val="15"/>
        </w:rPr>
      </w:pPr>
      <w:r>
        <w:rPr>
          <w:color w:val="231F20"/>
          <w:w w:val="105"/>
          <w:sz w:val="15"/>
        </w:rPr>
        <w:t>Fuente:  INEGI (2011).</w:t>
      </w:r>
    </w:p>
    <w:p>
      <w:pPr>
        <w:spacing w:after="0"/>
        <w:jc w:val="both"/>
        <w:rPr>
          <w:sz w:val="15"/>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54"/>
        <w:ind w:left="1553" w:right="0" w:firstLine="0"/>
        <w:jc w:val="left"/>
        <w:rPr>
          <w:rFonts w:ascii="Tahoma" w:hAnsi="Tahoma"/>
          <w:sz w:val="22"/>
        </w:rPr>
      </w:pPr>
      <w:r>
        <w:rPr>
          <w:rFonts w:ascii="Tahoma" w:hAnsi="Tahoma"/>
          <w:color w:val="231F20"/>
          <w:sz w:val="18"/>
        </w:rPr>
        <w:t>Capítulo</w:t>
      </w:r>
      <w:r>
        <w:rPr>
          <w:rFonts w:ascii="Tahoma" w:hAnsi="Tahoma"/>
          <w:color w:val="231F20"/>
          <w:spacing w:val="-11"/>
          <w:sz w:val="18"/>
        </w:rPr>
        <w:t> </w:t>
      </w:r>
      <w:r>
        <w:rPr>
          <w:rFonts w:ascii="Tahoma" w:hAnsi="Tahoma"/>
          <w:color w:val="231F20"/>
          <w:sz w:val="18"/>
        </w:rPr>
        <w:t>8.</w:t>
      </w:r>
      <w:r>
        <w:rPr>
          <w:rFonts w:ascii="Tahoma" w:hAnsi="Tahoma"/>
          <w:color w:val="231F20"/>
          <w:spacing w:val="36"/>
          <w:sz w:val="18"/>
        </w:rPr>
        <w:t> </w:t>
      </w:r>
      <w:r>
        <w:rPr>
          <w:rFonts w:ascii="Tahoma" w:hAnsi="Tahoma"/>
          <w:color w:val="231F20"/>
          <w:sz w:val="18"/>
        </w:rPr>
        <w:t>La</w:t>
      </w:r>
      <w:r>
        <w:rPr>
          <w:rFonts w:ascii="Tahoma" w:hAnsi="Tahoma"/>
          <w:color w:val="231F20"/>
          <w:spacing w:val="-11"/>
          <w:sz w:val="18"/>
        </w:rPr>
        <w:t> </w:t>
      </w:r>
      <w:r>
        <w:rPr>
          <w:rFonts w:ascii="Tahoma" w:hAnsi="Tahoma"/>
          <w:color w:val="231F20"/>
          <w:sz w:val="18"/>
        </w:rPr>
        <w:t>producción</w:t>
      </w:r>
      <w:r>
        <w:rPr>
          <w:rFonts w:ascii="Tahoma" w:hAnsi="Tahoma"/>
          <w:color w:val="231F20"/>
          <w:spacing w:val="-11"/>
          <w:sz w:val="18"/>
        </w:rPr>
        <w:t> </w:t>
      </w:r>
      <w:r>
        <w:rPr>
          <w:rFonts w:ascii="Tahoma" w:hAnsi="Tahoma"/>
          <w:color w:val="231F20"/>
          <w:sz w:val="18"/>
        </w:rPr>
        <w:t>de</w:t>
      </w:r>
      <w:r>
        <w:rPr>
          <w:rFonts w:ascii="Tahoma" w:hAnsi="Tahoma"/>
          <w:color w:val="231F20"/>
          <w:spacing w:val="-11"/>
          <w:sz w:val="18"/>
        </w:rPr>
        <w:t> </w:t>
      </w:r>
      <w:r>
        <w:rPr>
          <w:rFonts w:ascii="Tahoma" w:hAnsi="Tahoma"/>
          <w:color w:val="231F20"/>
          <w:sz w:val="18"/>
        </w:rPr>
        <w:t>bovinos</w:t>
      </w:r>
      <w:r>
        <w:rPr>
          <w:rFonts w:ascii="Tahoma" w:hAnsi="Tahoma"/>
          <w:color w:val="231F20"/>
          <w:spacing w:val="-11"/>
          <w:sz w:val="18"/>
        </w:rPr>
        <w:t> </w:t>
      </w:r>
      <w:r>
        <w:rPr>
          <w:rFonts w:ascii="Tahoma" w:hAnsi="Tahoma"/>
          <w:color w:val="231F20"/>
          <w:sz w:val="18"/>
        </w:rPr>
        <w:t>para</w:t>
      </w:r>
      <w:r>
        <w:rPr>
          <w:rFonts w:ascii="Tahoma" w:hAnsi="Tahoma"/>
          <w:color w:val="231F20"/>
          <w:spacing w:val="-11"/>
          <w:sz w:val="18"/>
        </w:rPr>
        <w:t> </w:t>
      </w:r>
      <w:r>
        <w:rPr>
          <w:rFonts w:ascii="Tahoma" w:hAnsi="Tahoma"/>
          <w:color w:val="231F20"/>
          <w:sz w:val="18"/>
        </w:rPr>
        <w:t>carne</w:t>
      </w:r>
      <w:r>
        <w:rPr>
          <w:rFonts w:ascii="Tahoma" w:hAnsi="Tahoma"/>
          <w:color w:val="231F20"/>
          <w:spacing w:val="-11"/>
          <w:sz w:val="18"/>
        </w:rPr>
        <w:t> </w:t>
      </w:r>
      <w:r>
        <w:rPr>
          <w:rFonts w:ascii="Tahoma" w:hAnsi="Tahoma"/>
          <w:color w:val="231F20"/>
          <w:sz w:val="18"/>
        </w:rPr>
        <w:t>y</w:t>
      </w:r>
      <w:r>
        <w:rPr>
          <w:rFonts w:ascii="Tahoma" w:hAnsi="Tahoma"/>
          <w:color w:val="231F20"/>
          <w:spacing w:val="-11"/>
          <w:sz w:val="18"/>
        </w:rPr>
        <w:t> </w:t>
      </w:r>
      <w:r>
        <w:rPr>
          <w:rFonts w:ascii="Tahoma" w:hAnsi="Tahoma"/>
          <w:color w:val="231F20"/>
          <w:sz w:val="18"/>
        </w:rPr>
        <w:t>su</w:t>
      </w:r>
      <w:r>
        <w:rPr>
          <w:rFonts w:ascii="Tahoma" w:hAnsi="Tahoma"/>
          <w:color w:val="231F20"/>
          <w:spacing w:val="-11"/>
          <w:sz w:val="18"/>
        </w:rPr>
        <w:t> </w:t>
      </w:r>
      <w:r>
        <w:rPr>
          <w:rFonts w:ascii="Tahoma" w:hAnsi="Tahoma"/>
          <w:color w:val="231F20"/>
          <w:sz w:val="18"/>
        </w:rPr>
        <w:t>importancia</w:t>
      </w:r>
      <w:r>
        <w:rPr>
          <w:rFonts w:ascii="Tahoma" w:hAnsi="Tahoma"/>
          <w:color w:val="231F20"/>
          <w:spacing w:val="-11"/>
          <w:sz w:val="18"/>
        </w:rPr>
        <w:t> </w:t>
      </w:r>
      <w:r>
        <w:rPr>
          <w:rFonts w:ascii="Tahoma" w:hAnsi="Tahoma"/>
          <w:color w:val="231F20"/>
          <w:sz w:val="18"/>
        </w:rPr>
        <w:t>en</w:t>
      </w:r>
      <w:r>
        <w:rPr>
          <w:rFonts w:ascii="Tahoma" w:hAnsi="Tahoma"/>
          <w:color w:val="231F20"/>
          <w:spacing w:val="-11"/>
          <w:sz w:val="18"/>
        </w:rPr>
        <w:t> </w:t>
      </w:r>
      <w:r>
        <w:rPr>
          <w:rFonts w:ascii="Tahoma" w:hAnsi="Tahoma"/>
          <w:color w:val="231F20"/>
          <w:sz w:val="18"/>
        </w:rPr>
        <w:t>el</w:t>
      </w:r>
      <w:r>
        <w:rPr>
          <w:rFonts w:ascii="Tahoma" w:hAnsi="Tahoma"/>
          <w:color w:val="231F20"/>
          <w:spacing w:val="-11"/>
          <w:sz w:val="18"/>
        </w:rPr>
        <w:t> </w:t>
      </w:r>
      <w:r>
        <w:rPr>
          <w:rFonts w:ascii="Tahoma" w:hAnsi="Tahoma"/>
          <w:color w:val="231F20"/>
          <w:sz w:val="18"/>
        </w:rPr>
        <w:t>desarrollo</w:t>
      </w:r>
      <w:r>
        <w:rPr>
          <w:rFonts w:ascii="Tahoma" w:hAnsi="Tahoma"/>
          <w:color w:val="231F20"/>
          <w:spacing w:val="-11"/>
          <w:sz w:val="18"/>
        </w:rPr>
        <w:t> </w:t>
      </w:r>
      <w:r>
        <w:rPr>
          <w:rFonts w:ascii="Tahoma" w:hAnsi="Tahoma"/>
          <w:color w:val="231F20"/>
          <w:sz w:val="18"/>
        </w:rPr>
        <w:t>rural…</w:t>
      </w:r>
      <w:r>
        <w:rPr>
          <w:rFonts w:ascii="Tahoma" w:hAnsi="Tahoma"/>
          <w:color w:val="231F20"/>
          <w:sz w:val="22"/>
        </w:rPr>
        <w:tab/>
      </w:r>
      <w:r>
        <w:rPr>
          <w:rFonts w:ascii="Tahoma" w:hAnsi="Tahoma"/>
          <w:color w:val="231F20"/>
          <w:spacing w:val="-5"/>
          <w:sz w:val="22"/>
        </w:rPr>
        <w:t>125</w:t>
      </w:r>
    </w:p>
    <w:p>
      <w:pPr>
        <w:spacing w:after="0"/>
        <w:jc w:val="left"/>
        <w:rPr>
          <w:rFonts w:ascii="Tahoma" w:hAnsi="Tahoma"/>
          <w:sz w:val="22"/>
        </w:rPr>
        <w:sectPr>
          <w:pgSz w:w="11900" w:h="14450"/>
          <w:pgMar w:header="0" w:footer="222" w:top="420" w:bottom="420" w:left="0" w:right="0"/>
        </w:sectPr>
      </w:pPr>
    </w:p>
    <w:p>
      <w:pPr>
        <w:pStyle w:val="BodyText"/>
        <w:spacing w:before="11"/>
        <w:rPr>
          <w:rFonts w:ascii="Tahoma"/>
          <w:sz w:val="28"/>
        </w:rPr>
      </w:pPr>
    </w:p>
    <w:p>
      <w:pPr>
        <w:pStyle w:val="BodyText"/>
        <w:spacing w:line="261" w:lineRule="auto"/>
        <w:ind w:left="1553" w:right="1"/>
        <w:jc w:val="both"/>
        <w:rPr>
          <w:rFonts w:ascii="Tahoma" w:hAnsi="Tahoma"/>
        </w:rPr>
      </w:pPr>
      <w:r>
        <w:rPr>
          <w:rFonts w:ascii="Tahoma" w:hAnsi="Tahoma"/>
          <w:color w:val="231F20"/>
        </w:rPr>
        <w:t>El</w:t>
      </w:r>
      <w:r>
        <w:rPr>
          <w:rFonts w:ascii="Tahoma" w:hAnsi="Tahoma"/>
          <w:color w:val="231F20"/>
          <w:spacing w:val="-42"/>
        </w:rPr>
        <w:t> </w:t>
      </w:r>
      <w:r>
        <w:rPr>
          <w:rFonts w:ascii="Tahoma" w:hAnsi="Tahoma"/>
          <w:color w:val="231F20"/>
          <w:spacing w:val="-4"/>
        </w:rPr>
        <w:t>principal</w:t>
      </w:r>
      <w:r>
        <w:rPr>
          <w:rFonts w:ascii="Tahoma" w:hAnsi="Tahoma"/>
          <w:color w:val="231F20"/>
          <w:spacing w:val="-42"/>
        </w:rPr>
        <w:t> </w:t>
      </w:r>
      <w:r>
        <w:rPr>
          <w:rFonts w:ascii="Tahoma" w:hAnsi="Tahoma"/>
          <w:color w:val="231F20"/>
          <w:spacing w:val="-4"/>
        </w:rPr>
        <w:t>mercado</w:t>
      </w:r>
      <w:r>
        <w:rPr>
          <w:rFonts w:ascii="Tahoma" w:hAnsi="Tahoma"/>
          <w:color w:val="231F20"/>
          <w:spacing w:val="-42"/>
        </w:rPr>
        <w:t> </w:t>
      </w:r>
      <w:r>
        <w:rPr>
          <w:rFonts w:ascii="Tahoma" w:hAnsi="Tahoma"/>
          <w:color w:val="231F20"/>
          <w:spacing w:val="-4"/>
        </w:rPr>
        <w:t>ganadero</w:t>
      </w:r>
      <w:r>
        <w:rPr>
          <w:rFonts w:ascii="Tahoma" w:hAnsi="Tahoma"/>
          <w:color w:val="231F20"/>
          <w:spacing w:val="-42"/>
        </w:rPr>
        <w:t> </w:t>
      </w:r>
      <w:r>
        <w:rPr>
          <w:rFonts w:ascii="Tahoma" w:hAnsi="Tahoma"/>
          <w:color w:val="231F20"/>
          <w:spacing w:val="-4"/>
        </w:rPr>
        <w:t>local</w:t>
      </w:r>
      <w:r>
        <w:rPr>
          <w:rFonts w:ascii="Tahoma" w:hAnsi="Tahoma"/>
          <w:color w:val="231F20"/>
          <w:spacing w:val="-42"/>
        </w:rPr>
        <w:t> </w:t>
      </w:r>
      <w:r>
        <w:rPr>
          <w:rFonts w:ascii="Tahoma" w:hAnsi="Tahoma"/>
          <w:color w:val="231F20"/>
        </w:rPr>
        <w:t>se</w:t>
      </w:r>
      <w:r>
        <w:rPr>
          <w:rFonts w:ascii="Tahoma" w:hAnsi="Tahoma"/>
          <w:color w:val="231F20"/>
          <w:spacing w:val="-42"/>
        </w:rPr>
        <w:t> </w:t>
      </w:r>
      <w:r>
        <w:rPr>
          <w:rFonts w:ascii="Tahoma" w:hAnsi="Tahoma"/>
          <w:color w:val="231F20"/>
          <w:spacing w:val="-4"/>
        </w:rPr>
        <w:t>encuentra</w:t>
      </w:r>
      <w:r>
        <w:rPr>
          <w:rFonts w:ascii="Tahoma" w:hAnsi="Tahoma"/>
          <w:color w:val="231F20"/>
          <w:spacing w:val="-42"/>
        </w:rPr>
        <w:t> </w:t>
      </w:r>
      <w:r>
        <w:rPr>
          <w:rFonts w:ascii="Tahoma" w:hAnsi="Tahoma"/>
          <w:color w:val="231F20"/>
          <w:spacing w:val="-4"/>
        </w:rPr>
        <w:t>en </w:t>
      </w:r>
      <w:r>
        <w:rPr>
          <w:rFonts w:ascii="Tahoma" w:hAnsi="Tahoma"/>
          <w:color w:val="231F20"/>
        </w:rPr>
        <w:t>la</w:t>
      </w:r>
      <w:r>
        <w:rPr>
          <w:rFonts w:ascii="Tahoma" w:hAnsi="Tahoma"/>
          <w:color w:val="231F20"/>
          <w:spacing w:val="-16"/>
        </w:rPr>
        <w:t> </w:t>
      </w:r>
      <w:r>
        <w:rPr>
          <w:rFonts w:ascii="Tahoma" w:hAnsi="Tahoma"/>
          <w:color w:val="231F20"/>
          <w:spacing w:val="-4"/>
        </w:rPr>
        <w:t>localidad</w:t>
      </w:r>
      <w:r>
        <w:rPr>
          <w:rFonts w:ascii="Tahoma" w:hAnsi="Tahoma"/>
          <w:color w:val="231F20"/>
          <w:spacing w:val="-16"/>
        </w:rPr>
        <w:t> </w:t>
      </w:r>
      <w:r>
        <w:rPr>
          <w:rFonts w:ascii="Tahoma" w:hAnsi="Tahoma"/>
          <w:color w:val="231F20"/>
        </w:rPr>
        <w:t>de</w:t>
      </w:r>
      <w:r>
        <w:rPr>
          <w:rFonts w:ascii="Tahoma" w:hAnsi="Tahoma"/>
          <w:color w:val="231F20"/>
          <w:spacing w:val="-16"/>
        </w:rPr>
        <w:t> </w:t>
      </w:r>
      <w:r>
        <w:rPr>
          <w:rFonts w:ascii="Tahoma" w:hAnsi="Tahoma"/>
          <w:color w:val="231F20"/>
          <w:spacing w:val="-4"/>
        </w:rPr>
        <w:t>Palmar</w:t>
      </w:r>
      <w:r>
        <w:rPr>
          <w:rFonts w:ascii="Tahoma" w:hAnsi="Tahoma"/>
          <w:color w:val="231F20"/>
          <w:spacing w:val="-16"/>
        </w:rPr>
        <w:t> </w:t>
      </w:r>
      <w:r>
        <w:rPr>
          <w:rFonts w:ascii="Tahoma" w:hAnsi="Tahoma"/>
          <w:color w:val="231F20"/>
          <w:spacing w:val="-4"/>
        </w:rPr>
        <w:t>Chico,</w:t>
      </w:r>
      <w:r>
        <w:rPr>
          <w:rFonts w:ascii="Tahoma" w:hAnsi="Tahoma"/>
          <w:color w:val="231F20"/>
          <w:spacing w:val="-16"/>
        </w:rPr>
        <w:t> </w:t>
      </w:r>
      <w:r>
        <w:rPr>
          <w:rFonts w:ascii="Tahoma" w:hAnsi="Tahoma"/>
          <w:color w:val="231F20"/>
        </w:rPr>
        <w:t>y</w:t>
      </w:r>
      <w:r>
        <w:rPr>
          <w:rFonts w:ascii="Tahoma" w:hAnsi="Tahoma"/>
          <w:color w:val="231F20"/>
          <w:spacing w:val="-16"/>
        </w:rPr>
        <w:t> </w:t>
      </w:r>
      <w:r>
        <w:rPr>
          <w:rFonts w:ascii="Tahoma" w:hAnsi="Tahoma"/>
          <w:color w:val="231F20"/>
        </w:rPr>
        <w:t>en</w:t>
      </w:r>
      <w:r>
        <w:rPr>
          <w:rFonts w:ascii="Tahoma" w:hAnsi="Tahoma"/>
          <w:color w:val="231F20"/>
          <w:spacing w:val="-16"/>
        </w:rPr>
        <w:t> </w:t>
      </w:r>
      <w:r>
        <w:rPr>
          <w:rFonts w:ascii="Tahoma" w:hAnsi="Tahoma"/>
          <w:color w:val="231F20"/>
        </w:rPr>
        <w:t>el</w:t>
      </w:r>
      <w:r>
        <w:rPr>
          <w:rFonts w:ascii="Tahoma" w:hAnsi="Tahoma"/>
          <w:color w:val="231F20"/>
          <w:spacing w:val="-16"/>
        </w:rPr>
        <w:t> </w:t>
      </w:r>
      <w:r>
        <w:rPr>
          <w:rFonts w:ascii="Tahoma" w:hAnsi="Tahoma"/>
          <w:color w:val="231F20"/>
          <w:spacing w:val="-4"/>
        </w:rPr>
        <w:t>ámbito</w:t>
      </w:r>
      <w:r>
        <w:rPr>
          <w:rFonts w:ascii="Tahoma" w:hAnsi="Tahoma"/>
          <w:color w:val="231F20"/>
          <w:spacing w:val="-16"/>
        </w:rPr>
        <w:t> </w:t>
      </w:r>
      <w:r>
        <w:rPr>
          <w:rFonts w:ascii="Tahoma" w:hAnsi="Tahoma"/>
          <w:color w:val="231F20"/>
          <w:spacing w:val="-3"/>
        </w:rPr>
        <w:t>regio-</w:t>
      </w:r>
      <w:r>
        <w:rPr>
          <w:rFonts w:ascii="Tahoma" w:hAnsi="Tahoma"/>
          <w:color w:val="231F20"/>
          <w:w w:val="80"/>
        </w:rPr>
        <w:t> </w:t>
      </w:r>
      <w:r>
        <w:rPr>
          <w:rFonts w:ascii="Tahoma" w:hAnsi="Tahoma"/>
          <w:color w:val="231F20"/>
          <w:spacing w:val="-3"/>
        </w:rPr>
        <w:t>nal</w:t>
      </w:r>
      <w:r>
        <w:rPr>
          <w:rFonts w:ascii="Tahoma" w:hAnsi="Tahoma"/>
          <w:color w:val="231F20"/>
          <w:spacing w:val="-45"/>
        </w:rPr>
        <w:t> </w:t>
      </w:r>
      <w:r>
        <w:rPr>
          <w:rFonts w:ascii="Tahoma" w:hAnsi="Tahoma"/>
          <w:color w:val="231F20"/>
        </w:rPr>
        <w:t>en</w:t>
      </w:r>
      <w:r>
        <w:rPr>
          <w:rFonts w:ascii="Tahoma" w:hAnsi="Tahoma"/>
          <w:color w:val="231F20"/>
          <w:spacing w:val="-45"/>
        </w:rPr>
        <w:t> </w:t>
      </w:r>
      <w:r>
        <w:rPr>
          <w:rFonts w:ascii="Tahoma" w:hAnsi="Tahoma"/>
          <w:color w:val="231F20"/>
        </w:rPr>
        <w:t>la</w:t>
      </w:r>
      <w:r>
        <w:rPr>
          <w:rFonts w:ascii="Tahoma" w:hAnsi="Tahoma"/>
          <w:color w:val="231F20"/>
          <w:spacing w:val="-45"/>
        </w:rPr>
        <w:t> </w:t>
      </w:r>
      <w:r>
        <w:rPr>
          <w:rFonts w:ascii="Tahoma" w:hAnsi="Tahoma"/>
          <w:color w:val="231F20"/>
          <w:spacing w:val="-4"/>
        </w:rPr>
        <w:t>cabecera</w:t>
      </w:r>
      <w:r>
        <w:rPr>
          <w:rFonts w:ascii="Tahoma" w:hAnsi="Tahoma"/>
          <w:color w:val="231F20"/>
          <w:spacing w:val="-45"/>
        </w:rPr>
        <w:t> </w:t>
      </w:r>
      <w:r>
        <w:rPr>
          <w:rFonts w:ascii="Tahoma" w:hAnsi="Tahoma"/>
          <w:color w:val="231F20"/>
          <w:spacing w:val="-4"/>
        </w:rPr>
        <w:t>municipal</w:t>
      </w:r>
      <w:r>
        <w:rPr>
          <w:rFonts w:ascii="Tahoma" w:hAnsi="Tahoma"/>
          <w:color w:val="231F20"/>
          <w:spacing w:val="-45"/>
        </w:rPr>
        <w:t> </w:t>
      </w:r>
      <w:r>
        <w:rPr>
          <w:rFonts w:ascii="Tahoma" w:hAnsi="Tahoma"/>
          <w:color w:val="231F20"/>
        </w:rPr>
        <w:t>de</w:t>
      </w:r>
      <w:r>
        <w:rPr>
          <w:rFonts w:ascii="Tahoma" w:hAnsi="Tahoma"/>
          <w:color w:val="231F20"/>
          <w:spacing w:val="-45"/>
        </w:rPr>
        <w:t> </w:t>
      </w:r>
      <w:r>
        <w:rPr>
          <w:rFonts w:ascii="Tahoma" w:hAnsi="Tahoma"/>
          <w:color w:val="231F20"/>
          <w:spacing w:val="-6"/>
        </w:rPr>
        <w:t>Tejupilco</w:t>
      </w:r>
      <w:r>
        <w:rPr>
          <w:rFonts w:ascii="Tahoma" w:hAnsi="Tahoma"/>
          <w:color w:val="231F20"/>
          <w:spacing w:val="-45"/>
        </w:rPr>
        <w:t> </w:t>
      </w:r>
      <w:r>
        <w:rPr>
          <w:rFonts w:ascii="Tahoma" w:hAnsi="Tahoma"/>
          <w:color w:val="231F20"/>
        </w:rPr>
        <w:t>y</w:t>
      </w:r>
      <w:r>
        <w:rPr>
          <w:rFonts w:ascii="Tahoma" w:hAnsi="Tahoma"/>
          <w:color w:val="231F20"/>
          <w:spacing w:val="-45"/>
        </w:rPr>
        <w:t> </w:t>
      </w:r>
      <w:r>
        <w:rPr>
          <w:rFonts w:ascii="Tahoma" w:hAnsi="Tahoma"/>
          <w:color w:val="231F20"/>
          <w:spacing w:val="-4"/>
        </w:rPr>
        <w:t>Luvianos. </w:t>
      </w:r>
      <w:r>
        <w:rPr>
          <w:rFonts w:ascii="Tahoma" w:hAnsi="Tahoma"/>
          <w:color w:val="231F20"/>
        </w:rPr>
        <w:t>No</w:t>
      </w:r>
      <w:r>
        <w:rPr>
          <w:rFonts w:ascii="Tahoma" w:hAnsi="Tahoma"/>
          <w:color w:val="231F20"/>
          <w:spacing w:val="-33"/>
        </w:rPr>
        <w:t> </w:t>
      </w:r>
      <w:r>
        <w:rPr>
          <w:rFonts w:ascii="Tahoma" w:hAnsi="Tahoma"/>
          <w:color w:val="231F20"/>
          <w:spacing w:val="-4"/>
        </w:rPr>
        <w:t>obstante,</w:t>
      </w:r>
      <w:r>
        <w:rPr>
          <w:rFonts w:ascii="Tahoma" w:hAnsi="Tahoma"/>
          <w:color w:val="231F20"/>
          <w:spacing w:val="-33"/>
        </w:rPr>
        <w:t> </w:t>
      </w:r>
      <w:r>
        <w:rPr>
          <w:rFonts w:ascii="Tahoma" w:hAnsi="Tahoma"/>
          <w:color w:val="231F20"/>
        </w:rPr>
        <w:t>en</w:t>
      </w:r>
      <w:r>
        <w:rPr>
          <w:rFonts w:ascii="Tahoma" w:hAnsi="Tahoma"/>
          <w:color w:val="231F20"/>
          <w:spacing w:val="-33"/>
        </w:rPr>
        <w:t> </w:t>
      </w:r>
      <w:r>
        <w:rPr>
          <w:rFonts w:ascii="Tahoma" w:hAnsi="Tahoma"/>
          <w:color w:val="231F20"/>
        </w:rPr>
        <w:t>el</w:t>
      </w:r>
      <w:r>
        <w:rPr>
          <w:rFonts w:ascii="Tahoma" w:hAnsi="Tahoma"/>
          <w:color w:val="231F20"/>
          <w:spacing w:val="-33"/>
        </w:rPr>
        <w:t> </w:t>
      </w:r>
      <w:r>
        <w:rPr>
          <w:rFonts w:ascii="Tahoma" w:hAnsi="Tahoma"/>
          <w:color w:val="231F20"/>
          <w:spacing w:val="-4"/>
        </w:rPr>
        <w:t>propio</w:t>
      </w:r>
      <w:r>
        <w:rPr>
          <w:rFonts w:ascii="Tahoma" w:hAnsi="Tahoma"/>
          <w:color w:val="231F20"/>
          <w:spacing w:val="-33"/>
        </w:rPr>
        <w:t> </w:t>
      </w:r>
      <w:r>
        <w:rPr>
          <w:rFonts w:ascii="Tahoma" w:hAnsi="Tahoma"/>
          <w:color w:val="231F20"/>
          <w:spacing w:val="-4"/>
        </w:rPr>
        <w:t>municipio</w:t>
      </w:r>
      <w:r>
        <w:rPr>
          <w:rFonts w:ascii="Tahoma" w:hAnsi="Tahoma"/>
          <w:color w:val="231F20"/>
          <w:spacing w:val="-33"/>
        </w:rPr>
        <w:t> </w:t>
      </w:r>
      <w:r>
        <w:rPr>
          <w:rFonts w:ascii="Tahoma" w:hAnsi="Tahoma"/>
          <w:color w:val="231F20"/>
        </w:rPr>
        <w:t>se</w:t>
      </w:r>
      <w:r>
        <w:rPr>
          <w:rFonts w:ascii="Tahoma" w:hAnsi="Tahoma"/>
          <w:color w:val="231F20"/>
          <w:spacing w:val="-33"/>
        </w:rPr>
        <w:t> </w:t>
      </w:r>
      <w:r>
        <w:rPr>
          <w:rFonts w:ascii="Tahoma" w:hAnsi="Tahoma"/>
          <w:color w:val="231F20"/>
          <w:spacing w:val="-4"/>
        </w:rPr>
        <w:t>comercializa </w:t>
      </w:r>
      <w:r>
        <w:rPr>
          <w:rFonts w:ascii="Tahoma" w:hAnsi="Tahoma"/>
          <w:color w:val="231F20"/>
          <w:spacing w:val="-3"/>
        </w:rPr>
        <w:t>parte</w:t>
      </w:r>
      <w:r>
        <w:rPr>
          <w:rFonts w:ascii="Tahoma" w:hAnsi="Tahoma"/>
          <w:color w:val="231F20"/>
          <w:spacing w:val="-27"/>
        </w:rPr>
        <w:t> </w:t>
      </w:r>
      <w:r>
        <w:rPr>
          <w:rFonts w:ascii="Tahoma" w:hAnsi="Tahoma"/>
          <w:color w:val="231F20"/>
        </w:rPr>
        <w:t>de</w:t>
      </w:r>
      <w:r>
        <w:rPr>
          <w:rFonts w:ascii="Tahoma" w:hAnsi="Tahoma"/>
          <w:color w:val="231F20"/>
          <w:spacing w:val="-27"/>
        </w:rPr>
        <w:t> </w:t>
      </w:r>
      <w:r>
        <w:rPr>
          <w:rFonts w:ascii="Tahoma" w:hAnsi="Tahoma"/>
          <w:color w:val="231F20"/>
        </w:rPr>
        <w:t>la</w:t>
      </w:r>
      <w:r>
        <w:rPr>
          <w:rFonts w:ascii="Tahoma" w:hAnsi="Tahoma"/>
          <w:color w:val="231F20"/>
          <w:spacing w:val="-27"/>
        </w:rPr>
        <w:t> </w:t>
      </w:r>
      <w:r>
        <w:rPr>
          <w:rFonts w:ascii="Tahoma" w:hAnsi="Tahoma"/>
          <w:color w:val="231F20"/>
          <w:spacing w:val="-4"/>
        </w:rPr>
        <w:t>producción</w:t>
      </w:r>
      <w:r>
        <w:rPr>
          <w:rFonts w:ascii="Tahoma" w:hAnsi="Tahoma"/>
          <w:color w:val="231F20"/>
          <w:spacing w:val="-27"/>
        </w:rPr>
        <w:t> </w:t>
      </w:r>
      <w:r>
        <w:rPr>
          <w:rFonts w:ascii="Tahoma" w:hAnsi="Tahoma"/>
          <w:color w:val="231F20"/>
          <w:spacing w:val="-4"/>
        </w:rPr>
        <w:t>local,</w:t>
      </w:r>
      <w:r>
        <w:rPr>
          <w:rFonts w:ascii="Tahoma" w:hAnsi="Tahoma"/>
          <w:color w:val="231F20"/>
          <w:spacing w:val="-27"/>
        </w:rPr>
        <w:t> </w:t>
      </w:r>
      <w:r>
        <w:rPr>
          <w:rFonts w:ascii="Tahoma" w:hAnsi="Tahoma"/>
          <w:color w:val="231F20"/>
          <w:spacing w:val="-3"/>
        </w:rPr>
        <w:t>pero</w:t>
      </w:r>
      <w:r>
        <w:rPr>
          <w:rFonts w:ascii="Tahoma" w:hAnsi="Tahoma"/>
          <w:color w:val="231F20"/>
          <w:spacing w:val="-27"/>
        </w:rPr>
        <w:t> </w:t>
      </w:r>
      <w:r>
        <w:rPr>
          <w:rFonts w:ascii="Tahoma" w:hAnsi="Tahoma"/>
          <w:color w:val="231F20"/>
          <w:spacing w:val="-3"/>
        </w:rPr>
        <w:t>este</w:t>
      </w:r>
      <w:r>
        <w:rPr>
          <w:rFonts w:ascii="Tahoma" w:hAnsi="Tahoma"/>
          <w:color w:val="231F20"/>
          <w:spacing w:val="-27"/>
        </w:rPr>
        <w:t> </w:t>
      </w:r>
      <w:r>
        <w:rPr>
          <w:rFonts w:ascii="Tahoma" w:hAnsi="Tahoma"/>
          <w:color w:val="231F20"/>
          <w:spacing w:val="-4"/>
        </w:rPr>
        <w:t>comercio</w:t>
      </w:r>
      <w:r>
        <w:rPr>
          <w:rFonts w:ascii="Tahoma" w:hAnsi="Tahoma"/>
          <w:color w:val="231F20"/>
          <w:spacing w:val="-27"/>
        </w:rPr>
        <w:t> </w:t>
      </w:r>
      <w:r>
        <w:rPr>
          <w:rFonts w:ascii="Tahoma" w:hAnsi="Tahoma"/>
          <w:color w:val="231F20"/>
          <w:spacing w:val="-4"/>
        </w:rPr>
        <w:t>ha </w:t>
      </w:r>
      <w:r>
        <w:rPr>
          <w:rFonts w:ascii="Tahoma" w:hAnsi="Tahoma"/>
          <w:color w:val="231F20"/>
          <w:spacing w:val="-3"/>
        </w:rPr>
        <w:t>sido</w:t>
      </w:r>
      <w:r>
        <w:rPr>
          <w:rFonts w:ascii="Tahoma" w:hAnsi="Tahoma"/>
          <w:color w:val="231F20"/>
          <w:spacing w:val="-39"/>
        </w:rPr>
        <w:t> </w:t>
      </w:r>
      <w:r>
        <w:rPr>
          <w:rFonts w:ascii="Tahoma" w:hAnsi="Tahoma"/>
          <w:color w:val="231F20"/>
          <w:spacing w:val="-3"/>
        </w:rPr>
        <w:t>poco</w:t>
      </w:r>
      <w:r>
        <w:rPr>
          <w:rFonts w:ascii="Tahoma" w:hAnsi="Tahoma"/>
          <w:color w:val="231F20"/>
          <w:spacing w:val="-39"/>
        </w:rPr>
        <w:t> </w:t>
      </w:r>
      <w:r>
        <w:rPr>
          <w:rFonts w:ascii="Tahoma" w:hAnsi="Tahoma"/>
          <w:color w:val="231F20"/>
          <w:spacing w:val="-4"/>
        </w:rPr>
        <w:t>desarrollado</w:t>
      </w:r>
      <w:r>
        <w:rPr>
          <w:rFonts w:ascii="Tahoma" w:hAnsi="Tahoma"/>
          <w:color w:val="231F20"/>
          <w:spacing w:val="-39"/>
        </w:rPr>
        <w:t> </w:t>
      </w:r>
      <w:r>
        <w:rPr>
          <w:rFonts w:ascii="Tahoma" w:hAnsi="Tahoma"/>
          <w:color w:val="231F20"/>
          <w:spacing w:val="-4"/>
        </w:rPr>
        <w:t>(Campuzano</w:t>
      </w:r>
      <w:r>
        <w:rPr>
          <w:rFonts w:ascii="Tahoma" w:hAnsi="Tahoma"/>
          <w:color w:val="231F20"/>
          <w:spacing w:val="-39"/>
        </w:rPr>
        <w:t> </w:t>
      </w:r>
      <w:r>
        <w:rPr>
          <w:rFonts w:ascii="Tahoma" w:hAnsi="Tahoma"/>
          <w:color w:val="231F20"/>
        </w:rPr>
        <w:t>de</w:t>
      </w:r>
      <w:r>
        <w:rPr>
          <w:rFonts w:ascii="Tahoma" w:hAnsi="Tahoma"/>
          <w:color w:val="231F20"/>
          <w:spacing w:val="-39"/>
        </w:rPr>
        <w:t> </w:t>
      </w:r>
      <w:r>
        <w:rPr>
          <w:rFonts w:ascii="Tahoma" w:hAnsi="Tahoma"/>
          <w:color w:val="231F20"/>
          <w:spacing w:val="-4"/>
        </w:rPr>
        <w:t>Nova,</w:t>
      </w:r>
      <w:r>
        <w:rPr>
          <w:rFonts w:ascii="Tahoma" w:hAnsi="Tahoma"/>
          <w:color w:val="231F20"/>
          <w:spacing w:val="-39"/>
        </w:rPr>
        <w:t> </w:t>
      </w:r>
      <w:r>
        <w:rPr>
          <w:rFonts w:ascii="Tahoma" w:hAnsi="Tahoma"/>
          <w:color w:val="231F20"/>
          <w:spacing w:val="-9"/>
        </w:rPr>
        <w:t>2011) </w:t>
      </w:r>
      <w:r>
        <w:rPr>
          <w:rFonts w:ascii="Tahoma" w:hAnsi="Tahoma"/>
          <w:color w:val="231F20"/>
        </w:rPr>
        <w:t>a</w:t>
      </w:r>
      <w:r>
        <w:rPr>
          <w:rFonts w:ascii="Tahoma" w:hAnsi="Tahoma"/>
          <w:color w:val="231F20"/>
          <w:spacing w:val="-19"/>
        </w:rPr>
        <w:t> </w:t>
      </w:r>
      <w:r>
        <w:rPr>
          <w:rFonts w:ascii="Tahoma" w:hAnsi="Tahoma"/>
          <w:color w:val="231F20"/>
          <w:spacing w:val="-4"/>
        </w:rPr>
        <w:t>pesar</w:t>
      </w:r>
      <w:r>
        <w:rPr>
          <w:rFonts w:ascii="Tahoma" w:hAnsi="Tahoma"/>
          <w:color w:val="231F20"/>
          <w:spacing w:val="-19"/>
        </w:rPr>
        <w:t> </w:t>
      </w:r>
      <w:r>
        <w:rPr>
          <w:rFonts w:ascii="Tahoma" w:hAnsi="Tahoma"/>
          <w:color w:val="231F20"/>
        </w:rPr>
        <w:t>de</w:t>
      </w:r>
      <w:r>
        <w:rPr>
          <w:rFonts w:ascii="Tahoma" w:hAnsi="Tahoma"/>
          <w:color w:val="231F20"/>
          <w:spacing w:val="-19"/>
        </w:rPr>
        <w:t> </w:t>
      </w:r>
      <w:r>
        <w:rPr>
          <w:rFonts w:ascii="Tahoma" w:hAnsi="Tahoma"/>
          <w:color w:val="231F20"/>
          <w:spacing w:val="-3"/>
        </w:rPr>
        <w:t>que</w:t>
      </w:r>
      <w:r>
        <w:rPr>
          <w:rFonts w:ascii="Tahoma" w:hAnsi="Tahoma"/>
          <w:color w:val="231F20"/>
          <w:spacing w:val="-19"/>
        </w:rPr>
        <w:t> </w:t>
      </w:r>
      <w:r>
        <w:rPr>
          <w:rFonts w:ascii="Tahoma" w:hAnsi="Tahoma"/>
          <w:color w:val="231F20"/>
          <w:spacing w:val="-3"/>
        </w:rPr>
        <w:t>los</w:t>
      </w:r>
      <w:r>
        <w:rPr>
          <w:rFonts w:ascii="Tahoma" w:hAnsi="Tahoma"/>
          <w:color w:val="231F20"/>
          <w:spacing w:val="-19"/>
        </w:rPr>
        <w:t> </w:t>
      </w:r>
      <w:r>
        <w:rPr>
          <w:rFonts w:ascii="Tahoma" w:hAnsi="Tahoma"/>
          <w:color w:val="231F20"/>
          <w:spacing w:val="-4"/>
        </w:rPr>
        <w:t>ganaderos</w:t>
      </w:r>
      <w:r>
        <w:rPr>
          <w:rFonts w:ascii="Tahoma" w:hAnsi="Tahoma"/>
          <w:color w:val="231F20"/>
          <w:spacing w:val="-19"/>
        </w:rPr>
        <w:t> </w:t>
      </w:r>
      <w:r>
        <w:rPr>
          <w:rFonts w:ascii="Tahoma" w:hAnsi="Tahoma"/>
          <w:color w:val="231F20"/>
        </w:rPr>
        <w:t>se</w:t>
      </w:r>
      <w:r>
        <w:rPr>
          <w:rFonts w:ascii="Tahoma" w:hAnsi="Tahoma"/>
          <w:color w:val="231F20"/>
          <w:spacing w:val="-19"/>
        </w:rPr>
        <w:t> </w:t>
      </w:r>
      <w:r>
        <w:rPr>
          <w:rFonts w:ascii="Tahoma" w:hAnsi="Tahoma"/>
          <w:color w:val="231F20"/>
          <w:spacing w:val="-4"/>
        </w:rPr>
        <w:t>encuentran</w:t>
      </w:r>
      <w:r>
        <w:rPr>
          <w:rFonts w:ascii="Tahoma" w:hAnsi="Tahoma"/>
          <w:color w:val="231F20"/>
          <w:spacing w:val="-19"/>
        </w:rPr>
        <w:t> </w:t>
      </w:r>
      <w:r>
        <w:rPr>
          <w:rFonts w:ascii="Tahoma" w:hAnsi="Tahoma"/>
          <w:color w:val="231F20"/>
          <w:spacing w:val="-4"/>
        </w:rPr>
        <w:t>orga- nizados</w:t>
      </w:r>
      <w:r>
        <w:rPr>
          <w:rFonts w:ascii="Tahoma" w:hAnsi="Tahoma"/>
          <w:color w:val="231F20"/>
          <w:spacing w:val="-18"/>
        </w:rPr>
        <w:t> </w:t>
      </w:r>
      <w:r>
        <w:rPr>
          <w:rFonts w:ascii="Tahoma" w:hAnsi="Tahoma"/>
          <w:color w:val="231F20"/>
        </w:rPr>
        <w:t>en</w:t>
      </w:r>
      <w:r>
        <w:rPr>
          <w:rFonts w:ascii="Tahoma" w:hAnsi="Tahoma"/>
          <w:color w:val="231F20"/>
          <w:spacing w:val="-18"/>
        </w:rPr>
        <w:t> </w:t>
      </w:r>
      <w:r>
        <w:rPr>
          <w:rFonts w:ascii="Tahoma" w:hAnsi="Tahoma"/>
          <w:color w:val="231F20"/>
        </w:rPr>
        <w:t>la</w:t>
      </w:r>
      <w:r>
        <w:rPr>
          <w:rFonts w:ascii="Tahoma" w:hAnsi="Tahoma"/>
          <w:color w:val="231F20"/>
          <w:spacing w:val="-18"/>
        </w:rPr>
        <w:t> </w:t>
      </w:r>
      <w:r>
        <w:rPr>
          <w:rFonts w:ascii="Tahoma" w:hAnsi="Tahoma"/>
          <w:color w:val="231F20"/>
          <w:spacing w:val="-4"/>
        </w:rPr>
        <w:t>Unión</w:t>
      </w:r>
      <w:r>
        <w:rPr>
          <w:rFonts w:ascii="Tahoma" w:hAnsi="Tahoma"/>
          <w:color w:val="231F20"/>
          <w:spacing w:val="-18"/>
        </w:rPr>
        <w:t> </w:t>
      </w:r>
      <w:r>
        <w:rPr>
          <w:rFonts w:ascii="Tahoma" w:hAnsi="Tahoma"/>
          <w:color w:val="231F20"/>
          <w:spacing w:val="-4"/>
        </w:rPr>
        <w:t>Ganadera</w:t>
      </w:r>
      <w:r>
        <w:rPr>
          <w:rFonts w:ascii="Tahoma" w:hAnsi="Tahoma"/>
          <w:color w:val="231F20"/>
          <w:spacing w:val="-18"/>
        </w:rPr>
        <w:t> </w:t>
      </w:r>
      <w:r>
        <w:rPr>
          <w:rFonts w:ascii="Tahoma" w:hAnsi="Tahoma"/>
          <w:color w:val="231F20"/>
          <w:spacing w:val="-4"/>
        </w:rPr>
        <w:t>Local</w:t>
      </w:r>
      <w:r>
        <w:rPr>
          <w:rFonts w:ascii="Tahoma" w:hAnsi="Tahoma"/>
          <w:color w:val="231F20"/>
          <w:spacing w:val="-18"/>
        </w:rPr>
        <w:t> </w:t>
      </w:r>
      <w:r>
        <w:rPr>
          <w:rFonts w:ascii="Tahoma" w:hAnsi="Tahoma"/>
          <w:color w:val="231F20"/>
        </w:rPr>
        <w:t>de</w:t>
      </w:r>
      <w:r>
        <w:rPr>
          <w:rFonts w:ascii="Tahoma" w:hAnsi="Tahoma"/>
          <w:color w:val="231F20"/>
          <w:spacing w:val="-18"/>
        </w:rPr>
        <w:t> </w:t>
      </w:r>
      <w:r>
        <w:rPr>
          <w:rFonts w:ascii="Tahoma" w:hAnsi="Tahoma"/>
          <w:color w:val="231F20"/>
          <w:spacing w:val="-4"/>
        </w:rPr>
        <w:t>Amatepec, </w:t>
      </w:r>
      <w:r>
        <w:rPr>
          <w:rFonts w:ascii="Tahoma" w:hAnsi="Tahoma"/>
          <w:color w:val="231F20"/>
        </w:rPr>
        <w:t>y</w:t>
      </w:r>
      <w:r>
        <w:rPr>
          <w:rFonts w:ascii="Tahoma" w:hAnsi="Tahoma"/>
          <w:color w:val="231F20"/>
          <w:spacing w:val="-40"/>
        </w:rPr>
        <w:t> </w:t>
      </w:r>
      <w:r>
        <w:rPr>
          <w:rFonts w:ascii="Tahoma" w:hAnsi="Tahoma"/>
          <w:color w:val="231F20"/>
        </w:rPr>
        <w:t>de</w:t>
      </w:r>
      <w:r>
        <w:rPr>
          <w:rFonts w:ascii="Tahoma" w:hAnsi="Tahoma"/>
          <w:color w:val="231F20"/>
          <w:spacing w:val="-40"/>
        </w:rPr>
        <w:t> </w:t>
      </w:r>
      <w:r>
        <w:rPr>
          <w:rFonts w:ascii="Tahoma" w:hAnsi="Tahoma"/>
          <w:color w:val="231F20"/>
          <w:spacing w:val="-3"/>
        </w:rPr>
        <w:t>que</w:t>
      </w:r>
      <w:r>
        <w:rPr>
          <w:rFonts w:ascii="Tahoma" w:hAnsi="Tahoma"/>
          <w:color w:val="231F20"/>
          <w:spacing w:val="-40"/>
        </w:rPr>
        <w:t> </w:t>
      </w:r>
      <w:r>
        <w:rPr>
          <w:rFonts w:ascii="Tahoma" w:hAnsi="Tahoma"/>
          <w:color w:val="231F20"/>
          <w:spacing w:val="-3"/>
        </w:rPr>
        <w:t>ésta</w:t>
      </w:r>
      <w:r>
        <w:rPr>
          <w:rFonts w:ascii="Tahoma" w:hAnsi="Tahoma"/>
          <w:color w:val="231F20"/>
          <w:spacing w:val="-40"/>
        </w:rPr>
        <w:t> </w:t>
      </w:r>
      <w:r>
        <w:rPr>
          <w:rFonts w:ascii="Tahoma" w:hAnsi="Tahoma"/>
          <w:color w:val="231F20"/>
          <w:spacing w:val="-4"/>
        </w:rPr>
        <w:t>cuenta</w:t>
      </w:r>
      <w:r>
        <w:rPr>
          <w:rFonts w:ascii="Tahoma" w:hAnsi="Tahoma"/>
          <w:color w:val="231F20"/>
          <w:spacing w:val="-40"/>
        </w:rPr>
        <w:t> </w:t>
      </w:r>
      <w:r>
        <w:rPr>
          <w:rFonts w:ascii="Tahoma" w:hAnsi="Tahoma"/>
          <w:color w:val="231F20"/>
          <w:spacing w:val="-3"/>
        </w:rPr>
        <w:t>con</w:t>
      </w:r>
      <w:r>
        <w:rPr>
          <w:rFonts w:ascii="Tahoma" w:hAnsi="Tahoma"/>
          <w:color w:val="231F20"/>
          <w:spacing w:val="-40"/>
        </w:rPr>
        <w:t> </w:t>
      </w:r>
      <w:r>
        <w:rPr>
          <w:rFonts w:ascii="Tahoma" w:hAnsi="Tahoma"/>
          <w:color w:val="231F20"/>
          <w:spacing w:val="-4"/>
        </w:rPr>
        <w:t>instalaciones</w:t>
      </w:r>
      <w:r>
        <w:rPr>
          <w:rFonts w:ascii="Tahoma" w:hAnsi="Tahoma"/>
          <w:color w:val="231F20"/>
          <w:spacing w:val="-40"/>
        </w:rPr>
        <w:t> </w:t>
      </w:r>
      <w:r>
        <w:rPr>
          <w:rFonts w:ascii="Tahoma" w:hAnsi="Tahoma"/>
          <w:color w:val="231F20"/>
          <w:spacing w:val="-4"/>
        </w:rPr>
        <w:t>industriales</w:t>
      </w:r>
      <w:r>
        <w:rPr>
          <w:rFonts w:ascii="Tahoma" w:hAnsi="Tahoma"/>
          <w:color w:val="231F20"/>
          <w:spacing w:val="-40"/>
        </w:rPr>
        <w:t> </w:t>
      </w:r>
      <w:r>
        <w:rPr>
          <w:rFonts w:ascii="Tahoma" w:hAnsi="Tahoma"/>
          <w:color w:val="231F20"/>
        </w:rPr>
        <w:t>y de</w:t>
      </w:r>
      <w:r>
        <w:rPr>
          <w:rFonts w:ascii="Tahoma" w:hAnsi="Tahoma"/>
          <w:color w:val="231F20"/>
          <w:spacing w:val="-42"/>
        </w:rPr>
        <w:t> </w:t>
      </w:r>
      <w:r>
        <w:rPr>
          <w:rFonts w:ascii="Tahoma" w:hAnsi="Tahoma"/>
          <w:color w:val="231F20"/>
          <w:spacing w:val="-4"/>
        </w:rPr>
        <w:t>servicio</w:t>
      </w:r>
      <w:r>
        <w:rPr>
          <w:rFonts w:ascii="Tahoma" w:hAnsi="Tahoma"/>
          <w:color w:val="231F20"/>
          <w:spacing w:val="-42"/>
        </w:rPr>
        <w:t> </w:t>
      </w:r>
      <w:r>
        <w:rPr>
          <w:rFonts w:ascii="Tahoma" w:hAnsi="Tahoma"/>
          <w:color w:val="231F20"/>
        </w:rPr>
        <w:t>no</w:t>
      </w:r>
      <w:r>
        <w:rPr>
          <w:rFonts w:ascii="Tahoma" w:hAnsi="Tahoma"/>
          <w:color w:val="231F20"/>
          <w:spacing w:val="-42"/>
        </w:rPr>
        <w:t> </w:t>
      </w:r>
      <w:r>
        <w:rPr>
          <w:rFonts w:ascii="Tahoma" w:hAnsi="Tahoma"/>
          <w:color w:val="231F20"/>
          <w:spacing w:val="-3"/>
        </w:rPr>
        <w:t>sólo</w:t>
      </w:r>
      <w:r>
        <w:rPr>
          <w:rFonts w:ascii="Tahoma" w:hAnsi="Tahoma"/>
          <w:color w:val="231F20"/>
          <w:spacing w:val="-42"/>
        </w:rPr>
        <w:t> </w:t>
      </w:r>
      <w:r>
        <w:rPr>
          <w:rFonts w:ascii="Tahoma" w:hAnsi="Tahoma"/>
          <w:color w:val="231F20"/>
          <w:spacing w:val="-3"/>
        </w:rPr>
        <w:t>para</w:t>
      </w:r>
      <w:r>
        <w:rPr>
          <w:rFonts w:ascii="Tahoma" w:hAnsi="Tahoma"/>
          <w:color w:val="231F20"/>
          <w:spacing w:val="-42"/>
        </w:rPr>
        <w:t> </w:t>
      </w:r>
      <w:r>
        <w:rPr>
          <w:rFonts w:ascii="Tahoma" w:hAnsi="Tahoma"/>
          <w:color w:val="231F20"/>
        </w:rPr>
        <w:t>el</w:t>
      </w:r>
      <w:r>
        <w:rPr>
          <w:rFonts w:ascii="Tahoma" w:hAnsi="Tahoma"/>
          <w:color w:val="231F20"/>
          <w:spacing w:val="-42"/>
        </w:rPr>
        <w:t> </w:t>
      </w:r>
      <w:r>
        <w:rPr>
          <w:rFonts w:ascii="Tahoma" w:hAnsi="Tahoma"/>
          <w:color w:val="231F20"/>
          <w:spacing w:val="-4"/>
        </w:rPr>
        <w:t>desarrollo</w:t>
      </w:r>
      <w:r>
        <w:rPr>
          <w:rFonts w:ascii="Tahoma" w:hAnsi="Tahoma"/>
          <w:color w:val="231F20"/>
          <w:spacing w:val="-42"/>
        </w:rPr>
        <w:t> </w:t>
      </w:r>
      <w:r>
        <w:rPr>
          <w:rFonts w:ascii="Tahoma" w:hAnsi="Tahoma"/>
          <w:color w:val="231F20"/>
          <w:spacing w:val="-3"/>
        </w:rPr>
        <w:t>del</w:t>
      </w:r>
      <w:r>
        <w:rPr>
          <w:rFonts w:ascii="Tahoma" w:hAnsi="Tahoma"/>
          <w:color w:val="231F20"/>
          <w:spacing w:val="-42"/>
        </w:rPr>
        <w:t> </w:t>
      </w:r>
      <w:r>
        <w:rPr>
          <w:rFonts w:ascii="Tahoma" w:hAnsi="Tahoma"/>
          <w:color w:val="231F20"/>
          <w:spacing w:val="-4"/>
        </w:rPr>
        <w:t>comercio</w:t>
      </w:r>
      <w:r>
        <w:rPr>
          <w:rFonts w:ascii="Tahoma" w:hAnsi="Tahoma"/>
          <w:color w:val="231F20"/>
          <w:spacing w:val="-42"/>
        </w:rPr>
        <w:t> </w:t>
      </w:r>
      <w:r>
        <w:rPr>
          <w:rFonts w:ascii="Tahoma" w:hAnsi="Tahoma"/>
          <w:color w:val="231F20"/>
          <w:spacing w:val="-4"/>
        </w:rPr>
        <w:t>de </w:t>
      </w:r>
      <w:r>
        <w:rPr>
          <w:rFonts w:ascii="Tahoma" w:hAnsi="Tahoma"/>
          <w:color w:val="231F20"/>
          <w:spacing w:val="-4"/>
          <w:w w:val="95"/>
        </w:rPr>
        <w:t>ganado</w:t>
      </w:r>
      <w:r>
        <w:rPr>
          <w:rFonts w:ascii="Tahoma" w:hAnsi="Tahoma"/>
          <w:color w:val="231F20"/>
          <w:spacing w:val="-24"/>
          <w:w w:val="95"/>
        </w:rPr>
        <w:t> </w:t>
      </w:r>
      <w:r>
        <w:rPr>
          <w:rFonts w:ascii="Tahoma" w:hAnsi="Tahoma"/>
          <w:color w:val="231F20"/>
          <w:w w:val="95"/>
        </w:rPr>
        <w:t>en</w:t>
      </w:r>
      <w:r>
        <w:rPr>
          <w:rFonts w:ascii="Tahoma" w:hAnsi="Tahoma"/>
          <w:color w:val="231F20"/>
          <w:spacing w:val="-24"/>
          <w:w w:val="95"/>
        </w:rPr>
        <w:t> </w:t>
      </w:r>
      <w:r>
        <w:rPr>
          <w:rFonts w:ascii="Tahoma" w:hAnsi="Tahoma"/>
          <w:color w:val="231F20"/>
          <w:spacing w:val="-3"/>
          <w:w w:val="95"/>
        </w:rPr>
        <w:t>pie</w:t>
      </w:r>
      <w:r>
        <w:rPr>
          <w:rFonts w:ascii="Tahoma" w:hAnsi="Tahoma"/>
          <w:color w:val="231F20"/>
          <w:spacing w:val="-24"/>
          <w:w w:val="95"/>
        </w:rPr>
        <w:t> </w:t>
      </w:r>
      <w:r>
        <w:rPr>
          <w:rFonts w:ascii="Tahoma" w:hAnsi="Tahoma"/>
          <w:color w:val="231F20"/>
          <w:w w:val="95"/>
        </w:rPr>
        <w:t>y</w:t>
      </w:r>
      <w:r>
        <w:rPr>
          <w:rFonts w:ascii="Tahoma" w:hAnsi="Tahoma"/>
          <w:color w:val="231F20"/>
          <w:spacing w:val="-24"/>
          <w:w w:val="95"/>
        </w:rPr>
        <w:t> </w:t>
      </w:r>
      <w:r>
        <w:rPr>
          <w:rFonts w:ascii="Tahoma" w:hAnsi="Tahoma"/>
          <w:color w:val="231F20"/>
          <w:spacing w:val="-4"/>
          <w:w w:val="95"/>
        </w:rPr>
        <w:t>productos</w:t>
      </w:r>
      <w:r>
        <w:rPr>
          <w:rFonts w:ascii="Tahoma" w:hAnsi="Tahoma"/>
          <w:color w:val="231F20"/>
          <w:spacing w:val="-24"/>
          <w:w w:val="95"/>
        </w:rPr>
        <w:t> </w:t>
      </w:r>
      <w:r>
        <w:rPr>
          <w:rFonts w:ascii="Tahoma" w:hAnsi="Tahoma"/>
          <w:color w:val="231F20"/>
          <w:spacing w:val="-4"/>
          <w:w w:val="95"/>
        </w:rPr>
        <w:t>agrícolas,</w:t>
      </w:r>
      <w:r>
        <w:rPr>
          <w:rFonts w:ascii="Tahoma" w:hAnsi="Tahoma"/>
          <w:color w:val="231F20"/>
          <w:spacing w:val="-24"/>
          <w:w w:val="95"/>
        </w:rPr>
        <w:t> </w:t>
      </w:r>
      <w:r>
        <w:rPr>
          <w:rFonts w:ascii="Tahoma" w:hAnsi="Tahoma"/>
          <w:color w:val="231F20"/>
          <w:spacing w:val="-3"/>
          <w:w w:val="95"/>
        </w:rPr>
        <w:t>sino</w:t>
      </w:r>
      <w:r>
        <w:rPr>
          <w:rFonts w:ascii="Tahoma" w:hAnsi="Tahoma"/>
          <w:color w:val="231F20"/>
          <w:spacing w:val="-24"/>
          <w:w w:val="95"/>
        </w:rPr>
        <w:t> </w:t>
      </w:r>
      <w:r>
        <w:rPr>
          <w:rFonts w:ascii="Tahoma" w:hAnsi="Tahoma"/>
          <w:color w:val="231F20"/>
          <w:spacing w:val="-3"/>
          <w:w w:val="95"/>
        </w:rPr>
        <w:t>para</w:t>
      </w:r>
      <w:r>
        <w:rPr>
          <w:rFonts w:ascii="Tahoma" w:hAnsi="Tahoma"/>
          <w:color w:val="231F20"/>
          <w:spacing w:val="-24"/>
          <w:w w:val="95"/>
        </w:rPr>
        <w:t> </w:t>
      </w:r>
      <w:r>
        <w:rPr>
          <w:rFonts w:ascii="Tahoma" w:hAnsi="Tahoma"/>
          <w:color w:val="231F20"/>
          <w:w w:val="95"/>
        </w:rPr>
        <w:t>el</w:t>
      </w:r>
      <w:r>
        <w:rPr>
          <w:rFonts w:ascii="Tahoma" w:hAnsi="Tahoma"/>
          <w:color w:val="231F20"/>
          <w:spacing w:val="-24"/>
          <w:w w:val="95"/>
        </w:rPr>
        <w:t> </w:t>
      </w:r>
      <w:r>
        <w:rPr>
          <w:rFonts w:ascii="Tahoma" w:hAnsi="Tahoma"/>
          <w:color w:val="231F20"/>
          <w:spacing w:val="-3"/>
          <w:w w:val="95"/>
        </w:rPr>
        <w:t>pro- </w:t>
      </w:r>
      <w:r>
        <w:rPr>
          <w:rFonts w:ascii="Tahoma" w:hAnsi="Tahoma"/>
          <w:color w:val="231F20"/>
          <w:spacing w:val="-4"/>
        </w:rPr>
        <w:t>cesado</w:t>
      </w:r>
      <w:r>
        <w:rPr>
          <w:rFonts w:ascii="Tahoma" w:hAnsi="Tahoma"/>
          <w:color w:val="231F20"/>
          <w:spacing w:val="-39"/>
        </w:rPr>
        <w:t> </w:t>
      </w:r>
      <w:r>
        <w:rPr>
          <w:rFonts w:ascii="Tahoma" w:hAnsi="Tahoma"/>
          <w:color w:val="231F20"/>
        </w:rPr>
        <w:t>y</w:t>
      </w:r>
      <w:r>
        <w:rPr>
          <w:rFonts w:ascii="Tahoma" w:hAnsi="Tahoma"/>
          <w:color w:val="231F20"/>
          <w:spacing w:val="-39"/>
        </w:rPr>
        <w:t> </w:t>
      </w:r>
      <w:r>
        <w:rPr>
          <w:rFonts w:ascii="Tahoma" w:hAnsi="Tahoma"/>
          <w:color w:val="231F20"/>
        </w:rPr>
        <w:t>la</w:t>
      </w:r>
      <w:r>
        <w:rPr>
          <w:rFonts w:ascii="Tahoma" w:hAnsi="Tahoma"/>
          <w:color w:val="231F20"/>
          <w:spacing w:val="-39"/>
        </w:rPr>
        <w:t> </w:t>
      </w:r>
      <w:r>
        <w:rPr>
          <w:rFonts w:ascii="Tahoma" w:hAnsi="Tahoma"/>
          <w:color w:val="231F20"/>
          <w:spacing w:val="-4"/>
        </w:rPr>
        <w:t>comercialización</w:t>
      </w:r>
      <w:r>
        <w:rPr>
          <w:rFonts w:ascii="Tahoma" w:hAnsi="Tahoma"/>
          <w:color w:val="231F20"/>
          <w:spacing w:val="-39"/>
        </w:rPr>
        <w:t> </w:t>
      </w:r>
      <w:r>
        <w:rPr>
          <w:rFonts w:ascii="Tahoma" w:hAnsi="Tahoma"/>
          <w:color w:val="231F20"/>
        </w:rPr>
        <w:t>de</w:t>
      </w:r>
      <w:r>
        <w:rPr>
          <w:rFonts w:ascii="Tahoma" w:hAnsi="Tahoma"/>
          <w:color w:val="231F20"/>
          <w:spacing w:val="-39"/>
        </w:rPr>
        <w:t> </w:t>
      </w:r>
      <w:r>
        <w:rPr>
          <w:rFonts w:ascii="Tahoma" w:hAnsi="Tahoma"/>
          <w:color w:val="231F20"/>
          <w:spacing w:val="-4"/>
        </w:rPr>
        <w:t>lácteos.</w:t>
      </w:r>
      <w:r>
        <w:rPr>
          <w:rFonts w:ascii="Tahoma" w:hAnsi="Tahoma"/>
          <w:color w:val="231F20"/>
          <w:spacing w:val="-39"/>
        </w:rPr>
        <w:t> </w:t>
      </w:r>
      <w:r>
        <w:rPr>
          <w:rFonts w:ascii="Tahoma" w:hAnsi="Tahoma"/>
          <w:color w:val="231F20"/>
          <w:spacing w:val="-4"/>
        </w:rPr>
        <w:t>Actualmen-</w:t>
      </w:r>
      <w:r>
        <w:rPr>
          <w:rFonts w:ascii="Tahoma" w:hAnsi="Tahoma"/>
          <w:color w:val="231F20"/>
          <w:w w:val="80"/>
        </w:rPr>
        <w:t> </w:t>
      </w:r>
      <w:r>
        <w:rPr>
          <w:rFonts w:ascii="Tahoma" w:hAnsi="Tahoma"/>
          <w:color w:val="231F20"/>
          <w:spacing w:val="-3"/>
        </w:rPr>
        <w:t>te, las </w:t>
      </w:r>
      <w:r>
        <w:rPr>
          <w:rFonts w:ascii="Tahoma" w:hAnsi="Tahoma"/>
          <w:color w:val="231F20"/>
          <w:spacing w:val="-4"/>
        </w:rPr>
        <w:t>instalaciones (construidas </w:t>
      </w:r>
      <w:r>
        <w:rPr>
          <w:rFonts w:ascii="Tahoma" w:hAnsi="Tahoma"/>
          <w:color w:val="231F20"/>
          <w:spacing w:val="-3"/>
        </w:rPr>
        <w:t>con </w:t>
      </w:r>
      <w:r>
        <w:rPr>
          <w:rFonts w:ascii="Tahoma" w:hAnsi="Tahoma"/>
          <w:color w:val="231F20"/>
        </w:rPr>
        <w:t>el </w:t>
      </w:r>
      <w:r>
        <w:rPr>
          <w:rFonts w:ascii="Tahoma" w:hAnsi="Tahoma"/>
          <w:color w:val="231F20"/>
          <w:spacing w:val="-4"/>
        </w:rPr>
        <w:t>apoyo</w:t>
      </w:r>
      <w:r>
        <w:rPr>
          <w:rFonts w:ascii="Tahoma" w:hAnsi="Tahoma"/>
          <w:color w:val="231F20"/>
          <w:spacing w:val="-29"/>
        </w:rPr>
        <w:t> </w:t>
      </w:r>
      <w:r>
        <w:rPr>
          <w:rFonts w:ascii="Tahoma" w:hAnsi="Tahoma"/>
          <w:color w:val="231F20"/>
          <w:spacing w:val="-4"/>
        </w:rPr>
        <w:t>del Gobierno</w:t>
      </w:r>
      <w:r>
        <w:rPr>
          <w:rFonts w:ascii="Tahoma" w:hAnsi="Tahoma"/>
          <w:color w:val="231F20"/>
          <w:spacing w:val="-17"/>
        </w:rPr>
        <w:t> </w:t>
      </w:r>
      <w:r>
        <w:rPr>
          <w:rFonts w:ascii="Tahoma" w:hAnsi="Tahoma"/>
          <w:color w:val="231F20"/>
          <w:spacing w:val="-3"/>
        </w:rPr>
        <w:t>del</w:t>
      </w:r>
      <w:r>
        <w:rPr>
          <w:rFonts w:ascii="Tahoma" w:hAnsi="Tahoma"/>
          <w:color w:val="231F20"/>
          <w:spacing w:val="-17"/>
        </w:rPr>
        <w:t> </w:t>
      </w:r>
      <w:r>
        <w:rPr>
          <w:rFonts w:ascii="Tahoma" w:hAnsi="Tahoma"/>
          <w:color w:val="231F20"/>
          <w:spacing w:val="-4"/>
        </w:rPr>
        <w:t>Estado)</w:t>
      </w:r>
      <w:r>
        <w:rPr>
          <w:rFonts w:ascii="Tahoma" w:hAnsi="Tahoma"/>
          <w:color w:val="231F20"/>
          <w:spacing w:val="-17"/>
        </w:rPr>
        <w:t> </w:t>
      </w:r>
      <w:r>
        <w:rPr>
          <w:rFonts w:ascii="Tahoma" w:hAnsi="Tahoma"/>
          <w:color w:val="231F20"/>
        </w:rPr>
        <w:t>se</w:t>
      </w:r>
      <w:r>
        <w:rPr>
          <w:rFonts w:ascii="Tahoma" w:hAnsi="Tahoma"/>
          <w:color w:val="231F20"/>
          <w:spacing w:val="-17"/>
        </w:rPr>
        <w:t> </w:t>
      </w:r>
      <w:r>
        <w:rPr>
          <w:rFonts w:ascii="Tahoma" w:hAnsi="Tahoma"/>
          <w:color w:val="231F20"/>
          <w:spacing w:val="-4"/>
        </w:rPr>
        <w:t>encuentran</w:t>
      </w:r>
      <w:r>
        <w:rPr>
          <w:rFonts w:ascii="Tahoma" w:hAnsi="Tahoma"/>
          <w:color w:val="231F20"/>
          <w:spacing w:val="-17"/>
        </w:rPr>
        <w:t> </w:t>
      </w:r>
      <w:r>
        <w:rPr>
          <w:rFonts w:ascii="Tahoma" w:hAnsi="Tahoma"/>
          <w:color w:val="231F20"/>
          <w:spacing w:val="-4"/>
        </w:rPr>
        <w:t>abandonadas </w:t>
      </w:r>
      <w:r>
        <w:rPr>
          <w:rFonts w:ascii="Tahoma" w:hAnsi="Tahoma"/>
          <w:color w:val="231F20"/>
          <w:spacing w:val="-3"/>
        </w:rPr>
        <w:t>por</w:t>
      </w:r>
      <w:r>
        <w:rPr>
          <w:rFonts w:ascii="Tahoma" w:hAnsi="Tahoma"/>
          <w:color w:val="231F20"/>
          <w:spacing w:val="-18"/>
        </w:rPr>
        <w:t> </w:t>
      </w:r>
      <w:r>
        <w:rPr>
          <w:rFonts w:ascii="Tahoma" w:hAnsi="Tahoma"/>
          <w:color w:val="231F20"/>
          <w:spacing w:val="-4"/>
        </w:rPr>
        <w:t>falta</w:t>
      </w:r>
      <w:r>
        <w:rPr>
          <w:rFonts w:ascii="Tahoma" w:hAnsi="Tahoma"/>
          <w:color w:val="231F20"/>
          <w:spacing w:val="-18"/>
        </w:rPr>
        <w:t> </w:t>
      </w:r>
      <w:r>
        <w:rPr>
          <w:rFonts w:ascii="Tahoma" w:hAnsi="Tahoma"/>
          <w:color w:val="231F20"/>
        </w:rPr>
        <w:t>de</w:t>
      </w:r>
      <w:r>
        <w:rPr>
          <w:rFonts w:ascii="Tahoma" w:hAnsi="Tahoma"/>
          <w:color w:val="231F20"/>
          <w:spacing w:val="-18"/>
        </w:rPr>
        <w:t> </w:t>
      </w:r>
      <w:r>
        <w:rPr>
          <w:rFonts w:ascii="Tahoma" w:hAnsi="Tahoma"/>
          <w:color w:val="231F20"/>
          <w:spacing w:val="-4"/>
        </w:rPr>
        <w:t>recursos</w:t>
      </w:r>
      <w:r>
        <w:rPr>
          <w:rFonts w:ascii="Tahoma" w:hAnsi="Tahoma"/>
          <w:color w:val="231F20"/>
          <w:spacing w:val="-18"/>
        </w:rPr>
        <w:t> </w:t>
      </w:r>
      <w:r>
        <w:rPr>
          <w:rFonts w:ascii="Tahoma" w:hAnsi="Tahoma"/>
          <w:color w:val="231F20"/>
          <w:spacing w:val="-3"/>
        </w:rPr>
        <w:t>para</w:t>
      </w:r>
      <w:r>
        <w:rPr>
          <w:rFonts w:ascii="Tahoma" w:hAnsi="Tahoma"/>
          <w:color w:val="231F20"/>
          <w:spacing w:val="-18"/>
        </w:rPr>
        <w:t> </w:t>
      </w:r>
      <w:r>
        <w:rPr>
          <w:rFonts w:ascii="Tahoma" w:hAnsi="Tahoma"/>
          <w:color w:val="231F20"/>
        </w:rPr>
        <w:t>su</w:t>
      </w:r>
      <w:r>
        <w:rPr>
          <w:rFonts w:ascii="Tahoma" w:hAnsi="Tahoma"/>
          <w:color w:val="231F20"/>
          <w:spacing w:val="-18"/>
        </w:rPr>
        <w:t> </w:t>
      </w:r>
      <w:r>
        <w:rPr>
          <w:rFonts w:ascii="Tahoma" w:hAnsi="Tahoma"/>
          <w:color w:val="231F20"/>
          <w:spacing w:val="-4"/>
        </w:rPr>
        <w:t>mantenimiento</w:t>
      </w:r>
      <w:r>
        <w:rPr>
          <w:rFonts w:ascii="Tahoma" w:hAnsi="Tahoma"/>
          <w:color w:val="231F20"/>
          <w:spacing w:val="-18"/>
        </w:rPr>
        <w:t> </w:t>
      </w:r>
      <w:r>
        <w:rPr>
          <w:rFonts w:ascii="Tahoma" w:hAnsi="Tahoma"/>
          <w:color w:val="231F20"/>
          <w:spacing w:val="-4"/>
        </w:rPr>
        <w:t>(Plan </w:t>
      </w:r>
      <w:r>
        <w:rPr>
          <w:rFonts w:ascii="Tahoma" w:hAnsi="Tahoma"/>
          <w:color w:val="231F20"/>
        </w:rPr>
        <w:t>de </w:t>
      </w:r>
      <w:r>
        <w:rPr>
          <w:rFonts w:ascii="Tahoma" w:hAnsi="Tahoma"/>
          <w:color w:val="231F20"/>
          <w:spacing w:val="-4"/>
        </w:rPr>
        <w:t>Desarrollo Urbano </w:t>
      </w:r>
      <w:r>
        <w:rPr>
          <w:rFonts w:ascii="Tahoma" w:hAnsi="Tahoma"/>
          <w:color w:val="231F20"/>
          <w:spacing w:val="-3"/>
        </w:rPr>
        <w:t>del </w:t>
      </w:r>
      <w:r>
        <w:rPr>
          <w:rFonts w:ascii="Tahoma" w:hAnsi="Tahoma"/>
          <w:color w:val="231F20"/>
          <w:spacing w:val="-4"/>
        </w:rPr>
        <w:t>Municipio </w:t>
      </w:r>
      <w:r>
        <w:rPr>
          <w:rFonts w:ascii="Tahoma" w:hAnsi="Tahoma"/>
          <w:color w:val="231F20"/>
        </w:rPr>
        <w:t>de</w:t>
      </w:r>
      <w:r>
        <w:rPr>
          <w:rFonts w:ascii="Tahoma" w:hAnsi="Tahoma"/>
          <w:color w:val="231F20"/>
          <w:spacing w:val="-31"/>
        </w:rPr>
        <w:t> </w:t>
      </w:r>
      <w:r>
        <w:rPr>
          <w:rFonts w:ascii="Tahoma" w:hAnsi="Tahoma"/>
          <w:color w:val="231F20"/>
          <w:spacing w:val="-4"/>
        </w:rPr>
        <w:t>Amatepec, </w:t>
      </w:r>
      <w:r>
        <w:rPr>
          <w:rFonts w:ascii="Tahoma" w:hAnsi="Tahoma"/>
          <w:color w:val="231F20"/>
          <w:spacing w:val="-7"/>
        </w:rPr>
        <w:t>2001-2006).</w:t>
      </w:r>
    </w:p>
    <w:p>
      <w:pPr>
        <w:pStyle w:val="BodyText"/>
        <w:rPr>
          <w:rFonts w:ascii="Tahoma"/>
        </w:rPr>
      </w:pPr>
    </w:p>
    <w:p>
      <w:pPr>
        <w:pStyle w:val="BodyText"/>
        <w:spacing w:before="166"/>
        <w:ind w:left="1553"/>
        <w:jc w:val="both"/>
      </w:pPr>
      <w:r>
        <w:rPr>
          <w:color w:val="231F20"/>
          <w:w w:val="110"/>
        </w:rPr>
        <w:t>DESCRIPCIÓN DE LA SITUACIÓN  ACTUAL</w:t>
      </w:r>
    </w:p>
    <w:p>
      <w:pPr>
        <w:pStyle w:val="BodyText"/>
        <w:spacing w:line="259" w:lineRule="auto" w:before="20"/>
        <w:ind w:left="1553" w:right="69"/>
        <w:jc w:val="both"/>
      </w:pPr>
      <w:r>
        <w:rPr>
          <w:color w:val="231F20"/>
          <w:w w:val="110"/>
        </w:rPr>
        <w:t>DE LA GANADERÍA EN AMATEPEC, </w:t>
      </w:r>
      <w:r>
        <w:rPr>
          <w:color w:val="231F20"/>
          <w:spacing w:val="-4"/>
          <w:w w:val="110"/>
        </w:rPr>
        <w:t>ESTADO </w:t>
      </w:r>
      <w:r>
        <w:rPr>
          <w:color w:val="231F20"/>
          <w:w w:val="110"/>
        </w:rPr>
        <w:t>DE MÉXICO. </w:t>
      </w:r>
      <w:r>
        <w:rPr>
          <w:color w:val="231F20"/>
          <w:spacing w:val="-3"/>
          <w:w w:val="110"/>
        </w:rPr>
        <w:t>RESULTADOS </w:t>
      </w:r>
      <w:r>
        <w:rPr>
          <w:color w:val="231F20"/>
          <w:w w:val="110"/>
        </w:rPr>
        <w:t>DE LA INVESTIGACIÓN</w:t>
      </w:r>
    </w:p>
    <w:p>
      <w:pPr>
        <w:pStyle w:val="BodyText"/>
        <w:spacing w:line="261" w:lineRule="auto" w:before="104"/>
        <w:ind w:left="1553" w:right="1"/>
        <w:jc w:val="both"/>
        <w:rPr>
          <w:rFonts w:ascii="Tahoma" w:hAnsi="Tahoma"/>
        </w:rPr>
      </w:pPr>
      <w:r>
        <w:rPr>
          <w:rFonts w:ascii="Tahoma" w:hAnsi="Tahoma"/>
          <w:color w:val="231F20"/>
        </w:rPr>
        <w:t>El</w:t>
      </w:r>
      <w:r>
        <w:rPr>
          <w:rFonts w:ascii="Tahoma" w:hAnsi="Tahoma"/>
          <w:color w:val="231F20"/>
          <w:spacing w:val="-24"/>
        </w:rPr>
        <w:t> </w:t>
      </w:r>
      <w:r>
        <w:rPr>
          <w:rFonts w:ascii="Tahoma" w:hAnsi="Tahoma"/>
          <w:color w:val="231F20"/>
          <w:spacing w:val="-3"/>
        </w:rPr>
        <w:t>análisis</w:t>
      </w:r>
      <w:r>
        <w:rPr>
          <w:rFonts w:ascii="Tahoma" w:hAnsi="Tahoma"/>
          <w:color w:val="231F20"/>
          <w:spacing w:val="-24"/>
        </w:rPr>
        <w:t> </w:t>
      </w:r>
      <w:r>
        <w:rPr>
          <w:rFonts w:ascii="Tahoma" w:hAnsi="Tahoma"/>
          <w:color w:val="231F20"/>
        </w:rPr>
        <w:t>de</w:t>
      </w:r>
      <w:r>
        <w:rPr>
          <w:rFonts w:ascii="Tahoma" w:hAnsi="Tahoma"/>
          <w:color w:val="231F20"/>
          <w:spacing w:val="-24"/>
        </w:rPr>
        <w:t> </w:t>
      </w:r>
      <w:r>
        <w:rPr>
          <w:rFonts w:ascii="Tahoma" w:hAnsi="Tahoma"/>
          <w:color w:val="231F20"/>
        </w:rPr>
        <w:t>la</w:t>
      </w:r>
      <w:r>
        <w:rPr>
          <w:rFonts w:ascii="Tahoma" w:hAnsi="Tahoma"/>
          <w:color w:val="231F20"/>
          <w:spacing w:val="-24"/>
        </w:rPr>
        <w:t> </w:t>
      </w:r>
      <w:r>
        <w:rPr>
          <w:rFonts w:ascii="Tahoma" w:hAnsi="Tahoma"/>
          <w:color w:val="231F20"/>
          <w:spacing w:val="-3"/>
        </w:rPr>
        <w:t>situación</w:t>
      </w:r>
      <w:r>
        <w:rPr>
          <w:rFonts w:ascii="Tahoma" w:hAnsi="Tahoma"/>
          <w:color w:val="231F20"/>
          <w:spacing w:val="-24"/>
        </w:rPr>
        <w:t> </w:t>
      </w:r>
      <w:r>
        <w:rPr>
          <w:rFonts w:ascii="Tahoma" w:hAnsi="Tahoma"/>
          <w:color w:val="231F20"/>
          <w:spacing w:val="-3"/>
        </w:rPr>
        <w:t>actual</w:t>
      </w:r>
      <w:r>
        <w:rPr>
          <w:rFonts w:ascii="Tahoma" w:hAnsi="Tahoma"/>
          <w:color w:val="231F20"/>
          <w:spacing w:val="-24"/>
        </w:rPr>
        <w:t> </w:t>
      </w:r>
      <w:r>
        <w:rPr>
          <w:rFonts w:ascii="Tahoma" w:hAnsi="Tahoma"/>
          <w:color w:val="231F20"/>
        </w:rPr>
        <w:t>de</w:t>
      </w:r>
      <w:r>
        <w:rPr>
          <w:rFonts w:ascii="Tahoma" w:hAnsi="Tahoma"/>
          <w:color w:val="231F20"/>
          <w:spacing w:val="-24"/>
        </w:rPr>
        <w:t> </w:t>
      </w:r>
      <w:r>
        <w:rPr>
          <w:rFonts w:ascii="Tahoma" w:hAnsi="Tahoma"/>
          <w:color w:val="231F20"/>
        </w:rPr>
        <w:t>la</w:t>
      </w:r>
      <w:r>
        <w:rPr>
          <w:rFonts w:ascii="Tahoma" w:hAnsi="Tahoma"/>
          <w:color w:val="231F20"/>
          <w:spacing w:val="-24"/>
        </w:rPr>
        <w:t> </w:t>
      </w:r>
      <w:r>
        <w:rPr>
          <w:rFonts w:ascii="Tahoma" w:hAnsi="Tahoma"/>
          <w:color w:val="231F20"/>
          <w:spacing w:val="-3"/>
        </w:rPr>
        <w:t>ganadería</w:t>
      </w:r>
      <w:r>
        <w:rPr>
          <w:rFonts w:ascii="Tahoma" w:hAnsi="Tahoma"/>
          <w:color w:val="231F20"/>
          <w:spacing w:val="-24"/>
        </w:rPr>
        <w:t> </w:t>
      </w:r>
      <w:r>
        <w:rPr>
          <w:rFonts w:ascii="Tahoma" w:hAnsi="Tahoma"/>
          <w:color w:val="231F20"/>
          <w:spacing w:val="-3"/>
        </w:rPr>
        <w:t>en </w:t>
      </w:r>
      <w:r>
        <w:rPr>
          <w:rFonts w:ascii="Tahoma" w:hAnsi="Tahoma"/>
          <w:color w:val="231F20"/>
        </w:rPr>
        <w:t>el</w:t>
      </w:r>
      <w:r>
        <w:rPr>
          <w:rFonts w:ascii="Tahoma" w:hAnsi="Tahoma"/>
          <w:color w:val="231F20"/>
          <w:spacing w:val="-21"/>
        </w:rPr>
        <w:t> </w:t>
      </w:r>
      <w:r>
        <w:rPr>
          <w:rFonts w:ascii="Tahoma" w:hAnsi="Tahoma"/>
          <w:color w:val="231F20"/>
          <w:spacing w:val="-3"/>
        </w:rPr>
        <w:t>municipio</w:t>
      </w:r>
      <w:r>
        <w:rPr>
          <w:rFonts w:ascii="Tahoma" w:hAnsi="Tahoma"/>
          <w:color w:val="231F20"/>
          <w:spacing w:val="-21"/>
        </w:rPr>
        <w:t> </w:t>
      </w:r>
      <w:r>
        <w:rPr>
          <w:rFonts w:ascii="Tahoma" w:hAnsi="Tahoma"/>
          <w:color w:val="231F20"/>
        </w:rPr>
        <w:t>se</w:t>
      </w:r>
      <w:r>
        <w:rPr>
          <w:rFonts w:ascii="Tahoma" w:hAnsi="Tahoma"/>
          <w:color w:val="231F20"/>
          <w:spacing w:val="-21"/>
        </w:rPr>
        <w:t> </w:t>
      </w:r>
      <w:r>
        <w:rPr>
          <w:rFonts w:ascii="Tahoma" w:hAnsi="Tahoma"/>
          <w:color w:val="231F20"/>
          <w:spacing w:val="-3"/>
        </w:rPr>
        <w:t>realizó</w:t>
      </w:r>
      <w:r>
        <w:rPr>
          <w:rFonts w:ascii="Tahoma" w:hAnsi="Tahoma"/>
          <w:color w:val="231F20"/>
          <w:spacing w:val="-21"/>
        </w:rPr>
        <w:t> </w:t>
      </w:r>
      <w:r>
        <w:rPr>
          <w:rFonts w:ascii="Tahoma" w:hAnsi="Tahoma"/>
          <w:color w:val="231F20"/>
          <w:spacing w:val="-3"/>
        </w:rPr>
        <w:t>mediante</w:t>
      </w:r>
      <w:r>
        <w:rPr>
          <w:rFonts w:ascii="Tahoma" w:hAnsi="Tahoma"/>
          <w:color w:val="231F20"/>
          <w:spacing w:val="-21"/>
        </w:rPr>
        <w:t> </w:t>
      </w:r>
      <w:r>
        <w:rPr>
          <w:rFonts w:ascii="Tahoma" w:hAnsi="Tahoma"/>
          <w:color w:val="231F20"/>
        </w:rPr>
        <w:t>la</w:t>
      </w:r>
      <w:r>
        <w:rPr>
          <w:rFonts w:ascii="Tahoma" w:hAnsi="Tahoma"/>
          <w:color w:val="231F20"/>
          <w:spacing w:val="-21"/>
        </w:rPr>
        <w:t> </w:t>
      </w:r>
      <w:r>
        <w:rPr>
          <w:rFonts w:ascii="Tahoma" w:hAnsi="Tahoma"/>
          <w:color w:val="231F20"/>
          <w:spacing w:val="-3"/>
        </w:rPr>
        <w:t>recopilación</w:t>
      </w:r>
      <w:r>
        <w:rPr>
          <w:rFonts w:ascii="Tahoma" w:hAnsi="Tahoma"/>
          <w:color w:val="231F20"/>
          <w:spacing w:val="-21"/>
        </w:rPr>
        <w:t> </w:t>
      </w:r>
      <w:r>
        <w:rPr>
          <w:rFonts w:ascii="Tahoma" w:hAnsi="Tahoma"/>
          <w:color w:val="231F20"/>
          <w:spacing w:val="-3"/>
        </w:rPr>
        <w:t>de información</w:t>
      </w:r>
      <w:r>
        <w:rPr>
          <w:rFonts w:ascii="Tahoma" w:hAnsi="Tahoma"/>
          <w:color w:val="231F20"/>
          <w:spacing w:val="-24"/>
        </w:rPr>
        <w:t> </w:t>
      </w:r>
      <w:r>
        <w:rPr>
          <w:rFonts w:ascii="Tahoma" w:hAnsi="Tahoma"/>
          <w:color w:val="231F20"/>
          <w:spacing w:val="-3"/>
        </w:rPr>
        <w:t>primaria</w:t>
      </w:r>
      <w:r>
        <w:rPr>
          <w:rFonts w:ascii="Tahoma" w:hAnsi="Tahoma"/>
          <w:color w:val="231F20"/>
          <w:spacing w:val="-24"/>
        </w:rPr>
        <w:t> </w:t>
      </w:r>
      <w:r>
        <w:rPr>
          <w:rFonts w:ascii="Tahoma" w:hAnsi="Tahoma"/>
          <w:color w:val="231F20"/>
        </w:rPr>
        <w:t>a</w:t>
      </w:r>
      <w:r>
        <w:rPr>
          <w:rFonts w:ascii="Tahoma" w:hAnsi="Tahoma"/>
          <w:color w:val="231F20"/>
          <w:spacing w:val="-24"/>
        </w:rPr>
        <w:t> </w:t>
      </w:r>
      <w:r>
        <w:rPr>
          <w:rFonts w:ascii="Tahoma" w:hAnsi="Tahoma"/>
          <w:color w:val="231F20"/>
        </w:rPr>
        <w:t>partir</w:t>
      </w:r>
      <w:r>
        <w:rPr>
          <w:rFonts w:ascii="Tahoma" w:hAnsi="Tahoma"/>
          <w:color w:val="231F20"/>
          <w:spacing w:val="-24"/>
        </w:rPr>
        <w:t> </w:t>
      </w:r>
      <w:r>
        <w:rPr>
          <w:rFonts w:ascii="Tahoma" w:hAnsi="Tahoma"/>
          <w:color w:val="231F20"/>
        </w:rPr>
        <w:t>de</w:t>
      </w:r>
      <w:r>
        <w:rPr>
          <w:rFonts w:ascii="Tahoma" w:hAnsi="Tahoma"/>
          <w:color w:val="231F20"/>
          <w:spacing w:val="-24"/>
        </w:rPr>
        <w:t> </w:t>
      </w:r>
      <w:r>
        <w:rPr>
          <w:rFonts w:ascii="Tahoma" w:hAnsi="Tahoma"/>
          <w:color w:val="231F20"/>
          <w:spacing w:val="-3"/>
        </w:rPr>
        <w:t>encuestas</w:t>
      </w:r>
      <w:r>
        <w:rPr>
          <w:rFonts w:ascii="Tahoma" w:hAnsi="Tahoma"/>
          <w:color w:val="231F20"/>
          <w:spacing w:val="-24"/>
        </w:rPr>
        <w:t> </w:t>
      </w:r>
      <w:r>
        <w:rPr>
          <w:rFonts w:ascii="Tahoma" w:hAnsi="Tahoma"/>
          <w:color w:val="231F20"/>
          <w:spacing w:val="-3"/>
        </w:rPr>
        <w:t>estruc- turadas, aplicadas </w:t>
      </w:r>
      <w:r>
        <w:rPr>
          <w:rFonts w:ascii="Tahoma" w:hAnsi="Tahoma"/>
          <w:color w:val="231F20"/>
        </w:rPr>
        <w:t>a </w:t>
      </w:r>
      <w:r>
        <w:rPr>
          <w:rFonts w:ascii="Tahoma" w:hAnsi="Tahoma"/>
          <w:color w:val="231F20"/>
          <w:spacing w:val="-4"/>
        </w:rPr>
        <w:t>50 </w:t>
      </w:r>
      <w:r>
        <w:rPr>
          <w:rFonts w:ascii="Tahoma" w:hAnsi="Tahoma"/>
          <w:color w:val="231F20"/>
          <w:spacing w:val="-3"/>
        </w:rPr>
        <w:t>titulares </w:t>
      </w:r>
      <w:r>
        <w:rPr>
          <w:rFonts w:ascii="Tahoma" w:hAnsi="Tahoma"/>
          <w:color w:val="231F20"/>
        </w:rPr>
        <w:t>de las </w:t>
      </w:r>
      <w:r>
        <w:rPr>
          <w:rFonts w:ascii="Tahoma" w:hAnsi="Tahoma"/>
          <w:color w:val="231F20"/>
          <w:spacing w:val="-3"/>
        </w:rPr>
        <w:t>unidades </w:t>
      </w:r>
      <w:r>
        <w:rPr>
          <w:rFonts w:ascii="Tahoma" w:hAnsi="Tahoma"/>
          <w:color w:val="231F20"/>
        </w:rPr>
        <w:t>de</w:t>
      </w:r>
      <w:r>
        <w:rPr>
          <w:rFonts w:ascii="Tahoma" w:hAnsi="Tahoma"/>
          <w:color w:val="231F20"/>
          <w:spacing w:val="-23"/>
        </w:rPr>
        <w:t> </w:t>
      </w:r>
      <w:r>
        <w:rPr>
          <w:rFonts w:ascii="Tahoma" w:hAnsi="Tahoma"/>
          <w:color w:val="231F20"/>
          <w:spacing w:val="-3"/>
        </w:rPr>
        <w:t>producción.</w:t>
      </w:r>
      <w:r>
        <w:rPr>
          <w:rFonts w:ascii="Tahoma" w:hAnsi="Tahoma"/>
          <w:color w:val="231F20"/>
          <w:spacing w:val="-23"/>
        </w:rPr>
        <w:t> </w:t>
      </w:r>
      <w:r>
        <w:rPr>
          <w:rFonts w:ascii="Tahoma" w:hAnsi="Tahoma"/>
          <w:color w:val="231F20"/>
          <w:spacing w:val="-4"/>
        </w:rPr>
        <w:t>Para</w:t>
      </w:r>
      <w:r>
        <w:rPr>
          <w:rFonts w:ascii="Tahoma" w:hAnsi="Tahoma"/>
          <w:color w:val="231F20"/>
          <w:spacing w:val="-23"/>
        </w:rPr>
        <w:t> </w:t>
      </w:r>
      <w:r>
        <w:rPr>
          <w:rFonts w:ascii="Tahoma" w:hAnsi="Tahoma"/>
          <w:color w:val="231F20"/>
        </w:rPr>
        <w:t>la</w:t>
      </w:r>
      <w:r>
        <w:rPr>
          <w:rFonts w:ascii="Tahoma" w:hAnsi="Tahoma"/>
          <w:color w:val="231F20"/>
          <w:spacing w:val="-23"/>
        </w:rPr>
        <w:t> </w:t>
      </w:r>
      <w:r>
        <w:rPr>
          <w:rFonts w:ascii="Tahoma" w:hAnsi="Tahoma"/>
          <w:color w:val="231F20"/>
          <w:spacing w:val="-3"/>
        </w:rPr>
        <w:t>obtención</w:t>
      </w:r>
      <w:r>
        <w:rPr>
          <w:rFonts w:ascii="Tahoma" w:hAnsi="Tahoma"/>
          <w:color w:val="231F20"/>
          <w:spacing w:val="-23"/>
        </w:rPr>
        <w:t> </w:t>
      </w:r>
      <w:r>
        <w:rPr>
          <w:rFonts w:ascii="Tahoma" w:hAnsi="Tahoma"/>
          <w:color w:val="231F20"/>
        </w:rPr>
        <w:t>de</w:t>
      </w:r>
      <w:r>
        <w:rPr>
          <w:rFonts w:ascii="Tahoma" w:hAnsi="Tahoma"/>
          <w:color w:val="231F20"/>
          <w:spacing w:val="-23"/>
        </w:rPr>
        <w:t> </w:t>
      </w:r>
      <w:r>
        <w:rPr>
          <w:rFonts w:ascii="Tahoma" w:hAnsi="Tahoma"/>
          <w:color w:val="231F20"/>
        </w:rPr>
        <w:t>la</w:t>
      </w:r>
      <w:r>
        <w:rPr>
          <w:rFonts w:ascii="Tahoma" w:hAnsi="Tahoma"/>
          <w:color w:val="231F20"/>
          <w:spacing w:val="-23"/>
        </w:rPr>
        <w:t> </w:t>
      </w:r>
      <w:r>
        <w:rPr>
          <w:rFonts w:ascii="Tahoma" w:hAnsi="Tahoma"/>
          <w:color w:val="231F20"/>
          <w:spacing w:val="-3"/>
        </w:rPr>
        <w:t>muestra</w:t>
      </w:r>
      <w:r>
        <w:rPr>
          <w:rFonts w:ascii="Tahoma" w:hAnsi="Tahoma"/>
          <w:color w:val="231F20"/>
          <w:spacing w:val="-23"/>
        </w:rPr>
        <w:t> </w:t>
      </w:r>
      <w:r>
        <w:rPr>
          <w:rFonts w:ascii="Tahoma" w:hAnsi="Tahoma"/>
          <w:color w:val="231F20"/>
          <w:spacing w:val="-3"/>
        </w:rPr>
        <w:t>de unidades </w:t>
      </w:r>
      <w:r>
        <w:rPr>
          <w:rFonts w:ascii="Tahoma" w:hAnsi="Tahoma"/>
          <w:color w:val="231F20"/>
        </w:rPr>
        <w:t>de </w:t>
      </w:r>
      <w:r>
        <w:rPr>
          <w:rFonts w:ascii="Tahoma" w:hAnsi="Tahoma"/>
          <w:color w:val="231F20"/>
          <w:spacing w:val="-3"/>
        </w:rPr>
        <w:t>producción susceptibles </w:t>
      </w:r>
      <w:r>
        <w:rPr>
          <w:rFonts w:ascii="Tahoma" w:hAnsi="Tahoma"/>
          <w:color w:val="231F20"/>
        </w:rPr>
        <w:t>de </w:t>
      </w:r>
      <w:r>
        <w:rPr>
          <w:rFonts w:ascii="Tahoma" w:hAnsi="Tahoma"/>
          <w:color w:val="231F20"/>
          <w:spacing w:val="-3"/>
        </w:rPr>
        <w:t>estudio, antes</w:t>
      </w:r>
      <w:r>
        <w:rPr>
          <w:rFonts w:ascii="Tahoma" w:hAnsi="Tahoma"/>
          <w:color w:val="231F20"/>
          <w:spacing w:val="-26"/>
        </w:rPr>
        <w:t> </w:t>
      </w:r>
      <w:r>
        <w:rPr>
          <w:rFonts w:ascii="Tahoma" w:hAnsi="Tahoma"/>
          <w:color w:val="231F20"/>
        </w:rPr>
        <w:t>se</w:t>
      </w:r>
      <w:r>
        <w:rPr>
          <w:rFonts w:ascii="Tahoma" w:hAnsi="Tahoma"/>
          <w:color w:val="231F20"/>
          <w:spacing w:val="-26"/>
        </w:rPr>
        <w:t> </w:t>
      </w:r>
      <w:r>
        <w:rPr>
          <w:rFonts w:ascii="Tahoma" w:hAnsi="Tahoma"/>
          <w:color w:val="231F20"/>
          <w:spacing w:val="-3"/>
        </w:rPr>
        <w:t>analizaron</w:t>
      </w:r>
      <w:r>
        <w:rPr>
          <w:rFonts w:ascii="Tahoma" w:hAnsi="Tahoma"/>
          <w:color w:val="231F20"/>
          <w:spacing w:val="-26"/>
        </w:rPr>
        <w:t> </w:t>
      </w:r>
      <w:r>
        <w:rPr>
          <w:rFonts w:ascii="Tahoma" w:hAnsi="Tahoma"/>
          <w:color w:val="231F20"/>
        </w:rPr>
        <w:t>los</w:t>
      </w:r>
      <w:r>
        <w:rPr>
          <w:rFonts w:ascii="Tahoma" w:hAnsi="Tahoma"/>
          <w:color w:val="231F20"/>
          <w:spacing w:val="-26"/>
        </w:rPr>
        <w:t> </w:t>
      </w:r>
      <w:r>
        <w:rPr>
          <w:rFonts w:ascii="Tahoma" w:hAnsi="Tahoma"/>
          <w:color w:val="231F20"/>
          <w:spacing w:val="-3"/>
        </w:rPr>
        <w:t>censos</w:t>
      </w:r>
      <w:r>
        <w:rPr>
          <w:rFonts w:ascii="Tahoma" w:hAnsi="Tahoma"/>
          <w:color w:val="231F20"/>
          <w:spacing w:val="-26"/>
        </w:rPr>
        <w:t> </w:t>
      </w:r>
      <w:r>
        <w:rPr>
          <w:rFonts w:ascii="Tahoma" w:hAnsi="Tahoma"/>
          <w:color w:val="231F20"/>
          <w:spacing w:val="-3"/>
        </w:rPr>
        <w:t>proporcionados</w:t>
      </w:r>
      <w:r>
        <w:rPr>
          <w:rFonts w:ascii="Tahoma" w:hAnsi="Tahoma"/>
          <w:color w:val="231F20"/>
          <w:spacing w:val="-26"/>
        </w:rPr>
        <w:t> </w:t>
      </w:r>
      <w:r>
        <w:rPr>
          <w:rFonts w:ascii="Tahoma" w:hAnsi="Tahoma"/>
          <w:color w:val="231F20"/>
          <w:spacing w:val="-3"/>
        </w:rPr>
        <w:t>por </w:t>
      </w:r>
      <w:r>
        <w:rPr>
          <w:rFonts w:ascii="Tahoma" w:hAnsi="Tahoma"/>
          <w:color w:val="231F20"/>
          <w:w w:val="95"/>
        </w:rPr>
        <w:t>las </w:t>
      </w:r>
      <w:r>
        <w:rPr>
          <w:rFonts w:ascii="Tahoma" w:hAnsi="Tahoma"/>
          <w:color w:val="231F20"/>
          <w:spacing w:val="-3"/>
          <w:w w:val="95"/>
        </w:rPr>
        <w:t>asociaciones ganaderas locales. </w:t>
      </w:r>
      <w:r>
        <w:rPr>
          <w:rFonts w:ascii="Tahoma" w:hAnsi="Tahoma"/>
          <w:color w:val="231F20"/>
          <w:spacing w:val="-4"/>
          <w:w w:val="95"/>
        </w:rPr>
        <w:t>Posteriormente </w:t>
      </w:r>
      <w:r>
        <w:rPr>
          <w:rFonts w:ascii="Tahoma" w:hAnsi="Tahoma"/>
          <w:color w:val="231F20"/>
        </w:rPr>
        <w:t>la</w:t>
      </w:r>
      <w:r>
        <w:rPr>
          <w:rFonts w:ascii="Tahoma" w:hAnsi="Tahoma"/>
          <w:color w:val="231F20"/>
          <w:spacing w:val="-13"/>
        </w:rPr>
        <w:t> </w:t>
      </w:r>
      <w:r>
        <w:rPr>
          <w:rFonts w:ascii="Tahoma" w:hAnsi="Tahoma"/>
          <w:color w:val="231F20"/>
          <w:spacing w:val="-3"/>
        </w:rPr>
        <w:t>muestra</w:t>
      </w:r>
      <w:r>
        <w:rPr>
          <w:rFonts w:ascii="Tahoma" w:hAnsi="Tahoma"/>
          <w:color w:val="231F20"/>
          <w:spacing w:val="-13"/>
        </w:rPr>
        <w:t> </w:t>
      </w:r>
      <w:r>
        <w:rPr>
          <w:rFonts w:ascii="Tahoma" w:hAnsi="Tahoma"/>
          <w:color w:val="231F20"/>
          <w:spacing w:val="-3"/>
        </w:rPr>
        <w:t>definitiva</w:t>
      </w:r>
      <w:r>
        <w:rPr>
          <w:rFonts w:ascii="Tahoma" w:hAnsi="Tahoma"/>
          <w:color w:val="231F20"/>
          <w:spacing w:val="-13"/>
        </w:rPr>
        <w:t> </w:t>
      </w:r>
      <w:r>
        <w:rPr>
          <w:rFonts w:ascii="Tahoma" w:hAnsi="Tahoma"/>
          <w:color w:val="231F20"/>
        </w:rPr>
        <w:t>se</w:t>
      </w:r>
      <w:r>
        <w:rPr>
          <w:rFonts w:ascii="Tahoma" w:hAnsi="Tahoma"/>
          <w:color w:val="231F20"/>
          <w:spacing w:val="-13"/>
        </w:rPr>
        <w:t> </w:t>
      </w:r>
      <w:r>
        <w:rPr>
          <w:rFonts w:ascii="Tahoma" w:hAnsi="Tahoma"/>
          <w:color w:val="231F20"/>
          <w:spacing w:val="-3"/>
        </w:rPr>
        <w:t>obtuvo</w:t>
      </w:r>
      <w:r>
        <w:rPr>
          <w:rFonts w:ascii="Tahoma" w:hAnsi="Tahoma"/>
          <w:color w:val="231F20"/>
          <w:spacing w:val="-13"/>
        </w:rPr>
        <w:t> </w:t>
      </w:r>
      <w:r>
        <w:rPr>
          <w:rFonts w:ascii="Tahoma" w:hAnsi="Tahoma"/>
          <w:color w:val="231F20"/>
          <w:spacing w:val="-3"/>
        </w:rPr>
        <w:t>según</w:t>
      </w:r>
      <w:r>
        <w:rPr>
          <w:rFonts w:ascii="Tahoma" w:hAnsi="Tahoma"/>
          <w:color w:val="231F20"/>
          <w:spacing w:val="-13"/>
        </w:rPr>
        <w:t> </w:t>
      </w:r>
      <w:r>
        <w:rPr>
          <w:rFonts w:ascii="Tahoma" w:hAnsi="Tahoma"/>
          <w:color w:val="231F20"/>
        </w:rPr>
        <w:t>la</w:t>
      </w:r>
      <w:r>
        <w:rPr>
          <w:rFonts w:ascii="Tahoma" w:hAnsi="Tahoma"/>
          <w:color w:val="231F20"/>
          <w:spacing w:val="-13"/>
        </w:rPr>
        <w:t> </w:t>
      </w:r>
      <w:r>
        <w:rPr>
          <w:rFonts w:ascii="Tahoma" w:hAnsi="Tahoma"/>
          <w:color w:val="231F20"/>
          <w:spacing w:val="-3"/>
        </w:rPr>
        <w:t>ecuación descrita</w:t>
      </w:r>
      <w:r>
        <w:rPr>
          <w:rFonts w:ascii="Tahoma" w:hAnsi="Tahoma"/>
          <w:color w:val="231F20"/>
          <w:spacing w:val="-34"/>
        </w:rPr>
        <w:t> </w:t>
      </w:r>
      <w:r>
        <w:rPr>
          <w:rFonts w:ascii="Tahoma" w:hAnsi="Tahoma"/>
          <w:color w:val="231F20"/>
        </w:rPr>
        <w:t>por</w:t>
      </w:r>
      <w:r>
        <w:rPr>
          <w:rFonts w:ascii="Tahoma" w:hAnsi="Tahoma"/>
          <w:color w:val="231F20"/>
          <w:spacing w:val="-34"/>
        </w:rPr>
        <w:t> </w:t>
      </w:r>
      <w:r>
        <w:rPr>
          <w:rFonts w:ascii="Tahoma" w:hAnsi="Tahoma"/>
          <w:color w:val="231F20"/>
          <w:spacing w:val="-4"/>
        </w:rPr>
        <w:t>Hernández</w:t>
      </w:r>
      <w:r>
        <w:rPr>
          <w:rFonts w:ascii="Tahoma" w:hAnsi="Tahoma"/>
          <w:color w:val="231F20"/>
          <w:spacing w:val="-34"/>
        </w:rPr>
        <w:t> </w:t>
      </w:r>
      <w:r>
        <w:rPr>
          <w:i/>
          <w:color w:val="231F20"/>
        </w:rPr>
        <w:t>et</w:t>
      </w:r>
      <w:r>
        <w:rPr>
          <w:i/>
          <w:color w:val="231F20"/>
          <w:spacing w:val="-17"/>
        </w:rPr>
        <w:t> </w:t>
      </w:r>
      <w:r>
        <w:rPr>
          <w:i/>
          <w:color w:val="231F20"/>
        </w:rPr>
        <w:t>al</w:t>
      </w:r>
      <w:r>
        <w:rPr>
          <w:rFonts w:ascii="Tahoma" w:hAnsi="Tahoma"/>
          <w:color w:val="231F20"/>
        </w:rPr>
        <w:t>.</w:t>
      </w:r>
      <w:r>
        <w:rPr>
          <w:rFonts w:ascii="Tahoma" w:hAnsi="Tahoma"/>
          <w:color w:val="231F20"/>
          <w:spacing w:val="-34"/>
        </w:rPr>
        <w:t> </w:t>
      </w:r>
      <w:r>
        <w:rPr>
          <w:rFonts w:ascii="Tahoma" w:hAnsi="Tahoma"/>
          <w:color w:val="231F20"/>
          <w:spacing w:val="-4"/>
        </w:rPr>
        <w:t>(2004):</w:t>
      </w:r>
    </w:p>
    <w:p>
      <w:pPr>
        <w:tabs>
          <w:tab w:pos="3713" w:val="left" w:leader="none"/>
          <w:tab w:pos="4417" w:val="left" w:leader="none"/>
        </w:tabs>
        <w:spacing w:line="182" w:lineRule="exact" w:before="161"/>
        <w:ind w:left="3147" w:right="0" w:firstLine="0"/>
        <w:jc w:val="left"/>
        <w:rPr>
          <w:i/>
          <w:sz w:val="20"/>
        </w:rPr>
      </w:pPr>
      <w:r>
        <w:rPr>
          <w:i/>
          <w:w w:val="129"/>
          <w:sz w:val="20"/>
          <w:u w:val="single"/>
        </w:rPr>
        <w:t> </w:t>
      </w:r>
      <w:r>
        <w:rPr>
          <w:i/>
          <w:sz w:val="20"/>
          <w:u w:val="single"/>
        </w:rPr>
        <w:tab/>
      </w:r>
      <w:r>
        <w:rPr>
          <w:i/>
          <w:w w:val="105"/>
          <w:sz w:val="20"/>
          <w:u w:val="single"/>
        </w:rPr>
        <w:t>N</w:t>
      </w:r>
      <w:r>
        <w:rPr>
          <w:i/>
          <w:sz w:val="20"/>
          <w:u w:val="single"/>
        </w:rPr>
        <w:tab/>
      </w:r>
    </w:p>
    <w:p>
      <w:pPr>
        <w:tabs>
          <w:tab w:pos="3259" w:val="left" w:leader="none"/>
        </w:tabs>
        <w:spacing w:line="141" w:lineRule="exact" w:before="0"/>
        <w:ind w:left="1550" w:right="0" w:firstLine="0"/>
        <w:jc w:val="center"/>
        <w:rPr>
          <w:rFonts w:ascii="Tahoma" w:hAnsi="Tahoma"/>
          <w:sz w:val="20"/>
        </w:rPr>
      </w:pPr>
      <w:r>
        <w:rPr>
          <w:i/>
          <w:sz w:val="20"/>
        </w:rPr>
        <w:t>n</w:t>
      </w:r>
      <w:r>
        <w:rPr>
          <w:i/>
          <w:spacing w:val="33"/>
          <w:sz w:val="20"/>
        </w:rPr>
        <w:t> </w:t>
      </w:r>
      <w:r>
        <w:rPr>
          <w:rFonts w:ascii="Symbol" w:hAnsi="Symbol"/>
          <w:sz w:val="20"/>
        </w:rPr>
        <w:t></w:t>
      </w:r>
      <w:r>
        <w:rPr>
          <w:rFonts w:ascii="Times New Roman" w:hAnsi="Times New Roman"/>
          <w:sz w:val="20"/>
        </w:rPr>
        <w:tab/>
      </w:r>
      <w:r>
        <w:rPr>
          <w:rFonts w:ascii="Tahoma" w:hAnsi="Tahoma"/>
          <w:sz w:val="20"/>
        </w:rPr>
        <w:t>,</w:t>
      </w:r>
    </w:p>
    <w:p>
      <w:pPr>
        <w:spacing w:line="204" w:lineRule="exact" w:before="0"/>
        <w:ind w:left="3160" w:right="0" w:firstLine="0"/>
        <w:jc w:val="left"/>
        <w:rPr>
          <w:rFonts w:ascii="Tahoma" w:hAnsi="Tahoma"/>
          <w:sz w:val="20"/>
        </w:rPr>
      </w:pPr>
      <w:r>
        <w:rPr>
          <w:rFonts w:ascii="Tahoma" w:hAnsi="Tahoma"/>
          <w:sz w:val="20"/>
        </w:rPr>
        <w:t>1 </w:t>
      </w:r>
      <w:r>
        <w:rPr>
          <w:rFonts w:ascii="Symbol" w:hAnsi="Symbol"/>
          <w:sz w:val="20"/>
        </w:rPr>
        <w:t></w:t>
      </w:r>
      <w:r>
        <w:rPr>
          <w:rFonts w:ascii="Times New Roman" w:hAnsi="Times New Roman"/>
          <w:sz w:val="20"/>
        </w:rPr>
        <w:t> </w:t>
      </w:r>
      <w:r>
        <w:rPr>
          <w:rFonts w:ascii="Tahoma" w:hAnsi="Tahoma"/>
          <w:sz w:val="20"/>
        </w:rPr>
        <w:t>(</w:t>
      </w:r>
      <w:r>
        <w:rPr>
          <w:i/>
          <w:sz w:val="20"/>
        </w:rPr>
        <w:t>N  </w:t>
      </w:r>
      <w:r>
        <w:rPr>
          <w:rFonts w:ascii="Symbol" w:hAnsi="Symbol"/>
          <w:sz w:val="20"/>
        </w:rPr>
        <w:t></w:t>
      </w:r>
      <w:r>
        <w:rPr>
          <w:rFonts w:ascii="Times New Roman" w:hAnsi="Times New Roman"/>
          <w:sz w:val="20"/>
        </w:rPr>
        <w:t> </w:t>
      </w:r>
      <w:r>
        <w:rPr>
          <w:rFonts w:ascii="Tahoma" w:hAnsi="Tahoma"/>
          <w:sz w:val="20"/>
        </w:rPr>
        <w:t>0.1</w:t>
      </w:r>
      <w:r>
        <w:rPr>
          <w:rFonts w:ascii="Tahoma" w:hAnsi="Tahoma"/>
          <w:position w:val="6"/>
          <w:sz w:val="13"/>
        </w:rPr>
        <w:t>2 </w:t>
      </w:r>
      <w:r>
        <w:rPr>
          <w:rFonts w:ascii="Tahoma" w:hAnsi="Tahoma"/>
          <w:sz w:val="20"/>
        </w:rPr>
        <w:t>)</w:t>
      </w:r>
    </w:p>
    <w:p>
      <w:pPr>
        <w:pStyle w:val="BodyText"/>
        <w:spacing w:line="261" w:lineRule="auto" w:before="183"/>
        <w:ind w:left="1553"/>
        <w:jc w:val="both"/>
        <w:rPr>
          <w:rFonts w:ascii="Tahoma" w:hAnsi="Tahoma"/>
        </w:rPr>
      </w:pPr>
      <w:r>
        <w:rPr>
          <w:rFonts w:ascii="Tahoma" w:hAnsi="Tahoma"/>
          <w:color w:val="231F20"/>
        </w:rPr>
        <w:t>donde </w:t>
      </w:r>
      <w:r>
        <w:rPr>
          <w:i/>
          <w:color w:val="231F20"/>
        </w:rPr>
        <w:t>n </w:t>
      </w:r>
      <w:r>
        <w:rPr>
          <w:rFonts w:ascii="Tahoma" w:hAnsi="Tahoma"/>
          <w:color w:val="231F20"/>
        </w:rPr>
        <w:t>es el tamaño de la muestra, </w:t>
      </w:r>
      <w:r>
        <w:rPr>
          <w:i/>
          <w:color w:val="231F20"/>
        </w:rPr>
        <w:t>N </w:t>
      </w:r>
      <w:r>
        <w:rPr>
          <w:rFonts w:ascii="Tahoma" w:hAnsi="Tahoma"/>
          <w:color w:val="231F20"/>
        </w:rPr>
        <w:t>es el</w:t>
      </w:r>
      <w:r>
        <w:rPr>
          <w:rFonts w:ascii="Tahoma" w:hAnsi="Tahoma"/>
          <w:color w:val="231F20"/>
          <w:spacing w:val="-16"/>
        </w:rPr>
        <w:t> </w:t>
      </w:r>
      <w:r>
        <w:rPr>
          <w:rFonts w:ascii="Tahoma" w:hAnsi="Tahoma"/>
          <w:color w:val="231F20"/>
        </w:rPr>
        <w:t>ta- maño</w:t>
      </w:r>
      <w:r>
        <w:rPr>
          <w:rFonts w:ascii="Tahoma" w:hAnsi="Tahoma"/>
          <w:color w:val="231F20"/>
          <w:spacing w:val="-9"/>
        </w:rPr>
        <w:t> </w:t>
      </w:r>
      <w:r>
        <w:rPr>
          <w:rFonts w:ascii="Tahoma" w:hAnsi="Tahoma"/>
          <w:color w:val="231F20"/>
        </w:rPr>
        <w:t>de</w:t>
      </w:r>
      <w:r>
        <w:rPr>
          <w:rFonts w:ascii="Tahoma" w:hAnsi="Tahoma"/>
          <w:color w:val="231F20"/>
          <w:spacing w:val="-9"/>
        </w:rPr>
        <w:t> </w:t>
      </w:r>
      <w:r>
        <w:rPr>
          <w:rFonts w:ascii="Tahoma" w:hAnsi="Tahoma"/>
          <w:color w:val="231F20"/>
        </w:rPr>
        <w:t>la</w:t>
      </w:r>
      <w:r>
        <w:rPr>
          <w:rFonts w:ascii="Tahoma" w:hAnsi="Tahoma"/>
          <w:color w:val="231F20"/>
          <w:spacing w:val="-9"/>
        </w:rPr>
        <w:t> </w:t>
      </w:r>
      <w:r>
        <w:rPr>
          <w:rFonts w:ascii="Tahoma" w:hAnsi="Tahoma"/>
          <w:color w:val="231F20"/>
        </w:rPr>
        <w:t>población</w:t>
      </w:r>
      <w:r>
        <w:rPr>
          <w:rFonts w:ascii="Tahoma" w:hAnsi="Tahoma"/>
          <w:color w:val="231F20"/>
          <w:spacing w:val="-9"/>
        </w:rPr>
        <w:t> </w:t>
      </w:r>
      <w:r>
        <w:rPr>
          <w:rFonts w:ascii="Tahoma" w:hAnsi="Tahoma"/>
          <w:color w:val="231F20"/>
        </w:rPr>
        <w:t>y</w:t>
      </w:r>
      <w:r>
        <w:rPr>
          <w:rFonts w:ascii="Tahoma" w:hAnsi="Tahoma"/>
          <w:color w:val="231F20"/>
          <w:spacing w:val="-9"/>
        </w:rPr>
        <w:t> </w:t>
      </w:r>
      <w:r>
        <w:rPr>
          <w:rFonts w:ascii="Tahoma" w:hAnsi="Tahoma"/>
          <w:color w:val="231F20"/>
        </w:rPr>
        <w:t>0,1</w:t>
      </w:r>
      <w:r>
        <w:rPr>
          <w:rFonts w:ascii="Tahoma" w:hAnsi="Tahoma"/>
          <w:color w:val="231F20"/>
          <w:spacing w:val="-9"/>
        </w:rPr>
        <w:t> </w:t>
      </w:r>
      <w:r>
        <w:rPr>
          <w:rFonts w:ascii="Tahoma" w:hAnsi="Tahoma"/>
          <w:color w:val="231F20"/>
        </w:rPr>
        <w:t>es</w:t>
      </w:r>
      <w:r>
        <w:rPr>
          <w:rFonts w:ascii="Tahoma" w:hAnsi="Tahoma"/>
          <w:color w:val="231F20"/>
          <w:spacing w:val="-9"/>
        </w:rPr>
        <w:t> </w:t>
      </w:r>
      <w:r>
        <w:rPr>
          <w:rFonts w:ascii="Tahoma" w:hAnsi="Tahoma"/>
          <w:color w:val="231F20"/>
        </w:rPr>
        <w:t>el</w:t>
      </w:r>
      <w:r>
        <w:rPr>
          <w:rFonts w:ascii="Tahoma" w:hAnsi="Tahoma"/>
          <w:color w:val="231F20"/>
          <w:spacing w:val="-9"/>
        </w:rPr>
        <w:t> </w:t>
      </w:r>
      <w:r>
        <w:rPr>
          <w:rFonts w:ascii="Tahoma" w:hAnsi="Tahoma"/>
          <w:color w:val="231F20"/>
        </w:rPr>
        <w:t>error</w:t>
      </w:r>
      <w:r>
        <w:rPr>
          <w:rFonts w:ascii="Tahoma" w:hAnsi="Tahoma"/>
          <w:color w:val="231F20"/>
          <w:spacing w:val="-9"/>
        </w:rPr>
        <w:t> </w:t>
      </w:r>
      <w:r>
        <w:rPr>
          <w:rFonts w:ascii="Tahoma" w:hAnsi="Tahoma"/>
          <w:color w:val="231F20"/>
        </w:rPr>
        <w:t>estándar, determinado</w:t>
      </w:r>
      <w:r>
        <w:rPr>
          <w:rFonts w:ascii="Tahoma" w:hAnsi="Tahoma"/>
          <w:color w:val="231F20"/>
          <w:spacing w:val="-26"/>
        </w:rPr>
        <w:t> </w:t>
      </w:r>
      <w:r>
        <w:rPr>
          <w:rFonts w:ascii="Tahoma" w:hAnsi="Tahoma"/>
          <w:color w:val="231F20"/>
        </w:rPr>
        <w:t>por</w:t>
      </w:r>
      <w:r>
        <w:rPr>
          <w:rFonts w:ascii="Tahoma" w:hAnsi="Tahoma"/>
          <w:color w:val="231F20"/>
          <w:spacing w:val="-26"/>
        </w:rPr>
        <w:t> </w:t>
      </w:r>
      <w:r>
        <w:rPr>
          <w:rFonts w:ascii="Tahoma" w:hAnsi="Tahoma"/>
          <w:color w:val="231F20"/>
        </w:rPr>
        <w:t>el</w:t>
      </w:r>
      <w:r>
        <w:rPr>
          <w:rFonts w:ascii="Tahoma" w:hAnsi="Tahoma"/>
          <w:color w:val="231F20"/>
          <w:spacing w:val="-26"/>
        </w:rPr>
        <w:t> </w:t>
      </w:r>
      <w:r>
        <w:rPr>
          <w:rFonts w:ascii="Tahoma" w:hAnsi="Tahoma"/>
          <w:color w:val="231F20"/>
        </w:rPr>
        <w:t>investigador.</w:t>
      </w:r>
      <w:r>
        <w:rPr>
          <w:rFonts w:ascii="Tahoma" w:hAnsi="Tahoma"/>
          <w:color w:val="231F20"/>
          <w:spacing w:val="-26"/>
        </w:rPr>
        <w:t> </w:t>
      </w:r>
      <w:r>
        <w:rPr>
          <w:rFonts w:ascii="Tahoma" w:hAnsi="Tahoma"/>
          <w:color w:val="231F20"/>
        </w:rPr>
        <w:t>Se</w:t>
      </w:r>
      <w:r>
        <w:rPr>
          <w:rFonts w:ascii="Tahoma" w:hAnsi="Tahoma"/>
          <w:color w:val="231F20"/>
          <w:spacing w:val="-26"/>
        </w:rPr>
        <w:t> </w:t>
      </w:r>
      <w:r>
        <w:rPr>
          <w:rFonts w:ascii="Tahoma" w:hAnsi="Tahoma"/>
          <w:color w:val="231F20"/>
        </w:rPr>
        <w:t>identificaron</w:t>
      </w:r>
      <w:r>
        <w:rPr>
          <w:rFonts w:ascii="Tahoma" w:hAnsi="Tahoma"/>
          <w:color w:val="231F20"/>
          <w:spacing w:val="1"/>
          <w:w w:val="93"/>
        </w:rPr>
        <w:t> </w:t>
      </w:r>
      <w:r>
        <w:rPr>
          <w:rFonts w:ascii="Tahoma" w:hAnsi="Tahoma"/>
          <w:color w:val="231F20"/>
          <w:spacing w:val="-3"/>
        </w:rPr>
        <w:t>100 </w:t>
      </w:r>
      <w:r>
        <w:rPr>
          <w:rFonts w:ascii="Tahoma" w:hAnsi="Tahoma"/>
          <w:color w:val="231F20"/>
        </w:rPr>
        <w:t>unidades de producción, lo que arrojó una muestra</w:t>
      </w:r>
      <w:r>
        <w:rPr>
          <w:rFonts w:ascii="Tahoma" w:hAnsi="Tahoma"/>
          <w:color w:val="231F20"/>
          <w:spacing w:val="-29"/>
        </w:rPr>
        <w:t> </w:t>
      </w:r>
      <w:r>
        <w:rPr>
          <w:rFonts w:ascii="Tahoma" w:hAnsi="Tahoma"/>
          <w:color w:val="231F20"/>
        </w:rPr>
        <w:t>susceptible</w:t>
      </w:r>
      <w:r>
        <w:rPr>
          <w:rFonts w:ascii="Tahoma" w:hAnsi="Tahoma"/>
          <w:color w:val="231F20"/>
          <w:spacing w:val="-29"/>
        </w:rPr>
        <w:t> </w:t>
      </w:r>
      <w:r>
        <w:rPr>
          <w:rFonts w:ascii="Tahoma" w:hAnsi="Tahoma"/>
          <w:color w:val="231F20"/>
        </w:rPr>
        <w:t>de</w:t>
      </w:r>
      <w:r>
        <w:rPr>
          <w:rFonts w:ascii="Tahoma" w:hAnsi="Tahoma"/>
          <w:color w:val="231F20"/>
          <w:spacing w:val="-29"/>
        </w:rPr>
        <w:t> </w:t>
      </w:r>
      <w:r>
        <w:rPr>
          <w:rFonts w:ascii="Tahoma" w:hAnsi="Tahoma"/>
          <w:color w:val="231F20"/>
        </w:rPr>
        <w:t>estudio</w:t>
      </w:r>
      <w:r>
        <w:rPr>
          <w:rFonts w:ascii="Tahoma" w:hAnsi="Tahoma"/>
          <w:color w:val="231F20"/>
          <w:spacing w:val="-29"/>
        </w:rPr>
        <w:t> </w:t>
      </w:r>
      <w:r>
        <w:rPr>
          <w:rFonts w:ascii="Tahoma" w:hAnsi="Tahoma"/>
          <w:color w:val="231F20"/>
        </w:rPr>
        <w:t>de</w:t>
      </w:r>
      <w:r>
        <w:rPr>
          <w:rFonts w:ascii="Tahoma" w:hAnsi="Tahoma"/>
          <w:color w:val="231F20"/>
          <w:spacing w:val="-29"/>
        </w:rPr>
        <w:t> </w:t>
      </w:r>
      <w:r>
        <w:rPr>
          <w:rFonts w:ascii="Tahoma" w:hAnsi="Tahoma"/>
          <w:color w:val="231F20"/>
        </w:rPr>
        <w:t>50.</w:t>
      </w:r>
      <w:r>
        <w:rPr>
          <w:rFonts w:ascii="Tahoma" w:hAnsi="Tahoma"/>
          <w:color w:val="231F20"/>
          <w:spacing w:val="-29"/>
        </w:rPr>
        <w:t> </w:t>
      </w:r>
      <w:r>
        <w:rPr>
          <w:rFonts w:ascii="Tahoma" w:hAnsi="Tahoma"/>
          <w:color w:val="231F20"/>
        </w:rPr>
        <w:t>Luego</w:t>
      </w:r>
      <w:r>
        <w:rPr>
          <w:rFonts w:ascii="Tahoma" w:hAnsi="Tahoma"/>
          <w:color w:val="231F20"/>
          <w:spacing w:val="-29"/>
        </w:rPr>
        <w:t> </w:t>
      </w:r>
      <w:r>
        <w:rPr>
          <w:rFonts w:ascii="Tahoma" w:hAnsi="Tahoma"/>
          <w:color w:val="231F20"/>
        </w:rPr>
        <w:t>fue- ron</w:t>
      </w:r>
      <w:r>
        <w:rPr>
          <w:rFonts w:ascii="Tahoma" w:hAnsi="Tahoma"/>
          <w:color w:val="231F20"/>
          <w:spacing w:val="-24"/>
        </w:rPr>
        <w:t> </w:t>
      </w:r>
      <w:r>
        <w:rPr>
          <w:rFonts w:ascii="Tahoma" w:hAnsi="Tahoma"/>
          <w:color w:val="231F20"/>
        </w:rPr>
        <w:t>estratificadas</w:t>
      </w:r>
      <w:r>
        <w:rPr>
          <w:rFonts w:ascii="Tahoma" w:hAnsi="Tahoma"/>
          <w:color w:val="231F20"/>
          <w:spacing w:val="-24"/>
        </w:rPr>
        <w:t> </w:t>
      </w:r>
      <w:r>
        <w:rPr>
          <w:rFonts w:ascii="Tahoma" w:hAnsi="Tahoma"/>
          <w:color w:val="231F20"/>
        </w:rPr>
        <w:t>en</w:t>
      </w:r>
      <w:r>
        <w:rPr>
          <w:rFonts w:ascii="Tahoma" w:hAnsi="Tahoma"/>
          <w:color w:val="231F20"/>
          <w:spacing w:val="-24"/>
        </w:rPr>
        <w:t> </w:t>
      </w:r>
      <w:r>
        <w:rPr>
          <w:rFonts w:ascii="Tahoma" w:hAnsi="Tahoma"/>
          <w:color w:val="231F20"/>
        </w:rPr>
        <w:t>función</w:t>
      </w:r>
      <w:r>
        <w:rPr>
          <w:rFonts w:ascii="Tahoma" w:hAnsi="Tahoma"/>
          <w:color w:val="231F20"/>
          <w:spacing w:val="-24"/>
        </w:rPr>
        <w:t> </w:t>
      </w:r>
      <w:r>
        <w:rPr>
          <w:rFonts w:ascii="Tahoma" w:hAnsi="Tahoma"/>
          <w:color w:val="231F20"/>
        </w:rPr>
        <w:t>del</w:t>
      </w:r>
      <w:r>
        <w:rPr>
          <w:rFonts w:ascii="Tahoma" w:hAnsi="Tahoma"/>
          <w:color w:val="231F20"/>
          <w:spacing w:val="-24"/>
        </w:rPr>
        <w:t> </w:t>
      </w:r>
      <w:r>
        <w:rPr>
          <w:rFonts w:ascii="Tahoma" w:hAnsi="Tahoma"/>
          <w:color w:val="231F20"/>
        </w:rPr>
        <w:t>tamaño</w:t>
      </w:r>
      <w:r>
        <w:rPr>
          <w:rFonts w:ascii="Tahoma" w:hAnsi="Tahoma"/>
          <w:color w:val="231F20"/>
          <w:spacing w:val="-24"/>
        </w:rPr>
        <w:t> </w:t>
      </w:r>
      <w:r>
        <w:rPr>
          <w:rFonts w:ascii="Tahoma" w:hAnsi="Tahoma"/>
          <w:color w:val="231F20"/>
        </w:rPr>
        <w:t>del</w:t>
      </w:r>
      <w:r>
        <w:rPr>
          <w:rFonts w:ascii="Tahoma" w:hAnsi="Tahoma"/>
          <w:color w:val="231F20"/>
          <w:spacing w:val="-24"/>
        </w:rPr>
        <w:t> </w:t>
      </w:r>
      <w:r>
        <w:rPr>
          <w:rFonts w:ascii="Tahoma" w:hAnsi="Tahoma"/>
          <w:color w:val="231F20"/>
        </w:rPr>
        <w:t>hato (unidades</w:t>
      </w:r>
      <w:r>
        <w:rPr>
          <w:rFonts w:ascii="Tahoma" w:hAnsi="Tahoma"/>
          <w:color w:val="231F20"/>
          <w:spacing w:val="-10"/>
        </w:rPr>
        <w:t> </w:t>
      </w:r>
      <w:r>
        <w:rPr>
          <w:rFonts w:ascii="Tahoma" w:hAnsi="Tahoma"/>
          <w:color w:val="231F20"/>
        </w:rPr>
        <w:t>ganaderas</w:t>
      </w:r>
      <w:r>
        <w:rPr>
          <w:rFonts w:ascii="Tahoma" w:hAnsi="Tahoma"/>
          <w:color w:val="231F20"/>
          <w:spacing w:val="-10"/>
        </w:rPr>
        <w:t> </w:t>
      </w:r>
      <w:r>
        <w:rPr>
          <w:rFonts w:ascii="Tahoma" w:hAnsi="Tahoma"/>
          <w:color w:val="231F20"/>
        </w:rPr>
        <w:t>totales</w:t>
      </w:r>
      <w:r>
        <w:rPr>
          <w:rFonts w:ascii="Tahoma" w:hAnsi="Tahoma"/>
          <w:color w:val="231F20"/>
          <w:spacing w:val="-10"/>
        </w:rPr>
        <w:t> </w:t>
      </w:r>
      <w:r>
        <w:rPr>
          <w:rFonts w:ascii="Tahoma" w:hAnsi="Tahoma"/>
          <w:color w:val="231F20"/>
        </w:rPr>
        <w:t>[UGT])</w:t>
      </w:r>
      <w:r>
        <w:rPr>
          <w:rFonts w:ascii="Tahoma" w:hAnsi="Tahoma"/>
          <w:color w:val="231F20"/>
          <w:spacing w:val="-10"/>
        </w:rPr>
        <w:t> </w:t>
      </w:r>
      <w:r>
        <w:rPr>
          <w:rFonts w:ascii="Tahoma" w:hAnsi="Tahoma"/>
          <w:color w:val="231F20"/>
        </w:rPr>
        <w:t>de</w:t>
      </w:r>
      <w:r>
        <w:rPr>
          <w:rFonts w:ascii="Tahoma" w:hAnsi="Tahoma"/>
          <w:color w:val="231F20"/>
          <w:spacing w:val="-10"/>
        </w:rPr>
        <w:t> </w:t>
      </w:r>
      <w:r>
        <w:rPr>
          <w:rFonts w:ascii="Tahoma" w:hAnsi="Tahoma"/>
          <w:color w:val="231F20"/>
        </w:rPr>
        <w:t>acuerdo</w:t>
      </w:r>
    </w:p>
    <w:p>
      <w:pPr>
        <w:pStyle w:val="BodyText"/>
        <w:rPr>
          <w:rFonts w:ascii="Tahoma"/>
          <w:sz w:val="18"/>
        </w:rPr>
      </w:pPr>
      <w:r>
        <w:rPr/>
        <w:br w:type="column"/>
      </w:r>
      <w:r>
        <w:rPr>
          <w:rFonts w:ascii="Tahoma"/>
          <w:sz w:val="18"/>
        </w:rPr>
      </w:r>
    </w:p>
    <w:p>
      <w:pPr>
        <w:spacing w:line="273" w:lineRule="auto" w:before="136"/>
        <w:ind w:left="412" w:right="1566" w:firstLine="0"/>
        <w:jc w:val="both"/>
        <w:rPr>
          <w:rFonts w:ascii="Tahoma" w:hAnsi="Tahoma"/>
          <w:sz w:val="18"/>
        </w:rPr>
      </w:pPr>
      <w:r>
        <w:rPr>
          <w:color w:val="231F20"/>
          <w:sz w:val="18"/>
        </w:rPr>
        <w:t>Cuadro 3. </w:t>
      </w:r>
      <w:r>
        <w:rPr>
          <w:rFonts w:ascii="Tahoma" w:hAnsi="Tahoma"/>
          <w:color w:val="231F20"/>
          <w:sz w:val="18"/>
        </w:rPr>
        <w:t>Estructura para la descripción de las</w:t>
      </w:r>
      <w:r>
        <w:rPr>
          <w:rFonts w:ascii="Tahoma" w:hAnsi="Tahoma"/>
          <w:color w:val="231F20"/>
          <w:spacing w:val="-28"/>
          <w:sz w:val="18"/>
        </w:rPr>
        <w:t> </w:t>
      </w:r>
      <w:r>
        <w:rPr>
          <w:rFonts w:ascii="Tahoma" w:hAnsi="Tahoma"/>
          <w:color w:val="231F20"/>
          <w:sz w:val="18"/>
        </w:rPr>
        <w:t>unida- des</w:t>
      </w:r>
      <w:r>
        <w:rPr>
          <w:rFonts w:ascii="Tahoma" w:hAnsi="Tahoma"/>
          <w:color w:val="231F20"/>
          <w:spacing w:val="-22"/>
          <w:sz w:val="18"/>
        </w:rPr>
        <w:t> </w:t>
      </w:r>
      <w:r>
        <w:rPr>
          <w:rFonts w:ascii="Tahoma" w:hAnsi="Tahoma"/>
          <w:color w:val="231F20"/>
          <w:sz w:val="18"/>
        </w:rPr>
        <w:t>de</w:t>
      </w:r>
      <w:r>
        <w:rPr>
          <w:rFonts w:ascii="Tahoma" w:hAnsi="Tahoma"/>
          <w:color w:val="231F20"/>
          <w:spacing w:val="-22"/>
          <w:sz w:val="18"/>
        </w:rPr>
        <w:t> </w:t>
      </w:r>
      <w:r>
        <w:rPr>
          <w:rFonts w:ascii="Tahoma" w:hAnsi="Tahoma"/>
          <w:color w:val="231F20"/>
          <w:sz w:val="18"/>
        </w:rPr>
        <w:t>producción</w:t>
      </w:r>
      <w:r>
        <w:rPr>
          <w:rFonts w:ascii="Tahoma" w:hAnsi="Tahoma"/>
          <w:color w:val="231F20"/>
          <w:spacing w:val="-22"/>
          <w:sz w:val="18"/>
        </w:rPr>
        <w:t> </w:t>
      </w:r>
      <w:r>
        <w:rPr>
          <w:rFonts w:ascii="Tahoma" w:hAnsi="Tahoma"/>
          <w:color w:val="231F20"/>
          <w:sz w:val="18"/>
        </w:rPr>
        <w:t>en</w:t>
      </w:r>
      <w:r>
        <w:rPr>
          <w:rFonts w:ascii="Tahoma" w:hAnsi="Tahoma"/>
          <w:color w:val="231F20"/>
          <w:spacing w:val="-22"/>
          <w:sz w:val="18"/>
        </w:rPr>
        <w:t> </w:t>
      </w:r>
      <w:r>
        <w:rPr>
          <w:rFonts w:ascii="Tahoma" w:hAnsi="Tahoma"/>
          <w:color w:val="231F20"/>
          <w:sz w:val="18"/>
        </w:rPr>
        <w:t>la</w:t>
      </w:r>
      <w:r>
        <w:rPr>
          <w:rFonts w:ascii="Tahoma" w:hAnsi="Tahoma"/>
          <w:color w:val="231F20"/>
          <w:spacing w:val="-22"/>
          <w:sz w:val="18"/>
        </w:rPr>
        <w:t> </w:t>
      </w:r>
      <w:r>
        <w:rPr>
          <w:rFonts w:ascii="Tahoma" w:hAnsi="Tahoma"/>
          <w:color w:val="231F20"/>
          <w:sz w:val="18"/>
        </w:rPr>
        <w:t>zona</w:t>
      </w:r>
      <w:r>
        <w:rPr>
          <w:rFonts w:ascii="Tahoma" w:hAnsi="Tahoma"/>
          <w:color w:val="231F20"/>
          <w:spacing w:val="-22"/>
          <w:sz w:val="18"/>
        </w:rPr>
        <w:t> </w:t>
      </w:r>
      <w:r>
        <w:rPr>
          <w:rFonts w:ascii="Tahoma" w:hAnsi="Tahoma"/>
          <w:color w:val="231F20"/>
          <w:sz w:val="18"/>
        </w:rPr>
        <w:t>de</w:t>
      </w:r>
      <w:r>
        <w:rPr>
          <w:rFonts w:ascii="Tahoma" w:hAnsi="Tahoma"/>
          <w:color w:val="231F20"/>
          <w:spacing w:val="-22"/>
          <w:sz w:val="18"/>
        </w:rPr>
        <w:t> </w:t>
      </w:r>
      <w:r>
        <w:rPr>
          <w:rFonts w:ascii="Tahoma" w:hAnsi="Tahoma"/>
          <w:color w:val="231F20"/>
          <w:sz w:val="18"/>
        </w:rPr>
        <w:t>estudio.</w:t>
      </w:r>
    </w:p>
    <w:p>
      <w:pPr>
        <w:pStyle w:val="BodyText"/>
        <w:spacing w:before="5"/>
        <w:rPr>
          <w:rFonts w:ascii="Tahoma"/>
          <w:sz w:val="10"/>
        </w:rPr>
      </w:pPr>
    </w:p>
    <w:tbl>
      <w:tblPr>
        <w:tblW w:w="0" w:type="auto"/>
        <w:jc w:val="left"/>
        <w:tblInd w:w="40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42"/>
        <w:gridCol w:w="624"/>
        <w:gridCol w:w="680"/>
        <w:gridCol w:w="624"/>
        <w:gridCol w:w="987"/>
      </w:tblGrid>
      <w:tr>
        <w:trPr>
          <w:trHeight w:val="369" w:hRule="exact"/>
        </w:trPr>
        <w:tc>
          <w:tcPr>
            <w:tcW w:w="1242" w:type="dxa"/>
            <w:tcBorders>
              <w:left w:val="nil"/>
            </w:tcBorders>
          </w:tcPr>
          <w:p>
            <w:pPr>
              <w:pStyle w:val="TableParagraph"/>
              <w:spacing w:before="79"/>
              <w:ind w:left="347" w:right="101"/>
              <w:rPr>
                <w:rFonts w:ascii="Cambria"/>
                <w:i/>
                <w:sz w:val="18"/>
              </w:rPr>
            </w:pPr>
            <w:r>
              <w:rPr>
                <w:rFonts w:ascii="Cambria"/>
                <w:i/>
                <w:color w:val="231F20"/>
                <w:sz w:val="18"/>
              </w:rPr>
              <w:t>Estrato</w:t>
            </w:r>
          </w:p>
        </w:tc>
        <w:tc>
          <w:tcPr>
            <w:tcW w:w="624" w:type="dxa"/>
          </w:tcPr>
          <w:p>
            <w:pPr>
              <w:pStyle w:val="TableParagraph"/>
              <w:spacing w:before="79"/>
              <w:ind w:left="92" w:right="92"/>
              <w:jc w:val="center"/>
              <w:rPr>
                <w:rFonts w:ascii="Cambria"/>
                <w:i/>
                <w:sz w:val="18"/>
              </w:rPr>
            </w:pPr>
            <w:r>
              <w:rPr>
                <w:rFonts w:ascii="Cambria"/>
                <w:i/>
                <w:color w:val="231F20"/>
                <w:sz w:val="18"/>
              </w:rPr>
              <w:t>E1</w:t>
            </w:r>
          </w:p>
        </w:tc>
        <w:tc>
          <w:tcPr>
            <w:tcW w:w="680" w:type="dxa"/>
          </w:tcPr>
          <w:p>
            <w:pPr>
              <w:pStyle w:val="TableParagraph"/>
              <w:spacing w:before="79"/>
              <w:ind w:left="22" w:right="22"/>
              <w:jc w:val="center"/>
              <w:rPr>
                <w:rFonts w:ascii="Cambria"/>
                <w:i/>
                <w:sz w:val="18"/>
              </w:rPr>
            </w:pPr>
            <w:r>
              <w:rPr>
                <w:rFonts w:ascii="Cambria"/>
                <w:i/>
                <w:color w:val="231F20"/>
                <w:sz w:val="18"/>
              </w:rPr>
              <w:t>E2</w:t>
            </w:r>
          </w:p>
        </w:tc>
        <w:tc>
          <w:tcPr>
            <w:tcW w:w="624" w:type="dxa"/>
          </w:tcPr>
          <w:p>
            <w:pPr>
              <w:pStyle w:val="TableParagraph"/>
              <w:spacing w:before="79"/>
              <w:ind w:right="205"/>
              <w:jc w:val="right"/>
              <w:rPr>
                <w:rFonts w:ascii="Cambria"/>
                <w:i/>
                <w:sz w:val="18"/>
              </w:rPr>
            </w:pPr>
            <w:r>
              <w:rPr>
                <w:rFonts w:ascii="Cambria"/>
                <w:i/>
                <w:color w:val="231F20"/>
                <w:sz w:val="18"/>
              </w:rPr>
              <w:t>E3</w:t>
            </w:r>
          </w:p>
        </w:tc>
        <w:tc>
          <w:tcPr>
            <w:tcW w:w="987" w:type="dxa"/>
            <w:tcBorders>
              <w:right w:val="nil"/>
            </w:tcBorders>
          </w:tcPr>
          <w:p>
            <w:pPr>
              <w:pStyle w:val="TableParagraph"/>
              <w:spacing w:before="79"/>
              <w:ind w:left="89" w:right="92"/>
              <w:jc w:val="center"/>
              <w:rPr>
                <w:rFonts w:ascii="Cambria"/>
                <w:i/>
                <w:sz w:val="18"/>
              </w:rPr>
            </w:pPr>
            <w:r>
              <w:rPr>
                <w:rFonts w:ascii="Cambria"/>
                <w:i/>
                <w:color w:val="231F20"/>
                <w:w w:val="105"/>
                <w:sz w:val="18"/>
              </w:rPr>
              <w:t>Promedio</w:t>
            </w:r>
          </w:p>
        </w:tc>
      </w:tr>
      <w:tr>
        <w:trPr>
          <w:trHeight w:val="354" w:hRule="exact"/>
        </w:trPr>
        <w:tc>
          <w:tcPr>
            <w:tcW w:w="1242" w:type="dxa"/>
            <w:tcBorders>
              <w:left w:val="nil"/>
            </w:tcBorders>
          </w:tcPr>
          <w:p>
            <w:pPr>
              <w:pStyle w:val="TableParagraph"/>
              <w:spacing w:before="65"/>
              <w:ind w:left="113" w:right="101"/>
              <w:rPr>
                <w:rFonts w:ascii="Tahoma"/>
                <w:sz w:val="17"/>
              </w:rPr>
            </w:pPr>
            <w:r>
              <w:rPr>
                <w:rFonts w:ascii="Tahoma"/>
                <w:color w:val="231F20"/>
                <w:sz w:val="17"/>
              </w:rPr>
              <w:t>Rango</w:t>
            </w:r>
          </w:p>
        </w:tc>
        <w:tc>
          <w:tcPr>
            <w:tcW w:w="624" w:type="dxa"/>
          </w:tcPr>
          <w:p>
            <w:pPr>
              <w:pStyle w:val="TableParagraph"/>
              <w:spacing w:before="65"/>
              <w:ind w:left="92" w:right="92"/>
              <w:jc w:val="center"/>
              <w:rPr>
                <w:rFonts w:ascii="Tahoma"/>
                <w:sz w:val="17"/>
              </w:rPr>
            </w:pPr>
            <w:r>
              <w:rPr>
                <w:rFonts w:ascii="Tahoma"/>
                <w:color w:val="231F20"/>
                <w:sz w:val="17"/>
              </w:rPr>
              <w:t>6-30</w:t>
            </w:r>
          </w:p>
        </w:tc>
        <w:tc>
          <w:tcPr>
            <w:tcW w:w="680" w:type="dxa"/>
          </w:tcPr>
          <w:p>
            <w:pPr>
              <w:pStyle w:val="TableParagraph"/>
              <w:spacing w:before="65"/>
              <w:ind w:left="21" w:right="22"/>
              <w:jc w:val="center"/>
              <w:rPr>
                <w:rFonts w:ascii="Tahoma"/>
                <w:sz w:val="17"/>
              </w:rPr>
            </w:pPr>
            <w:r>
              <w:rPr>
                <w:rFonts w:ascii="Tahoma"/>
                <w:color w:val="231F20"/>
                <w:sz w:val="17"/>
              </w:rPr>
              <w:t>31-55</w:t>
            </w:r>
          </w:p>
        </w:tc>
        <w:tc>
          <w:tcPr>
            <w:tcW w:w="624" w:type="dxa"/>
          </w:tcPr>
          <w:p>
            <w:pPr>
              <w:pStyle w:val="TableParagraph"/>
              <w:spacing w:before="65"/>
              <w:ind w:right="154"/>
              <w:jc w:val="right"/>
              <w:rPr>
                <w:rFonts w:ascii="Tahoma"/>
                <w:sz w:val="17"/>
              </w:rPr>
            </w:pPr>
            <w:r>
              <w:rPr>
                <w:rFonts w:ascii="Tahoma"/>
                <w:color w:val="231F20"/>
                <w:sz w:val="17"/>
              </w:rPr>
              <w:t>&gt;56</w:t>
            </w:r>
          </w:p>
        </w:tc>
        <w:tc>
          <w:tcPr>
            <w:tcW w:w="987" w:type="dxa"/>
            <w:tcBorders>
              <w:right w:val="nil"/>
            </w:tcBorders>
          </w:tcPr>
          <w:p>
            <w:pPr>
              <w:pStyle w:val="TableParagraph"/>
              <w:spacing w:before="65"/>
              <w:ind w:left="44"/>
              <w:jc w:val="center"/>
              <w:rPr>
                <w:rFonts w:ascii="Tahoma"/>
                <w:sz w:val="17"/>
              </w:rPr>
            </w:pPr>
            <w:r>
              <w:rPr>
                <w:rFonts w:ascii="Tahoma"/>
                <w:color w:val="231F20"/>
                <w:w w:val="80"/>
                <w:sz w:val="17"/>
              </w:rPr>
              <w:t>-</w:t>
            </w:r>
          </w:p>
        </w:tc>
      </w:tr>
      <w:tr>
        <w:trPr>
          <w:trHeight w:val="574" w:hRule="exact"/>
        </w:trPr>
        <w:tc>
          <w:tcPr>
            <w:tcW w:w="1242" w:type="dxa"/>
            <w:tcBorders>
              <w:left w:val="nil"/>
            </w:tcBorders>
          </w:tcPr>
          <w:p>
            <w:pPr>
              <w:pStyle w:val="TableParagraph"/>
              <w:spacing w:line="256" w:lineRule="auto" w:before="65"/>
              <w:ind w:left="113" w:right="101"/>
              <w:rPr>
                <w:rFonts w:ascii="Tahoma" w:hAnsi="Tahoma"/>
                <w:sz w:val="17"/>
              </w:rPr>
            </w:pPr>
            <w:r>
              <w:rPr>
                <w:rFonts w:ascii="Tahoma" w:hAnsi="Tahoma"/>
                <w:color w:val="231F20"/>
                <w:sz w:val="17"/>
              </w:rPr>
              <w:t>Nº unidades </w:t>
            </w:r>
            <w:r>
              <w:rPr>
                <w:rFonts w:ascii="Tahoma" w:hAnsi="Tahoma"/>
                <w:color w:val="231F20"/>
                <w:w w:val="95"/>
                <w:sz w:val="17"/>
              </w:rPr>
              <w:t>de producción</w:t>
            </w:r>
          </w:p>
        </w:tc>
        <w:tc>
          <w:tcPr>
            <w:tcW w:w="624" w:type="dxa"/>
          </w:tcPr>
          <w:p>
            <w:pPr>
              <w:pStyle w:val="TableParagraph"/>
              <w:spacing w:before="6"/>
              <w:rPr>
                <w:rFonts w:ascii="Tahoma"/>
                <w:sz w:val="14"/>
              </w:rPr>
            </w:pPr>
          </w:p>
          <w:p>
            <w:pPr>
              <w:pStyle w:val="TableParagraph"/>
              <w:spacing w:before="0"/>
              <w:ind w:left="91" w:right="92"/>
              <w:jc w:val="center"/>
              <w:rPr>
                <w:rFonts w:ascii="Tahoma"/>
                <w:sz w:val="17"/>
              </w:rPr>
            </w:pPr>
            <w:r>
              <w:rPr>
                <w:rFonts w:ascii="Tahoma"/>
                <w:color w:val="231F20"/>
                <w:w w:val="105"/>
                <w:sz w:val="17"/>
              </w:rPr>
              <w:t>38</w:t>
            </w:r>
          </w:p>
        </w:tc>
        <w:tc>
          <w:tcPr>
            <w:tcW w:w="680" w:type="dxa"/>
          </w:tcPr>
          <w:p>
            <w:pPr>
              <w:pStyle w:val="TableParagraph"/>
              <w:spacing w:before="6"/>
              <w:rPr>
                <w:rFonts w:ascii="Tahoma"/>
                <w:sz w:val="14"/>
              </w:rPr>
            </w:pPr>
          </w:p>
          <w:p>
            <w:pPr>
              <w:pStyle w:val="TableParagraph"/>
              <w:spacing w:before="0"/>
              <w:ind w:left="84"/>
              <w:jc w:val="center"/>
              <w:rPr>
                <w:rFonts w:ascii="Tahoma"/>
                <w:sz w:val="17"/>
              </w:rPr>
            </w:pPr>
            <w:r>
              <w:rPr>
                <w:rFonts w:ascii="Tahoma"/>
                <w:color w:val="231F20"/>
                <w:w w:val="106"/>
                <w:sz w:val="17"/>
              </w:rPr>
              <w:t>6</w:t>
            </w:r>
          </w:p>
        </w:tc>
        <w:tc>
          <w:tcPr>
            <w:tcW w:w="624" w:type="dxa"/>
          </w:tcPr>
          <w:p>
            <w:pPr>
              <w:pStyle w:val="TableParagraph"/>
              <w:spacing w:before="6"/>
              <w:rPr>
                <w:rFonts w:ascii="Tahoma"/>
                <w:sz w:val="14"/>
              </w:rPr>
            </w:pPr>
          </w:p>
          <w:p>
            <w:pPr>
              <w:pStyle w:val="TableParagraph"/>
              <w:spacing w:before="0"/>
              <w:ind w:right="212"/>
              <w:jc w:val="right"/>
              <w:rPr>
                <w:rFonts w:ascii="Tahoma"/>
                <w:sz w:val="17"/>
              </w:rPr>
            </w:pPr>
            <w:r>
              <w:rPr>
                <w:rFonts w:ascii="Tahoma"/>
                <w:color w:val="231F20"/>
                <w:w w:val="106"/>
                <w:sz w:val="17"/>
              </w:rPr>
              <w:t>6</w:t>
            </w:r>
          </w:p>
        </w:tc>
        <w:tc>
          <w:tcPr>
            <w:tcW w:w="987" w:type="dxa"/>
            <w:tcBorders>
              <w:right w:val="nil"/>
            </w:tcBorders>
          </w:tcPr>
          <w:p>
            <w:pPr>
              <w:pStyle w:val="TableParagraph"/>
              <w:spacing w:before="6"/>
              <w:rPr>
                <w:rFonts w:ascii="Tahoma"/>
                <w:sz w:val="14"/>
              </w:rPr>
            </w:pPr>
          </w:p>
          <w:p>
            <w:pPr>
              <w:pStyle w:val="TableParagraph"/>
              <w:spacing w:before="0"/>
              <w:ind w:left="89" w:right="13"/>
              <w:jc w:val="center"/>
              <w:rPr>
                <w:rFonts w:ascii="Tahoma"/>
                <w:sz w:val="17"/>
              </w:rPr>
            </w:pPr>
            <w:r>
              <w:rPr>
                <w:rFonts w:ascii="Tahoma"/>
                <w:color w:val="231F20"/>
                <w:w w:val="105"/>
                <w:sz w:val="17"/>
              </w:rPr>
              <w:t>50</w:t>
            </w:r>
          </w:p>
        </w:tc>
      </w:tr>
      <w:tr>
        <w:trPr>
          <w:trHeight w:val="354" w:hRule="exact"/>
        </w:trPr>
        <w:tc>
          <w:tcPr>
            <w:tcW w:w="1242" w:type="dxa"/>
            <w:tcBorders>
              <w:left w:val="nil"/>
            </w:tcBorders>
          </w:tcPr>
          <w:p>
            <w:pPr>
              <w:pStyle w:val="TableParagraph"/>
              <w:spacing w:before="65"/>
              <w:ind w:left="113" w:right="101"/>
              <w:rPr>
                <w:rFonts w:ascii="Tahoma"/>
                <w:sz w:val="17"/>
              </w:rPr>
            </w:pPr>
            <w:r>
              <w:rPr>
                <w:rFonts w:ascii="Tahoma"/>
                <w:color w:val="231F20"/>
                <w:sz w:val="17"/>
              </w:rPr>
              <w:t>Porcentaje</w:t>
            </w:r>
          </w:p>
        </w:tc>
        <w:tc>
          <w:tcPr>
            <w:tcW w:w="624" w:type="dxa"/>
          </w:tcPr>
          <w:p>
            <w:pPr>
              <w:pStyle w:val="TableParagraph"/>
              <w:spacing w:before="65"/>
              <w:ind w:left="86" w:right="92"/>
              <w:jc w:val="center"/>
              <w:rPr>
                <w:rFonts w:ascii="Tahoma"/>
                <w:sz w:val="17"/>
              </w:rPr>
            </w:pPr>
            <w:r>
              <w:rPr>
                <w:rFonts w:ascii="Tahoma"/>
                <w:color w:val="231F20"/>
                <w:w w:val="105"/>
                <w:sz w:val="17"/>
              </w:rPr>
              <w:t>76</w:t>
            </w:r>
          </w:p>
        </w:tc>
        <w:tc>
          <w:tcPr>
            <w:tcW w:w="680" w:type="dxa"/>
          </w:tcPr>
          <w:p>
            <w:pPr>
              <w:pStyle w:val="TableParagraph"/>
              <w:spacing w:before="65"/>
              <w:ind w:left="17" w:right="22"/>
              <w:jc w:val="center"/>
              <w:rPr>
                <w:rFonts w:ascii="Tahoma"/>
                <w:sz w:val="17"/>
              </w:rPr>
            </w:pPr>
            <w:r>
              <w:rPr>
                <w:rFonts w:ascii="Tahoma"/>
                <w:color w:val="231F20"/>
                <w:w w:val="105"/>
                <w:sz w:val="17"/>
              </w:rPr>
              <w:t>12</w:t>
            </w:r>
          </w:p>
        </w:tc>
        <w:tc>
          <w:tcPr>
            <w:tcW w:w="624" w:type="dxa"/>
          </w:tcPr>
          <w:p>
            <w:pPr>
              <w:pStyle w:val="TableParagraph"/>
              <w:spacing w:before="65"/>
              <w:ind w:right="216"/>
              <w:jc w:val="right"/>
              <w:rPr>
                <w:rFonts w:ascii="Tahoma"/>
                <w:sz w:val="17"/>
              </w:rPr>
            </w:pPr>
            <w:r>
              <w:rPr>
                <w:rFonts w:ascii="Tahoma"/>
                <w:color w:val="231F20"/>
                <w:w w:val="105"/>
                <w:sz w:val="17"/>
              </w:rPr>
              <w:t>12</w:t>
            </w:r>
          </w:p>
        </w:tc>
        <w:tc>
          <w:tcPr>
            <w:tcW w:w="987" w:type="dxa"/>
            <w:tcBorders>
              <w:right w:val="nil"/>
            </w:tcBorders>
          </w:tcPr>
          <w:p>
            <w:pPr>
              <w:pStyle w:val="TableParagraph"/>
              <w:spacing w:before="65"/>
              <w:ind w:left="89" w:right="92"/>
              <w:jc w:val="center"/>
              <w:rPr>
                <w:rFonts w:ascii="Tahoma"/>
                <w:sz w:val="17"/>
              </w:rPr>
            </w:pPr>
            <w:r>
              <w:rPr>
                <w:rFonts w:ascii="Tahoma"/>
                <w:color w:val="231F20"/>
                <w:w w:val="105"/>
                <w:sz w:val="17"/>
              </w:rPr>
              <w:t>100</w:t>
            </w:r>
          </w:p>
        </w:tc>
      </w:tr>
    </w:tbl>
    <w:p>
      <w:pPr>
        <w:pStyle w:val="BodyText"/>
        <w:rPr>
          <w:rFonts w:ascii="Tahoma"/>
          <w:sz w:val="18"/>
        </w:rPr>
      </w:pPr>
    </w:p>
    <w:p>
      <w:pPr>
        <w:pStyle w:val="BodyText"/>
        <w:spacing w:before="2"/>
        <w:rPr>
          <w:rFonts w:ascii="Tahoma"/>
          <w:sz w:val="15"/>
        </w:rPr>
      </w:pPr>
    </w:p>
    <w:p>
      <w:pPr>
        <w:pStyle w:val="BodyText"/>
        <w:spacing w:line="259" w:lineRule="auto" w:before="1"/>
        <w:ind w:left="412" w:right="1551"/>
        <w:jc w:val="both"/>
        <w:rPr>
          <w:rFonts w:ascii="Tahoma" w:hAnsi="Tahoma"/>
        </w:rPr>
      </w:pPr>
      <w:r>
        <w:rPr>
          <w:rFonts w:ascii="Tahoma" w:hAnsi="Tahoma"/>
          <w:color w:val="231F20"/>
        </w:rPr>
        <w:t>con</w:t>
      </w:r>
      <w:r>
        <w:rPr>
          <w:rFonts w:ascii="Tahoma" w:hAnsi="Tahoma"/>
          <w:color w:val="231F20"/>
          <w:spacing w:val="-21"/>
        </w:rPr>
        <w:t> </w:t>
      </w:r>
      <w:r>
        <w:rPr>
          <w:rFonts w:ascii="Tahoma" w:hAnsi="Tahoma"/>
          <w:color w:val="231F20"/>
        </w:rPr>
        <w:t>el</w:t>
      </w:r>
      <w:r>
        <w:rPr>
          <w:rFonts w:ascii="Tahoma" w:hAnsi="Tahoma"/>
          <w:color w:val="231F20"/>
          <w:spacing w:val="-21"/>
        </w:rPr>
        <w:t> </w:t>
      </w:r>
      <w:r>
        <w:rPr>
          <w:rFonts w:ascii="Tahoma" w:hAnsi="Tahoma"/>
          <w:color w:val="231F20"/>
        </w:rPr>
        <w:t>método</w:t>
      </w:r>
      <w:r>
        <w:rPr>
          <w:rFonts w:ascii="Tahoma" w:hAnsi="Tahoma"/>
          <w:color w:val="231F20"/>
          <w:spacing w:val="-21"/>
        </w:rPr>
        <w:t> </w:t>
      </w:r>
      <w:r>
        <w:rPr>
          <w:rFonts w:ascii="Tahoma" w:hAnsi="Tahoma"/>
          <w:color w:val="231F20"/>
        </w:rPr>
        <w:t>de</w:t>
      </w:r>
      <w:r>
        <w:rPr>
          <w:rFonts w:ascii="Tahoma" w:hAnsi="Tahoma"/>
          <w:color w:val="231F20"/>
          <w:spacing w:val="-21"/>
        </w:rPr>
        <w:t> </w:t>
      </w:r>
      <w:r>
        <w:rPr>
          <w:rFonts w:ascii="Tahoma" w:hAnsi="Tahoma"/>
          <w:color w:val="231F20"/>
        </w:rPr>
        <w:t>Sturges</w:t>
      </w:r>
      <w:r>
        <w:rPr>
          <w:rFonts w:ascii="Tahoma" w:hAnsi="Tahoma"/>
          <w:color w:val="231F20"/>
          <w:spacing w:val="-21"/>
        </w:rPr>
        <w:t> </w:t>
      </w:r>
      <w:r>
        <w:rPr>
          <w:rFonts w:ascii="Tahoma" w:hAnsi="Tahoma"/>
          <w:color w:val="231F20"/>
        </w:rPr>
        <w:t>(Vilez,</w:t>
      </w:r>
      <w:r>
        <w:rPr>
          <w:rFonts w:ascii="Tahoma" w:hAnsi="Tahoma"/>
          <w:color w:val="231F20"/>
          <w:spacing w:val="-21"/>
        </w:rPr>
        <w:t> </w:t>
      </w:r>
      <w:r>
        <w:rPr>
          <w:rFonts w:ascii="Tahoma" w:hAnsi="Tahoma"/>
          <w:color w:val="231F20"/>
        </w:rPr>
        <w:t>2001).</w:t>
      </w:r>
      <w:r>
        <w:rPr>
          <w:rFonts w:ascii="Tahoma" w:hAnsi="Tahoma"/>
          <w:color w:val="231F20"/>
          <w:spacing w:val="-25"/>
        </w:rPr>
        <w:t> </w:t>
      </w:r>
      <w:r>
        <w:rPr>
          <w:rFonts w:ascii="Tahoma" w:hAnsi="Tahoma"/>
          <w:color w:val="231F20"/>
          <w:spacing w:val="-3"/>
        </w:rPr>
        <w:t>Una</w:t>
      </w:r>
      <w:r>
        <w:rPr>
          <w:rFonts w:ascii="Tahoma" w:hAnsi="Tahoma"/>
          <w:color w:val="231F20"/>
          <w:spacing w:val="-28"/>
        </w:rPr>
        <w:t> </w:t>
      </w:r>
      <w:r>
        <w:rPr>
          <w:rFonts w:ascii="Tahoma" w:hAnsi="Tahoma"/>
          <w:color w:val="231F20"/>
          <w:spacing w:val="-4"/>
        </w:rPr>
        <w:t>UGT </w:t>
      </w:r>
      <w:r>
        <w:rPr>
          <w:rFonts w:ascii="Tahoma" w:hAnsi="Tahoma"/>
          <w:color w:val="231F20"/>
        </w:rPr>
        <w:t>es</w:t>
      </w:r>
      <w:r>
        <w:rPr>
          <w:rFonts w:ascii="Tahoma" w:hAnsi="Tahoma"/>
          <w:color w:val="231F20"/>
          <w:spacing w:val="-8"/>
        </w:rPr>
        <w:t> </w:t>
      </w:r>
      <w:r>
        <w:rPr>
          <w:rFonts w:ascii="Tahoma" w:hAnsi="Tahoma"/>
          <w:color w:val="231F20"/>
        </w:rPr>
        <w:t>la</w:t>
      </w:r>
      <w:r>
        <w:rPr>
          <w:rFonts w:ascii="Tahoma" w:hAnsi="Tahoma"/>
          <w:color w:val="231F20"/>
          <w:spacing w:val="-8"/>
        </w:rPr>
        <w:t> </w:t>
      </w:r>
      <w:r>
        <w:rPr>
          <w:rFonts w:ascii="Tahoma" w:hAnsi="Tahoma"/>
          <w:color w:val="231F20"/>
          <w:spacing w:val="-3"/>
        </w:rPr>
        <w:t>suma</w:t>
      </w:r>
      <w:r>
        <w:rPr>
          <w:rFonts w:ascii="Tahoma" w:hAnsi="Tahoma"/>
          <w:color w:val="231F20"/>
          <w:spacing w:val="-8"/>
        </w:rPr>
        <w:t> </w:t>
      </w:r>
      <w:r>
        <w:rPr>
          <w:rFonts w:ascii="Tahoma" w:hAnsi="Tahoma"/>
          <w:color w:val="231F20"/>
        </w:rPr>
        <w:t>de</w:t>
      </w:r>
      <w:r>
        <w:rPr>
          <w:rFonts w:ascii="Tahoma" w:hAnsi="Tahoma"/>
          <w:color w:val="231F20"/>
          <w:spacing w:val="-8"/>
        </w:rPr>
        <w:t> </w:t>
      </w:r>
      <w:r>
        <w:rPr>
          <w:rFonts w:ascii="Tahoma" w:hAnsi="Tahoma"/>
          <w:color w:val="231F20"/>
          <w:spacing w:val="-3"/>
        </w:rPr>
        <w:t>las</w:t>
      </w:r>
      <w:r>
        <w:rPr>
          <w:rFonts w:ascii="Tahoma" w:hAnsi="Tahoma"/>
          <w:color w:val="231F20"/>
          <w:spacing w:val="-8"/>
        </w:rPr>
        <w:t> </w:t>
      </w:r>
      <w:r>
        <w:rPr>
          <w:rFonts w:ascii="Tahoma" w:hAnsi="Tahoma"/>
          <w:color w:val="231F20"/>
          <w:spacing w:val="-4"/>
        </w:rPr>
        <w:t>unidades</w:t>
      </w:r>
      <w:r>
        <w:rPr>
          <w:rFonts w:ascii="Tahoma" w:hAnsi="Tahoma"/>
          <w:color w:val="231F20"/>
          <w:spacing w:val="-8"/>
        </w:rPr>
        <w:t> </w:t>
      </w:r>
      <w:r>
        <w:rPr>
          <w:rFonts w:ascii="Tahoma" w:hAnsi="Tahoma"/>
          <w:color w:val="231F20"/>
          <w:spacing w:val="-4"/>
        </w:rPr>
        <w:t>ganaderas</w:t>
      </w:r>
      <w:r>
        <w:rPr>
          <w:rFonts w:ascii="Tahoma" w:hAnsi="Tahoma"/>
          <w:color w:val="231F20"/>
          <w:spacing w:val="-8"/>
        </w:rPr>
        <w:t> </w:t>
      </w:r>
      <w:r>
        <w:rPr>
          <w:rFonts w:ascii="Tahoma" w:hAnsi="Tahoma"/>
          <w:color w:val="231F20"/>
        </w:rPr>
        <w:t>de</w:t>
      </w:r>
      <w:r>
        <w:rPr>
          <w:rFonts w:ascii="Tahoma" w:hAnsi="Tahoma"/>
          <w:color w:val="231F20"/>
          <w:spacing w:val="-8"/>
        </w:rPr>
        <w:t> </w:t>
      </w:r>
      <w:r>
        <w:rPr>
          <w:rFonts w:ascii="Tahoma" w:hAnsi="Tahoma"/>
          <w:color w:val="231F20"/>
          <w:spacing w:val="-4"/>
        </w:rPr>
        <w:t>bovino, ovino </w:t>
      </w:r>
      <w:r>
        <w:rPr>
          <w:rFonts w:ascii="Tahoma" w:hAnsi="Tahoma"/>
          <w:color w:val="231F20"/>
        </w:rPr>
        <w:t>y </w:t>
      </w:r>
      <w:r>
        <w:rPr>
          <w:rFonts w:ascii="Tahoma" w:hAnsi="Tahoma"/>
          <w:color w:val="231F20"/>
          <w:spacing w:val="-4"/>
        </w:rPr>
        <w:t>caprino. </w:t>
      </w:r>
      <w:r>
        <w:rPr>
          <w:rFonts w:ascii="Tahoma" w:hAnsi="Tahoma"/>
          <w:color w:val="231F20"/>
          <w:spacing w:val="-3"/>
        </w:rPr>
        <w:t>Una </w:t>
      </w:r>
      <w:r>
        <w:rPr>
          <w:rFonts w:ascii="Tahoma" w:hAnsi="Tahoma"/>
          <w:color w:val="231F20"/>
          <w:spacing w:val="-4"/>
        </w:rPr>
        <w:t>unidad ganadera </w:t>
      </w:r>
      <w:r>
        <w:rPr>
          <w:rFonts w:ascii="Tahoma" w:hAnsi="Tahoma"/>
          <w:color w:val="231F20"/>
        </w:rPr>
        <w:t>de </w:t>
      </w:r>
      <w:r>
        <w:rPr>
          <w:rFonts w:ascii="Tahoma" w:hAnsi="Tahoma"/>
          <w:color w:val="231F20"/>
          <w:spacing w:val="-4"/>
        </w:rPr>
        <w:t>bovino (UGB)</w:t>
      </w:r>
      <w:r>
        <w:rPr>
          <w:rFonts w:ascii="Tahoma" w:hAnsi="Tahoma"/>
          <w:color w:val="231F20"/>
          <w:spacing w:val="-36"/>
        </w:rPr>
        <w:t> </w:t>
      </w:r>
      <w:r>
        <w:rPr>
          <w:rFonts w:ascii="Tahoma" w:hAnsi="Tahoma"/>
          <w:color w:val="231F20"/>
        </w:rPr>
        <w:t>es</w:t>
      </w:r>
      <w:r>
        <w:rPr>
          <w:rFonts w:ascii="Tahoma" w:hAnsi="Tahoma"/>
          <w:color w:val="231F20"/>
          <w:spacing w:val="-36"/>
        </w:rPr>
        <w:t> </w:t>
      </w:r>
      <w:r>
        <w:rPr>
          <w:rFonts w:ascii="Tahoma" w:hAnsi="Tahoma"/>
          <w:color w:val="231F20"/>
          <w:spacing w:val="-3"/>
        </w:rPr>
        <w:t>una</w:t>
      </w:r>
      <w:r>
        <w:rPr>
          <w:rFonts w:ascii="Tahoma" w:hAnsi="Tahoma"/>
          <w:color w:val="231F20"/>
          <w:spacing w:val="-36"/>
        </w:rPr>
        <w:t> </w:t>
      </w:r>
      <w:r>
        <w:rPr>
          <w:rFonts w:ascii="Tahoma" w:hAnsi="Tahoma"/>
          <w:color w:val="231F20"/>
          <w:spacing w:val="-3"/>
        </w:rPr>
        <w:t>vaca</w:t>
      </w:r>
      <w:r>
        <w:rPr>
          <w:rFonts w:ascii="Tahoma" w:hAnsi="Tahoma"/>
          <w:color w:val="231F20"/>
          <w:spacing w:val="-36"/>
        </w:rPr>
        <w:t> </w:t>
      </w:r>
      <w:r>
        <w:rPr>
          <w:rFonts w:ascii="Tahoma" w:hAnsi="Tahoma"/>
          <w:color w:val="231F20"/>
          <w:spacing w:val="-4"/>
        </w:rPr>
        <w:t>promedio:</w:t>
      </w:r>
      <w:r>
        <w:rPr>
          <w:rFonts w:ascii="Tahoma" w:hAnsi="Tahoma"/>
          <w:color w:val="231F20"/>
          <w:spacing w:val="-36"/>
        </w:rPr>
        <w:t> </w:t>
      </w:r>
      <w:r>
        <w:rPr>
          <w:rFonts w:ascii="Tahoma" w:hAnsi="Tahoma"/>
          <w:color w:val="231F20"/>
          <w:spacing w:val="-3"/>
        </w:rPr>
        <w:t>una</w:t>
      </w:r>
      <w:r>
        <w:rPr>
          <w:rFonts w:ascii="Tahoma" w:hAnsi="Tahoma"/>
          <w:color w:val="231F20"/>
          <w:spacing w:val="-36"/>
        </w:rPr>
        <w:t> </w:t>
      </w:r>
      <w:r>
        <w:rPr>
          <w:rFonts w:ascii="Tahoma" w:hAnsi="Tahoma"/>
          <w:color w:val="231F20"/>
          <w:spacing w:val="-3"/>
        </w:rPr>
        <w:t>vaca</w:t>
      </w:r>
      <w:r>
        <w:rPr>
          <w:rFonts w:ascii="Tahoma" w:hAnsi="Tahoma"/>
          <w:color w:val="231F20"/>
          <w:spacing w:val="-36"/>
        </w:rPr>
        <w:t> </w:t>
      </w:r>
      <w:r>
        <w:rPr>
          <w:rFonts w:ascii="Tahoma" w:hAnsi="Tahoma"/>
          <w:color w:val="231F20"/>
        </w:rPr>
        <w:t>=</w:t>
      </w:r>
      <w:r>
        <w:rPr>
          <w:rFonts w:ascii="Tahoma" w:hAnsi="Tahoma"/>
          <w:color w:val="231F20"/>
          <w:spacing w:val="-36"/>
        </w:rPr>
        <w:t> </w:t>
      </w:r>
      <w:r>
        <w:rPr>
          <w:rFonts w:ascii="Tahoma" w:hAnsi="Tahoma"/>
          <w:color w:val="231F20"/>
        </w:rPr>
        <w:t>1</w:t>
      </w:r>
      <w:r>
        <w:rPr>
          <w:rFonts w:ascii="Tahoma" w:hAnsi="Tahoma"/>
          <w:color w:val="231F20"/>
          <w:spacing w:val="-36"/>
        </w:rPr>
        <w:t> </w:t>
      </w:r>
      <w:r>
        <w:rPr>
          <w:rFonts w:ascii="Tahoma" w:hAnsi="Tahoma"/>
          <w:color w:val="231F20"/>
          <w:spacing w:val="-3"/>
        </w:rPr>
        <w:t>UGB,</w:t>
      </w:r>
      <w:r>
        <w:rPr>
          <w:rFonts w:ascii="Tahoma" w:hAnsi="Tahoma"/>
          <w:color w:val="231F20"/>
          <w:spacing w:val="-36"/>
        </w:rPr>
        <w:t> </w:t>
      </w:r>
      <w:r>
        <w:rPr>
          <w:rFonts w:ascii="Tahoma" w:hAnsi="Tahoma"/>
          <w:color w:val="231F20"/>
          <w:spacing w:val="-4"/>
        </w:rPr>
        <w:t>un </w:t>
      </w:r>
      <w:r>
        <w:rPr>
          <w:rFonts w:ascii="Tahoma" w:hAnsi="Tahoma"/>
          <w:color w:val="231F20"/>
          <w:spacing w:val="-3"/>
        </w:rPr>
        <w:t>toro </w:t>
      </w:r>
      <w:r>
        <w:rPr>
          <w:rFonts w:ascii="Tahoma" w:hAnsi="Tahoma"/>
          <w:color w:val="231F20"/>
        </w:rPr>
        <w:t>= 1 </w:t>
      </w:r>
      <w:r>
        <w:rPr>
          <w:rFonts w:ascii="Tahoma" w:hAnsi="Tahoma"/>
          <w:color w:val="231F20"/>
          <w:spacing w:val="-3"/>
        </w:rPr>
        <w:t>UGB, una </w:t>
      </w:r>
      <w:r>
        <w:rPr>
          <w:rFonts w:ascii="Tahoma" w:hAnsi="Tahoma"/>
          <w:color w:val="231F20"/>
          <w:spacing w:val="-4"/>
        </w:rPr>
        <w:t>vaquilla </w:t>
      </w:r>
      <w:r>
        <w:rPr>
          <w:rFonts w:ascii="Tahoma" w:hAnsi="Tahoma"/>
          <w:color w:val="231F20"/>
        </w:rPr>
        <w:t>= </w:t>
      </w:r>
      <w:r>
        <w:rPr>
          <w:rFonts w:ascii="Tahoma" w:hAnsi="Tahoma"/>
          <w:color w:val="231F20"/>
          <w:spacing w:val="-8"/>
        </w:rPr>
        <w:t>0,75 </w:t>
      </w:r>
      <w:r>
        <w:rPr>
          <w:rFonts w:ascii="Tahoma" w:hAnsi="Tahoma"/>
          <w:color w:val="231F20"/>
          <w:spacing w:val="-3"/>
        </w:rPr>
        <w:t>UGB </w:t>
      </w:r>
      <w:r>
        <w:rPr>
          <w:rFonts w:ascii="Tahoma" w:hAnsi="Tahoma"/>
          <w:color w:val="231F20"/>
        </w:rPr>
        <w:t>y </w:t>
      </w:r>
      <w:r>
        <w:rPr>
          <w:rFonts w:ascii="Tahoma" w:hAnsi="Tahoma"/>
          <w:color w:val="231F20"/>
          <w:spacing w:val="-4"/>
        </w:rPr>
        <w:t>un/una becerro/a</w:t>
      </w:r>
      <w:r>
        <w:rPr>
          <w:rFonts w:ascii="Tahoma" w:hAnsi="Tahoma"/>
          <w:color w:val="231F20"/>
          <w:spacing w:val="-20"/>
        </w:rPr>
        <w:t> </w:t>
      </w:r>
      <w:r>
        <w:rPr>
          <w:rFonts w:ascii="Tahoma" w:hAnsi="Tahoma"/>
          <w:color w:val="231F20"/>
        </w:rPr>
        <w:t>=</w:t>
      </w:r>
      <w:r>
        <w:rPr>
          <w:rFonts w:ascii="Tahoma" w:hAnsi="Tahoma"/>
          <w:color w:val="231F20"/>
          <w:spacing w:val="-20"/>
        </w:rPr>
        <w:t> </w:t>
      </w:r>
      <w:r>
        <w:rPr>
          <w:rFonts w:ascii="Tahoma" w:hAnsi="Tahoma"/>
          <w:color w:val="231F20"/>
          <w:spacing w:val="-3"/>
        </w:rPr>
        <w:t>0,5</w:t>
      </w:r>
      <w:r>
        <w:rPr>
          <w:rFonts w:ascii="Tahoma" w:hAnsi="Tahoma"/>
          <w:color w:val="231F20"/>
          <w:spacing w:val="-20"/>
        </w:rPr>
        <w:t> </w:t>
      </w:r>
      <w:r>
        <w:rPr>
          <w:rFonts w:ascii="Tahoma" w:hAnsi="Tahoma"/>
          <w:color w:val="231F20"/>
          <w:spacing w:val="-3"/>
        </w:rPr>
        <w:t>UGB.</w:t>
      </w:r>
      <w:r>
        <w:rPr>
          <w:rFonts w:ascii="Tahoma" w:hAnsi="Tahoma"/>
          <w:color w:val="231F20"/>
          <w:spacing w:val="-20"/>
        </w:rPr>
        <w:t> </w:t>
      </w:r>
      <w:r>
        <w:rPr>
          <w:rFonts w:ascii="Tahoma" w:hAnsi="Tahoma"/>
          <w:color w:val="231F20"/>
          <w:spacing w:val="-4"/>
        </w:rPr>
        <w:t>Para</w:t>
      </w:r>
      <w:r>
        <w:rPr>
          <w:rFonts w:ascii="Tahoma" w:hAnsi="Tahoma"/>
          <w:color w:val="231F20"/>
          <w:spacing w:val="-20"/>
        </w:rPr>
        <w:t> </w:t>
      </w:r>
      <w:r>
        <w:rPr>
          <w:rFonts w:ascii="Tahoma" w:hAnsi="Tahoma"/>
          <w:color w:val="231F20"/>
        </w:rPr>
        <w:t>el</w:t>
      </w:r>
      <w:r>
        <w:rPr>
          <w:rFonts w:ascii="Tahoma" w:hAnsi="Tahoma"/>
          <w:color w:val="231F20"/>
          <w:spacing w:val="-20"/>
        </w:rPr>
        <w:t> </w:t>
      </w:r>
      <w:r>
        <w:rPr>
          <w:rFonts w:ascii="Tahoma" w:hAnsi="Tahoma"/>
          <w:color w:val="231F20"/>
          <w:spacing w:val="-3"/>
        </w:rPr>
        <w:t>caso</w:t>
      </w:r>
      <w:r>
        <w:rPr>
          <w:rFonts w:ascii="Tahoma" w:hAnsi="Tahoma"/>
          <w:color w:val="231F20"/>
          <w:spacing w:val="-20"/>
        </w:rPr>
        <w:t> </w:t>
      </w:r>
      <w:r>
        <w:rPr>
          <w:rFonts w:ascii="Tahoma" w:hAnsi="Tahoma"/>
          <w:color w:val="231F20"/>
        </w:rPr>
        <w:t>de</w:t>
      </w:r>
      <w:r>
        <w:rPr>
          <w:rFonts w:ascii="Tahoma" w:hAnsi="Tahoma"/>
          <w:color w:val="231F20"/>
          <w:spacing w:val="-20"/>
        </w:rPr>
        <w:t> </w:t>
      </w:r>
      <w:r>
        <w:rPr>
          <w:rFonts w:ascii="Tahoma" w:hAnsi="Tahoma"/>
          <w:color w:val="231F20"/>
          <w:spacing w:val="-3"/>
        </w:rPr>
        <w:t>las</w:t>
      </w:r>
      <w:r>
        <w:rPr>
          <w:rFonts w:ascii="Tahoma" w:hAnsi="Tahoma"/>
          <w:color w:val="231F20"/>
          <w:spacing w:val="-20"/>
        </w:rPr>
        <w:t> </w:t>
      </w:r>
      <w:r>
        <w:rPr>
          <w:rFonts w:ascii="Tahoma" w:hAnsi="Tahoma"/>
          <w:color w:val="231F20"/>
          <w:spacing w:val="-4"/>
        </w:rPr>
        <w:t>unidades ganaderas</w:t>
      </w:r>
      <w:r>
        <w:rPr>
          <w:rFonts w:ascii="Tahoma" w:hAnsi="Tahoma"/>
          <w:color w:val="231F20"/>
          <w:spacing w:val="-21"/>
        </w:rPr>
        <w:t> </w:t>
      </w:r>
      <w:r>
        <w:rPr>
          <w:rFonts w:ascii="Tahoma" w:hAnsi="Tahoma"/>
          <w:color w:val="231F20"/>
        </w:rPr>
        <w:t>de</w:t>
      </w:r>
      <w:r>
        <w:rPr>
          <w:rFonts w:ascii="Tahoma" w:hAnsi="Tahoma"/>
          <w:color w:val="231F20"/>
          <w:spacing w:val="-21"/>
        </w:rPr>
        <w:t> </w:t>
      </w:r>
      <w:r>
        <w:rPr>
          <w:rFonts w:ascii="Tahoma" w:hAnsi="Tahoma"/>
          <w:color w:val="231F20"/>
          <w:spacing w:val="-4"/>
        </w:rPr>
        <w:t>ovino</w:t>
      </w:r>
      <w:r>
        <w:rPr>
          <w:rFonts w:ascii="Tahoma" w:hAnsi="Tahoma"/>
          <w:color w:val="231F20"/>
          <w:spacing w:val="-21"/>
        </w:rPr>
        <w:t> </w:t>
      </w:r>
      <w:r>
        <w:rPr>
          <w:rFonts w:ascii="Tahoma" w:hAnsi="Tahoma"/>
          <w:color w:val="231F20"/>
        </w:rPr>
        <w:t>y</w:t>
      </w:r>
      <w:r>
        <w:rPr>
          <w:rFonts w:ascii="Tahoma" w:hAnsi="Tahoma"/>
          <w:color w:val="231F20"/>
          <w:spacing w:val="-21"/>
        </w:rPr>
        <w:t> </w:t>
      </w:r>
      <w:r>
        <w:rPr>
          <w:rFonts w:ascii="Tahoma" w:hAnsi="Tahoma"/>
          <w:color w:val="231F20"/>
          <w:spacing w:val="-4"/>
        </w:rPr>
        <w:t>caprino,</w:t>
      </w:r>
      <w:r>
        <w:rPr>
          <w:rFonts w:ascii="Tahoma" w:hAnsi="Tahoma"/>
          <w:color w:val="231F20"/>
          <w:spacing w:val="-21"/>
        </w:rPr>
        <w:t> </w:t>
      </w:r>
      <w:r>
        <w:rPr>
          <w:rFonts w:ascii="Tahoma" w:hAnsi="Tahoma"/>
          <w:color w:val="231F20"/>
          <w:spacing w:val="-3"/>
        </w:rPr>
        <w:t>una</w:t>
      </w:r>
      <w:r>
        <w:rPr>
          <w:rFonts w:ascii="Tahoma" w:hAnsi="Tahoma"/>
          <w:color w:val="231F20"/>
          <w:spacing w:val="-21"/>
        </w:rPr>
        <w:t> </w:t>
      </w:r>
      <w:r>
        <w:rPr>
          <w:rFonts w:ascii="Tahoma" w:hAnsi="Tahoma"/>
          <w:color w:val="231F20"/>
          <w:spacing w:val="-4"/>
        </w:rPr>
        <w:t>oveja</w:t>
      </w:r>
      <w:r>
        <w:rPr>
          <w:rFonts w:ascii="Tahoma" w:hAnsi="Tahoma"/>
          <w:color w:val="231F20"/>
          <w:spacing w:val="-21"/>
        </w:rPr>
        <w:t> </w:t>
      </w:r>
      <w:r>
        <w:rPr>
          <w:rFonts w:ascii="Tahoma" w:hAnsi="Tahoma"/>
          <w:color w:val="231F20"/>
        </w:rPr>
        <w:t>o</w:t>
      </w:r>
      <w:r>
        <w:rPr>
          <w:rFonts w:ascii="Tahoma" w:hAnsi="Tahoma"/>
          <w:color w:val="231F20"/>
          <w:spacing w:val="-21"/>
        </w:rPr>
        <w:t> </w:t>
      </w:r>
      <w:r>
        <w:rPr>
          <w:rFonts w:ascii="Tahoma" w:hAnsi="Tahoma"/>
          <w:color w:val="231F20"/>
          <w:spacing w:val="-3"/>
        </w:rPr>
        <w:t>una</w:t>
      </w:r>
      <w:r>
        <w:rPr>
          <w:rFonts w:ascii="Tahoma" w:hAnsi="Tahoma"/>
          <w:color w:val="231F20"/>
          <w:spacing w:val="-21"/>
        </w:rPr>
        <w:t> </w:t>
      </w:r>
      <w:r>
        <w:rPr>
          <w:rFonts w:ascii="Tahoma" w:hAnsi="Tahoma"/>
          <w:color w:val="231F20"/>
          <w:spacing w:val="-3"/>
        </w:rPr>
        <w:t>ca- bra</w:t>
      </w:r>
      <w:r>
        <w:rPr>
          <w:rFonts w:ascii="Tahoma" w:hAnsi="Tahoma"/>
          <w:color w:val="231F20"/>
          <w:spacing w:val="-42"/>
        </w:rPr>
        <w:t> </w:t>
      </w:r>
      <w:r>
        <w:rPr>
          <w:rFonts w:ascii="Tahoma" w:hAnsi="Tahoma"/>
          <w:color w:val="231F20"/>
        </w:rPr>
        <w:t>=</w:t>
      </w:r>
      <w:r>
        <w:rPr>
          <w:rFonts w:ascii="Tahoma" w:hAnsi="Tahoma"/>
          <w:color w:val="231F20"/>
          <w:spacing w:val="-42"/>
        </w:rPr>
        <w:t> </w:t>
      </w:r>
      <w:r>
        <w:rPr>
          <w:rFonts w:ascii="Tahoma" w:hAnsi="Tahoma"/>
          <w:color w:val="231F20"/>
          <w:spacing w:val="-6"/>
        </w:rPr>
        <w:t>0,14</w:t>
      </w:r>
      <w:r>
        <w:rPr>
          <w:rFonts w:ascii="Tahoma" w:hAnsi="Tahoma"/>
          <w:color w:val="231F20"/>
          <w:spacing w:val="-42"/>
        </w:rPr>
        <w:t> </w:t>
      </w:r>
      <w:r>
        <w:rPr>
          <w:rFonts w:ascii="Tahoma" w:hAnsi="Tahoma"/>
          <w:color w:val="231F20"/>
          <w:spacing w:val="-3"/>
        </w:rPr>
        <w:t>UGB.</w:t>
      </w:r>
      <w:r>
        <w:rPr>
          <w:rFonts w:ascii="Tahoma" w:hAnsi="Tahoma"/>
          <w:color w:val="231F20"/>
          <w:spacing w:val="-42"/>
        </w:rPr>
        <w:t> </w:t>
      </w:r>
      <w:r>
        <w:rPr>
          <w:rFonts w:ascii="Tahoma" w:hAnsi="Tahoma"/>
          <w:color w:val="231F20"/>
          <w:spacing w:val="-3"/>
        </w:rPr>
        <w:t>Los</w:t>
      </w:r>
      <w:r>
        <w:rPr>
          <w:rFonts w:ascii="Tahoma" w:hAnsi="Tahoma"/>
          <w:color w:val="231F20"/>
          <w:spacing w:val="-42"/>
        </w:rPr>
        <w:t> </w:t>
      </w:r>
      <w:r>
        <w:rPr>
          <w:rFonts w:ascii="Tahoma" w:hAnsi="Tahoma"/>
          <w:color w:val="231F20"/>
          <w:spacing w:val="-4"/>
        </w:rPr>
        <w:t>estratos</w:t>
      </w:r>
      <w:r>
        <w:rPr>
          <w:rFonts w:ascii="Tahoma" w:hAnsi="Tahoma"/>
          <w:color w:val="231F20"/>
          <w:spacing w:val="-42"/>
        </w:rPr>
        <w:t> </w:t>
      </w:r>
      <w:r>
        <w:rPr>
          <w:rFonts w:ascii="Tahoma" w:hAnsi="Tahoma"/>
          <w:color w:val="231F20"/>
          <w:spacing w:val="-4"/>
        </w:rPr>
        <w:t>considerados</w:t>
      </w:r>
      <w:r>
        <w:rPr>
          <w:rFonts w:ascii="Tahoma" w:hAnsi="Tahoma"/>
          <w:color w:val="231F20"/>
          <w:spacing w:val="-42"/>
        </w:rPr>
        <w:t> </w:t>
      </w:r>
      <w:r>
        <w:rPr>
          <w:rFonts w:ascii="Tahoma" w:hAnsi="Tahoma"/>
          <w:color w:val="231F20"/>
        </w:rPr>
        <w:t>se</w:t>
      </w:r>
      <w:r>
        <w:rPr>
          <w:rFonts w:ascii="Tahoma" w:hAnsi="Tahoma"/>
          <w:color w:val="231F20"/>
          <w:spacing w:val="-42"/>
        </w:rPr>
        <w:t> </w:t>
      </w:r>
      <w:r>
        <w:rPr>
          <w:rFonts w:ascii="Tahoma" w:hAnsi="Tahoma"/>
          <w:color w:val="231F20"/>
          <w:spacing w:val="-4"/>
        </w:rPr>
        <w:t>mues- </w:t>
      </w:r>
      <w:r>
        <w:rPr>
          <w:rFonts w:ascii="Tahoma" w:hAnsi="Tahoma"/>
          <w:color w:val="231F20"/>
          <w:spacing w:val="-3"/>
        </w:rPr>
        <w:t>tran</w:t>
      </w:r>
      <w:r>
        <w:rPr>
          <w:rFonts w:ascii="Tahoma" w:hAnsi="Tahoma"/>
          <w:color w:val="231F20"/>
          <w:spacing w:val="-34"/>
        </w:rPr>
        <w:t> </w:t>
      </w:r>
      <w:r>
        <w:rPr>
          <w:rFonts w:ascii="Tahoma" w:hAnsi="Tahoma"/>
          <w:color w:val="231F20"/>
        </w:rPr>
        <w:t>en</w:t>
      </w:r>
      <w:r>
        <w:rPr>
          <w:rFonts w:ascii="Tahoma" w:hAnsi="Tahoma"/>
          <w:color w:val="231F20"/>
          <w:spacing w:val="-34"/>
        </w:rPr>
        <w:t> </w:t>
      </w:r>
      <w:r>
        <w:rPr>
          <w:rFonts w:ascii="Tahoma" w:hAnsi="Tahoma"/>
          <w:color w:val="231F20"/>
        </w:rPr>
        <w:t>el</w:t>
      </w:r>
      <w:r>
        <w:rPr>
          <w:rFonts w:ascii="Tahoma" w:hAnsi="Tahoma"/>
          <w:color w:val="231F20"/>
          <w:spacing w:val="-34"/>
        </w:rPr>
        <w:t> </w:t>
      </w:r>
      <w:r>
        <w:rPr>
          <w:rFonts w:ascii="Tahoma" w:hAnsi="Tahoma"/>
          <w:color w:val="231F20"/>
          <w:spacing w:val="-4"/>
        </w:rPr>
        <w:t>Cuadro</w:t>
      </w:r>
      <w:r>
        <w:rPr>
          <w:rFonts w:ascii="Tahoma" w:hAnsi="Tahoma"/>
          <w:color w:val="231F20"/>
          <w:spacing w:val="-34"/>
        </w:rPr>
        <w:t> </w:t>
      </w:r>
      <w:r>
        <w:rPr>
          <w:rFonts w:ascii="Tahoma" w:hAnsi="Tahoma"/>
          <w:color w:val="231F20"/>
        </w:rPr>
        <w:t>3,</w:t>
      </w:r>
      <w:r>
        <w:rPr>
          <w:rFonts w:ascii="Tahoma" w:hAnsi="Tahoma"/>
          <w:color w:val="231F20"/>
          <w:spacing w:val="-34"/>
        </w:rPr>
        <w:t> </w:t>
      </w:r>
      <w:r>
        <w:rPr>
          <w:rFonts w:ascii="Tahoma" w:hAnsi="Tahoma"/>
          <w:color w:val="231F20"/>
        </w:rPr>
        <w:t>y</w:t>
      </w:r>
      <w:r>
        <w:rPr>
          <w:rFonts w:ascii="Tahoma" w:hAnsi="Tahoma"/>
          <w:color w:val="231F20"/>
          <w:spacing w:val="-34"/>
        </w:rPr>
        <w:t> </w:t>
      </w:r>
      <w:r>
        <w:rPr>
          <w:rFonts w:ascii="Tahoma" w:hAnsi="Tahoma"/>
          <w:color w:val="231F20"/>
          <w:spacing w:val="-3"/>
        </w:rPr>
        <w:t>para</w:t>
      </w:r>
      <w:r>
        <w:rPr>
          <w:rFonts w:ascii="Tahoma" w:hAnsi="Tahoma"/>
          <w:color w:val="231F20"/>
          <w:spacing w:val="-34"/>
        </w:rPr>
        <w:t> </w:t>
      </w:r>
      <w:r>
        <w:rPr>
          <w:rFonts w:ascii="Tahoma" w:hAnsi="Tahoma"/>
          <w:color w:val="231F20"/>
          <w:spacing w:val="-4"/>
        </w:rPr>
        <w:t>efectos</w:t>
      </w:r>
      <w:r>
        <w:rPr>
          <w:rFonts w:ascii="Tahoma" w:hAnsi="Tahoma"/>
          <w:color w:val="231F20"/>
          <w:spacing w:val="-34"/>
        </w:rPr>
        <w:t> </w:t>
      </w:r>
      <w:r>
        <w:rPr>
          <w:rFonts w:ascii="Tahoma" w:hAnsi="Tahoma"/>
          <w:color w:val="231F20"/>
        </w:rPr>
        <w:t>de</w:t>
      </w:r>
      <w:r>
        <w:rPr>
          <w:rFonts w:ascii="Tahoma" w:hAnsi="Tahoma"/>
          <w:color w:val="231F20"/>
          <w:spacing w:val="-34"/>
        </w:rPr>
        <w:t> </w:t>
      </w:r>
      <w:r>
        <w:rPr>
          <w:rFonts w:ascii="Tahoma" w:hAnsi="Tahoma"/>
          <w:color w:val="231F20"/>
        </w:rPr>
        <w:t>la</w:t>
      </w:r>
      <w:r>
        <w:rPr>
          <w:rFonts w:ascii="Tahoma" w:hAnsi="Tahoma"/>
          <w:color w:val="231F20"/>
          <w:spacing w:val="-34"/>
        </w:rPr>
        <w:t> </w:t>
      </w:r>
      <w:r>
        <w:rPr>
          <w:rFonts w:ascii="Tahoma" w:hAnsi="Tahoma"/>
          <w:color w:val="231F20"/>
          <w:spacing w:val="-4"/>
        </w:rPr>
        <w:t>descripción </w:t>
      </w:r>
      <w:r>
        <w:rPr>
          <w:rFonts w:ascii="Tahoma" w:hAnsi="Tahoma"/>
          <w:color w:val="231F20"/>
          <w:spacing w:val="-3"/>
        </w:rPr>
        <w:t>del</w:t>
      </w:r>
      <w:r>
        <w:rPr>
          <w:rFonts w:ascii="Tahoma" w:hAnsi="Tahoma"/>
          <w:color w:val="231F20"/>
          <w:spacing w:val="-34"/>
        </w:rPr>
        <w:t> </w:t>
      </w:r>
      <w:r>
        <w:rPr>
          <w:rFonts w:ascii="Tahoma" w:hAnsi="Tahoma"/>
          <w:color w:val="231F20"/>
          <w:spacing w:val="-4"/>
        </w:rPr>
        <w:t>trabajo</w:t>
      </w:r>
      <w:r>
        <w:rPr>
          <w:rFonts w:ascii="Tahoma" w:hAnsi="Tahoma"/>
          <w:color w:val="231F20"/>
          <w:spacing w:val="-34"/>
        </w:rPr>
        <w:t> </w:t>
      </w:r>
      <w:r>
        <w:rPr>
          <w:rFonts w:ascii="Tahoma" w:hAnsi="Tahoma"/>
          <w:color w:val="231F20"/>
        </w:rPr>
        <w:t>se</w:t>
      </w:r>
      <w:r>
        <w:rPr>
          <w:rFonts w:ascii="Tahoma" w:hAnsi="Tahoma"/>
          <w:color w:val="231F20"/>
          <w:spacing w:val="-34"/>
        </w:rPr>
        <w:t> </w:t>
      </w:r>
      <w:r>
        <w:rPr>
          <w:rFonts w:ascii="Tahoma" w:hAnsi="Tahoma"/>
          <w:color w:val="231F20"/>
          <w:spacing w:val="-3"/>
        </w:rPr>
        <w:t>han</w:t>
      </w:r>
      <w:r>
        <w:rPr>
          <w:rFonts w:ascii="Tahoma" w:hAnsi="Tahoma"/>
          <w:color w:val="231F20"/>
          <w:spacing w:val="-34"/>
        </w:rPr>
        <w:t> </w:t>
      </w:r>
      <w:r>
        <w:rPr>
          <w:rFonts w:ascii="Tahoma" w:hAnsi="Tahoma"/>
          <w:color w:val="231F20"/>
          <w:spacing w:val="-4"/>
        </w:rPr>
        <w:t>considerado</w:t>
      </w:r>
      <w:r>
        <w:rPr>
          <w:rFonts w:ascii="Tahoma" w:hAnsi="Tahoma"/>
          <w:color w:val="231F20"/>
          <w:spacing w:val="-34"/>
        </w:rPr>
        <w:t> </w:t>
      </w:r>
      <w:r>
        <w:rPr>
          <w:rFonts w:ascii="Tahoma" w:hAnsi="Tahoma"/>
          <w:color w:val="231F20"/>
          <w:spacing w:val="-3"/>
        </w:rPr>
        <w:t>como</w:t>
      </w:r>
      <w:r>
        <w:rPr>
          <w:rFonts w:ascii="Tahoma" w:hAnsi="Tahoma"/>
          <w:color w:val="231F20"/>
          <w:spacing w:val="-34"/>
        </w:rPr>
        <w:t> </w:t>
      </w:r>
      <w:r>
        <w:rPr>
          <w:rFonts w:ascii="Tahoma" w:hAnsi="Tahoma"/>
          <w:color w:val="231F20"/>
          <w:spacing w:val="-3"/>
        </w:rPr>
        <w:t>E1,</w:t>
      </w:r>
      <w:r>
        <w:rPr>
          <w:rFonts w:ascii="Tahoma" w:hAnsi="Tahoma"/>
          <w:color w:val="231F20"/>
          <w:spacing w:val="-34"/>
        </w:rPr>
        <w:t> </w:t>
      </w:r>
      <w:r>
        <w:rPr>
          <w:rFonts w:ascii="Tahoma" w:hAnsi="Tahoma"/>
          <w:color w:val="231F20"/>
        </w:rPr>
        <w:t>E2</w:t>
      </w:r>
      <w:r>
        <w:rPr>
          <w:rFonts w:ascii="Tahoma" w:hAnsi="Tahoma"/>
          <w:color w:val="231F20"/>
          <w:spacing w:val="-34"/>
        </w:rPr>
        <w:t> </w:t>
      </w:r>
      <w:r>
        <w:rPr>
          <w:rFonts w:ascii="Tahoma" w:hAnsi="Tahoma"/>
          <w:color w:val="231F20"/>
        </w:rPr>
        <w:t>y</w:t>
      </w:r>
      <w:r>
        <w:rPr>
          <w:rFonts w:ascii="Tahoma" w:hAnsi="Tahoma"/>
          <w:color w:val="231F20"/>
          <w:spacing w:val="-34"/>
        </w:rPr>
        <w:t> </w:t>
      </w:r>
      <w:r>
        <w:rPr>
          <w:rFonts w:ascii="Tahoma" w:hAnsi="Tahoma"/>
          <w:color w:val="231F20"/>
          <w:spacing w:val="-4"/>
        </w:rPr>
        <w:t>E3.</w:t>
      </w:r>
    </w:p>
    <w:p>
      <w:pPr>
        <w:spacing w:before="179"/>
        <w:ind w:left="412" w:right="0" w:firstLine="0"/>
        <w:jc w:val="both"/>
        <w:rPr>
          <w:rFonts w:ascii="Cambria"/>
          <w:i/>
          <w:sz w:val="20"/>
        </w:rPr>
      </w:pPr>
      <w:r>
        <w:rPr>
          <w:rFonts w:ascii="Cambria"/>
          <w:i/>
          <w:color w:val="231F20"/>
          <w:w w:val="110"/>
          <w:sz w:val="20"/>
        </w:rPr>
        <w:t>Uso y aprovechamiento</w:t>
      </w:r>
    </w:p>
    <w:p>
      <w:pPr>
        <w:spacing w:before="25"/>
        <w:ind w:left="412" w:right="0" w:firstLine="0"/>
        <w:jc w:val="both"/>
        <w:rPr>
          <w:rFonts w:ascii="Cambria" w:hAnsi="Cambria"/>
          <w:i/>
          <w:sz w:val="20"/>
        </w:rPr>
      </w:pPr>
      <w:r>
        <w:rPr>
          <w:rFonts w:ascii="Cambria" w:hAnsi="Cambria"/>
          <w:i/>
          <w:color w:val="231F20"/>
          <w:w w:val="105"/>
          <w:sz w:val="20"/>
        </w:rPr>
        <w:t>de la superficie agrícola  útil</w:t>
      </w:r>
    </w:p>
    <w:p>
      <w:pPr>
        <w:pStyle w:val="BodyText"/>
        <w:spacing w:line="259" w:lineRule="auto" w:before="129"/>
        <w:ind w:left="412" w:right="1551" w:hanging="1"/>
        <w:jc w:val="both"/>
        <w:rPr>
          <w:rFonts w:ascii="Tahoma" w:hAnsi="Tahoma"/>
        </w:rPr>
      </w:pPr>
      <w:r>
        <w:rPr>
          <w:rFonts w:ascii="Tahoma" w:hAnsi="Tahoma"/>
          <w:color w:val="231F20"/>
        </w:rPr>
        <w:t>La</w:t>
      </w:r>
      <w:r>
        <w:rPr>
          <w:rFonts w:ascii="Tahoma" w:hAnsi="Tahoma"/>
          <w:color w:val="231F20"/>
          <w:spacing w:val="-24"/>
        </w:rPr>
        <w:t> </w:t>
      </w:r>
      <w:r>
        <w:rPr>
          <w:rFonts w:ascii="Tahoma" w:hAnsi="Tahoma"/>
          <w:color w:val="231F20"/>
        </w:rPr>
        <w:t>superficie</w:t>
      </w:r>
      <w:r>
        <w:rPr>
          <w:rFonts w:ascii="Tahoma" w:hAnsi="Tahoma"/>
          <w:color w:val="231F20"/>
          <w:spacing w:val="-24"/>
        </w:rPr>
        <w:t> </w:t>
      </w:r>
      <w:r>
        <w:rPr>
          <w:rFonts w:ascii="Tahoma" w:hAnsi="Tahoma"/>
          <w:color w:val="231F20"/>
        </w:rPr>
        <w:t>agrícola</w:t>
      </w:r>
      <w:r>
        <w:rPr>
          <w:rFonts w:ascii="Tahoma" w:hAnsi="Tahoma"/>
          <w:color w:val="231F20"/>
          <w:spacing w:val="-24"/>
        </w:rPr>
        <w:t> </w:t>
      </w:r>
      <w:r>
        <w:rPr>
          <w:rFonts w:ascii="Tahoma" w:hAnsi="Tahoma"/>
          <w:color w:val="231F20"/>
        </w:rPr>
        <w:t>útil</w:t>
      </w:r>
      <w:r>
        <w:rPr>
          <w:rFonts w:ascii="Tahoma" w:hAnsi="Tahoma"/>
          <w:color w:val="231F20"/>
          <w:spacing w:val="-24"/>
        </w:rPr>
        <w:t> </w:t>
      </w:r>
      <w:r>
        <w:rPr>
          <w:rFonts w:ascii="Tahoma" w:hAnsi="Tahoma"/>
          <w:color w:val="231F20"/>
        </w:rPr>
        <w:t>disponible</w:t>
      </w:r>
      <w:r>
        <w:rPr>
          <w:rFonts w:ascii="Tahoma" w:hAnsi="Tahoma"/>
          <w:color w:val="231F20"/>
          <w:spacing w:val="-24"/>
        </w:rPr>
        <w:t> </w:t>
      </w:r>
      <w:r>
        <w:rPr>
          <w:rFonts w:ascii="Tahoma" w:hAnsi="Tahoma"/>
          <w:color w:val="231F20"/>
        </w:rPr>
        <w:t>en</w:t>
      </w:r>
      <w:r>
        <w:rPr>
          <w:rFonts w:ascii="Tahoma" w:hAnsi="Tahoma"/>
          <w:color w:val="231F20"/>
          <w:spacing w:val="-24"/>
        </w:rPr>
        <w:t> </w:t>
      </w:r>
      <w:r>
        <w:rPr>
          <w:rFonts w:ascii="Tahoma" w:hAnsi="Tahoma"/>
          <w:color w:val="231F20"/>
        </w:rPr>
        <w:t>las</w:t>
      </w:r>
      <w:r>
        <w:rPr>
          <w:rFonts w:ascii="Tahoma" w:hAnsi="Tahoma"/>
          <w:color w:val="231F20"/>
          <w:spacing w:val="-24"/>
        </w:rPr>
        <w:t> </w:t>
      </w:r>
      <w:r>
        <w:rPr>
          <w:rFonts w:ascii="Tahoma" w:hAnsi="Tahoma"/>
          <w:color w:val="231F20"/>
        </w:rPr>
        <w:t>unida- des de producción se muestra en el Cuadro 4, donde puede verse que E3 es el estrato que presenta mayor disponibilidad de superficie. En relación</w:t>
      </w:r>
      <w:r>
        <w:rPr>
          <w:rFonts w:ascii="Tahoma" w:hAnsi="Tahoma"/>
          <w:color w:val="231F20"/>
          <w:spacing w:val="-40"/>
        </w:rPr>
        <w:t> </w:t>
      </w:r>
      <w:r>
        <w:rPr>
          <w:rFonts w:ascii="Tahoma" w:hAnsi="Tahoma"/>
          <w:color w:val="231F20"/>
        </w:rPr>
        <w:t>a</w:t>
      </w:r>
      <w:r>
        <w:rPr>
          <w:rFonts w:ascii="Tahoma" w:hAnsi="Tahoma"/>
          <w:color w:val="231F20"/>
          <w:spacing w:val="-40"/>
        </w:rPr>
        <w:t> </w:t>
      </w:r>
      <w:r>
        <w:rPr>
          <w:rFonts w:ascii="Tahoma" w:hAnsi="Tahoma"/>
          <w:color w:val="231F20"/>
        </w:rPr>
        <w:t>la</w:t>
      </w:r>
      <w:r>
        <w:rPr>
          <w:rFonts w:ascii="Tahoma" w:hAnsi="Tahoma"/>
          <w:color w:val="231F20"/>
          <w:spacing w:val="-40"/>
        </w:rPr>
        <w:t> </w:t>
      </w:r>
      <w:r>
        <w:rPr>
          <w:rFonts w:ascii="Tahoma" w:hAnsi="Tahoma"/>
          <w:color w:val="231F20"/>
        </w:rPr>
        <w:t>tenencia</w:t>
      </w:r>
      <w:r>
        <w:rPr>
          <w:rFonts w:ascii="Tahoma" w:hAnsi="Tahoma"/>
          <w:color w:val="231F20"/>
          <w:spacing w:val="-40"/>
        </w:rPr>
        <w:t> </w:t>
      </w:r>
      <w:r>
        <w:rPr>
          <w:rFonts w:ascii="Tahoma" w:hAnsi="Tahoma"/>
          <w:color w:val="231F20"/>
        </w:rPr>
        <w:t>de</w:t>
      </w:r>
      <w:r>
        <w:rPr>
          <w:rFonts w:ascii="Tahoma" w:hAnsi="Tahoma"/>
          <w:color w:val="231F20"/>
          <w:spacing w:val="-40"/>
        </w:rPr>
        <w:t> </w:t>
      </w:r>
      <w:r>
        <w:rPr>
          <w:rFonts w:ascii="Tahoma" w:hAnsi="Tahoma"/>
          <w:color w:val="231F20"/>
        </w:rPr>
        <w:t>la</w:t>
      </w:r>
      <w:r>
        <w:rPr>
          <w:rFonts w:ascii="Tahoma" w:hAnsi="Tahoma"/>
          <w:color w:val="231F20"/>
          <w:spacing w:val="-40"/>
        </w:rPr>
        <w:t> </w:t>
      </w:r>
      <w:r>
        <w:rPr>
          <w:rFonts w:ascii="Tahoma" w:hAnsi="Tahoma"/>
          <w:color w:val="231F20"/>
        </w:rPr>
        <w:t>tierra,</w:t>
      </w:r>
      <w:r>
        <w:rPr>
          <w:rFonts w:ascii="Tahoma" w:hAnsi="Tahoma"/>
          <w:color w:val="231F20"/>
          <w:spacing w:val="-40"/>
        </w:rPr>
        <w:t> </w:t>
      </w:r>
      <w:r>
        <w:rPr>
          <w:rFonts w:ascii="Tahoma" w:hAnsi="Tahoma"/>
          <w:color w:val="231F20"/>
        </w:rPr>
        <w:t>el</w:t>
      </w:r>
      <w:r>
        <w:rPr>
          <w:rFonts w:ascii="Tahoma" w:hAnsi="Tahoma"/>
          <w:color w:val="231F20"/>
          <w:spacing w:val="-40"/>
        </w:rPr>
        <w:t> </w:t>
      </w:r>
      <w:r>
        <w:rPr>
          <w:rFonts w:ascii="Tahoma" w:hAnsi="Tahoma"/>
          <w:color w:val="231F20"/>
        </w:rPr>
        <w:t>mayor</w:t>
      </w:r>
      <w:r>
        <w:rPr>
          <w:rFonts w:ascii="Tahoma" w:hAnsi="Tahoma"/>
          <w:color w:val="231F20"/>
          <w:spacing w:val="-40"/>
        </w:rPr>
        <w:t> </w:t>
      </w:r>
      <w:r>
        <w:rPr>
          <w:rFonts w:ascii="Tahoma" w:hAnsi="Tahoma"/>
          <w:color w:val="231F20"/>
        </w:rPr>
        <w:t>porcen- taje</w:t>
      </w:r>
      <w:r>
        <w:rPr>
          <w:rFonts w:ascii="Tahoma" w:hAnsi="Tahoma"/>
          <w:color w:val="231F20"/>
          <w:spacing w:val="-19"/>
        </w:rPr>
        <w:t> </w:t>
      </w:r>
      <w:r>
        <w:rPr>
          <w:rFonts w:ascii="Tahoma" w:hAnsi="Tahoma"/>
          <w:color w:val="231F20"/>
        </w:rPr>
        <w:t>de</w:t>
      </w:r>
      <w:r>
        <w:rPr>
          <w:rFonts w:ascii="Tahoma" w:hAnsi="Tahoma"/>
          <w:color w:val="231F20"/>
          <w:spacing w:val="-19"/>
        </w:rPr>
        <w:t> </w:t>
      </w:r>
      <w:r>
        <w:rPr>
          <w:rFonts w:ascii="Tahoma" w:hAnsi="Tahoma"/>
          <w:color w:val="231F20"/>
        </w:rPr>
        <w:t>la</w:t>
      </w:r>
      <w:r>
        <w:rPr>
          <w:rFonts w:ascii="Tahoma" w:hAnsi="Tahoma"/>
          <w:color w:val="231F20"/>
          <w:spacing w:val="-19"/>
        </w:rPr>
        <w:t> </w:t>
      </w:r>
      <w:r>
        <w:rPr>
          <w:rFonts w:ascii="Tahoma" w:hAnsi="Tahoma"/>
          <w:color w:val="231F20"/>
        </w:rPr>
        <w:t>superficie</w:t>
      </w:r>
      <w:r>
        <w:rPr>
          <w:rFonts w:ascii="Tahoma" w:hAnsi="Tahoma"/>
          <w:color w:val="231F20"/>
          <w:spacing w:val="-19"/>
        </w:rPr>
        <w:t> </w:t>
      </w:r>
      <w:r>
        <w:rPr>
          <w:rFonts w:ascii="Tahoma" w:hAnsi="Tahoma"/>
          <w:color w:val="231F20"/>
        </w:rPr>
        <w:t>disponible</w:t>
      </w:r>
      <w:r>
        <w:rPr>
          <w:rFonts w:ascii="Tahoma" w:hAnsi="Tahoma"/>
          <w:color w:val="231F20"/>
          <w:spacing w:val="-19"/>
        </w:rPr>
        <w:t> </w:t>
      </w:r>
      <w:r>
        <w:rPr>
          <w:rFonts w:ascii="Tahoma" w:hAnsi="Tahoma"/>
          <w:color w:val="231F20"/>
        </w:rPr>
        <w:t>es</w:t>
      </w:r>
      <w:r>
        <w:rPr>
          <w:rFonts w:ascii="Tahoma" w:hAnsi="Tahoma"/>
          <w:color w:val="231F20"/>
          <w:spacing w:val="-19"/>
        </w:rPr>
        <w:t> </w:t>
      </w:r>
      <w:r>
        <w:rPr>
          <w:rFonts w:ascii="Tahoma" w:hAnsi="Tahoma"/>
          <w:color w:val="231F20"/>
        </w:rPr>
        <w:t>propia</w:t>
      </w:r>
      <w:r>
        <w:rPr>
          <w:rFonts w:ascii="Tahoma" w:hAnsi="Tahoma"/>
          <w:color w:val="231F20"/>
          <w:spacing w:val="-19"/>
        </w:rPr>
        <w:t> </w:t>
      </w:r>
      <w:r>
        <w:rPr>
          <w:rFonts w:ascii="Tahoma" w:hAnsi="Tahoma"/>
          <w:color w:val="231F20"/>
        </w:rPr>
        <w:t>y</w:t>
      </w:r>
      <w:r>
        <w:rPr>
          <w:rFonts w:ascii="Tahoma" w:hAnsi="Tahoma"/>
          <w:color w:val="231F20"/>
          <w:spacing w:val="-19"/>
        </w:rPr>
        <w:t> </w:t>
      </w:r>
      <w:r>
        <w:rPr>
          <w:rFonts w:ascii="Tahoma" w:hAnsi="Tahoma"/>
          <w:color w:val="231F20"/>
        </w:rPr>
        <w:t>sólo</w:t>
      </w:r>
      <w:r>
        <w:rPr>
          <w:rFonts w:ascii="Tahoma" w:hAnsi="Tahoma"/>
          <w:color w:val="231F20"/>
          <w:spacing w:val="-19"/>
        </w:rPr>
        <w:t> </w:t>
      </w:r>
      <w:r>
        <w:rPr>
          <w:rFonts w:ascii="Tahoma" w:hAnsi="Tahoma"/>
          <w:color w:val="231F20"/>
        </w:rPr>
        <w:t>el </w:t>
      </w:r>
      <w:r>
        <w:rPr>
          <w:rFonts w:ascii="Tahoma" w:hAnsi="Tahoma"/>
          <w:color w:val="231F20"/>
          <w:w w:val="95"/>
        </w:rPr>
        <w:t>3,84% es</w:t>
      </w:r>
      <w:r>
        <w:rPr>
          <w:rFonts w:ascii="Tahoma" w:hAnsi="Tahoma"/>
          <w:color w:val="231F20"/>
          <w:spacing w:val="-14"/>
          <w:w w:val="95"/>
        </w:rPr>
        <w:t> </w:t>
      </w:r>
      <w:r>
        <w:rPr>
          <w:rFonts w:ascii="Tahoma" w:hAnsi="Tahoma"/>
          <w:color w:val="231F20"/>
          <w:w w:val="95"/>
        </w:rPr>
        <w:t>rentada.</w:t>
      </w:r>
    </w:p>
    <w:p>
      <w:pPr>
        <w:pStyle w:val="BodyText"/>
        <w:spacing w:line="259" w:lineRule="auto" w:before="112"/>
        <w:ind w:left="412" w:right="1551"/>
        <w:jc w:val="both"/>
        <w:rPr>
          <w:rFonts w:ascii="Tahoma" w:hAnsi="Tahoma"/>
        </w:rPr>
      </w:pPr>
      <w:r>
        <w:rPr>
          <w:rFonts w:ascii="Tahoma" w:hAnsi="Tahoma"/>
          <w:color w:val="231F20"/>
        </w:rPr>
        <w:t>En</w:t>
      </w:r>
      <w:r>
        <w:rPr>
          <w:rFonts w:ascii="Tahoma" w:hAnsi="Tahoma"/>
          <w:color w:val="231F20"/>
          <w:spacing w:val="-23"/>
        </w:rPr>
        <w:t> </w:t>
      </w:r>
      <w:r>
        <w:rPr>
          <w:rFonts w:ascii="Tahoma" w:hAnsi="Tahoma"/>
          <w:color w:val="231F20"/>
        </w:rPr>
        <w:t>la</w:t>
      </w:r>
      <w:r>
        <w:rPr>
          <w:rFonts w:ascii="Tahoma" w:hAnsi="Tahoma"/>
          <w:color w:val="231F20"/>
          <w:spacing w:val="-23"/>
        </w:rPr>
        <w:t> </w:t>
      </w:r>
      <w:r>
        <w:rPr>
          <w:rFonts w:ascii="Tahoma" w:hAnsi="Tahoma"/>
          <w:color w:val="231F20"/>
        </w:rPr>
        <w:t>Figura</w:t>
      </w:r>
      <w:r>
        <w:rPr>
          <w:rFonts w:ascii="Tahoma" w:hAnsi="Tahoma"/>
          <w:color w:val="231F20"/>
          <w:spacing w:val="-23"/>
        </w:rPr>
        <w:t> </w:t>
      </w:r>
      <w:r>
        <w:rPr>
          <w:rFonts w:ascii="Tahoma" w:hAnsi="Tahoma"/>
          <w:color w:val="231F20"/>
        </w:rPr>
        <w:t>2</w:t>
      </w:r>
      <w:r>
        <w:rPr>
          <w:rFonts w:ascii="Tahoma" w:hAnsi="Tahoma"/>
          <w:color w:val="231F20"/>
          <w:spacing w:val="-23"/>
        </w:rPr>
        <w:t> </w:t>
      </w:r>
      <w:r>
        <w:rPr>
          <w:rFonts w:ascii="Tahoma" w:hAnsi="Tahoma"/>
          <w:color w:val="231F20"/>
        </w:rPr>
        <w:t>se</w:t>
      </w:r>
      <w:r>
        <w:rPr>
          <w:rFonts w:ascii="Tahoma" w:hAnsi="Tahoma"/>
          <w:color w:val="231F20"/>
          <w:spacing w:val="-23"/>
        </w:rPr>
        <w:t> </w:t>
      </w:r>
      <w:r>
        <w:rPr>
          <w:rFonts w:ascii="Tahoma" w:hAnsi="Tahoma"/>
          <w:color w:val="231F20"/>
        </w:rPr>
        <w:t>muestra</w:t>
      </w:r>
      <w:r>
        <w:rPr>
          <w:rFonts w:ascii="Tahoma" w:hAnsi="Tahoma"/>
          <w:color w:val="231F20"/>
          <w:spacing w:val="-23"/>
        </w:rPr>
        <w:t> </w:t>
      </w:r>
      <w:r>
        <w:rPr>
          <w:rFonts w:ascii="Tahoma" w:hAnsi="Tahoma"/>
          <w:color w:val="231F20"/>
        </w:rPr>
        <w:t>la</w:t>
      </w:r>
      <w:r>
        <w:rPr>
          <w:rFonts w:ascii="Tahoma" w:hAnsi="Tahoma"/>
          <w:color w:val="231F20"/>
          <w:spacing w:val="-23"/>
        </w:rPr>
        <w:t> </w:t>
      </w:r>
      <w:r>
        <w:rPr>
          <w:rFonts w:ascii="Tahoma" w:hAnsi="Tahoma"/>
          <w:color w:val="231F20"/>
        </w:rPr>
        <w:t>importancia</w:t>
      </w:r>
      <w:r>
        <w:rPr>
          <w:rFonts w:ascii="Tahoma" w:hAnsi="Tahoma"/>
          <w:color w:val="231F20"/>
          <w:spacing w:val="-23"/>
        </w:rPr>
        <w:t> </w:t>
      </w:r>
      <w:r>
        <w:rPr>
          <w:rFonts w:ascii="Tahoma" w:hAnsi="Tahoma"/>
          <w:color w:val="231F20"/>
        </w:rPr>
        <w:t>de</w:t>
      </w:r>
      <w:r>
        <w:rPr>
          <w:rFonts w:ascii="Tahoma" w:hAnsi="Tahoma"/>
          <w:color w:val="231F20"/>
          <w:spacing w:val="-23"/>
        </w:rPr>
        <w:t> </w:t>
      </w:r>
      <w:r>
        <w:rPr>
          <w:rFonts w:ascii="Tahoma" w:hAnsi="Tahoma"/>
          <w:color w:val="231F20"/>
        </w:rPr>
        <w:t>la</w:t>
      </w:r>
      <w:r>
        <w:rPr>
          <w:rFonts w:ascii="Tahoma" w:hAnsi="Tahoma"/>
          <w:color w:val="231F20"/>
          <w:spacing w:val="-23"/>
        </w:rPr>
        <w:t> </w:t>
      </w:r>
      <w:r>
        <w:rPr>
          <w:rFonts w:ascii="Tahoma" w:hAnsi="Tahoma"/>
          <w:color w:val="231F20"/>
        </w:rPr>
        <w:t>su- perficie</w:t>
      </w:r>
      <w:r>
        <w:rPr>
          <w:rFonts w:ascii="Tahoma" w:hAnsi="Tahoma"/>
          <w:color w:val="231F20"/>
          <w:spacing w:val="-31"/>
        </w:rPr>
        <w:t> </w:t>
      </w:r>
      <w:r>
        <w:rPr>
          <w:rFonts w:ascii="Tahoma" w:hAnsi="Tahoma"/>
          <w:color w:val="231F20"/>
        </w:rPr>
        <w:t>forrajera,</w:t>
      </w:r>
      <w:r>
        <w:rPr>
          <w:rFonts w:ascii="Tahoma" w:hAnsi="Tahoma"/>
          <w:color w:val="231F20"/>
          <w:spacing w:val="-31"/>
        </w:rPr>
        <w:t> </w:t>
      </w:r>
      <w:r>
        <w:rPr>
          <w:rFonts w:ascii="Tahoma" w:hAnsi="Tahoma"/>
          <w:color w:val="231F20"/>
        </w:rPr>
        <w:t>que</w:t>
      </w:r>
      <w:r>
        <w:rPr>
          <w:rFonts w:ascii="Tahoma" w:hAnsi="Tahoma"/>
          <w:color w:val="231F20"/>
          <w:spacing w:val="-31"/>
        </w:rPr>
        <w:t> </w:t>
      </w:r>
      <w:r>
        <w:rPr>
          <w:rFonts w:ascii="Tahoma" w:hAnsi="Tahoma"/>
          <w:color w:val="231F20"/>
        </w:rPr>
        <w:t>representa</w:t>
      </w:r>
      <w:r>
        <w:rPr>
          <w:rFonts w:ascii="Tahoma" w:hAnsi="Tahoma"/>
          <w:color w:val="231F20"/>
          <w:spacing w:val="-31"/>
        </w:rPr>
        <w:t> </w:t>
      </w:r>
      <w:r>
        <w:rPr>
          <w:rFonts w:ascii="Tahoma" w:hAnsi="Tahoma"/>
          <w:color w:val="231F20"/>
        </w:rPr>
        <w:t>el</w:t>
      </w:r>
      <w:r>
        <w:rPr>
          <w:rFonts w:ascii="Tahoma" w:hAnsi="Tahoma"/>
          <w:color w:val="231F20"/>
          <w:spacing w:val="-31"/>
        </w:rPr>
        <w:t> </w:t>
      </w:r>
      <w:r>
        <w:rPr>
          <w:rFonts w:ascii="Tahoma" w:hAnsi="Tahoma"/>
          <w:color w:val="231F20"/>
        </w:rPr>
        <w:t>89,47%</w:t>
      </w:r>
      <w:r>
        <w:rPr>
          <w:rFonts w:ascii="Tahoma" w:hAnsi="Tahoma"/>
          <w:color w:val="231F20"/>
          <w:spacing w:val="-31"/>
        </w:rPr>
        <w:t> </w:t>
      </w:r>
      <w:r>
        <w:rPr>
          <w:rFonts w:ascii="Tahoma" w:hAnsi="Tahoma"/>
          <w:color w:val="231F20"/>
        </w:rPr>
        <w:t>de</w:t>
      </w:r>
      <w:r>
        <w:rPr>
          <w:rFonts w:ascii="Tahoma" w:hAnsi="Tahoma"/>
          <w:color w:val="231F20"/>
          <w:spacing w:val="-31"/>
        </w:rPr>
        <w:t> </w:t>
      </w:r>
      <w:r>
        <w:rPr>
          <w:rFonts w:ascii="Tahoma" w:hAnsi="Tahoma"/>
          <w:color w:val="231F20"/>
        </w:rPr>
        <w:t>la superficie</w:t>
      </w:r>
      <w:r>
        <w:rPr>
          <w:rFonts w:ascii="Tahoma" w:hAnsi="Tahoma"/>
          <w:color w:val="231F20"/>
          <w:spacing w:val="-14"/>
        </w:rPr>
        <w:t> </w:t>
      </w:r>
      <w:r>
        <w:rPr>
          <w:rFonts w:ascii="Tahoma" w:hAnsi="Tahoma"/>
          <w:color w:val="231F20"/>
        </w:rPr>
        <w:t>agrícola</w:t>
      </w:r>
      <w:r>
        <w:rPr>
          <w:rFonts w:ascii="Tahoma" w:hAnsi="Tahoma"/>
          <w:color w:val="231F20"/>
          <w:spacing w:val="-14"/>
        </w:rPr>
        <w:t> </w:t>
      </w:r>
      <w:r>
        <w:rPr>
          <w:rFonts w:ascii="Tahoma" w:hAnsi="Tahoma"/>
          <w:color w:val="231F20"/>
        </w:rPr>
        <w:t>útil.</w:t>
      </w:r>
      <w:r>
        <w:rPr>
          <w:rFonts w:ascii="Tahoma" w:hAnsi="Tahoma"/>
          <w:color w:val="231F20"/>
          <w:spacing w:val="-14"/>
        </w:rPr>
        <w:t> </w:t>
      </w:r>
      <w:r>
        <w:rPr>
          <w:rFonts w:ascii="Tahoma" w:hAnsi="Tahoma"/>
          <w:color w:val="231F20"/>
        </w:rPr>
        <w:t>Así</w:t>
      </w:r>
      <w:r>
        <w:rPr>
          <w:rFonts w:ascii="Tahoma" w:hAnsi="Tahoma"/>
          <w:color w:val="231F20"/>
          <w:spacing w:val="-14"/>
        </w:rPr>
        <w:t> </w:t>
      </w:r>
      <w:r>
        <w:rPr>
          <w:rFonts w:ascii="Tahoma" w:hAnsi="Tahoma"/>
          <w:color w:val="231F20"/>
        </w:rPr>
        <w:t>mismo,</w:t>
      </w:r>
      <w:r>
        <w:rPr>
          <w:rFonts w:ascii="Tahoma" w:hAnsi="Tahoma"/>
          <w:color w:val="231F20"/>
          <w:spacing w:val="-14"/>
        </w:rPr>
        <w:t> </w:t>
      </w:r>
      <w:r>
        <w:rPr>
          <w:rFonts w:ascii="Tahoma" w:hAnsi="Tahoma"/>
          <w:color w:val="231F20"/>
        </w:rPr>
        <w:t>se</w:t>
      </w:r>
      <w:r>
        <w:rPr>
          <w:rFonts w:ascii="Tahoma" w:hAnsi="Tahoma"/>
          <w:color w:val="231F20"/>
          <w:spacing w:val="-14"/>
        </w:rPr>
        <w:t> </w:t>
      </w:r>
      <w:r>
        <w:rPr>
          <w:rFonts w:ascii="Tahoma" w:hAnsi="Tahoma"/>
          <w:color w:val="231F20"/>
        </w:rPr>
        <w:t>hace</w:t>
      </w:r>
      <w:r>
        <w:rPr>
          <w:rFonts w:ascii="Tahoma" w:hAnsi="Tahoma"/>
          <w:color w:val="231F20"/>
          <w:spacing w:val="-14"/>
        </w:rPr>
        <w:t> </w:t>
      </w:r>
      <w:r>
        <w:rPr>
          <w:rFonts w:ascii="Tahoma" w:hAnsi="Tahoma"/>
          <w:color w:val="231F20"/>
        </w:rPr>
        <w:t>notar la</w:t>
      </w:r>
      <w:r>
        <w:rPr>
          <w:rFonts w:ascii="Tahoma" w:hAnsi="Tahoma"/>
          <w:color w:val="231F20"/>
          <w:spacing w:val="-16"/>
        </w:rPr>
        <w:t> </w:t>
      </w:r>
      <w:r>
        <w:rPr>
          <w:rFonts w:ascii="Tahoma" w:hAnsi="Tahoma"/>
          <w:color w:val="231F20"/>
        </w:rPr>
        <w:t>reducida</w:t>
      </w:r>
      <w:r>
        <w:rPr>
          <w:rFonts w:ascii="Tahoma" w:hAnsi="Tahoma"/>
          <w:color w:val="231F20"/>
          <w:spacing w:val="-16"/>
        </w:rPr>
        <w:t> </w:t>
      </w:r>
      <w:r>
        <w:rPr>
          <w:rFonts w:ascii="Tahoma" w:hAnsi="Tahoma"/>
          <w:color w:val="231F20"/>
        </w:rPr>
        <w:t>importancia</w:t>
      </w:r>
      <w:r>
        <w:rPr>
          <w:rFonts w:ascii="Tahoma" w:hAnsi="Tahoma"/>
          <w:color w:val="231F20"/>
          <w:spacing w:val="-16"/>
        </w:rPr>
        <w:t> </w:t>
      </w:r>
      <w:r>
        <w:rPr>
          <w:rFonts w:ascii="Tahoma" w:hAnsi="Tahoma"/>
          <w:color w:val="231F20"/>
        </w:rPr>
        <w:t>de</w:t>
      </w:r>
      <w:r>
        <w:rPr>
          <w:rFonts w:ascii="Tahoma" w:hAnsi="Tahoma"/>
          <w:color w:val="231F20"/>
          <w:spacing w:val="-16"/>
        </w:rPr>
        <w:t> </w:t>
      </w:r>
      <w:r>
        <w:rPr>
          <w:rFonts w:ascii="Tahoma" w:hAnsi="Tahoma"/>
          <w:color w:val="231F20"/>
        </w:rPr>
        <w:t>los</w:t>
      </w:r>
      <w:r>
        <w:rPr>
          <w:rFonts w:ascii="Tahoma" w:hAnsi="Tahoma"/>
          <w:color w:val="231F20"/>
          <w:spacing w:val="-16"/>
        </w:rPr>
        <w:t> </w:t>
      </w:r>
      <w:r>
        <w:rPr>
          <w:rFonts w:ascii="Tahoma" w:hAnsi="Tahoma"/>
          <w:color w:val="231F20"/>
        </w:rPr>
        <w:t>cultivos</w:t>
      </w:r>
      <w:r>
        <w:rPr>
          <w:rFonts w:ascii="Tahoma" w:hAnsi="Tahoma"/>
          <w:color w:val="231F20"/>
          <w:spacing w:val="-16"/>
        </w:rPr>
        <w:t> </w:t>
      </w:r>
      <w:r>
        <w:rPr>
          <w:rFonts w:ascii="Tahoma" w:hAnsi="Tahoma"/>
          <w:color w:val="231F20"/>
        </w:rPr>
        <w:t>agrícolas, que en promedio representan sólo el </w:t>
      </w:r>
      <w:r>
        <w:rPr>
          <w:rFonts w:ascii="Tahoma" w:hAnsi="Tahoma"/>
          <w:color w:val="231F20"/>
          <w:spacing w:val="-3"/>
        </w:rPr>
        <w:t>10%.</w:t>
      </w:r>
      <w:r>
        <w:rPr>
          <w:rFonts w:ascii="Tahoma" w:hAnsi="Tahoma"/>
          <w:color w:val="231F20"/>
          <w:spacing w:val="-40"/>
        </w:rPr>
        <w:t> </w:t>
      </w:r>
      <w:r>
        <w:rPr>
          <w:rFonts w:ascii="Tahoma" w:hAnsi="Tahoma"/>
          <w:color w:val="231F20"/>
        </w:rPr>
        <w:t>Esta tendencia</w:t>
      </w:r>
      <w:r>
        <w:rPr>
          <w:rFonts w:ascii="Tahoma" w:hAnsi="Tahoma"/>
          <w:color w:val="231F20"/>
          <w:spacing w:val="-31"/>
        </w:rPr>
        <w:t> </w:t>
      </w:r>
      <w:r>
        <w:rPr>
          <w:rFonts w:ascii="Tahoma" w:hAnsi="Tahoma"/>
          <w:color w:val="231F20"/>
        </w:rPr>
        <w:t>ha</w:t>
      </w:r>
      <w:r>
        <w:rPr>
          <w:rFonts w:ascii="Tahoma" w:hAnsi="Tahoma"/>
          <w:color w:val="231F20"/>
          <w:spacing w:val="-31"/>
        </w:rPr>
        <w:t> </w:t>
      </w:r>
      <w:r>
        <w:rPr>
          <w:rFonts w:ascii="Tahoma" w:hAnsi="Tahoma"/>
          <w:color w:val="231F20"/>
        </w:rPr>
        <w:t>sido</w:t>
      </w:r>
      <w:r>
        <w:rPr>
          <w:rFonts w:ascii="Tahoma" w:hAnsi="Tahoma"/>
          <w:color w:val="231F20"/>
          <w:spacing w:val="-31"/>
        </w:rPr>
        <w:t> </w:t>
      </w:r>
      <w:r>
        <w:rPr>
          <w:rFonts w:ascii="Tahoma" w:hAnsi="Tahoma"/>
          <w:color w:val="231F20"/>
        </w:rPr>
        <w:t>generada,</w:t>
      </w:r>
      <w:r>
        <w:rPr>
          <w:rFonts w:ascii="Tahoma" w:hAnsi="Tahoma"/>
          <w:color w:val="231F20"/>
          <w:spacing w:val="-31"/>
        </w:rPr>
        <w:t> </w:t>
      </w:r>
      <w:r>
        <w:rPr>
          <w:rFonts w:ascii="Tahoma" w:hAnsi="Tahoma"/>
          <w:color w:val="231F20"/>
        </w:rPr>
        <w:t>entre</w:t>
      </w:r>
      <w:r>
        <w:rPr>
          <w:rFonts w:ascii="Tahoma" w:hAnsi="Tahoma"/>
          <w:color w:val="231F20"/>
          <w:spacing w:val="-31"/>
        </w:rPr>
        <w:t> </w:t>
      </w:r>
      <w:r>
        <w:rPr>
          <w:rFonts w:ascii="Tahoma" w:hAnsi="Tahoma"/>
          <w:color w:val="231F20"/>
        </w:rPr>
        <w:t>otros</w:t>
      </w:r>
      <w:r>
        <w:rPr>
          <w:rFonts w:ascii="Tahoma" w:hAnsi="Tahoma"/>
          <w:color w:val="231F20"/>
          <w:spacing w:val="-31"/>
        </w:rPr>
        <w:t> </w:t>
      </w:r>
      <w:r>
        <w:rPr>
          <w:rFonts w:ascii="Tahoma" w:hAnsi="Tahoma"/>
          <w:color w:val="231F20"/>
        </w:rPr>
        <w:t>factores, por</w:t>
      </w:r>
      <w:r>
        <w:rPr>
          <w:rFonts w:ascii="Tahoma" w:hAnsi="Tahoma"/>
          <w:color w:val="231F20"/>
          <w:spacing w:val="-14"/>
        </w:rPr>
        <w:t> </w:t>
      </w:r>
      <w:r>
        <w:rPr>
          <w:rFonts w:ascii="Tahoma" w:hAnsi="Tahoma"/>
          <w:color w:val="231F20"/>
        </w:rPr>
        <w:t>las</w:t>
      </w:r>
      <w:r>
        <w:rPr>
          <w:rFonts w:ascii="Tahoma" w:hAnsi="Tahoma"/>
          <w:color w:val="231F20"/>
          <w:spacing w:val="-14"/>
        </w:rPr>
        <w:t> </w:t>
      </w:r>
      <w:r>
        <w:rPr>
          <w:rFonts w:ascii="Tahoma" w:hAnsi="Tahoma"/>
          <w:color w:val="231F20"/>
        </w:rPr>
        <w:t>condiciones</w:t>
      </w:r>
      <w:r>
        <w:rPr>
          <w:rFonts w:ascii="Tahoma" w:hAnsi="Tahoma"/>
          <w:color w:val="231F20"/>
          <w:spacing w:val="-14"/>
        </w:rPr>
        <w:t> </w:t>
      </w:r>
      <w:r>
        <w:rPr>
          <w:rFonts w:ascii="Tahoma" w:hAnsi="Tahoma"/>
          <w:color w:val="231F20"/>
        </w:rPr>
        <w:t>topográficas</w:t>
      </w:r>
      <w:r>
        <w:rPr>
          <w:rFonts w:ascii="Tahoma" w:hAnsi="Tahoma"/>
          <w:color w:val="231F20"/>
          <w:spacing w:val="-14"/>
        </w:rPr>
        <w:t> </w:t>
      </w:r>
      <w:r>
        <w:rPr>
          <w:rFonts w:ascii="Tahoma" w:hAnsi="Tahoma"/>
          <w:color w:val="231F20"/>
        </w:rPr>
        <w:t>que</w:t>
      </w:r>
      <w:r>
        <w:rPr>
          <w:rFonts w:ascii="Tahoma" w:hAnsi="Tahoma"/>
          <w:color w:val="231F20"/>
          <w:spacing w:val="-14"/>
        </w:rPr>
        <w:t> </w:t>
      </w:r>
      <w:r>
        <w:rPr>
          <w:rFonts w:ascii="Tahoma" w:hAnsi="Tahoma"/>
          <w:color w:val="231F20"/>
        </w:rPr>
        <w:t>presenta</w:t>
      </w:r>
      <w:r>
        <w:rPr>
          <w:rFonts w:ascii="Tahoma" w:hAnsi="Tahoma"/>
          <w:color w:val="231F20"/>
          <w:spacing w:val="-14"/>
        </w:rPr>
        <w:t> </w:t>
      </w:r>
      <w:r>
        <w:rPr>
          <w:rFonts w:ascii="Tahoma" w:hAnsi="Tahoma"/>
          <w:color w:val="231F20"/>
        </w:rPr>
        <w:t>la zona,</w:t>
      </w:r>
      <w:r>
        <w:rPr>
          <w:rFonts w:ascii="Tahoma" w:hAnsi="Tahoma"/>
          <w:color w:val="231F20"/>
          <w:spacing w:val="-17"/>
        </w:rPr>
        <w:t> </w:t>
      </w:r>
      <w:r>
        <w:rPr>
          <w:rFonts w:ascii="Tahoma" w:hAnsi="Tahoma"/>
          <w:color w:val="231F20"/>
        </w:rPr>
        <w:t>lo</w:t>
      </w:r>
      <w:r>
        <w:rPr>
          <w:rFonts w:ascii="Tahoma" w:hAnsi="Tahoma"/>
          <w:color w:val="231F20"/>
          <w:spacing w:val="-17"/>
        </w:rPr>
        <w:t> </w:t>
      </w:r>
      <w:r>
        <w:rPr>
          <w:rFonts w:ascii="Tahoma" w:hAnsi="Tahoma"/>
          <w:color w:val="231F20"/>
        </w:rPr>
        <w:t>que</w:t>
      </w:r>
      <w:r>
        <w:rPr>
          <w:rFonts w:ascii="Tahoma" w:hAnsi="Tahoma"/>
          <w:color w:val="231F20"/>
          <w:spacing w:val="-17"/>
        </w:rPr>
        <w:t> </w:t>
      </w:r>
      <w:r>
        <w:rPr>
          <w:rFonts w:ascii="Tahoma" w:hAnsi="Tahoma"/>
          <w:color w:val="231F20"/>
        </w:rPr>
        <w:t>dificulta</w:t>
      </w:r>
      <w:r>
        <w:rPr>
          <w:rFonts w:ascii="Tahoma" w:hAnsi="Tahoma"/>
          <w:color w:val="231F20"/>
          <w:spacing w:val="-17"/>
        </w:rPr>
        <w:t> </w:t>
      </w:r>
      <w:r>
        <w:rPr>
          <w:rFonts w:ascii="Tahoma" w:hAnsi="Tahoma"/>
          <w:color w:val="231F20"/>
        </w:rPr>
        <w:t>considerablemente</w:t>
      </w:r>
      <w:r>
        <w:rPr>
          <w:rFonts w:ascii="Tahoma" w:hAnsi="Tahoma"/>
          <w:color w:val="231F20"/>
          <w:spacing w:val="-17"/>
        </w:rPr>
        <w:t> </w:t>
      </w:r>
      <w:r>
        <w:rPr>
          <w:rFonts w:ascii="Tahoma" w:hAnsi="Tahoma"/>
          <w:color w:val="231F20"/>
        </w:rPr>
        <w:t>el</w:t>
      </w:r>
      <w:r>
        <w:rPr>
          <w:rFonts w:ascii="Tahoma" w:hAnsi="Tahoma"/>
          <w:color w:val="231F20"/>
          <w:spacing w:val="-17"/>
        </w:rPr>
        <w:t> </w:t>
      </w:r>
      <w:r>
        <w:rPr>
          <w:rFonts w:ascii="Tahoma" w:hAnsi="Tahoma"/>
          <w:color w:val="231F20"/>
        </w:rPr>
        <w:t>esta- blecimiento</w:t>
      </w:r>
      <w:r>
        <w:rPr>
          <w:rFonts w:ascii="Tahoma" w:hAnsi="Tahoma"/>
          <w:color w:val="231F20"/>
          <w:spacing w:val="-15"/>
        </w:rPr>
        <w:t> </w:t>
      </w:r>
      <w:r>
        <w:rPr>
          <w:rFonts w:ascii="Tahoma" w:hAnsi="Tahoma"/>
          <w:color w:val="231F20"/>
        </w:rPr>
        <w:t>de</w:t>
      </w:r>
      <w:r>
        <w:rPr>
          <w:rFonts w:ascii="Tahoma" w:hAnsi="Tahoma"/>
          <w:color w:val="231F20"/>
          <w:spacing w:val="-15"/>
        </w:rPr>
        <w:t> </w:t>
      </w:r>
      <w:r>
        <w:rPr>
          <w:rFonts w:ascii="Tahoma" w:hAnsi="Tahoma"/>
          <w:color w:val="231F20"/>
        </w:rPr>
        <w:t>cultivos</w:t>
      </w:r>
      <w:r>
        <w:rPr>
          <w:rFonts w:ascii="Tahoma" w:hAnsi="Tahoma"/>
          <w:color w:val="231F20"/>
          <w:spacing w:val="-15"/>
        </w:rPr>
        <w:t> </w:t>
      </w:r>
      <w:r>
        <w:rPr>
          <w:rFonts w:ascii="Tahoma" w:hAnsi="Tahoma"/>
          <w:color w:val="231F20"/>
        </w:rPr>
        <w:t>agrícolas</w:t>
      </w:r>
      <w:r>
        <w:rPr>
          <w:rFonts w:ascii="Tahoma" w:hAnsi="Tahoma"/>
          <w:color w:val="231F20"/>
          <w:spacing w:val="-15"/>
        </w:rPr>
        <w:t> </w:t>
      </w:r>
      <w:r>
        <w:rPr>
          <w:rFonts w:ascii="Tahoma" w:hAnsi="Tahoma"/>
          <w:color w:val="231F20"/>
        </w:rPr>
        <w:t>o</w:t>
      </w:r>
      <w:r>
        <w:rPr>
          <w:rFonts w:ascii="Tahoma" w:hAnsi="Tahoma"/>
          <w:color w:val="231F20"/>
          <w:spacing w:val="-15"/>
        </w:rPr>
        <w:t> </w:t>
      </w:r>
      <w:r>
        <w:rPr>
          <w:rFonts w:ascii="Tahoma" w:hAnsi="Tahoma"/>
          <w:color w:val="231F20"/>
        </w:rPr>
        <w:t>el</w:t>
      </w:r>
      <w:r>
        <w:rPr>
          <w:rFonts w:ascii="Tahoma" w:hAnsi="Tahoma"/>
          <w:color w:val="231F20"/>
          <w:spacing w:val="-15"/>
        </w:rPr>
        <w:t> </w:t>
      </w:r>
      <w:r>
        <w:rPr>
          <w:rFonts w:ascii="Tahoma" w:hAnsi="Tahoma"/>
          <w:color w:val="231F20"/>
        </w:rPr>
        <w:t>uso</w:t>
      </w:r>
      <w:r>
        <w:rPr>
          <w:rFonts w:ascii="Tahoma" w:hAnsi="Tahoma"/>
          <w:color w:val="231F20"/>
          <w:spacing w:val="-15"/>
        </w:rPr>
        <w:t> </w:t>
      </w:r>
      <w:r>
        <w:rPr>
          <w:rFonts w:ascii="Tahoma" w:hAnsi="Tahoma"/>
          <w:color w:val="231F20"/>
        </w:rPr>
        <w:t>de</w:t>
      </w:r>
      <w:r>
        <w:rPr>
          <w:rFonts w:ascii="Tahoma" w:hAnsi="Tahoma"/>
          <w:color w:val="231F20"/>
          <w:spacing w:val="-15"/>
        </w:rPr>
        <w:t> </w:t>
      </w:r>
      <w:r>
        <w:rPr>
          <w:rFonts w:ascii="Tahoma" w:hAnsi="Tahoma"/>
          <w:color w:val="231F20"/>
        </w:rPr>
        <w:t>ma- quinaria.</w:t>
      </w:r>
      <w:r>
        <w:rPr>
          <w:rFonts w:ascii="Tahoma" w:hAnsi="Tahoma"/>
          <w:color w:val="231F20"/>
          <w:spacing w:val="-7"/>
        </w:rPr>
        <w:t> </w:t>
      </w:r>
      <w:r>
        <w:rPr>
          <w:rFonts w:ascii="Tahoma" w:hAnsi="Tahoma"/>
          <w:color w:val="231F20"/>
        </w:rPr>
        <w:t>El</w:t>
      </w:r>
      <w:r>
        <w:rPr>
          <w:rFonts w:ascii="Tahoma" w:hAnsi="Tahoma"/>
          <w:color w:val="231F20"/>
          <w:spacing w:val="-7"/>
        </w:rPr>
        <w:t> </w:t>
      </w:r>
      <w:r>
        <w:rPr>
          <w:rFonts w:ascii="Tahoma" w:hAnsi="Tahoma"/>
          <w:color w:val="231F20"/>
        </w:rPr>
        <w:t>principal</w:t>
      </w:r>
      <w:r>
        <w:rPr>
          <w:rFonts w:ascii="Tahoma" w:hAnsi="Tahoma"/>
          <w:color w:val="231F20"/>
          <w:spacing w:val="-7"/>
        </w:rPr>
        <w:t> </w:t>
      </w:r>
      <w:r>
        <w:rPr>
          <w:rFonts w:ascii="Tahoma" w:hAnsi="Tahoma"/>
          <w:color w:val="231F20"/>
        </w:rPr>
        <w:t>cultivo</w:t>
      </w:r>
      <w:r>
        <w:rPr>
          <w:rFonts w:ascii="Tahoma" w:hAnsi="Tahoma"/>
          <w:color w:val="231F20"/>
          <w:spacing w:val="-7"/>
        </w:rPr>
        <w:t> </w:t>
      </w:r>
      <w:r>
        <w:rPr>
          <w:rFonts w:ascii="Tahoma" w:hAnsi="Tahoma"/>
          <w:color w:val="231F20"/>
        </w:rPr>
        <w:t>es</w:t>
      </w:r>
      <w:r>
        <w:rPr>
          <w:rFonts w:ascii="Tahoma" w:hAnsi="Tahoma"/>
          <w:color w:val="231F20"/>
          <w:spacing w:val="-7"/>
        </w:rPr>
        <w:t> </w:t>
      </w:r>
      <w:r>
        <w:rPr>
          <w:rFonts w:ascii="Tahoma" w:hAnsi="Tahoma"/>
          <w:color w:val="231F20"/>
        </w:rPr>
        <w:t>el</w:t>
      </w:r>
      <w:r>
        <w:rPr>
          <w:rFonts w:ascii="Tahoma" w:hAnsi="Tahoma"/>
          <w:color w:val="231F20"/>
          <w:spacing w:val="-7"/>
        </w:rPr>
        <w:t> </w:t>
      </w:r>
      <w:r>
        <w:rPr>
          <w:rFonts w:ascii="Tahoma" w:hAnsi="Tahoma"/>
          <w:color w:val="231F20"/>
        </w:rPr>
        <w:t>maíz,</w:t>
      </w:r>
      <w:r>
        <w:rPr>
          <w:rFonts w:ascii="Tahoma" w:hAnsi="Tahoma"/>
          <w:color w:val="231F20"/>
          <w:spacing w:val="-7"/>
        </w:rPr>
        <w:t> </w:t>
      </w:r>
      <w:r>
        <w:rPr>
          <w:rFonts w:ascii="Tahoma" w:hAnsi="Tahoma"/>
          <w:color w:val="231F20"/>
        </w:rPr>
        <w:t>utilizado tanto</w:t>
      </w:r>
      <w:r>
        <w:rPr>
          <w:rFonts w:ascii="Tahoma" w:hAnsi="Tahoma"/>
          <w:color w:val="231F20"/>
          <w:spacing w:val="-44"/>
        </w:rPr>
        <w:t> </w:t>
      </w:r>
      <w:r>
        <w:rPr>
          <w:rFonts w:ascii="Tahoma" w:hAnsi="Tahoma"/>
          <w:color w:val="231F20"/>
        </w:rPr>
        <w:t>para</w:t>
      </w:r>
      <w:r>
        <w:rPr>
          <w:rFonts w:ascii="Tahoma" w:hAnsi="Tahoma"/>
          <w:color w:val="231F20"/>
          <w:spacing w:val="-44"/>
        </w:rPr>
        <w:t> </w:t>
      </w:r>
      <w:r>
        <w:rPr>
          <w:rFonts w:ascii="Tahoma" w:hAnsi="Tahoma"/>
          <w:color w:val="231F20"/>
        </w:rPr>
        <w:t>consumo</w:t>
      </w:r>
      <w:r>
        <w:rPr>
          <w:rFonts w:ascii="Tahoma" w:hAnsi="Tahoma"/>
          <w:color w:val="231F20"/>
          <w:spacing w:val="-44"/>
        </w:rPr>
        <w:t> </w:t>
      </w:r>
      <w:r>
        <w:rPr>
          <w:rFonts w:ascii="Tahoma" w:hAnsi="Tahoma"/>
          <w:color w:val="231F20"/>
        </w:rPr>
        <w:t>humano</w:t>
      </w:r>
      <w:r>
        <w:rPr>
          <w:rFonts w:ascii="Tahoma" w:hAnsi="Tahoma"/>
          <w:color w:val="231F20"/>
          <w:spacing w:val="-44"/>
        </w:rPr>
        <w:t> </w:t>
      </w:r>
      <w:r>
        <w:rPr>
          <w:rFonts w:ascii="Tahoma" w:hAnsi="Tahoma"/>
          <w:color w:val="231F20"/>
        </w:rPr>
        <w:t>como</w:t>
      </w:r>
      <w:r>
        <w:rPr>
          <w:rFonts w:ascii="Tahoma" w:hAnsi="Tahoma"/>
          <w:color w:val="231F20"/>
          <w:spacing w:val="-44"/>
        </w:rPr>
        <w:t> </w:t>
      </w:r>
      <w:r>
        <w:rPr>
          <w:rFonts w:ascii="Tahoma" w:hAnsi="Tahoma"/>
          <w:color w:val="231F20"/>
        </w:rPr>
        <w:t>para</w:t>
      </w:r>
      <w:r>
        <w:rPr>
          <w:rFonts w:ascii="Tahoma" w:hAnsi="Tahoma"/>
          <w:color w:val="231F20"/>
          <w:spacing w:val="-44"/>
        </w:rPr>
        <w:t> </w:t>
      </w:r>
      <w:r>
        <w:rPr>
          <w:rFonts w:ascii="Tahoma" w:hAnsi="Tahoma"/>
          <w:color w:val="231F20"/>
        </w:rPr>
        <w:t>alimenta- </w:t>
      </w:r>
      <w:r>
        <w:rPr>
          <w:rFonts w:ascii="Tahoma" w:hAnsi="Tahoma"/>
          <w:color w:val="231F20"/>
          <w:w w:val="95"/>
        </w:rPr>
        <w:t>ción del</w:t>
      </w:r>
      <w:r>
        <w:rPr>
          <w:rFonts w:ascii="Tahoma" w:hAnsi="Tahoma"/>
          <w:color w:val="231F20"/>
          <w:spacing w:val="-15"/>
          <w:w w:val="95"/>
        </w:rPr>
        <w:t> </w:t>
      </w:r>
      <w:r>
        <w:rPr>
          <w:rFonts w:ascii="Tahoma" w:hAnsi="Tahoma"/>
          <w:color w:val="231F20"/>
          <w:w w:val="95"/>
        </w:rPr>
        <w:t>ganado.</w:t>
      </w:r>
    </w:p>
    <w:p>
      <w:pPr>
        <w:spacing w:after="0" w:line="259" w:lineRule="auto"/>
        <w:jc w:val="both"/>
        <w:rPr>
          <w:rFonts w:ascii="Tahoma" w:hAnsi="Tahoma"/>
        </w:rPr>
        <w:sectPr>
          <w:type w:val="continuous"/>
          <w:pgSz w:w="11900" w:h="14450"/>
          <w:pgMar w:top="420" w:bottom="420" w:left="0" w:right="0"/>
          <w:cols w:num="2" w:equalWidth="0">
            <w:col w:w="5723" w:space="40"/>
            <w:col w:w="6137"/>
          </w:cols>
        </w:sectPr>
      </w:pPr>
    </w:p>
    <w:p>
      <w:pPr>
        <w:pStyle w:val="BodyText"/>
        <w:rPr>
          <w:rFonts w:ascii="Tahoma"/>
        </w:rPr>
      </w:pPr>
    </w:p>
    <w:p>
      <w:pPr>
        <w:pStyle w:val="BodyText"/>
        <w:rPr>
          <w:rFonts w:ascii="Tahoma"/>
        </w:rPr>
      </w:pPr>
    </w:p>
    <w:p>
      <w:pPr>
        <w:pStyle w:val="BodyText"/>
        <w:spacing w:before="8"/>
        <w:rPr>
          <w:rFonts w:ascii="Tahoma"/>
          <w:sz w:val="17"/>
        </w:rPr>
      </w:pPr>
    </w:p>
    <w:p>
      <w:pPr>
        <w:tabs>
          <w:tab w:pos="6320" w:val="left" w:leader="none"/>
        </w:tabs>
        <w:spacing w:before="64"/>
        <w:ind w:left="1551" w:right="0" w:firstLine="0"/>
        <w:jc w:val="left"/>
        <w:rPr>
          <w:sz w:val="12"/>
        </w:rPr>
      </w:pPr>
      <w:r>
        <w:rPr>
          <w:color w:val="231F20"/>
          <w:spacing w:val="-5"/>
          <w:w w:val="120"/>
          <w:sz w:val="22"/>
        </w:rPr>
        <w:t>126</w:t>
        <w:tab/>
      </w:r>
      <w:r>
        <w:rPr>
          <w:color w:val="231F20"/>
          <w:w w:val="120"/>
          <w:sz w:val="18"/>
        </w:rPr>
        <w:t>SECCIÓN 2.  C. S</w:t>
      </w:r>
      <w:r>
        <w:rPr>
          <w:color w:val="231F20"/>
          <w:w w:val="120"/>
          <w:sz w:val="12"/>
        </w:rPr>
        <w:t>iStemaS  de  bovinoS  produCtoreS  de</w:t>
      </w:r>
      <w:r>
        <w:rPr>
          <w:color w:val="231F20"/>
          <w:spacing w:val="-2"/>
          <w:w w:val="120"/>
          <w:sz w:val="12"/>
        </w:rPr>
        <w:t> </w:t>
      </w:r>
      <w:r>
        <w:rPr>
          <w:color w:val="231F20"/>
          <w:w w:val="120"/>
          <w:sz w:val="12"/>
        </w:rPr>
        <w:t>Carne</w:t>
      </w:r>
    </w:p>
    <w:p>
      <w:pPr>
        <w:pStyle w:val="BodyText"/>
        <w:spacing w:before="7"/>
        <w:rPr>
          <w:sz w:val="28"/>
        </w:rPr>
      </w:pPr>
    </w:p>
    <w:p>
      <w:pPr>
        <w:spacing w:before="0"/>
        <w:ind w:left="1553" w:right="2503" w:firstLine="0"/>
        <w:jc w:val="left"/>
        <w:rPr>
          <w:sz w:val="18"/>
        </w:rPr>
      </w:pPr>
      <w:r>
        <w:rPr>
          <w:color w:val="231F20"/>
          <w:sz w:val="18"/>
        </w:rPr>
        <w:t>Cuadro 4.   Uso y aprovechamiento de la superficie agrícola   útil.</w:t>
      </w:r>
    </w:p>
    <w:p>
      <w:pPr>
        <w:pStyle w:val="BodyText"/>
        <w:spacing w:before="10"/>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98"/>
        <w:gridCol w:w="1247"/>
        <w:gridCol w:w="1247"/>
        <w:gridCol w:w="1247"/>
        <w:gridCol w:w="1247"/>
      </w:tblGrid>
      <w:tr>
        <w:trPr>
          <w:trHeight w:val="369" w:hRule="exact"/>
        </w:trPr>
        <w:tc>
          <w:tcPr>
            <w:tcW w:w="3798" w:type="dxa"/>
            <w:tcBorders>
              <w:left w:val="nil"/>
            </w:tcBorders>
          </w:tcPr>
          <w:p>
            <w:pPr/>
          </w:p>
        </w:tc>
        <w:tc>
          <w:tcPr>
            <w:tcW w:w="1247" w:type="dxa"/>
          </w:tcPr>
          <w:p>
            <w:pPr>
              <w:pStyle w:val="TableParagraph"/>
              <w:spacing w:before="79"/>
              <w:ind w:left="53" w:right="53"/>
              <w:jc w:val="center"/>
              <w:rPr>
                <w:rFonts w:ascii="Cambria"/>
                <w:i/>
                <w:sz w:val="18"/>
              </w:rPr>
            </w:pPr>
            <w:r>
              <w:rPr>
                <w:rFonts w:ascii="Cambria"/>
                <w:i/>
                <w:color w:val="231F20"/>
                <w:sz w:val="18"/>
              </w:rPr>
              <w:t>E1</w:t>
            </w:r>
          </w:p>
        </w:tc>
        <w:tc>
          <w:tcPr>
            <w:tcW w:w="1247" w:type="dxa"/>
          </w:tcPr>
          <w:p>
            <w:pPr>
              <w:pStyle w:val="TableParagraph"/>
              <w:spacing w:before="79"/>
              <w:ind w:left="53" w:right="53"/>
              <w:jc w:val="center"/>
              <w:rPr>
                <w:rFonts w:ascii="Cambria"/>
                <w:i/>
                <w:sz w:val="18"/>
              </w:rPr>
            </w:pPr>
            <w:r>
              <w:rPr>
                <w:rFonts w:ascii="Cambria"/>
                <w:i/>
                <w:color w:val="231F20"/>
                <w:sz w:val="18"/>
              </w:rPr>
              <w:t>E2</w:t>
            </w:r>
          </w:p>
        </w:tc>
        <w:tc>
          <w:tcPr>
            <w:tcW w:w="1247" w:type="dxa"/>
          </w:tcPr>
          <w:p>
            <w:pPr>
              <w:pStyle w:val="TableParagraph"/>
              <w:spacing w:before="79"/>
              <w:ind w:left="53" w:right="53"/>
              <w:jc w:val="center"/>
              <w:rPr>
                <w:rFonts w:ascii="Cambria"/>
                <w:i/>
                <w:sz w:val="18"/>
              </w:rPr>
            </w:pPr>
            <w:r>
              <w:rPr>
                <w:rFonts w:ascii="Cambria"/>
                <w:i/>
                <w:color w:val="231F20"/>
                <w:sz w:val="18"/>
              </w:rPr>
              <w:t>E3</w:t>
            </w:r>
          </w:p>
        </w:tc>
        <w:tc>
          <w:tcPr>
            <w:tcW w:w="1247" w:type="dxa"/>
            <w:tcBorders>
              <w:right w:val="nil"/>
            </w:tcBorders>
          </w:tcPr>
          <w:p>
            <w:pPr>
              <w:pStyle w:val="TableParagraph"/>
              <w:spacing w:before="79"/>
              <w:ind w:left="232"/>
              <w:rPr>
                <w:rFonts w:ascii="Cambria"/>
                <w:i/>
                <w:sz w:val="18"/>
              </w:rPr>
            </w:pPr>
            <w:r>
              <w:rPr>
                <w:rFonts w:ascii="Cambria"/>
                <w:i/>
                <w:color w:val="231F20"/>
                <w:w w:val="105"/>
                <w:sz w:val="18"/>
              </w:rPr>
              <w:t>Promedio</w:t>
            </w:r>
          </w:p>
        </w:tc>
      </w:tr>
      <w:tr>
        <w:trPr>
          <w:trHeight w:val="354" w:hRule="exact"/>
        </w:trPr>
        <w:tc>
          <w:tcPr>
            <w:tcW w:w="3798" w:type="dxa"/>
            <w:tcBorders>
              <w:left w:val="nil"/>
            </w:tcBorders>
          </w:tcPr>
          <w:p>
            <w:pPr>
              <w:pStyle w:val="TableParagraph"/>
              <w:ind w:left="113"/>
              <w:rPr>
                <w:sz w:val="17"/>
              </w:rPr>
            </w:pPr>
            <w:r>
              <w:rPr>
                <w:color w:val="231F20"/>
                <w:sz w:val="17"/>
              </w:rPr>
              <w:t>Superficie agrícola útil</w:t>
            </w:r>
          </w:p>
        </w:tc>
        <w:tc>
          <w:tcPr>
            <w:tcW w:w="1247" w:type="dxa"/>
          </w:tcPr>
          <w:p>
            <w:pPr>
              <w:pStyle w:val="TableParagraph"/>
              <w:ind w:left="53" w:right="53"/>
              <w:jc w:val="center"/>
              <w:rPr>
                <w:sz w:val="17"/>
              </w:rPr>
            </w:pPr>
            <w:r>
              <w:rPr>
                <w:color w:val="231F20"/>
                <w:w w:val="110"/>
                <w:sz w:val="17"/>
              </w:rPr>
              <w:t>42,43</w:t>
            </w:r>
          </w:p>
        </w:tc>
        <w:tc>
          <w:tcPr>
            <w:tcW w:w="1247" w:type="dxa"/>
          </w:tcPr>
          <w:p>
            <w:pPr>
              <w:pStyle w:val="TableParagraph"/>
              <w:ind w:right="416"/>
              <w:jc w:val="right"/>
              <w:rPr>
                <w:sz w:val="17"/>
              </w:rPr>
            </w:pPr>
            <w:r>
              <w:rPr>
                <w:color w:val="231F20"/>
                <w:w w:val="110"/>
                <w:sz w:val="17"/>
              </w:rPr>
              <w:t>87,33</w:t>
            </w:r>
          </w:p>
        </w:tc>
        <w:tc>
          <w:tcPr>
            <w:tcW w:w="1247" w:type="dxa"/>
          </w:tcPr>
          <w:p>
            <w:pPr>
              <w:pStyle w:val="TableParagraph"/>
              <w:ind w:right="356"/>
              <w:jc w:val="right"/>
              <w:rPr>
                <w:sz w:val="17"/>
              </w:rPr>
            </w:pPr>
            <w:r>
              <w:rPr>
                <w:color w:val="231F20"/>
                <w:w w:val="110"/>
                <w:sz w:val="17"/>
              </w:rPr>
              <w:t>132,83</w:t>
            </w:r>
          </w:p>
        </w:tc>
        <w:tc>
          <w:tcPr>
            <w:tcW w:w="1247" w:type="dxa"/>
            <w:tcBorders>
              <w:right w:val="nil"/>
            </w:tcBorders>
          </w:tcPr>
          <w:p>
            <w:pPr>
              <w:pStyle w:val="TableParagraph"/>
              <w:ind w:left="406"/>
              <w:rPr>
                <w:sz w:val="17"/>
              </w:rPr>
            </w:pPr>
            <w:r>
              <w:rPr>
                <w:color w:val="231F20"/>
                <w:w w:val="110"/>
                <w:sz w:val="17"/>
              </w:rPr>
              <w:t>58,67</w:t>
            </w:r>
          </w:p>
        </w:tc>
      </w:tr>
      <w:tr>
        <w:trPr>
          <w:trHeight w:val="354" w:hRule="exact"/>
        </w:trPr>
        <w:tc>
          <w:tcPr>
            <w:tcW w:w="3798" w:type="dxa"/>
            <w:tcBorders>
              <w:left w:val="nil"/>
            </w:tcBorders>
          </w:tcPr>
          <w:p>
            <w:pPr>
              <w:pStyle w:val="TableParagraph"/>
              <w:ind w:left="113"/>
              <w:rPr>
                <w:sz w:val="17"/>
              </w:rPr>
            </w:pPr>
            <w:r>
              <w:rPr>
                <w:color w:val="231F20"/>
                <w:sz w:val="17"/>
              </w:rPr>
              <w:t>Cultivos agrícolas</w:t>
            </w:r>
          </w:p>
        </w:tc>
        <w:tc>
          <w:tcPr>
            <w:tcW w:w="1247" w:type="dxa"/>
          </w:tcPr>
          <w:p>
            <w:pPr>
              <w:pStyle w:val="TableParagraph"/>
              <w:ind w:left="137" w:right="53"/>
              <w:jc w:val="center"/>
              <w:rPr>
                <w:sz w:val="17"/>
              </w:rPr>
            </w:pPr>
            <w:r>
              <w:rPr>
                <w:color w:val="231F20"/>
                <w:w w:val="110"/>
                <w:sz w:val="17"/>
              </w:rPr>
              <w:t>3,28</w:t>
            </w:r>
          </w:p>
        </w:tc>
        <w:tc>
          <w:tcPr>
            <w:tcW w:w="1247" w:type="dxa"/>
          </w:tcPr>
          <w:p>
            <w:pPr>
              <w:pStyle w:val="TableParagraph"/>
              <w:ind w:right="407"/>
              <w:jc w:val="right"/>
              <w:rPr>
                <w:sz w:val="17"/>
              </w:rPr>
            </w:pPr>
            <w:r>
              <w:rPr>
                <w:color w:val="231F20"/>
                <w:w w:val="110"/>
                <w:sz w:val="17"/>
              </w:rPr>
              <w:t>5,66</w:t>
            </w:r>
          </w:p>
        </w:tc>
        <w:tc>
          <w:tcPr>
            <w:tcW w:w="1247" w:type="dxa"/>
          </w:tcPr>
          <w:p>
            <w:pPr>
              <w:pStyle w:val="TableParagraph"/>
              <w:ind w:right="368"/>
              <w:jc w:val="right"/>
              <w:rPr>
                <w:sz w:val="17"/>
              </w:rPr>
            </w:pPr>
            <w:r>
              <w:rPr>
                <w:color w:val="231F20"/>
                <w:w w:val="110"/>
                <w:sz w:val="17"/>
              </w:rPr>
              <w:t>3,91</w:t>
            </w:r>
          </w:p>
        </w:tc>
        <w:tc>
          <w:tcPr>
            <w:tcW w:w="1247" w:type="dxa"/>
            <w:tcBorders>
              <w:right w:val="nil"/>
            </w:tcBorders>
          </w:tcPr>
          <w:p>
            <w:pPr>
              <w:pStyle w:val="TableParagraph"/>
              <w:ind w:left="475" w:right="396"/>
              <w:jc w:val="center"/>
              <w:rPr>
                <w:sz w:val="17"/>
              </w:rPr>
            </w:pPr>
            <w:r>
              <w:rPr>
                <w:color w:val="231F20"/>
                <w:w w:val="110"/>
                <w:sz w:val="17"/>
              </w:rPr>
              <w:t>3,65</w:t>
            </w:r>
          </w:p>
        </w:tc>
      </w:tr>
      <w:tr>
        <w:trPr>
          <w:trHeight w:val="354" w:hRule="exact"/>
        </w:trPr>
        <w:tc>
          <w:tcPr>
            <w:tcW w:w="3798" w:type="dxa"/>
            <w:tcBorders>
              <w:left w:val="nil"/>
            </w:tcBorders>
          </w:tcPr>
          <w:p>
            <w:pPr>
              <w:pStyle w:val="TableParagraph"/>
              <w:ind w:left="113"/>
              <w:rPr>
                <w:sz w:val="17"/>
              </w:rPr>
            </w:pPr>
            <w:r>
              <w:rPr>
                <w:color w:val="231F20"/>
                <w:sz w:val="17"/>
              </w:rPr>
              <w:t>Superficie forrajera</w:t>
            </w:r>
          </w:p>
        </w:tc>
        <w:tc>
          <w:tcPr>
            <w:tcW w:w="1247" w:type="dxa"/>
          </w:tcPr>
          <w:p>
            <w:pPr>
              <w:pStyle w:val="TableParagraph"/>
              <w:ind w:left="53" w:right="53"/>
              <w:jc w:val="center"/>
              <w:rPr>
                <w:sz w:val="17"/>
              </w:rPr>
            </w:pPr>
            <w:r>
              <w:rPr>
                <w:color w:val="231F20"/>
                <w:w w:val="110"/>
                <w:sz w:val="17"/>
              </w:rPr>
              <w:t>39,14</w:t>
            </w:r>
          </w:p>
        </w:tc>
        <w:tc>
          <w:tcPr>
            <w:tcW w:w="1247" w:type="dxa"/>
          </w:tcPr>
          <w:p>
            <w:pPr>
              <w:pStyle w:val="TableParagraph"/>
              <w:ind w:right="406"/>
              <w:jc w:val="right"/>
              <w:rPr>
                <w:sz w:val="17"/>
              </w:rPr>
            </w:pPr>
            <w:r>
              <w:rPr>
                <w:color w:val="231F20"/>
                <w:w w:val="110"/>
                <w:sz w:val="17"/>
              </w:rPr>
              <w:t>81,67</w:t>
            </w:r>
          </w:p>
        </w:tc>
        <w:tc>
          <w:tcPr>
            <w:tcW w:w="1247" w:type="dxa"/>
          </w:tcPr>
          <w:p>
            <w:pPr>
              <w:pStyle w:val="TableParagraph"/>
              <w:ind w:right="356"/>
              <w:jc w:val="right"/>
              <w:rPr>
                <w:sz w:val="17"/>
              </w:rPr>
            </w:pPr>
            <w:r>
              <w:rPr>
                <w:color w:val="231F20"/>
                <w:w w:val="110"/>
                <w:sz w:val="17"/>
              </w:rPr>
              <w:t>128,92</w:t>
            </w:r>
          </w:p>
        </w:tc>
        <w:tc>
          <w:tcPr>
            <w:tcW w:w="1247" w:type="dxa"/>
            <w:tcBorders>
              <w:right w:val="nil"/>
            </w:tcBorders>
          </w:tcPr>
          <w:p>
            <w:pPr>
              <w:pStyle w:val="TableParagraph"/>
              <w:ind w:left="404"/>
              <w:rPr>
                <w:sz w:val="17"/>
              </w:rPr>
            </w:pPr>
            <w:r>
              <w:rPr>
                <w:color w:val="231F20"/>
                <w:w w:val="110"/>
                <w:sz w:val="17"/>
              </w:rPr>
              <w:t>55,02</w:t>
            </w:r>
          </w:p>
        </w:tc>
      </w:tr>
      <w:tr>
        <w:trPr>
          <w:trHeight w:val="354" w:hRule="exact"/>
        </w:trPr>
        <w:tc>
          <w:tcPr>
            <w:tcW w:w="3798" w:type="dxa"/>
            <w:tcBorders>
              <w:left w:val="nil"/>
            </w:tcBorders>
          </w:tcPr>
          <w:p>
            <w:pPr>
              <w:pStyle w:val="TableParagraph"/>
              <w:ind w:left="113"/>
              <w:rPr>
                <w:sz w:val="17"/>
              </w:rPr>
            </w:pPr>
            <w:r>
              <w:rPr>
                <w:color w:val="231F20"/>
                <w:w w:val="105"/>
                <w:sz w:val="17"/>
              </w:rPr>
              <w:t>Superficie agrícola útil en propiedad (%)</w:t>
            </w:r>
          </w:p>
        </w:tc>
        <w:tc>
          <w:tcPr>
            <w:tcW w:w="1247" w:type="dxa"/>
          </w:tcPr>
          <w:p>
            <w:pPr>
              <w:pStyle w:val="TableParagraph"/>
              <w:ind w:left="53" w:right="53"/>
              <w:jc w:val="center"/>
              <w:rPr>
                <w:sz w:val="17"/>
              </w:rPr>
            </w:pPr>
            <w:r>
              <w:rPr>
                <w:color w:val="231F20"/>
                <w:w w:val="110"/>
                <w:sz w:val="17"/>
              </w:rPr>
              <w:t>97,89</w:t>
            </w:r>
          </w:p>
        </w:tc>
        <w:tc>
          <w:tcPr>
            <w:tcW w:w="1247" w:type="dxa"/>
          </w:tcPr>
          <w:p>
            <w:pPr>
              <w:pStyle w:val="TableParagraph"/>
              <w:ind w:right="406"/>
              <w:jc w:val="right"/>
              <w:rPr>
                <w:sz w:val="17"/>
              </w:rPr>
            </w:pPr>
            <w:r>
              <w:rPr>
                <w:color w:val="231F20"/>
                <w:w w:val="110"/>
                <w:sz w:val="17"/>
              </w:rPr>
              <w:t>81,30</w:t>
            </w:r>
          </w:p>
        </w:tc>
        <w:tc>
          <w:tcPr>
            <w:tcW w:w="1247" w:type="dxa"/>
          </w:tcPr>
          <w:p>
            <w:pPr>
              <w:pStyle w:val="TableParagraph"/>
              <w:ind w:right="354"/>
              <w:jc w:val="right"/>
              <w:rPr>
                <w:sz w:val="17"/>
              </w:rPr>
            </w:pPr>
            <w:r>
              <w:rPr>
                <w:color w:val="231F20"/>
                <w:w w:val="110"/>
                <w:sz w:val="17"/>
              </w:rPr>
              <w:t>100,00</w:t>
            </w:r>
          </w:p>
        </w:tc>
        <w:tc>
          <w:tcPr>
            <w:tcW w:w="1247" w:type="dxa"/>
            <w:tcBorders>
              <w:right w:val="nil"/>
            </w:tcBorders>
          </w:tcPr>
          <w:p>
            <w:pPr>
              <w:pStyle w:val="TableParagraph"/>
              <w:ind w:left="405"/>
              <w:rPr>
                <w:sz w:val="17"/>
              </w:rPr>
            </w:pPr>
            <w:r>
              <w:rPr>
                <w:color w:val="231F20"/>
                <w:w w:val="110"/>
                <w:sz w:val="17"/>
              </w:rPr>
              <w:t>96,16</w:t>
            </w:r>
          </w:p>
        </w:tc>
      </w:tr>
      <w:tr>
        <w:trPr>
          <w:trHeight w:val="354" w:hRule="exact"/>
        </w:trPr>
        <w:tc>
          <w:tcPr>
            <w:tcW w:w="3798" w:type="dxa"/>
            <w:tcBorders>
              <w:left w:val="nil"/>
            </w:tcBorders>
          </w:tcPr>
          <w:p>
            <w:pPr>
              <w:pStyle w:val="TableParagraph"/>
              <w:ind w:left="113"/>
              <w:rPr>
                <w:sz w:val="17"/>
              </w:rPr>
            </w:pPr>
            <w:r>
              <w:rPr>
                <w:color w:val="231F20"/>
                <w:w w:val="105"/>
                <w:sz w:val="17"/>
              </w:rPr>
              <w:t>Renta por ha de superficie agrícola útil (%)</w:t>
            </w:r>
          </w:p>
        </w:tc>
        <w:tc>
          <w:tcPr>
            <w:tcW w:w="1247" w:type="dxa"/>
          </w:tcPr>
          <w:p>
            <w:pPr>
              <w:pStyle w:val="TableParagraph"/>
              <w:ind w:left="137" w:right="53"/>
              <w:jc w:val="center"/>
              <w:rPr>
                <w:sz w:val="17"/>
              </w:rPr>
            </w:pPr>
            <w:r>
              <w:rPr>
                <w:color w:val="231F20"/>
                <w:w w:val="110"/>
                <w:sz w:val="17"/>
              </w:rPr>
              <w:t>2,11</w:t>
            </w:r>
          </w:p>
        </w:tc>
        <w:tc>
          <w:tcPr>
            <w:tcW w:w="1247" w:type="dxa"/>
          </w:tcPr>
          <w:p>
            <w:pPr>
              <w:pStyle w:val="TableParagraph"/>
              <w:ind w:right="418"/>
              <w:jc w:val="right"/>
              <w:rPr>
                <w:sz w:val="17"/>
              </w:rPr>
            </w:pPr>
            <w:r>
              <w:rPr>
                <w:color w:val="231F20"/>
                <w:w w:val="110"/>
                <w:sz w:val="17"/>
              </w:rPr>
              <w:t>18,70</w:t>
            </w:r>
          </w:p>
        </w:tc>
        <w:tc>
          <w:tcPr>
            <w:tcW w:w="1247" w:type="dxa"/>
          </w:tcPr>
          <w:p>
            <w:pPr>
              <w:pStyle w:val="TableParagraph"/>
              <w:ind w:right="365"/>
              <w:jc w:val="right"/>
              <w:rPr>
                <w:sz w:val="17"/>
              </w:rPr>
            </w:pPr>
            <w:r>
              <w:rPr>
                <w:color w:val="231F20"/>
                <w:w w:val="110"/>
                <w:sz w:val="17"/>
              </w:rPr>
              <w:t>0,00</w:t>
            </w:r>
          </w:p>
        </w:tc>
        <w:tc>
          <w:tcPr>
            <w:tcW w:w="1247" w:type="dxa"/>
            <w:tcBorders>
              <w:right w:val="nil"/>
            </w:tcBorders>
          </w:tcPr>
          <w:p>
            <w:pPr>
              <w:pStyle w:val="TableParagraph"/>
              <w:ind w:left="475" w:right="396"/>
              <w:jc w:val="center"/>
              <w:rPr>
                <w:sz w:val="17"/>
              </w:rPr>
            </w:pPr>
            <w:r>
              <w:rPr>
                <w:color w:val="231F20"/>
                <w:w w:val="110"/>
                <w:sz w:val="17"/>
              </w:rPr>
              <w:t>3,84</w:t>
            </w:r>
          </w:p>
        </w:tc>
      </w:tr>
    </w:tbl>
    <w:p>
      <w:pPr>
        <w:pStyle w:val="BodyText"/>
      </w:pPr>
    </w:p>
    <w:p>
      <w:pPr>
        <w:pStyle w:val="BodyText"/>
        <w:spacing w:before="11"/>
        <w:rPr>
          <w:sz w:val="23"/>
        </w:rPr>
      </w:pPr>
    </w:p>
    <w:p>
      <w:pPr>
        <w:spacing w:after="0"/>
        <w:rPr>
          <w:sz w:val="23"/>
        </w:rPr>
        <w:sectPr>
          <w:pgSz w:w="11900" w:h="14450"/>
          <w:pgMar w:header="0" w:footer="222" w:top="420" w:bottom="420" w:left="0" w:right="0"/>
        </w:sectPr>
      </w:pPr>
    </w:p>
    <w:p>
      <w:pPr>
        <w:pStyle w:val="BodyText"/>
        <w:spacing w:line="278" w:lineRule="auto" w:before="67"/>
        <w:ind w:left="1553"/>
        <w:jc w:val="both"/>
      </w:pPr>
      <w:r>
        <w:rPr>
          <w:color w:val="231F20"/>
        </w:rPr>
        <w:t>En la Figura 3 puede verse la distribución de la superficie forrajera. Los pastos introducidos pre- sentan mayor importancia en las unidades de producción, mientras que los pastos naturales con matorral sólo representan el 14,26% de la super- </w:t>
      </w:r>
      <w:r>
        <w:rPr>
          <w:color w:val="231F20"/>
          <w:w w:val="95"/>
        </w:rPr>
        <w:t>ficie forrajera.</w:t>
      </w:r>
    </w:p>
    <w:p>
      <w:pPr>
        <w:spacing w:before="170"/>
        <w:ind w:left="1553" w:right="0" w:firstLine="0"/>
        <w:jc w:val="both"/>
        <w:rPr>
          <w:rFonts w:ascii="Cambria" w:hAnsi="Cambria"/>
          <w:i/>
          <w:sz w:val="20"/>
        </w:rPr>
      </w:pPr>
      <w:r>
        <w:rPr>
          <w:rFonts w:ascii="Cambria" w:hAnsi="Cambria"/>
          <w:i/>
          <w:color w:val="231F20"/>
          <w:w w:val="105"/>
          <w:sz w:val="20"/>
        </w:rPr>
        <w:t>Características de la familia</w:t>
      </w:r>
    </w:p>
    <w:p>
      <w:pPr>
        <w:spacing w:before="49"/>
        <w:ind w:left="1553" w:right="0" w:firstLine="0"/>
        <w:jc w:val="both"/>
        <w:rPr>
          <w:rFonts w:ascii="Cambria"/>
          <w:i/>
          <w:sz w:val="20"/>
        </w:rPr>
      </w:pPr>
      <w:r>
        <w:rPr>
          <w:rFonts w:ascii="Cambria"/>
          <w:i/>
          <w:color w:val="231F20"/>
          <w:w w:val="110"/>
          <w:sz w:val="20"/>
        </w:rPr>
        <w:t>y disponibilidad de mano de obra</w:t>
      </w:r>
    </w:p>
    <w:p>
      <w:pPr>
        <w:pStyle w:val="BodyText"/>
        <w:spacing w:line="278" w:lineRule="auto" w:before="162"/>
        <w:ind w:left="1553"/>
        <w:jc w:val="both"/>
      </w:pPr>
      <w:r>
        <w:rPr/>
        <w:drawing>
          <wp:anchor distT="0" distB="0" distL="0" distR="0" allowOverlap="1" layoutInCell="1" locked="0" behindDoc="0" simplePos="0" relativeHeight="3424">
            <wp:simplePos x="0" y="0"/>
            <wp:positionH relativeFrom="page">
              <wp:posOffset>1563777</wp:posOffset>
            </wp:positionH>
            <wp:positionV relativeFrom="paragraph">
              <wp:posOffset>2036153</wp:posOffset>
            </wp:positionV>
            <wp:extent cx="75560" cy="205358"/>
            <wp:effectExtent l="0" t="0" r="0" b="0"/>
            <wp:wrapNone/>
            <wp:docPr id="67" name="image63.png" descr=""/>
            <wp:cNvGraphicFramePr>
              <a:graphicFrameLocks noChangeAspect="1"/>
            </wp:cNvGraphicFramePr>
            <a:graphic>
              <a:graphicData uri="http://schemas.openxmlformats.org/drawingml/2006/picture">
                <pic:pic>
                  <pic:nvPicPr>
                    <pic:cNvPr id="68" name="image63.png"/>
                    <pic:cNvPicPr/>
                  </pic:nvPicPr>
                  <pic:blipFill>
                    <a:blip r:embed="rId114" cstate="print"/>
                    <a:stretch>
                      <a:fillRect/>
                    </a:stretch>
                  </pic:blipFill>
                  <pic:spPr>
                    <a:xfrm>
                      <a:off x="0" y="0"/>
                      <a:ext cx="75560" cy="205358"/>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2118611</wp:posOffset>
            </wp:positionH>
            <wp:positionV relativeFrom="paragraph">
              <wp:posOffset>1926938</wp:posOffset>
            </wp:positionV>
            <wp:extent cx="75966" cy="163353"/>
            <wp:effectExtent l="0" t="0" r="0" b="0"/>
            <wp:wrapNone/>
            <wp:docPr id="69" name="image64.png" descr=""/>
            <wp:cNvGraphicFramePr>
              <a:graphicFrameLocks noChangeAspect="1"/>
            </wp:cNvGraphicFramePr>
            <a:graphic>
              <a:graphicData uri="http://schemas.openxmlformats.org/drawingml/2006/picture">
                <pic:pic>
                  <pic:nvPicPr>
                    <pic:cNvPr id="70" name="image64.png"/>
                    <pic:cNvPicPr/>
                  </pic:nvPicPr>
                  <pic:blipFill>
                    <a:blip r:embed="rId115" cstate="print"/>
                    <a:stretch>
                      <a:fillRect/>
                    </a:stretch>
                  </pic:blipFill>
                  <pic:spPr>
                    <a:xfrm>
                      <a:off x="0" y="0"/>
                      <a:ext cx="75966" cy="163353"/>
                    </a:xfrm>
                    <a:prstGeom prst="rect">
                      <a:avLst/>
                    </a:prstGeom>
                  </pic:spPr>
                </pic:pic>
              </a:graphicData>
            </a:graphic>
          </wp:anchor>
        </w:drawing>
      </w:r>
      <w:r>
        <w:rPr/>
        <w:drawing>
          <wp:anchor distT="0" distB="0" distL="0" distR="0" allowOverlap="1" layoutInCell="1" locked="0" behindDoc="0" simplePos="0" relativeHeight="3472">
            <wp:simplePos x="0" y="0"/>
            <wp:positionH relativeFrom="page">
              <wp:posOffset>2673190</wp:posOffset>
            </wp:positionH>
            <wp:positionV relativeFrom="paragraph">
              <wp:posOffset>1796476</wp:posOffset>
            </wp:positionV>
            <wp:extent cx="75326" cy="163353"/>
            <wp:effectExtent l="0" t="0" r="0" b="0"/>
            <wp:wrapNone/>
            <wp:docPr id="71" name="image65.png" descr=""/>
            <wp:cNvGraphicFramePr>
              <a:graphicFrameLocks noChangeAspect="1"/>
            </wp:cNvGraphicFramePr>
            <a:graphic>
              <a:graphicData uri="http://schemas.openxmlformats.org/drawingml/2006/picture">
                <pic:pic>
                  <pic:nvPicPr>
                    <pic:cNvPr id="72" name="image65.png"/>
                    <pic:cNvPicPr/>
                  </pic:nvPicPr>
                  <pic:blipFill>
                    <a:blip r:embed="rId116" cstate="print"/>
                    <a:stretch>
                      <a:fillRect/>
                    </a:stretch>
                  </pic:blipFill>
                  <pic:spPr>
                    <a:xfrm>
                      <a:off x="0" y="0"/>
                      <a:ext cx="75326" cy="163353"/>
                    </a:xfrm>
                    <a:prstGeom prst="rect">
                      <a:avLst/>
                    </a:prstGeom>
                  </pic:spPr>
                </pic:pic>
              </a:graphicData>
            </a:graphic>
          </wp:anchor>
        </w:drawing>
      </w:r>
      <w:r>
        <w:rPr/>
        <w:drawing>
          <wp:anchor distT="0" distB="0" distL="0" distR="0" allowOverlap="1" layoutInCell="1" locked="0" behindDoc="0" simplePos="0" relativeHeight="3496">
            <wp:simplePos x="0" y="0"/>
            <wp:positionH relativeFrom="page">
              <wp:posOffset>3227941</wp:posOffset>
            </wp:positionH>
            <wp:positionV relativeFrom="paragraph">
              <wp:posOffset>1988311</wp:posOffset>
            </wp:positionV>
            <wp:extent cx="75481" cy="205358"/>
            <wp:effectExtent l="0" t="0" r="0" b="0"/>
            <wp:wrapNone/>
            <wp:docPr id="73" name="image66.png" descr=""/>
            <wp:cNvGraphicFramePr>
              <a:graphicFrameLocks noChangeAspect="1"/>
            </wp:cNvGraphicFramePr>
            <a:graphic>
              <a:graphicData uri="http://schemas.openxmlformats.org/drawingml/2006/picture">
                <pic:pic>
                  <pic:nvPicPr>
                    <pic:cNvPr id="74" name="image66.png"/>
                    <pic:cNvPicPr/>
                  </pic:nvPicPr>
                  <pic:blipFill>
                    <a:blip r:embed="rId117" cstate="print"/>
                    <a:stretch>
                      <a:fillRect/>
                    </a:stretch>
                  </pic:blipFill>
                  <pic:spPr>
                    <a:xfrm>
                      <a:off x="0" y="0"/>
                      <a:ext cx="75481" cy="205358"/>
                    </a:xfrm>
                    <a:prstGeom prst="rect">
                      <a:avLst/>
                    </a:prstGeom>
                  </pic:spPr>
                </pic:pic>
              </a:graphicData>
            </a:graphic>
          </wp:anchor>
        </w:drawing>
      </w:r>
      <w:r>
        <w:rPr/>
        <w:drawing>
          <wp:anchor distT="0" distB="0" distL="0" distR="0" allowOverlap="1" layoutInCell="1" locked="0" behindDoc="0" simplePos="0" relativeHeight="3568">
            <wp:simplePos x="0" y="0"/>
            <wp:positionH relativeFrom="page">
              <wp:posOffset>1146957</wp:posOffset>
            </wp:positionH>
            <wp:positionV relativeFrom="paragraph">
              <wp:posOffset>2044710</wp:posOffset>
            </wp:positionV>
            <wp:extent cx="90091" cy="64007"/>
            <wp:effectExtent l="0" t="0" r="0" b="0"/>
            <wp:wrapNone/>
            <wp:docPr id="75" name="image67.png" descr=""/>
            <wp:cNvGraphicFramePr>
              <a:graphicFrameLocks noChangeAspect="1"/>
            </wp:cNvGraphicFramePr>
            <a:graphic>
              <a:graphicData uri="http://schemas.openxmlformats.org/drawingml/2006/picture">
                <pic:pic>
                  <pic:nvPicPr>
                    <pic:cNvPr id="76" name="image67.png"/>
                    <pic:cNvPicPr/>
                  </pic:nvPicPr>
                  <pic:blipFill>
                    <a:blip r:embed="rId118" cstate="print"/>
                    <a:stretch>
                      <a:fillRect/>
                    </a:stretch>
                  </pic:blipFill>
                  <pic:spPr>
                    <a:xfrm>
                      <a:off x="0" y="0"/>
                      <a:ext cx="90091" cy="64007"/>
                    </a:xfrm>
                    <a:prstGeom prst="rect">
                      <a:avLst/>
                    </a:prstGeom>
                  </pic:spPr>
                </pic:pic>
              </a:graphicData>
            </a:graphic>
          </wp:anchor>
        </w:drawing>
      </w:r>
      <w:r>
        <w:rPr/>
        <w:drawing>
          <wp:anchor distT="0" distB="0" distL="0" distR="0" allowOverlap="1" layoutInCell="1" locked="0" behindDoc="0" simplePos="0" relativeHeight="3592">
            <wp:simplePos x="0" y="0"/>
            <wp:positionH relativeFrom="page">
              <wp:posOffset>1103686</wp:posOffset>
            </wp:positionH>
            <wp:positionV relativeFrom="paragraph">
              <wp:posOffset>1758865</wp:posOffset>
            </wp:positionV>
            <wp:extent cx="132037" cy="64007"/>
            <wp:effectExtent l="0" t="0" r="0" b="0"/>
            <wp:wrapNone/>
            <wp:docPr id="77" name="image68.png" descr=""/>
            <wp:cNvGraphicFramePr>
              <a:graphicFrameLocks noChangeAspect="1"/>
            </wp:cNvGraphicFramePr>
            <a:graphic>
              <a:graphicData uri="http://schemas.openxmlformats.org/drawingml/2006/picture">
                <pic:pic>
                  <pic:nvPicPr>
                    <pic:cNvPr id="78" name="image68.png"/>
                    <pic:cNvPicPr/>
                  </pic:nvPicPr>
                  <pic:blipFill>
                    <a:blip r:embed="rId119" cstate="print"/>
                    <a:stretch>
                      <a:fillRect/>
                    </a:stretch>
                  </pic:blipFill>
                  <pic:spPr>
                    <a:xfrm>
                      <a:off x="0" y="0"/>
                      <a:ext cx="132037" cy="64007"/>
                    </a:xfrm>
                    <a:prstGeom prst="rect">
                      <a:avLst/>
                    </a:prstGeom>
                  </pic:spPr>
                </pic:pic>
              </a:graphicData>
            </a:graphic>
          </wp:anchor>
        </w:drawing>
      </w:r>
      <w:r>
        <w:rPr/>
        <w:pict>
          <v:shape style="position:absolute;margin-left:366.208008pt;margin-top:179.067276pt;width:4.8pt;height:5.45pt;mso-position-horizontal-relative:page;mso-position-vertical-relative:paragraph;z-index:3736" coordorigin="7324,3581" coordsize="96,109" path="m7420,3655l7324,3655,7324,3663,7328,3665,7333,3668,7341,3678,7345,3684,7348,3690,7359,3690,7358,3686,7356,3682,7351,3673,7348,3670,7345,3667,7420,3667,7420,3655m7420,3581l7324,3581,7324,3589,7328,3591,7333,3594,7341,3604,7345,3610,7348,3616,7359,3616,7358,3613,7356,3609,7351,3600,7348,3596,7345,3593,7420,3593,7420,3581e" filled="true" fillcolor="#000000" stroked="false">
            <v:path arrowok="t"/>
            <v:fill type="solid"/>
            <w10:wrap type="none"/>
          </v:shape>
        </w:pict>
      </w:r>
      <w:r>
        <w:rPr/>
        <w:drawing>
          <wp:anchor distT="0" distB="0" distL="0" distR="0" allowOverlap="1" layoutInCell="1" locked="0" behindDoc="0" simplePos="0" relativeHeight="3760">
            <wp:simplePos x="0" y="0"/>
            <wp:positionH relativeFrom="page">
              <wp:posOffset>4651100</wp:posOffset>
            </wp:positionH>
            <wp:positionV relativeFrom="paragraph">
              <wp:posOffset>2145603</wp:posOffset>
            </wp:positionV>
            <wp:extent cx="71662" cy="105156"/>
            <wp:effectExtent l="0" t="0" r="0" b="0"/>
            <wp:wrapNone/>
            <wp:docPr id="79" name="image69.png" descr=""/>
            <wp:cNvGraphicFramePr>
              <a:graphicFrameLocks noChangeAspect="1"/>
            </wp:cNvGraphicFramePr>
            <a:graphic>
              <a:graphicData uri="http://schemas.openxmlformats.org/drawingml/2006/picture">
                <pic:pic>
                  <pic:nvPicPr>
                    <pic:cNvPr id="80" name="image69.png"/>
                    <pic:cNvPicPr/>
                  </pic:nvPicPr>
                  <pic:blipFill>
                    <a:blip r:embed="rId120" cstate="print"/>
                    <a:stretch>
                      <a:fillRect/>
                    </a:stretch>
                  </pic:blipFill>
                  <pic:spPr>
                    <a:xfrm>
                      <a:off x="0" y="0"/>
                      <a:ext cx="71662" cy="105156"/>
                    </a:xfrm>
                    <a:prstGeom prst="rect">
                      <a:avLst/>
                    </a:prstGeom>
                  </pic:spPr>
                </pic:pic>
              </a:graphicData>
            </a:graphic>
          </wp:anchor>
        </w:drawing>
      </w:r>
      <w:r>
        <w:rPr/>
        <w:drawing>
          <wp:anchor distT="0" distB="0" distL="0" distR="0" allowOverlap="1" layoutInCell="1" locked="0" behindDoc="0" simplePos="0" relativeHeight="3808">
            <wp:simplePos x="0" y="0"/>
            <wp:positionH relativeFrom="page">
              <wp:posOffset>5179105</wp:posOffset>
            </wp:positionH>
            <wp:positionV relativeFrom="paragraph">
              <wp:posOffset>2225693</wp:posOffset>
            </wp:positionV>
            <wp:extent cx="71907" cy="105156"/>
            <wp:effectExtent l="0" t="0" r="0" b="0"/>
            <wp:wrapNone/>
            <wp:docPr id="81" name="image70.png" descr=""/>
            <wp:cNvGraphicFramePr>
              <a:graphicFrameLocks noChangeAspect="1"/>
            </wp:cNvGraphicFramePr>
            <a:graphic>
              <a:graphicData uri="http://schemas.openxmlformats.org/drawingml/2006/picture">
                <pic:pic>
                  <pic:nvPicPr>
                    <pic:cNvPr id="82" name="image70.png"/>
                    <pic:cNvPicPr/>
                  </pic:nvPicPr>
                  <pic:blipFill>
                    <a:blip r:embed="rId121" cstate="print"/>
                    <a:stretch>
                      <a:fillRect/>
                    </a:stretch>
                  </pic:blipFill>
                  <pic:spPr>
                    <a:xfrm>
                      <a:off x="0" y="0"/>
                      <a:ext cx="71907" cy="105156"/>
                    </a:xfrm>
                    <a:prstGeom prst="rect">
                      <a:avLst/>
                    </a:prstGeom>
                  </pic:spPr>
                </pic:pic>
              </a:graphicData>
            </a:graphic>
          </wp:anchor>
        </w:drawing>
      </w:r>
      <w:r>
        <w:rPr/>
        <w:drawing>
          <wp:anchor distT="0" distB="0" distL="0" distR="0" allowOverlap="1" layoutInCell="1" locked="0" behindDoc="0" simplePos="0" relativeHeight="3856">
            <wp:simplePos x="0" y="0"/>
            <wp:positionH relativeFrom="page">
              <wp:posOffset>6226796</wp:posOffset>
            </wp:positionH>
            <wp:positionV relativeFrom="paragraph">
              <wp:posOffset>2192979</wp:posOffset>
            </wp:positionV>
            <wp:extent cx="72050" cy="196024"/>
            <wp:effectExtent l="0" t="0" r="0" b="0"/>
            <wp:wrapNone/>
            <wp:docPr id="83" name="image71.png" descr=""/>
            <wp:cNvGraphicFramePr>
              <a:graphicFrameLocks noChangeAspect="1"/>
            </wp:cNvGraphicFramePr>
            <a:graphic>
              <a:graphicData uri="http://schemas.openxmlformats.org/drawingml/2006/picture">
                <pic:pic>
                  <pic:nvPicPr>
                    <pic:cNvPr id="84" name="image71.png"/>
                    <pic:cNvPicPr/>
                  </pic:nvPicPr>
                  <pic:blipFill>
                    <a:blip r:embed="rId122" cstate="print"/>
                    <a:stretch>
                      <a:fillRect/>
                    </a:stretch>
                  </pic:blipFill>
                  <pic:spPr>
                    <a:xfrm>
                      <a:off x="0" y="0"/>
                      <a:ext cx="72050" cy="196024"/>
                    </a:xfrm>
                    <a:prstGeom prst="rect">
                      <a:avLst/>
                    </a:prstGeom>
                  </pic:spPr>
                </pic:pic>
              </a:graphicData>
            </a:graphic>
          </wp:anchor>
        </w:drawing>
      </w:r>
      <w:r>
        <w:rPr/>
        <w:drawing>
          <wp:anchor distT="0" distB="0" distL="0" distR="0" allowOverlap="1" layoutInCell="1" locked="0" behindDoc="0" simplePos="0" relativeHeight="3880">
            <wp:simplePos x="0" y="0"/>
            <wp:positionH relativeFrom="page">
              <wp:posOffset>4668989</wp:posOffset>
            </wp:positionH>
            <wp:positionV relativeFrom="paragraph">
              <wp:posOffset>1854368</wp:posOffset>
            </wp:positionV>
            <wp:extent cx="72552" cy="185737"/>
            <wp:effectExtent l="0" t="0" r="0" b="0"/>
            <wp:wrapNone/>
            <wp:docPr id="85" name="image72.png" descr=""/>
            <wp:cNvGraphicFramePr>
              <a:graphicFrameLocks noChangeAspect="1"/>
            </wp:cNvGraphicFramePr>
            <a:graphic>
              <a:graphicData uri="http://schemas.openxmlformats.org/drawingml/2006/picture">
                <pic:pic>
                  <pic:nvPicPr>
                    <pic:cNvPr id="86" name="image72.png"/>
                    <pic:cNvPicPr/>
                  </pic:nvPicPr>
                  <pic:blipFill>
                    <a:blip r:embed="rId123" cstate="print"/>
                    <a:stretch>
                      <a:fillRect/>
                    </a:stretch>
                  </pic:blipFill>
                  <pic:spPr>
                    <a:xfrm>
                      <a:off x="0" y="0"/>
                      <a:ext cx="72552" cy="185737"/>
                    </a:xfrm>
                    <a:prstGeom prst="rect">
                      <a:avLst/>
                    </a:prstGeom>
                  </pic:spPr>
                </pic:pic>
              </a:graphicData>
            </a:graphic>
          </wp:anchor>
        </w:drawing>
      </w:r>
      <w:r>
        <w:rPr/>
        <w:drawing>
          <wp:anchor distT="0" distB="0" distL="0" distR="0" allowOverlap="1" layoutInCell="1" locked="0" behindDoc="0" simplePos="0" relativeHeight="3904">
            <wp:simplePos x="0" y="0"/>
            <wp:positionH relativeFrom="page">
              <wp:posOffset>5188682</wp:posOffset>
            </wp:positionH>
            <wp:positionV relativeFrom="paragraph">
              <wp:posOffset>1826032</wp:posOffset>
            </wp:positionV>
            <wp:extent cx="72277" cy="196024"/>
            <wp:effectExtent l="0" t="0" r="0" b="0"/>
            <wp:wrapNone/>
            <wp:docPr id="87" name="image73.png" descr=""/>
            <wp:cNvGraphicFramePr>
              <a:graphicFrameLocks noChangeAspect="1"/>
            </wp:cNvGraphicFramePr>
            <a:graphic>
              <a:graphicData uri="http://schemas.openxmlformats.org/drawingml/2006/picture">
                <pic:pic>
                  <pic:nvPicPr>
                    <pic:cNvPr id="88" name="image73.png"/>
                    <pic:cNvPicPr/>
                  </pic:nvPicPr>
                  <pic:blipFill>
                    <a:blip r:embed="rId124" cstate="print"/>
                    <a:stretch>
                      <a:fillRect/>
                    </a:stretch>
                  </pic:blipFill>
                  <pic:spPr>
                    <a:xfrm>
                      <a:off x="0" y="0"/>
                      <a:ext cx="72277" cy="196024"/>
                    </a:xfrm>
                    <a:prstGeom prst="rect">
                      <a:avLst/>
                    </a:prstGeom>
                  </pic:spPr>
                </pic:pic>
              </a:graphicData>
            </a:graphic>
          </wp:anchor>
        </w:drawing>
      </w:r>
      <w:r>
        <w:rPr/>
        <w:drawing>
          <wp:anchor distT="0" distB="0" distL="0" distR="0" allowOverlap="1" layoutInCell="1" locked="0" behindDoc="0" simplePos="0" relativeHeight="3928">
            <wp:simplePos x="0" y="0"/>
            <wp:positionH relativeFrom="page">
              <wp:posOffset>5709137</wp:posOffset>
            </wp:positionH>
            <wp:positionV relativeFrom="paragraph">
              <wp:posOffset>1845800</wp:posOffset>
            </wp:positionV>
            <wp:extent cx="72005" cy="196024"/>
            <wp:effectExtent l="0" t="0" r="0" b="0"/>
            <wp:wrapNone/>
            <wp:docPr id="89" name="image74.png" descr=""/>
            <wp:cNvGraphicFramePr>
              <a:graphicFrameLocks noChangeAspect="1"/>
            </wp:cNvGraphicFramePr>
            <a:graphic>
              <a:graphicData uri="http://schemas.openxmlformats.org/drawingml/2006/picture">
                <pic:pic>
                  <pic:nvPicPr>
                    <pic:cNvPr id="90" name="image74.png"/>
                    <pic:cNvPicPr/>
                  </pic:nvPicPr>
                  <pic:blipFill>
                    <a:blip r:embed="rId125" cstate="print"/>
                    <a:stretch>
                      <a:fillRect/>
                    </a:stretch>
                  </pic:blipFill>
                  <pic:spPr>
                    <a:xfrm>
                      <a:off x="0" y="0"/>
                      <a:ext cx="72005" cy="196024"/>
                    </a:xfrm>
                    <a:prstGeom prst="rect">
                      <a:avLst/>
                    </a:prstGeom>
                  </pic:spPr>
                </pic:pic>
              </a:graphicData>
            </a:graphic>
          </wp:anchor>
        </w:drawing>
      </w:r>
      <w:r>
        <w:rPr/>
        <w:drawing>
          <wp:anchor distT="0" distB="0" distL="0" distR="0" allowOverlap="1" layoutInCell="1" locked="0" behindDoc="0" simplePos="0" relativeHeight="3952">
            <wp:simplePos x="0" y="0"/>
            <wp:positionH relativeFrom="page">
              <wp:posOffset>6236966</wp:posOffset>
            </wp:positionH>
            <wp:positionV relativeFrom="paragraph">
              <wp:posOffset>1841134</wp:posOffset>
            </wp:positionV>
            <wp:extent cx="72065" cy="196024"/>
            <wp:effectExtent l="0" t="0" r="0" b="0"/>
            <wp:wrapNone/>
            <wp:docPr id="91" name="image75.png" descr=""/>
            <wp:cNvGraphicFramePr>
              <a:graphicFrameLocks noChangeAspect="1"/>
            </wp:cNvGraphicFramePr>
            <a:graphic>
              <a:graphicData uri="http://schemas.openxmlformats.org/drawingml/2006/picture">
                <pic:pic>
                  <pic:nvPicPr>
                    <pic:cNvPr id="92" name="image75.png"/>
                    <pic:cNvPicPr/>
                  </pic:nvPicPr>
                  <pic:blipFill>
                    <a:blip r:embed="rId126" cstate="print"/>
                    <a:stretch>
                      <a:fillRect/>
                    </a:stretch>
                  </pic:blipFill>
                  <pic:spPr>
                    <a:xfrm>
                      <a:off x="0" y="0"/>
                      <a:ext cx="72065" cy="196024"/>
                    </a:xfrm>
                    <a:prstGeom prst="rect">
                      <a:avLst/>
                    </a:prstGeom>
                  </pic:spPr>
                </pic:pic>
              </a:graphicData>
            </a:graphic>
          </wp:anchor>
        </w:drawing>
      </w:r>
      <w:r>
        <w:rPr/>
        <w:pict>
          <v:shape style="position:absolute;margin-left:336.26001pt;margin-top:174.103271pt;width:6.8pt;height:4.9pt;mso-position-horizontal-relative:page;mso-position-vertical-relative:paragraph;z-index:4048" coordorigin="6725,3482" coordsize="136,98" path="m6788,3545l6786,3539,6780,3531,6780,3531,6776,3528,6776,3556,6774,3561,6767,3568,6762,3570,6753,3570,6750,3569,6743,3565,6741,3563,6738,3557,6737,3553,6737,3545,6739,3540,6746,3533,6751,3531,6762,3531,6767,3533,6774,3540,6776,3545,6776,3556,6776,3528,6776,3528,6770,3526,6775,3524,6778,3522,6778,3522,6783,3515,6784,3511,6784,3500,6781,3494,6779,3492,6772,3485,6772,3511,6771,3514,6765,3520,6761,3522,6752,3522,6748,3520,6742,3514,6741,3511,6741,3502,6742,3499,6748,3493,6752,3492,6761,3492,6765,3493,6771,3499,6772,3502,6772,3511,6772,3485,6771,3484,6765,3482,6748,3482,6741,3484,6732,3494,6729,3500,6729,3511,6730,3515,6735,3522,6738,3524,6743,3526,6738,3528,6733,3530,6727,3539,6725,3544,6725,3559,6728,3565,6740,3576,6747,3579,6766,3579,6774,3576,6781,3570,6785,3565,6788,3559,6788,3545m6861,3521l6860,3514,6857,3503,6856,3498,6852,3492,6851,3490,6849,3489,6849,3515,6849,3546,6847,3557,6840,3567,6835,3570,6825,3570,6820,3567,6813,3557,6811,3546,6811,3515,6813,3504,6817,3499,6820,3494,6825,3492,6835,3492,6840,3494,6847,3505,6849,3515,6849,3489,6847,3487,6840,3483,6835,3482,6823,3482,6817,3484,6808,3491,6805,3497,6800,3510,6799,3519,6799,3549,6802,3561,6814,3576,6821,3579,6837,3579,6843,3577,6852,3570,6852,3570,6855,3565,6860,3551,6861,3542,6861,3521e" filled="true" fillcolor="#000000" stroked="false">
            <v:path arrowok="t"/>
            <v:fill type="solid"/>
            <w10:wrap type="none"/>
          </v:shape>
        </w:pict>
      </w:r>
      <w:r>
        <w:rPr/>
        <w:pict>
          <v:shape style="position:absolute;margin-left:336.267029pt;margin-top:155.672272pt;width:6.8pt;height:4.9pt;mso-position-horizontal-relative:page;mso-position-vertical-relative:paragraph;z-index:4072" coordorigin="6725,3113" coordsize="136,98" path="m6788,3148l6787,3139,6781,3127,6778,3123,6777,3122,6775,3120,6775,3138,6775,3152,6773,3157,6766,3165,6762,3166,6751,3166,6746,3165,6739,3157,6737,3152,6737,3139,6739,3134,6747,3125,6752,3123,6762,3123,6766,3125,6773,3133,6775,3138,6775,3120,6767,3115,6761,3113,6747,3113,6740,3116,6728,3128,6725,3136,6725,3155,6728,3162,6739,3174,6746,3177,6758,3177,6763,3176,6771,3171,6774,3168,6775,3166,6776,3164,6776,3172,6776,3176,6773,3185,6772,3189,6768,3195,6766,3197,6761,3200,6758,3201,6750,3201,6746,3200,6741,3195,6739,3191,6738,3186,6727,3187,6728,3194,6731,3200,6740,3209,6746,3211,6761,3211,6767,3209,6777,3201,6778,3201,6781,3196,6787,3181,6788,3172,6788,3164,6788,3148m6861,3153l6860,3145,6857,3134,6856,3129,6852,3123,6851,3122,6849,3120,6849,3146,6849,3178,6847,3188,6840,3198,6835,3201,6825,3201,6820,3198,6813,3188,6811,3178,6811,3146,6813,3136,6817,3130,6820,3125,6825,3123,6835,3123,6840,3126,6847,3136,6849,3146,6849,3120,6847,3119,6840,3114,6835,3113,6823,3113,6817,3115,6808,3123,6805,3128,6800,3142,6799,3151,6799,3180,6802,3193,6814,3207,6821,3211,6837,3211,6843,3209,6852,3201,6852,3201,6855,3196,6860,3182,6861,3173,6861,3153e" filled="true" fillcolor="#000000" stroked="false">
            <v:path arrowok="t"/>
            <v:fill type="solid"/>
            <w10:wrap type="none"/>
          </v:shape>
        </w:pict>
      </w:r>
      <w:r>
        <w:rPr/>
        <w:pict>
          <v:group style="position:absolute;margin-left:333.018097pt;margin-top:131.520203pt;width:70.1pt;height:10.6pt;mso-position-horizontal-relative:page;mso-position-vertical-relative:paragraph;z-index:4096" coordorigin="6660,2630" coordsize="1402,212">
            <v:shape style="position:absolute;left:6660;top:2745;width:201;height:98" coordorigin="6660,2745" coordsize="201,98" path="m6695,2745l6688,2745,6686,2749,6682,2753,6673,2762,6667,2765,6660,2769,6660,2780,6664,2779,6668,2777,6677,2771,6681,2768,6684,2766,6684,2840,6695,2840,6695,2766,6695,2745m6787,2784l6786,2776,6784,2765,6782,2761,6778,2754,6777,2753,6775,2751,6775,2778,6775,2809,6773,2819,6766,2830,6761,2832,6751,2832,6746,2830,6739,2819,6737,2809,6737,2778,6739,2767,6743,2761,6746,2757,6751,2754,6761,2754,6766,2757,6773,2767,6775,2778,6775,2751,6773,2750,6766,2746,6761,2745,6749,2745,6743,2747,6734,2754,6731,2759,6726,2773,6725,2782,6725,2811,6728,2824,6740,2839,6747,2842,6763,2842,6769,2840,6778,2832,6778,2832,6781,2827,6786,2813,6787,2804,6787,2784m6861,2784l6860,2776,6857,2765,6855,2761,6851,2754,6850,2753,6849,2751,6849,2778,6849,2809,6847,2819,6840,2830,6835,2832,6824,2832,6820,2830,6813,2819,6811,2809,6811,2778,6813,2767,6817,2761,6820,2757,6824,2754,6835,2754,6840,2757,6847,2767,6849,2778,6849,2751,6847,2750,6839,2746,6835,2745,6823,2745,6817,2747,6808,2754,6805,2759,6800,2773,6799,2782,6799,2811,6802,2824,6813,2839,6821,2842,6837,2842,6843,2840,6852,2832,6852,2832,6855,2827,6860,2813,6861,2804,6861,2784e" filled="true" fillcolor="#000000" stroked="false">
              <v:path arrowok="t"/>
              <v:fill type="solid"/>
            </v:shape>
            <v:shape style="position:absolute;left:6779;top:2630;width:1283;height:97" type="#_x0000_t75" stroked="false">
              <v:imagedata r:id="rId127" o:title=""/>
            </v:shape>
            <w10:wrap type="none"/>
          </v:group>
        </w:pict>
      </w:r>
      <w:r>
        <w:rPr>
          <w:color w:val="231F20"/>
        </w:rPr>
        <w:t>Las unidades de producción son de tipo </w:t>
      </w:r>
      <w:r>
        <w:rPr>
          <w:color w:val="231F20"/>
          <w:spacing w:val="-3"/>
        </w:rPr>
        <w:t>familiar. </w:t>
      </w:r>
      <w:r>
        <w:rPr>
          <w:color w:val="231F20"/>
        </w:rPr>
        <w:t>La edad promedio de los titulares es de </w:t>
      </w:r>
      <w:r>
        <w:rPr>
          <w:color w:val="231F20"/>
          <w:spacing w:val="-3"/>
        </w:rPr>
        <w:t>55 </w:t>
      </w:r>
      <w:r>
        <w:rPr>
          <w:color w:val="231F20"/>
        </w:rPr>
        <w:t>años. </w:t>
      </w:r>
      <w:r>
        <w:rPr>
          <w:color w:val="231F20"/>
          <w:spacing w:val="-2"/>
        </w:rPr>
        <w:t>Sin </w:t>
      </w:r>
      <w:r>
        <w:rPr>
          <w:color w:val="231F20"/>
        </w:rPr>
        <w:t>embargo, en el Cuadro 5 se observa que E2 </w:t>
      </w:r>
      <w:r>
        <w:rPr>
          <w:color w:val="231F20"/>
          <w:spacing w:val="-2"/>
        </w:rPr>
        <w:t>cuenta </w:t>
      </w:r>
      <w:r>
        <w:rPr>
          <w:color w:val="231F20"/>
        </w:rPr>
        <w:t>con</w:t>
      </w:r>
      <w:r>
        <w:rPr>
          <w:color w:val="231F20"/>
          <w:spacing w:val="-9"/>
        </w:rPr>
        <w:t> </w:t>
      </w:r>
      <w:r>
        <w:rPr>
          <w:color w:val="231F20"/>
        </w:rPr>
        <w:t>el</w:t>
      </w:r>
      <w:r>
        <w:rPr>
          <w:color w:val="231F20"/>
          <w:spacing w:val="-9"/>
        </w:rPr>
        <w:t> </w:t>
      </w:r>
      <w:r>
        <w:rPr>
          <w:color w:val="231F20"/>
        </w:rPr>
        <w:t>grupo</w:t>
      </w:r>
      <w:r>
        <w:rPr>
          <w:color w:val="231F20"/>
          <w:spacing w:val="-9"/>
        </w:rPr>
        <w:t> </w:t>
      </w:r>
      <w:r>
        <w:rPr>
          <w:color w:val="231F20"/>
        </w:rPr>
        <w:t>de</w:t>
      </w:r>
      <w:r>
        <w:rPr>
          <w:color w:val="231F20"/>
          <w:spacing w:val="-9"/>
        </w:rPr>
        <w:t> </w:t>
      </w:r>
      <w:r>
        <w:rPr>
          <w:color w:val="231F20"/>
        </w:rPr>
        <w:t>titulares</w:t>
      </w:r>
      <w:r>
        <w:rPr>
          <w:color w:val="231F20"/>
          <w:spacing w:val="-9"/>
        </w:rPr>
        <w:t> </w:t>
      </w:r>
      <w:r>
        <w:rPr>
          <w:color w:val="231F20"/>
        </w:rPr>
        <w:t>de</w:t>
      </w:r>
      <w:r>
        <w:rPr>
          <w:color w:val="231F20"/>
          <w:spacing w:val="-9"/>
        </w:rPr>
        <w:t> </w:t>
      </w:r>
      <w:r>
        <w:rPr>
          <w:color w:val="231F20"/>
        </w:rPr>
        <w:t>mayor</w:t>
      </w:r>
      <w:r>
        <w:rPr>
          <w:color w:val="231F20"/>
          <w:spacing w:val="-9"/>
        </w:rPr>
        <w:t> </w:t>
      </w:r>
      <w:r>
        <w:rPr>
          <w:color w:val="231F20"/>
        </w:rPr>
        <w:t>edad,</w:t>
      </w:r>
      <w:r>
        <w:rPr>
          <w:color w:val="231F20"/>
          <w:spacing w:val="-9"/>
        </w:rPr>
        <w:t> </w:t>
      </w:r>
      <w:r>
        <w:rPr>
          <w:color w:val="231F20"/>
        </w:rPr>
        <w:t>coincidien- do además con el menor número de personas en   la familia y con el menor número de hijos mayores de </w:t>
      </w:r>
      <w:r>
        <w:rPr>
          <w:color w:val="231F20"/>
          <w:spacing w:val="-6"/>
        </w:rPr>
        <w:t>18  </w:t>
      </w:r>
      <w:r>
        <w:rPr>
          <w:color w:val="231F20"/>
        </w:rPr>
        <w:t>años, que son los próximos a continuar    </w:t>
      </w:r>
      <w:r>
        <w:rPr>
          <w:color w:val="231F20"/>
          <w:spacing w:val="-2"/>
        </w:rPr>
        <w:t>con</w:t>
      </w:r>
    </w:p>
    <w:p>
      <w:pPr>
        <w:pStyle w:val="BodyText"/>
        <w:spacing w:line="278" w:lineRule="auto" w:before="67"/>
        <w:ind w:left="413" w:right="1549"/>
        <w:jc w:val="both"/>
      </w:pPr>
      <w:r>
        <w:rPr/>
        <w:br w:type="column"/>
      </w:r>
      <w:r>
        <w:rPr>
          <w:color w:val="231F20"/>
        </w:rPr>
        <w:t>la unidad de producción. Así mismo, es el estrato en el que mayor </w:t>
      </w:r>
      <w:r>
        <w:rPr>
          <w:color w:val="231F20"/>
          <w:spacing w:val="2"/>
        </w:rPr>
        <w:t>parte  </w:t>
      </w:r>
      <w:r>
        <w:rPr>
          <w:color w:val="231F20"/>
        </w:rPr>
        <w:t>de  los  titulares  (16,67%) se dedican a tiempo parcial a las actividades ga- naderas, a diferencia del E3, en el cual la dedica- ción a la actividad es completa (100%). Además,  los titulares de este estrato cuentan con menor edad y con el mayor número de personas en el </w:t>
      </w:r>
      <w:r>
        <w:rPr>
          <w:color w:val="231F20"/>
          <w:spacing w:val="2"/>
        </w:rPr>
        <w:t>grupo </w:t>
      </w:r>
      <w:r>
        <w:rPr>
          <w:color w:val="231F20"/>
        </w:rPr>
        <w:t>familiar, y por lo tanto los hijos mayores de </w:t>
      </w:r>
      <w:r>
        <w:rPr>
          <w:color w:val="231F20"/>
          <w:spacing w:val="-4"/>
        </w:rPr>
        <w:t>18 </w:t>
      </w:r>
      <w:r>
        <w:rPr>
          <w:color w:val="231F20"/>
        </w:rPr>
        <w:t>años tienen más posibilidades  de  continuar  con la actividad ganadera. La continuidad es la interacción de tres variables: unidades de produc- ción con hijos mayores de </w:t>
      </w:r>
      <w:r>
        <w:rPr>
          <w:color w:val="231F20"/>
          <w:spacing w:val="-4"/>
        </w:rPr>
        <w:t>18 </w:t>
      </w:r>
      <w:r>
        <w:rPr>
          <w:color w:val="231F20"/>
        </w:rPr>
        <w:t>años que </w:t>
      </w:r>
      <w:r>
        <w:rPr>
          <w:color w:val="231F20"/>
          <w:spacing w:val="2"/>
        </w:rPr>
        <w:t>desean </w:t>
      </w:r>
      <w:r>
        <w:rPr>
          <w:color w:val="231F20"/>
        </w:rPr>
        <w:t>seguir con la tradición ganadera, edad de los titu- lares (más de 60 años se asume que dejarán la ganadería) y deseos de los titulares de mantener- se  en  la</w:t>
      </w:r>
      <w:r>
        <w:rPr>
          <w:color w:val="231F20"/>
          <w:spacing w:val="-12"/>
        </w:rPr>
        <w:t> </w:t>
      </w:r>
      <w:r>
        <w:rPr>
          <w:color w:val="231F20"/>
        </w:rPr>
        <w:t>ganadería.</w:t>
      </w:r>
    </w:p>
    <w:p>
      <w:pPr>
        <w:spacing w:after="0" w:line="278" w:lineRule="auto"/>
        <w:jc w:val="both"/>
        <w:sectPr>
          <w:type w:val="continuous"/>
          <w:pgSz w:w="11900" w:h="14450"/>
          <w:pgMar w:top="420" w:bottom="420" w:left="0" w:right="0"/>
          <w:cols w:num="2" w:equalWidth="0">
            <w:col w:w="5722" w:space="40"/>
            <w:col w:w="6138"/>
          </w:cols>
        </w:sectPr>
      </w:pPr>
    </w:p>
    <w:p>
      <w:pPr>
        <w:pStyle w:val="BodyText"/>
        <w:spacing w:before="2"/>
        <w:rPr>
          <w:sz w:val="23"/>
        </w:rPr>
      </w:pPr>
    </w:p>
    <w:p>
      <w:pPr>
        <w:tabs>
          <w:tab w:pos="8628" w:val="left" w:leader="none"/>
        </w:tabs>
        <w:spacing w:line="106" w:lineRule="exact"/>
        <w:ind w:left="6778" w:right="0" w:firstLine="0"/>
        <w:rPr>
          <w:sz w:val="10"/>
        </w:rPr>
      </w:pPr>
      <w:r>
        <w:rPr>
          <w:position w:val="-1"/>
          <w:sz w:val="10"/>
        </w:rPr>
        <w:pict>
          <v:group style="width:65.3500pt;height:5.35pt;mso-position-horizontal-relative:char;mso-position-vertical-relative:line" coordorigin="0,0" coordsize="1307,107">
            <v:shape style="position:absolute;left:0;top:6;width:780;height:97" type="#_x0000_t75" stroked="false">
              <v:imagedata r:id="rId128" o:title=""/>
            </v:shape>
            <v:shape style="position:absolute;left:834;top:0;width:472;height:107" type="#_x0000_t75" stroked="false">
              <v:imagedata r:id="rId129" o:title=""/>
            </v:shape>
          </v:group>
        </w:pict>
      </w:r>
      <w:r>
        <w:rPr>
          <w:position w:val="-1"/>
          <w:sz w:val="10"/>
        </w:rPr>
      </w:r>
      <w:r>
        <w:rPr>
          <w:position w:val="-1"/>
          <w:sz w:val="10"/>
        </w:rPr>
        <w:tab/>
      </w:r>
      <w:r>
        <w:rPr>
          <w:position w:val="-1"/>
          <w:sz w:val="10"/>
        </w:rPr>
        <w:pict>
          <v:group style="width:66.850pt;height:5.35pt;mso-position-horizontal-relative:char;mso-position-vertical-relative:line" coordorigin="0,0" coordsize="1337,107">
            <v:shape style="position:absolute;left:0;top:6;width:780;height:97" type="#_x0000_t75" stroked="false">
              <v:imagedata r:id="rId130" o:title=""/>
            </v:shape>
            <v:shape style="position:absolute;left:830;top:0;width:506;height:107" type="#_x0000_t75" stroked="false">
              <v:imagedata r:id="rId131" o:title=""/>
            </v:shape>
          </v:group>
        </w:pict>
      </w:r>
      <w:r>
        <w:rPr>
          <w:position w:val="-1"/>
          <w:sz w:val="10"/>
        </w:rPr>
      </w:r>
    </w:p>
    <w:p>
      <w:pPr>
        <w:pStyle w:val="BodyText"/>
        <w:spacing w:before="9"/>
        <w:rPr>
          <w:sz w:val="6"/>
        </w:rPr>
      </w:pPr>
    </w:p>
    <w:p>
      <w:pPr>
        <w:tabs>
          <w:tab w:pos="3987" w:val="left" w:leader="none"/>
        </w:tabs>
        <w:spacing w:line="134" w:lineRule="exact"/>
        <w:ind w:left="2407" w:right="0" w:firstLine="0"/>
        <w:rPr>
          <w:sz w:val="13"/>
        </w:rPr>
      </w:pPr>
      <w:r>
        <w:rPr>
          <w:position w:val="-2"/>
          <w:sz w:val="13"/>
        </w:rPr>
        <w:pict>
          <v:group style="width:61.5pt;height:6.75pt;mso-position-horizontal-relative:char;mso-position-vertical-relative:line" coordorigin="0,0" coordsize="1230,135">
            <v:shape style="position:absolute;left:0;top:0;width:624;height:112" type="#_x0000_t75" stroked="false">
              <v:imagedata r:id="rId132" o:title=""/>
            </v:shape>
            <v:shape style="position:absolute;left:675;top:0;width:554;height:135" type="#_x0000_t75" stroked="false">
              <v:imagedata r:id="rId133" o:title=""/>
            </v:shape>
          </v:group>
        </w:pict>
      </w:r>
      <w:r>
        <w:rPr>
          <w:position w:val="-2"/>
          <w:sz w:val="13"/>
        </w:rPr>
      </w:r>
      <w:r>
        <w:rPr>
          <w:position w:val="-2"/>
          <w:sz w:val="13"/>
        </w:rPr>
        <w:tab/>
      </w:r>
      <w:r>
        <w:rPr>
          <w:position w:val="-2"/>
          <w:sz w:val="13"/>
        </w:rPr>
        <w:pict>
          <v:group style="width:65.5pt;height:6.55pt;mso-position-horizontal-relative:char;mso-position-vertical-relative:line" coordorigin="0,0" coordsize="1310,131">
            <v:shape style="position:absolute;left:0;top:0;width:750;height:129" type="#_x0000_t75" stroked="false">
              <v:imagedata r:id="rId134" o:title=""/>
            </v:shape>
            <v:shape style="position:absolute;left:797;top:0;width:512;height:131" type="#_x0000_t75" stroked="false">
              <v:imagedata r:id="rId135" o:title=""/>
            </v:shape>
          </v:group>
        </w:pict>
      </w:r>
      <w:r>
        <w:rPr>
          <w:position w:val="-2"/>
          <w:sz w:val="13"/>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r>
        <w:rPr/>
        <w:pict>
          <v:group style="position:absolute;margin-left:121.949516pt;margin-top:14.007194pt;width:6.65pt;height:5pt;mso-position-horizontal-relative:page;mso-position-vertical-relative:paragraph;z-index:3136;mso-wrap-distance-left:0;mso-wrap-distance-right:0" coordorigin="2439,280" coordsize="133,100">
            <v:shape style="position:absolute;left:2439;top:281;width:75;height:100" coordorigin="2439,281" coordsize="75,100" path="m2511,281l2439,281,2439,380,2513,380,2513,368,2452,368,2452,334,2507,334,2507,323,2452,323,2452,292,2511,292,2511,281xe" filled="true" fillcolor="#000000" stroked="false">
              <v:path arrowok="t"/>
              <v:fill type="solid"/>
            </v:shape>
            <v:shape style="position:absolute;left:2535;top:280;width:37;height:100" coordorigin="2535,280" coordsize="37,100" path="m2572,302l2560,302,2560,380,2572,380,2572,302xm2572,280l2564,280,2562,284,2558,289,2548,298,2542,302,2535,305,2535,317,2539,316,2543,313,2553,308,2557,305,2560,302,2572,302,2572,280xe" filled="true" fillcolor="#000000" stroked="false">
              <v:path arrowok="t"/>
              <v:fill type="solid"/>
            </v:shape>
            <w10:wrap type="topAndBottom"/>
          </v:group>
        </w:pict>
      </w:r>
      <w:r>
        <w:rPr/>
        <w:pict>
          <v:group style="position:absolute;margin-left:165.623703pt;margin-top:14.007194pt;width:7.6pt;height:5pt;mso-position-horizontal-relative:page;mso-position-vertical-relative:paragraph;z-index:3160;mso-wrap-distance-left:0;mso-wrap-distance-right:0" coordorigin="3312,280" coordsize="152,100">
            <v:shape style="position:absolute;left:3312;top:281;width:75;height:100" coordorigin="3312,281" coordsize="75,100" path="m3384,281l3312,281,3312,380,3387,380,3387,368,3326,368,3326,334,3381,334,3381,323,3326,323,3326,292,3384,292,3384,281xe" filled="true" fillcolor="#000000" stroked="false">
              <v:path arrowok="t"/>
              <v:fill type="solid"/>
            </v:shape>
            <v:shape style="position:absolute;left:3398;top:280;width:66;height:100" coordorigin="3398,280" coordsize="66,100" path="m3457,290l3438,290,3442,292,3449,299,3451,303,3451,312,3449,317,3441,327,3434,334,3416,349,3411,354,3404,363,3401,367,3399,372,3398,374,3398,377,3398,380,3464,380,3464,368,3415,368,3416,366,3418,364,3422,360,3427,355,3443,342,3449,336,3457,327,3459,323,3463,316,3463,312,3464,300,3461,293,3457,290xm3442,280l3423,280,3416,283,3404,292,3401,300,3400,309,3413,310,3413,304,3415,299,3422,292,3426,290,3457,290,3450,283,3442,280xe" filled="true" fillcolor="#000000" stroked="false">
              <v:path arrowok="t"/>
              <v:fill type="solid"/>
            </v:shape>
            <w10:wrap type="topAndBottom"/>
          </v:group>
        </w:pict>
      </w:r>
      <w:r>
        <w:rPr/>
        <w:drawing>
          <wp:anchor distT="0" distB="0" distL="0" distR="0" allowOverlap="1" layoutInCell="1" locked="0" behindDoc="0" simplePos="0" relativeHeight="3184">
            <wp:simplePos x="0" y="0"/>
            <wp:positionH relativeFrom="page">
              <wp:posOffset>2657905</wp:posOffset>
            </wp:positionH>
            <wp:positionV relativeFrom="paragraph">
              <wp:posOffset>177891</wp:posOffset>
            </wp:positionV>
            <wp:extent cx="96330" cy="64388"/>
            <wp:effectExtent l="0" t="0" r="0" b="0"/>
            <wp:wrapTopAndBottom/>
            <wp:docPr id="93" name="image85.png" descr=""/>
            <wp:cNvGraphicFramePr>
              <a:graphicFrameLocks noChangeAspect="1"/>
            </wp:cNvGraphicFramePr>
            <a:graphic>
              <a:graphicData uri="http://schemas.openxmlformats.org/drawingml/2006/picture">
                <pic:pic>
                  <pic:nvPicPr>
                    <pic:cNvPr id="94" name="image85.png"/>
                    <pic:cNvPicPr/>
                  </pic:nvPicPr>
                  <pic:blipFill>
                    <a:blip r:embed="rId136" cstate="print"/>
                    <a:stretch>
                      <a:fillRect/>
                    </a:stretch>
                  </pic:blipFill>
                  <pic:spPr>
                    <a:xfrm>
                      <a:off x="0" y="0"/>
                      <a:ext cx="96330" cy="64388"/>
                    </a:xfrm>
                    <a:prstGeom prst="rect">
                      <a:avLst/>
                    </a:prstGeom>
                  </pic:spPr>
                </pic:pic>
              </a:graphicData>
            </a:graphic>
          </wp:anchor>
        </w:drawing>
      </w:r>
      <w:r>
        <w:rPr/>
        <w:drawing>
          <wp:anchor distT="0" distB="0" distL="0" distR="0" allowOverlap="1" layoutInCell="1" locked="0" behindDoc="0" simplePos="0" relativeHeight="3208">
            <wp:simplePos x="0" y="0"/>
            <wp:positionH relativeFrom="page">
              <wp:posOffset>3076168</wp:posOffset>
            </wp:positionH>
            <wp:positionV relativeFrom="paragraph">
              <wp:posOffset>178150</wp:posOffset>
            </wp:positionV>
            <wp:extent cx="369488" cy="64388"/>
            <wp:effectExtent l="0" t="0" r="0" b="0"/>
            <wp:wrapTopAndBottom/>
            <wp:docPr id="95" name="image86.png" descr=""/>
            <wp:cNvGraphicFramePr>
              <a:graphicFrameLocks noChangeAspect="1"/>
            </wp:cNvGraphicFramePr>
            <a:graphic>
              <a:graphicData uri="http://schemas.openxmlformats.org/drawingml/2006/picture">
                <pic:pic>
                  <pic:nvPicPr>
                    <pic:cNvPr id="96" name="image86.png"/>
                    <pic:cNvPicPr/>
                  </pic:nvPicPr>
                  <pic:blipFill>
                    <a:blip r:embed="rId137" cstate="print"/>
                    <a:stretch>
                      <a:fillRect/>
                    </a:stretch>
                  </pic:blipFill>
                  <pic:spPr>
                    <a:xfrm>
                      <a:off x="0" y="0"/>
                      <a:ext cx="369488" cy="64388"/>
                    </a:xfrm>
                    <a:prstGeom prst="rect">
                      <a:avLst/>
                    </a:prstGeom>
                  </pic:spPr>
                </pic:pic>
              </a:graphicData>
            </a:graphic>
          </wp:anchor>
        </w:drawing>
      </w:r>
      <w:r>
        <w:rPr/>
        <w:pict>
          <v:group style="position:absolute;margin-left:366.079834pt;margin-top:14.506392pt;width:6.4pt;height:4.8pt;mso-position-horizontal-relative:page;mso-position-vertical-relative:paragraph;z-index:3232;mso-wrap-distance-left:0;mso-wrap-distance-right:0" coordorigin="7322,290" coordsize="128,96">
            <v:shape style="position:absolute;left:7322;top:291;width:71;height:96" coordorigin="7322,291" coordsize="71,96" path="m7390,291l7322,291,7322,386,7393,386,7393,374,7334,374,7334,342,7387,342,7387,331,7334,331,7334,302,7390,302,7390,291xe" filled="true" fillcolor="#000000" stroked="false">
              <v:path arrowok="t"/>
              <v:fill type="solid"/>
            </v:shape>
            <v:shape style="position:absolute;left:7414;top:290;width:36;height:96" coordorigin="7414,290" coordsize="36,96" path="m7449,311l7437,311,7437,386,7449,386,7449,311xm7449,290l7441,290,7439,294,7436,298,7426,307,7420,311,7414,314,7414,325,7417,324,7421,322,7431,317,7434,314,7437,311,7449,311,7449,290xe" filled="true" fillcolor="#000000" stroked="false">
              <v:path arrowok="t"/>
              <v:fill type="solid"/>
            </v:shape>
            <w10:wrap type="topAndBottom"/>
          </v:group>
        </w:pict>
      </w:r>
      <w:r>
        <w:rPr/>
        <w:pict>
          <v:group style="position:absolute;margin-left:407.033875pt;margin-top:14.506392pt;width:7.25pt;height:4.8pt;mso-position-horizontal-relative:page;mso-position-vertical-relative:paragraph;z-index:3256;mso-wrap-distance-left:0;mso-wrap-distance-right:0" coordorigin="8141,290" coordsize="145,96">
            <v:shape style="position:absolute;left:8141;top:291;width:71;height:96" coordorigin="8141,291" coordsize="71,96" path="m8209,291l8141,291,8141,386,8212,386,8212,374,8153,374,8153,342,8206,342,8206,331,8153,331,8153,302,8209,302,8209,291xe" filled="true" fillcolor="#000000" stroked="false">
              <v:path arrowok="t"/>
              <v:fill type="solid"/>
            </v:shape>
            <v:shape style="position:absolute;left:8222;top:290;width:63;height:96" coordorigin="8222,290" coordsize="63,96" path="m8279,300l8260,300,8265,301,8271,308,8273,312,8273,321,8271,325,8264,335,8257,342,8240,356,8235,361,8228,369,8225,373,8224,378,8223,380,8222,383,8222,386,8285,386,8285,374,8239,374,8240,372,8241,370,8245,366,8250,362,8265,349,8271,343,8279,335,8281,331,8284,324,8285,321,8285,309,8282,303,8279,300xm8265,290l8246,290,8239,292,8228,302,8225,309,8224,318,8236,319,8237,313,8238,308,8245,301,8249,300,8279,300,8272,293,8265,290xe" filled="true" fillcolor="#000000" stroked="false">
              <v:path arrowok="t"/>
              <v:fill type="solid"/>
            </v:shape>
            <w10:wrap type="topAndBottom"/>
          </v:group>
        </w:pict>
      </w:r>
      <w:r>
        <w:rPr/>
        <w:pict>
          <v:group style="position:absolute;margin-left:447.987946pt;margin-top:14.506392pt;width:7.3pt;height:4.9pt;mso-position-horizontal-relative:page;mso-position-vertical-relative:paragraph;z-index:3280;mso-wrap-distance-left:0;mso-wrap-distance-right:0" coordorigin="8960,290" coordsize="146,98">
            <v:shape style="position:absolute;left:8960;top:291;width:71;height:96" coordorigin="8960,291" coordsize="71,96" path="m9029,291l8960,291,8960,386,9031,386,9031,374,8972,374,8972,342,9025,342,9025,331,8972,331,8972,302,9029,302,9029,291xe" filled="true" fillcolor="#000000" stroked="false">
              <v:path arrowok="t"/>
              <v:fill type="solid"/>
            </v:shape>
            <v:shape style="position:absolute;left:9043;top:290;width:63;height:98" coordorigin="9043,290" coordsize="63,98" path="m9055,359l9043,361,9044,368,9047,375,9058,385,9065,387,9082,387,9090,384,9097,378,9069,378,9065,376,9058,370,9056,366,9055,359xm9098,339l9080,339,9084,341,9091,348,9093,352,9093,363,9091,368,9083,376,9079,378,9097,378,9102,373,9105,366,9105,351,9104,346,9098,339xm9095,300l9078,300,9081,301,9087,307,9089,310,9089,320,9087,324,9079,329,9074,331,9067,331,9066,341,9069,340,9072,339,9098,339,9097,338,9093,335,9087,334,9092,332,9094,331,9074,331,9067,330,9094,330,9095,329,9099,323,9101,319,9100,310,9099,306,9095,300xm9078,290l9065,290,9059,292,9049,301,9046,307,9044,315,9056,317,9057,311,9059,307,9065,301,9068,300,9095,300,9095,299,9091,296,9083,291,9078,290xe" filled="true" fillcolor="#000000" stroked="false">
              <v:path arrowok="t"/>
              <v:fill type="solid"/>
            </v:shape>
            <w10:wrap type="topAndBottom"/>
          </v:group>
        </w:pict>
      </w:r>
      <w:r>
        <w:rPr/>
        <w:pict>
          <v:group style="position:absolute;margin-left:478.678802pt;margin-top:14.525866pt;width:27.75pt;height:4.850pt;mso-position-horizontal-relative:page;mso-position-vertical-relative:paragraph;z-index:3304;mso-wrap-distance-left:0;mso-wrap-distance-right:0" coordorigin="9574,291" coordsize="555,97">
            <v:shape style="position:absolute;left:9574;top:291;width:73;height:96" coordorigin="9574,291" coordsize="73,96" path="m9616,291l9574,291,9574,386,9586,386,9586,347,9624,347,9633,344,9641,336,9586,336,9586,302,9642,302,9641,301,9639,298,9633,294,9629,292,9624,291,9621,291,9616,291xm9642,302l9616,302,9620,302,9622,303,9626,303,9628,305,9632,311,9633,314,9633,324,9632,328,9625,334,9619,336,9641,336,9644,333,9646,326,9646,313,9645,309,9642,302xe" filled="true" fillcolor="#000000" stroked="false">
              <v:path arrowok="t"/>
              <v:fill type="solid"/>
            </v:shape>
            <v:shape style="position:absolute;left:9660;top:315;width:38;height:71" coordorigin="9660,315" coordsize="38,71" path="m9671,317l9660,317,9660,386,9672,386,9672,345,9672,340,9675,333,9676,331,9680,328,9682,327,9694,327,9694,327,9671,327,9671,317xm9694,327l9688,327,9691,328,9694,330,9694,327xm9689,315l9683,315,9680,316,9676,319,9673,322,9671,327,9694,327,9698,319,9693,316,9689,315xe" filled="true" fillcolor="#000000" stroked="false">
              <v:path arrowok="t"/>
              <v:fill type="solid"/>
            </v:shape>
            <v:shape style="position:absolute;left:9701;top:315;width:65;height:73" coordorigin="9701,315" coordsize="65,73" path="m9742,315l9724,315,9717,318,9704,329,9701,338,9701,363,9704,372,9715,384,9723,387,9739,387,9744,386,9755,380,9757,378,9727,378,9722,375,9714,367,9713,360,9713,342,9714,336,9722,327,9727,325,9756,325,9750,318,9742,315xm9756,325l9739,325,9743,327,9751,336,9753,342,9753,360,9751,367,9743,375,9739,378,9757,378,9758,376,9764,366,9765,359,9765,339,9762,331,9756,325xe" filled="true" fillcolor="#000000" stroked="false">
              <v:path arrowok="t"/>
              <v:fill type="solid"/>
            </v:shape>
            <v:shape style="position:absolute;left:9779;top:315;width:94;height:71" coordorigin="9779,315" coordsize="94,71" path="m9789,317l9779,317,9779,386,9790,386,9790,344,9791,339,9794,332,9796,330,9801,326,9789,326,9789,317xm9829,325l9812,325,9815,327,9819,332,9820,336,9820,386,9831,386,9831,339,9833,333,9839,327,9830,327,9829,325xm9871,325l9851,325,9853,326,9857,328,9859,330,9860,334,9861,338,9861,386,9872,386,9872,330,9871,325xm9858,315l9842,315,9835,319,9830,327,9839,327,9839,327,9843,325,9871,325,9870,325,9863,317,9858,315xm9815,315l9806,315,9801,316,9794,320,9791,323,9789,326,9801,326,9801,326,9804,325,9829,325,9828,323,9826,320,9819,316,9815,315xe" filled="true" fillcolor="#000000" stroked="false">
              <v:path arrowok="t"/>
              <v:fill type="solid"/>
            </v:shape>
            <v:shape style="position:absolute;left:9888;top:315;width:64;height:73" coordorigin="9888,315" coordsize="64,73" path="m9930,315l9911,315,9903,318,9891,331,9888,340,9888,363,9891,372,9903,384,9911,387,9929,387,9936,385,9946,378,9915,378,9911,376,9903,368,9901,362,9900,354,9952,354,9952,345,9901,345,9901,339,9903,334,9911,327,9915,325,9943,325,9937,318,9930,315xm9939,363l9938,368,9935,372,9929,376,9925,378,9946,378,9946,377,9950,372,9951,365,9939,363xm9943,325l9927,325,9931,327,9938,334,9939,339,9940,345,9952,345,9952,340,9949,331,9943,325xe" filled="true" fillcolor="#000000" stroked="false">
              <v:path arrowok="t"/>
              <v:fill type="solid"/>
            </v:shape>
            <v:shape style="position:absolute;left:9962;top:291;width:60;height:97" coordorigin="9962,291" coordsize="60,97" path="m9995,315l9985,315,9980,317,9971,323,9968,327,9963,338,9962,344,9962,358,9963,365,9968,375,9972,380,9981,386,9986,387,10000,387,10006,384,10010,378,9988,378,9983,375,9976,367,9974,360,9974,342,9976,335,9983,327,9987,325,10022,325,10022,325,10010,325,10008,322,10005,320,9999,316,9995,315xm10022,377l10011,377,10011,386,10022,386,10022,377xm10022,325l9997,325,10002,327,10009,336,10011,343,10011,361,10009,367,10002,376,9998,378,10010,378,10011,377,10022,377,10022,325xm10022,291l10010,291,10010,325,10022,325,10022,291xe" filled="true" fillcolor="#000000" stroked="false">
              <v:path arrowok="t"/>
              <v:fill type="solid"/>
            </v:shape>
            <v:shape style="position:absolute;left:10040;top:291;width:12;height:96" coordorigin="10040,291" coordsize="12,96" path="m10051,291l10040,291,10040,304,10051,304,10051,291xm10051,317l10040,317,10040,386,10051,386,10051,317xe" filled="true" fillcolor="#000000" stroked="false">
              <v:path arrowok="t"/>
              <v:fill type="solid"/>
            </v:shape>
            <v:shape style="position:absolute;left:10064;top:315;width:65;height:73" coordorigin="10064,315" coordsize="65,73" path="m10106,315l10088,315,10081,318,10068,329,10064,338,10064,363,10067,372,10079,384,10087,387,10102,387,10108,386,10118,380,10121,378,10090,378,10086,375,10078,367,10076,360,10076,342,10078,336,10086,327,10090,325,10120,325,10114,318,10106,315xm10120,325l10102,325,10107,327,10115,336,10117,342,10116,360,10115,367,10107,375,10102,378,10121,378,10122,376,10127,366,10129,359,10129,339,10126,331,10120,325xe" filled="true" fillcolor="#000000" stroked="false">
              <v:path arrowok="t"/>
              <v:fill type="solid"/>
            </v:shape>
            <w10:wrap type="topAndBottom"/>
          </v:group>
        </w:pict>
      </w:r>
    </w:p>
    <w:p>
      <w:pPr>
        <w:tabs>
          <w:tab w:pos="8387" w:val="left" w:leader="none"/>
        </w:tabs>
        <w:spacing w:line="151" w:lineRule="exact"/>
        <w:ind w:left="3578" w:right="0" w:firstLine="0"/>
        <w:rPr>
          <w:sz w:val="9"/>
        </w:rPr>
      </w:pPr>
      <w:r>
        <w:rPr>
          <w:position w:val="2"/>
          <w:sz w:val="10"/>
        </w:rPr>
        <w:drawing>
          <wp:inline distT="0" distB="0" distL="0" distR="0">
            <wp:extent cx="314123" cy="64388"/>
            <wp:effectExtent l="0" t="0" r="0" b="0"/>
            <wp:docPr id="97" name="image87.png" descr=""/>
            <wp:cNvGraphicFramePr>
              <a:graphicFrameLocks noChangeAspect="1"/>
            </wp:cNvGraphicFramePr>
            <a:graphic>
              <a:graphicData uri="http://schemas.openxmlformats.org/drawingml/2006/picture">
                <pic:pic>
                  <pic:nvPicPr>
                    <pic:cNvPr id="98" name="image87.png"/>
                    <pic:cNvPicPr/>
                  </pic:nvPicPr>
                  <pic:blipFill>
                    <a:blip r:embed="rId138" cstate="print"/>
                    <a:stretch>
                      <a:fillRect/>
                    </a:stretch>
                  </pic:blipFill>
                  <pic:spPr>
                    <a:xfrm>
                      <a:off x="0" y="0"/>
                      <a:ext cx="314123" cy="64388"/>
                    </a:xfrm>
                    <a:prstGeom prst="rect">
                      <a:avLst/>
                    </a:prstGeom>
                  </pic:spPr>
                </pic:pic>
              </a:graphicData>
            </a:graphic>
          </wp:inline>
        </w:drawing>
      </w:r>
      <w:r>
        <w:rPr>
          <w:position w:val="2"/>
          <w:sz w:val="10"/>
        </w:rPr>
      </w:r>
      <w:r>
        <w:rPr>
          <w:position w:val="2"/>
          <w:sz w:val="10"/>
        </w:rPr>
        <w:tab/>
      </w:r>
      <w:r>
        <w:rPr>
          <w:position w:val="-2"/>
          <w:sz w:val="9"/>
        </w:rPr>
        <w:drawing>
          <wp:inline distT="0" distB="0" distL="0" distR="0">
            <wp:extent cx="302042" cy="61912"/>
            <wp:effectExtent l="0" t="0" r="0" b="0"/>
            <wp:docPr id="99" name="image88.png" descr=""/>
            <wp:cNvGraphicFramePr>
              <a:graphicFrameLocks noChangeAspect="1"/>
            </wp:cNvGraphicFramePr>
            <a:graphic>
              <a:graphicData uri="http://schemas.openxmlformats.org/drawingml/2006/picture">
                <pic:pic>
                  <pic:nvPicPr>
                    <pic:cNvPr id="100" name="image88.png"/>
                    <pic:cNvPicPr/>
                  </pic:nvPicPr>
                  <pic:blipFill>
                    <a:blip r:embed="rId139" cstate="print"/>
                    <a:stretch>
                      <a:fillRect/>
                    </a:stretch>
                  </pic:blipFill>
                  <pic:spPr>
                    <a:xfrm>
                      <a:off x="0" y="0"/>
                      <a:ext cx="302042" cy="61912"/>
                    </a:xfrm>
                    <a:prstGeom prst="rect">
                      <a:avLst/>
                    </a:prstGeom>
                  </pic:spPr>
                </pic:pic>
              </a:graphicData>
            </a:graphic>
          </wp:inline>
        </w:drawing>
      </w:r>
      <w:r>
        <w:rPr>
          <w:position w:val="-2"/>
          <w:sz w:val="9"/>
        </w:rPr>
      </w:r>
    </w:p>
    <w:p>
      <w:pPr>
        <w:pStyle w:val="BodyText"/>
        <w:spacing w:before="7"/>
        <w:rPr>
          <w:sz w:val="6"/>
        </w:rPr>
      </w:pPr>
    </w:p>
    <w:p>
      <w:pPr>
        <w:tabs>
          <w:tab w:pos="6433" w:val="left" w:leader="none"/>
        </w:tabs>
        <w:spacing w:before="72"/>
        <w:ind w:left="1820" w:right="0" w:firstLine="0"/>
        <w:jc w:val="left"/>
        <w:rPr>
          <w:sz w:val="18"/>
        </w:rPr>
      </w:pPr>
      <w:r>
        <w:rPr/>
        <w:drawing>
          <wp:anchor distT="0" distB="0" distL="0" distR="0" allowOverlap="1" layoutInCell="1" locked="0" behindDoc="0" simplePos="0" relativeHeight="3328">
            <wp:simplePos x="0" y="0"/>
            <wp:positionH relativeFrom="page">
              <wp:posOffset>1563777</wp:posOffset>
            </wp:positionH>
            <wp:positionV relativeFrom="paragraph">
              <wp:posOffset>-636112</wp:posOffset>
            </wp:positionV>
            <wp:extent cx="76379" cy="214312"/>
            <wp:effectExtent l="0" t="0" r="0" b="0"/>
            <wp:wrapNone/>
            <wp:docPr id="101" name="image89.png" descr=""/>
            <wp:cNvGraphicFramePr>
              <a:graphicFrameLocks noChangeAspect="1"/>
            </wp:cNvGraphicFramePr>
            <a:graphic>
              <a:graphicData uri="http://schemas.openxmlformats.org/drawingml/2006/picture">
                <pic:pic>
                  <pic:nvPicPr>
                    <pic:cNvPr id="102" name="image89.png"/>
                    <pic:cNvPicPr/>
                  </pic:nvPicPr>
                  <pic:blipFill>
                    <a:blip r:embed="rId140" cstate="print"/>
                    <a:stretch>
                      <a:fillRect/>
                    </a:stretch>
                  </pic:blipFill>
                  <pic:spPr>
                    <a:xfrm>
                      <a:off x="0" y="0"/>
                      <a:ext cx="76379" cy="214312"/>
                    </a:xfrm>
                    <a:prstGeom prst="rect">
                      <a:avLst/>
                    </a:prstGeom>
                  </pic:spPr>
                </pic:pic>
              </a:graphicData>
            </a:graphic>
          </wp:anchor>
        </w:drawing>
      </w:r>
      <w:r>
        <w:rPr/>
        <w:drawing>
          <wp:anchor distT="0" distB="0" distL="0" distR="0" allowOverlap="1" layoutInCell="1" locked="0" behindDoc="0" simplePos="0" relativeHeight="3352">
            <wp:simplePos x="0" y="0"/>
            <wp:positionH relativeFrom="page">
              <wp:posOffset>2118528</wp:posOffset>
            </wp:positionH>
            <wp:positionV relativeFrom="paragraph">
              <wp:posOffset>-769149</wp:posOffset>
            </wp:positionV>
            <wp:extent cx="76568" cy="214312"/>
            <wp:effectExtent l="0" t="0" r="0" b="0"/>
            <wp:wrapNone/>
            <wp:docPr id="103" name="image90.png" descr=""/>
            <wp:cNvGraphicFramePr>
              <a:graphicFrameLocks noChangeAspect="1"/>
            </wp:cNvGraphicFramePr>
            <a:graphic>
              <a:graphicData uri="http://schemas.openxmlformats.org/drawingml/2006/picture">
                <pic:pic>
                  <pic:nvPicPr>
                    <pic:cNvPr id="104" name="image90.png"/>
                    <pic:cNvPicPr/>
                  </pic:nvPicPr>
                  <pic:blipFill>
                    <a:blip r:embed="rId141" cstate="print"/>
                    <a:stretch>
                      <a:fillRect/>
                    </a:stretch>
                  </pic:blipFill>
                  <pic:spPr>
                    <a:xfrm>
                      <a:off x="0" y="0"/>
                      <a:ext cx="76568" cy="214312"/>
                    </a:xfrm>
                    <a:prstGeom prst="rect">
                      <a:avLst/>
                    </a:prstGeom>
                  </pic:spPr>
                </pic:pic>
              </a:graphicData>
            </a:graphic>
          </wp:anchor>
        </w:drawing>
      </w:r>
      <w:r>
        <w:rPr/>
        <w:drawing>
          <wp:anchor distT="0" distB="0" distL="0" distR="0" allowOverlap="1" layoutInCell="1" locked="0" behindDoc="0" simplePos="0" relativeHeight="3376">
            <wp:simplePos x="0" y="0"/>
            <wp:positionH relativeFrom="page">
              <wp:posOffset>2673190</wp:posOffset>
            </wp:positionH>
            <wp:positionV relativeFrom="paragraph">
              <wp:posOffset>-900267</wp:posOffset>
            </wp:positionV>
            <wp:extent cx="76333" cy="214312"/>
            <wp:effectExtent l="0" t="0" r="0" b="0"/>
            <wp:wrapNone/>
            <wp:docPr id="105" name="image91.png" descr=""/>
            <wp:cNvGraphicFramePr>
              <a:graphicFrameLocks noChangeAspect="1"/>
            </wp:cNvGraphicFramePr>
            <a:graphic>
              <a:graphicData uri="http://schemas.openxmlformats.org/drawingml/2006/picture">
                <pic:pic>
                  <pic:nvPicPr>
                    <pic:cNvPr id="106" name="image91.png"/>
                    <pic:cNvPicPr/>
                  </pic:nvPicPr>
                  <pic:blipFill>
                    <a:blip r:embed="rId142" cstate="print"/>
                    <a:stretch>
                      <a:fillRect/>
                    </a:stretch>
                  </pic:blipFill>
                  <pic:spPr>
                    <a:xfrm>
                      <a:off x="0" y="0"/>
                      <a:ext cx="76333" cy="214312"/>
                    </a:xfrm>
                    <a:prstGeom prst="rect">
                      <a:avLst/>
                    </a:prstGeom>
                  </pic:spPr>
                </pic:pic>
              </a:graphicData>
            </a:graphic>
          </wp:anchor>
        </w:drawing>
      </w:r>
      <w:r>
        <w:rPr/>
        <w:drawing>
          <wp:anchor distT="0" distB="0" distL="0" distR="0" allowOverlap="1" layoutInCell="1" locked="0" behindDoc="0" simplePos="0" relativeHeight="3400">
            <wp:simplePos x="0" y="0"/>
            <wp:positionH relativeFrom="page">
              <wp:posOffset>3227941</wp:posOffset>
            </wp:positionH>
            <wp:positionV relativeFrom="paragraph">
              <wp:posOffset>-683387</wp:posOffset>
            </wp:positionV>
            <wp:extent cx="76537" cy="214312"/>
            <wp:effectExtent l="0" t="0" r="0" b="0"/>
            <wp:wrapNone/>
            <wp:docPr id="107" name="image92.png" descr=""/>
            <wp:cNvGraphicFramePr>
              <a:graphicFrameLocks noChangeAspect="1"/>
            </wp:cNvGraphicFramePr>
            <a:graphic>
              <a:graphicData uri="http://schemas.openxmlformats.org/drawingml/2006/picture">
                <pic:pic>
                  <pic:nvPicPr>
                    <pic:cNvPr id="108" name="image92.png"/>
                    <pic:cNvPicPr/>
                  </pic:nvPicPr>
                  <pic:blipFill>
                    <a:blip r:embed="rId143" cstate="print"/>
                    <a:stretch>
                      <a:fillRect/>
                    </a:stretch>
                  </pic:blipFill>
                  <pic:spPr>
                    <a:xfrm>
                      <a:off x="0" y="0"/>
                      <a:ext cx="76537" cy="214312"/>
                    </a:xfrm>
                    <a:prstGeom prst="rect">
                      <a:avLst/>
                    </a:prstGeom>
                  </pic:spPr>
                </pic:pic>
              </a:graphicData>
            </a:graphic>
          </wp:anchor>
        </w:drawing>
      </w:r>
      <w:r>
        <w:rPr/>
        <w:drawing>
          <wp:anchor distT="0" distB="0" distL="0" distR="0" allowOverlap="1" layoutInCell="1" locked="0" behindDoc="0" simplePos="0" relativeHeight="3520">
            <wp:simplePos x="0" y="0"/>
            <wp:positionH relativeFrom="page">
              <wp:posOffset>1146870</wp:posOffset>
            </wp:positionH>
            <wp:positionV relativeFrom="paragraph">
              <wp:posOffset>-341053</wp:posOffset>
            </wp:positionV>
            <wp:extent cx="89492" cy="64008"/>
            <wp:effectExtent l="0" t="0" r="0" b="0"/>
            <wp:wrapNone/>
            <wp:docPr id="109" name="image93.png" descr=""/>
            <wp:cNvGraphicFramePr>
              <a:graphicFrameLocks noChangeAspect="1"/>
            </wp:cNvGraphicFramePr>
            <a:graphic>
              <a:graphicData uri="http://schemas.openxmlformats.org/drawingml/2006/picture">
                <pic:pic>
                  <pic:nvPicPr>
                    <pic:cNvPr id="110" name="image93.png"/>
                    <pic:cNvPicPr/>
                  </pic:nvPicPr>
                  <pic:blipFill>
                    <a:blip r:embed="rId144" cstate="print"/>
                    <a:stretch>
                      <a:fillRect/>
                    </a:stretch>
                  </pic:blipFill>
                  <pic:spPr>
                    <a:xfrm>
                      <a:off x="0" y="0"/>
                      <a:ext cx="89492" cy="64008"/>
                    </a:xfrm>
                    <a:prstGeom prst="rect">
                      <a:avLst/>
                    </a:prstGeom>
                  </pic:spPr>
                </pic:pic>
              </a:graphicData>
            </a:graphic>
          </wp:anchor>
        </w:drawing>
      </w:r>
      <w:r>
        <w:rPr/>
        <w:pict>
          <v:group style="position:absolute;margin-left:80.655502pt;margin-top:-84.305222pt;width:16.850pt;height:40.050pt;mso-position-horizontal-relative:page;mso-position-vertical-relative:paragraph;z-index:3544" coordorigin="1613,-1686" coordsize="337,801">
            <v:shape style="position:absolute;left:1806;top:-987;width:143;height:102" type="#_x0000_t75" stroked="false">
              <v:imagedata r:id="rId145" o:title=""/>
            </v:shape>
            <v:shape style="position:absolute;left:1806;top:-1437;width:142;height:102" type="#_x0000_t75" stroked="false">
              <v:imagedata r:id="rId146" o:title=""/>
            </v:shape>
            <v:shape style="position:absolute;left:1613;top:-1686;width:129;height:651" type="#_x0000_t75" stroked="false">
              <v:imagedata r:id="rId147" o:title=""/>
            </v:shape>
            <w10:wrap type="none"/>
          </v:group>
        </w:pict>
      </w:r>
      <w:r>
        <w:rPr/>
        <w:drawing>
          <wp:anchor distT="0" distB="0" distL="0" distR="0" allowOverlap="1" layoutInCell="1" locked="0" behindDoc="0" simplePos="0" relativeHeight="3616">
            <wp:simplePos x="0" y="0"/>
            <wp:positionH relativeFrom="page">
              <wp:posOffset>4663904</wp:posOffset>
            </wp:positionH>
            <wp:positionV relativeFrom="paragraph">
              <wp:posOffset>-680446</wp:posOffset>
            </wp:positionV>
            <wp:extent cx="73294" cy="204025"/>
            <wp:effectExtent l="0" t="0" r="0" b="0"/>
            <wp:wrapNone/>
            <wp:docPr id="111" name="image97.png" descr=""/>
            <wp:cNvGraphicFramePr>
              <a:graphicFrameLocks noChangeAspect="1"/>
            </wp:cNvGraphicFramePr>
            <a:graphic>
              <a:graphicData uri="http://schemas.openxmlformats.org/drawingml/2006/picture">
                <pic:pic>
                  <pic:nvPicPr>
                    <pic:cNvPr id="112" name="image97.png"/>
                    <pic:cNvPicPr/>
                  </pic:nvPicPr>
                  <pic:blipFill>
                    <a:blip r:embed="rId148" cstate="print"/>
                    <a:stretch>
                      <a:fillRect/>
                    </a:stretch>
                  </pic:blipFill>
                  <pic:spPr>
                    <a:xfrm>
                      <a:off x="0" y="0"/>
                      <a:ext cx="73294" cy="204025"/>
                    </a:xfrm>
                    <a:prstGeom prst="rect">
                      <a:avLst/>
                    </a:prstGeom>
                  </pic:spPr>
                </pic:pic>
              </a:graphicData>
            </a:graphic>
          </wp:anchor>
        </w:drawing>
      </w:r>
      <w:r>
        <w:rPr/>
        <w:drawing>
          <wp:anchor distT="0" distB="0" distL="0" distR="0" allowOverlap="1" layoutInCell="1" locked="0" behindDoc="0" simplePos="0" relativeHeight="3640">
            <wp:simplePos x="0" y="0"/>
            <wp:positionH relativeFrom="page">
              <wp:posOffset>5183936</wp:posOffset>
            </wp:positionH>
            <wp:positionV relativeFrom="paragraph">
              <wp:posOffset>-583395</wp:posOffset>
            </wp:positionV>
            <wp:extent cx="73121" cy="204787"/>
            <wp:effectExtent l="0" t="0" r="0" b="0"/>
            <wp:wrapNone/>
            <wp:docPr id="113" name="image98.png" descr=""/>
            <wp:cNvGraphicFramePr>
              <a:graphicFrameLocks noChangeAspect="1"/>
            </wp:cNvGraphicFramePr>
            <a:graphic>
              <a:graphicData uri="http://schemas.openxmlformats.org/drawingml/2006/picture">
                <pic:pic>
                  <pic:nvPicPr>
                    <pic:cNvPr id="114" name="image98.png"/>
                    <pic:cNvPicPr/>
                  </pic:nvPicPr>
                  <pic:blipFill>
                    <a:blip r:embed="rId149" cstate="print"/>
                    <a:stretch>
                      <a:fillRect/>
                    </a:stretch>
                  </pic:blipFill>
                  <pic:spPr>
                    <a:xfrm>
                      <a:off x="0" y="0"/>
                      <a:ext cx="73121" cy="204787"/>
                    </a:xfrm>
                    <a:prstGeom prst="rect">
                      <a:avLst/>
                    </a:prstGeom>
                  </pic:spPr>
                </pic:pic>
              </a:graphicData>
            </a:graphic>
          </wp:anchor>
        </w:drawing>
      </w:r>
      <w:r>
        <w:rPr/>
        <w:drawing>
          <wp:anchor distT="0" distB="0" distL="0" distR="0" allowOverlap="1" layoutInCell="1" locked="0" behindDoc="0" simplePos="0" relativeHeight="3664">
            <wp:simplePos x="0" y="0"/>
            <wp:positionH relativeFrom="page">
              <wp:posOffset>5704160</wp:posOffset>
            </wp:positionH>
            <wp:positionV relativeFrom="paragraph">
              <wp:posOffset>-503909</wp:posOffset>
            </wp:positionV>
            <wp:extent cx="73323" cy="204787"/>
            <wp:effectExtent l="0" t="0" r="0" b="0"/>
            <wp:wrapNone/>
            <wp:docPr id="115" name="image99.png" descr=""/>
            <wp:cNvGraphicFramePr>
              <a:graphicFrameLocks noChangeAspect="1"/>
            </wp:cNvGraphicFramePr>
            <a:graphic>
              <a:graphicData uri="http://schemas.openxmlformats.org/drawingml/2006/picture">
                <pic:pic>
                  <pic:nvPicPr>
                    <pic:cNvPr id="116" name="image99.png"/>
                    <pic:cNvPicPr/>
                  </pic:nvPicPr>
                  <pic:blipFill>
                    <a:blip r:embed="rId150" cstate="print"/>
                    <a:stretch>
                      <a:fillRect/>
                    </a:stretch>
                  </pic:blipFill>
                  <pic:spPr>
                    <a:xfrm>
                      <a:off x="0" y="0"/>
                      <a:ext cx="73323" cy="204787"/>
                    </a:xfrm>
                    <a:prstGeom prst="rect">
                      <a:avLst/>
                    </a:prstGeom>
                  </pic:spPr>
                </pic:pic>
              </a:graphicData>
            </a:graphic>
          </wp:anchor>
        </w:drawing>
      </w:r>
      <w:r>
        <w:rPr/>
        <w:pict>
          <v:shape style="position:absolute;margin-left:490.105011pt;margin-top:-40.908669pt;width:4.8pt;height:5.85pt;mso-position-horizontal-relative:page;mso-position-vertical-relative:paragraph;z-index:3688" coordorigin="9802,-818" coordsize="96,117" path="m9898,-727l9888,-727,9879,-729,9860,-734,9849,-739,9833,-748,9828,-751,9819,-757,9813,-763,9804,-763,9804,-701,9815,-701,9815,-748,9822,-742,9830,-736,9850,-726,9860,-722,9881,-716,9890,-715,9898,-715,9898,-727m9898,-818l9802,-818,9802,-811,9806,-809,9810,-805,9819,-795,9823,-790,9826,-783,9837,-783,9836,-787,9834,-791,9829,-800,9826,-804,9823,-806,9898,-806,9898,-818e" filled="true" fillcolor="#000000" stroked="false">
            <v:path arrowok="t"/>
            <v:fill type="solid"/>
            <w10:wrap type="none"/>
          </v:shape>
        </w:pict>
      </w:r>
      <w:r>
        <w:rPr/>
        <w:drawing>
          <wp:anchor distT="0" distB="0" distL="0" distR="0" allowOverlap="1" layoutInCell="1" locked="0" behindDoc="0" simplePos="0" relativeHeight="3712">
            <wp:simplePos x="0" y="0"/>
            <wp:positionH relativeFrom="page">
              <wp:posOffset>6224338</wp:posOffset>
            </wp:positionH>
            <wp:positionV relativeFrom="paragraph">
              <wp:posOffset>-636432</wp:posOffset>
            </wp:positionV>
            <wp:extent cx="73169" cy="95250"/>
            <wp:effectExtent l="0" t="0" r="0" b="0"/>
            <wp:wrapNone/>
            <wp:docPr id="117" name="image100.png" descr=""/>
            <wp:cNvGraphicFramePr>
              <a:graphicFrameLocks noChangeAspect="1"/>
            </wp:cNvGraphicFramePr>
            <a:graphic>
              <a:graphicData uri="http://schemas.openxmlformats.org/drawingml/2006/picture">
                <pic:pic>
                  <pic:nvPicPr>
                    <pic:cNvPr id="118" name="image100.png"/>
                    <pic:cNvPicPr/>
                  </pic:nvPicPr>
                  <pic:blipFill>
                    <a:blip r:embed="rId151" cstate="print"/>
                    <a:stretch>
                      <a:fillRect/>
                    </a:stretch>
                  </pic:blipFill>
                  <pic:spPr>
                    <a:xfrm>
                      <a:off x="0" y="0"/>
                      <a:ext cx="73169" cy="95250"/>
                    </a:xfrm>
                    <a:prstGeom prst="rect">
                      <a:avLst/>
                    </a:prstGeom>
                  </pic:spPr>
                </pic:pic>
              </a:graphicData>
            </a:graphic>
          </wp:anchor>
        </w:drawing>
      </w:r>
      <w:r>
        <w:rPr/>
        <w:pict>
          <v:shape style="position:absolute;margin-left:407.803009pt;margin-top:-70.011673pt;width:4.8pt;height:6pt;mso-position-horizontal-relative:page;mso-position-vertical-relative:paragraph;z-index:3784" coordorigin="8156,-1400" coordsize="96,120" path="m8252,-1344l8240,-1344,8240,-1297,8238,-1299,8236,-1300,8232,-1304,8228,-1309,8222,-1316,8215,-1324,8209,-1330,8207,-1332,8201,-1337,8197,-1340,8190,-1343,8186,-1344,8175,-1344,8169,-1341,8159,-1331,8156,-1324,8156,-1305,8158,-1298,8168,-1287,8175,-1284,8184,-1283,8185,-1295,8179,-1295,8174,-1297,8167,-1304,8166,-1308,8166,-1319,8167,-1324,8174,-1330,8178,-1332,8187,-1332,8191,-1330,8201,-1323,8208,-1316,8222,-1299,8227,-1294,8235,-1287,8239,-1284,8246,-1281,8249,-1281,8252,-1281,8252,-1297,8252,-1344m8252,-1400l8156,-1400,8156,-1393,8160,-1391,8164,-1387,8173,-1377,8177,-1372,8180,-1365,8191,-1365,8190,-1369,8188,-1373,8183,-1382,8180,-1386,8177,-1389,8252,-1389,8252,-1400e" filled="true" fillcolor="#000000" stroked="false">
            <v:path arrowok="t"/>
            <v:fill type="solid"/>
            <w10:wrap type="none"/>
          </v:shape>
        </w:pict>
      </w:r>
      <w:r>
        <w:rPr/>
        <w:drawing>
          <wp:anchor distT="0" distB="0" distL="0" distR="0" allowOverlap="1" layoutInCell="1" locked="0" behindDoc="0" simplePos="0" relativeHeight="3832">
            <wp:simplePos x="0" y="0"/>
            <wp:positionH relativeFrom="page">
              <wp:posOffset>5705917</wp:posOffset>
            </wp:positionH>
            <wp:positionV relativeFrom="paragraph">
              <wp:posOffset>-917181</wp:posOffset>
            </wp:positionV>
            <wp:extent cx="72806" cy="204787"/>
            <wp:effectExtent l="0" t="0" r="0" b="0"/>
            <wp:wrapNone/>
            <wp:docPr id="119" name="image101.png" descr=""/>
            <wp:cNvGraphicFramePr>
              <a:graphicFrameLocks noChangeAspect="1"/>
            </wp:cNvGraphicFramePr>
            <a:graphic>
              <a:graphicData uri="http://schemas.openxmlformats.org/drawingml/2006/picture">
                <pic:pic>
                  <pic:nvPicPr>
                    <pic:cNvPr id="120" name="image101.png"/>
                    <pic:cNvPicPr/>
                  </pic:nvPicPr>
                  <pic:blipFill>
                    <a:blip r:embed="rId152" cstate="print"/>
                    <a:stretch>
                      <a:fillRect/>
                    </a:stretch>
                  </pic:blipFill>
                  <pic:spPr>
                    <a:xfrm>
                      <a:off x="0" y="0"/>
                      <a:ext cx="72806" cy="204787"/>
                    </a:xfrm>
                    <a:prstGeom prst="rect">
                      <a:avLst/>
                    </a:prstGeom>
                  </pic:spPr>
                </pic:pic>
              </a:graphicData>
            </a:graphic>
          </wp:anchor>
        </w:drawing>
      </w:r>
      <w:r>
        <w:rPr/>
        <w:pict>
          <v:shape style="position:absolute;margin-left:336.267029pt;margin-top:-25.979668pt;width:6.8pt;height:4.9pt;mso-position-horizontal-relative:page;mso-position-vertical-relative:paragraph;z-index:3976" coordorigin="6725,-520" coordsize="136,98" path="m6788,-465l6786,-473,6782,-477,6777,-481,6774,-484,6767,-487,6753,-487,6747,-485,6741,-481,6746,-507,6784,-507,6784,-518,6737,-518,6727,-469,6738,-468,6740,-470,6743,-473,6749,-476,6752,-477,6762,-477,6767,-475,6774,-467,6776,-462,6776,-448,6774,-443,6766,-434,6762,-432,6751,-432,6747,-434,6741,-440,6739,-444,6738,-450,6725,-449,6726,-441,6729,-435,6740,-425,6747,-422,6766,-422,6775,-426,6779,-432,6786,-440,6788,-448,6788,-465m6861,-480l6860,-488,6857,-499,6856,-504,6852,-510,6851,-511,6849,-513,6849,-487,6849,-455,6847,-445,6840,-435,6835,-432,6825,-432,6820,-435,6813,-445,6811,-455,6811,-487,6813,-497,6817,-503,6820,-508,6825,-510,6835,-510,6840,-507,6847,-497,6849,-487,6849,-513,6847,-514,6840,-519,6835,-520,6823,-520,6817,-518,6808,-510,6805,-505,6800,-491,6799,-482,6799,-453,6802,-440,6814,-426,6821,-422,6837,-422,6843,-424,6852,-432,6852,-432,6855,-437,6860,-451,6861,-460,6861,-480e" filled="true" fillcolor="#000000" stroked="false">
            <v:path arrowok="t"/>
            <v:fill type="solid"/>
            <w10:wrap type="none"/>
          </v:shape>
        </w:pict>
      </w:r>
      <w:r>
        <w:rPr/>
        <w:pict>
          <v:shape style="position:absolute;margin-left:336.241028pt;margin-top:-44.411671pt;width:6.85pt;height:4.9pt;mso-position-horizontal-relative:page;mso-position-vertical-relative:paragraph;z-index:4000" coordorigin="6725,-888" coordsize="137,98" path="m6788,-833l6785,-840,6781,-844,6776,-850,6776,-830,6776,-816,6774,-811,6767,-803,6763,-801,6754,-801,6751,-802,6745,-805,6743,-808,6739,-816,6738,-819,6738,-830,6740,-835,6747,-842,6747,-842,6752,-844,6763,-844,6767,-842,6774,-835,6776,-830,6776,-850,6774,-852,6767,-854,6755,-854,6751,-853,6743,-849,6739,-846,6736,-842,6737,-852,6738,-859,6742,-869,6745,-873,6751,-878,6755,-879,6763,-879,6767,-877,6770,-874,6772,-872,6773,-868,6774,-864,6786,-865,6785,-872,6782,-878,6781,-879,6773,-886,6766,-888,6749,-888,6741,-885,6735,-877,6731,-870,6727,-861,6725,-850,6725,-837,6725,-821,6728,-809,6740,-795,6748,-791,6764,-791,6769,-792,6778,-798,6780,-801,6781,-802,6786,-812,6788,-818,6788,-833m6861,-849l6860,-857,6857,-868,6856,-872,6852,-879,6851,-880,6849,-881,6849,-855,6849,-824,6847,-814,6840,-803,6835,-801,6825,-801,6820,-803,6813,-814,6811,-824,6811,-855,6813,-866,6817,-872,6820,-876,6825,-879,6835,-879,6840,-876,6847,-866,6849,-855,6849,-881,6847,-883,6840,-887,6835,-888,6823,-888,6817,-886,6808,-879,6805,-874,6800,-860,6799,-851,6799,-822,6802,-809,6814,-794,6821,-791,6837,-791,6843,-793,6852,-800,6852,-801,6855,-806,6860,-819,6861,-828,6861,-849e" filled="true" fillcolor="#000000" stroked="false">
            <v:path arrowok="t"/>
            <v:fill type="solid"/>
            <w10:wrap type="none"/>
          </v:shape>
        </w:pict>
      </w:r>
      <w:r>
        <w:rPr/>
        <w:pict>
          <v:shape style="position:absolute;margin-left:336.30603pt;margin-top:-62.84267pt;width:6.75pt;height:4.9pt;mso-position-horizontal-relative:page;mso-position-vertical-relative:paragraph;z-index:4024" coordorigin="6726,-1257" coordsize="135,98" path="m6788,-1255l6726,-1255,6726,-1244,6773,-1244,6767,-1237,6761,-1229,6751,-1209,6747,-1199,6741,-1178,6740,-1169,6739,-1161,6751,-1161,6752,-1171,6754,-1180,6756,-1187,6759,-1199,6764,-1210,6776,-1231,6782,-1240,6788,-1246,6788,-1255m6861,-1218l6860,-1225,6857,-1236,6856,-1241,6852,-1247,6851,-1249,6849,-1250,6849,-1224,6849,-1193,6847,-1182,6840,-1172,6835,-1169,6825,-1169,6820,-1172,6813,-1182,6811,-1193,6811,-1224,6813,-1235,6817,-1240,6820,-1245,6825,-1247,6835,-1247,6840,-1245,6847,-1234,6849,-1224,6849,-1250,6847,-1252,6840,-1256,6835,-1257,6823,-1257,6817,-1255,6808,-1248,6805,-1242,6800,-1229,6799,-1219,6799,-1190,6802,-1177,6814,-1163,6821,-1160,6837,-1160,6843,-1162,6852,-1169,6852,-1169,6855,-1174,6860,-1188,6861,-1197,6861,-1218e" filled="true" fillcolor="#000000" stroked="false">
            <v:path arrowok="t"/>
            <v:fill type="solid"/>
            <w10:wrap type="none"/>
          </v:shape>
        </w:pict>
      </w:r>
      <w:r>
        <w:rPr/>
        <w:drawing>
          <wp:anchor distT="0" distB="0" distL="0" distR="0" allowOverlap="1" layoutInCell="1" locked="0" behindDoc="0" simplePos="0" relativeHeight="4120">
            <wp:simplePos x="0" y="0"/>
            <wp:positionH relativeFrom="page">
              <wp:posOffset>4115559</wp:posOffset>
            </wp:positionH>
            <wp:positionV relativeFrom="paragraph">
              <wp:posOffset>-1080571</wp:posOffset>
            </wp:positionV>
            <wp:extent cx="78495" cy="395287"/>
            <wp:effectExtent l="0" t="0" r="0" b="0"/>
            <wp:wrapNone/>
            <wp:docPr id="121" name="image102.png" descr=""/>
            <wp:cNvGraphicFramePr>
              <a:graphicFrameLocks noChangeAspect="1"/>
            </wp:cNvGraphicFramePr>
            <a:graphic>
              <a:graphicData uri="http://schemas.openxmlformats.org/drawingml/2006/picture">
                <pic:pic>
                  <pic:nvPicPr>
                    <pic:cNvPr id="122" name="image102.png"/>
                    <pic:cNvPicPr/>
                  </pic:nvPicPr>
                  <pic:blipFill>
                    <a:blip r:embed="rId153" cstate="print"/>
                    <a:stretch>
                      <a:fillRect/>
                    </a:stretch>
                  </pic:blipFill>
                  <pic:spPr>
                    <a:xfrm>
                      <a:off x="0" y="0"/>
                      <a:ext cx="78495" cy="395287"/>
                    </a:xfrm>
                    <a:prstGeom prst="rect">
                      <a:avLst/>
                    </a:prstGeom>
                  </pic:spPr>
                </pic:pic>
              </a:graphicData>
            </a:graphic>
          </wp:anchor>
        </w:drawing>
      </w:r>
      <w:r>
        <w:rPr/>
        <w:pict>
          <v:shape style="position:absolute;margin-left:103.479919pt;margin-top:-114.455284pt;width:175.75pt;height:91.35pt;mso-position-horizontal-relative:page;mso-position-vertical-relative:paragraph;z-index:41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3"/>
                    <w:gridCol w:w="349"/>
                    <w:gridCol w:w="525"/>
                    <w:gridCol w:w="349"/>
                    <w:gridCol w:w="525"/>
                    <w:gridCol w:w="349"/>
                    <w:gridCol w:w="525"/>
                    <w:gridCol w:w="349"/>
                    <w:gridCol w:w="263"/>
                  </w:tblGrid>
                  <w:tr>
                    <w:trPr>
                      <w:trHeight w:val="268" w:hRule="exact"/>
                    </w:trPr>
                    <w:tc>
                      <w:tcPr>
                        <w:tcW w:w="263" w:type="dxa"/>
                        <w:vMerge w:val="restart"/>
                        <w:tcBorders>
                          <w:top w:val="single" w:sz="4" w:space="0" w:color="858585"/>
                          <w:left w:val="single" w:sz="4" w:space="0" w:color="858585"/>
                        </w:tcBorders>
                      </w:tcPr>
                      <w:p>
                        <w:pPr/>
                      </w:p>
                    </w:tc>
                    <w:tc>
                      <w:tcPr>
                        <w:tcW w:w="349" w:type="dxa"/>
                        <w:vMerge w:val="restart"/>
                        <w:tcBorders>
                          <w:top w:val="single" w:sz="4" w:space="0" w:color="858585"/>
                        </w:tcBorders>
                        <w:shd w:val="clear" w:color="auto" w:fill="D9D9D9"/>
                      </w:tcPr>
                      <w:p>
                        <w:pPr>
                          <w:pStyle w:val="TableParagraph"/>
                          <w:spacing w:before="0"/>
                          <w:rPr>
                            <w:sz w:val="20"/>
                          </w:rPr>
                        </w:pPr>
                      </w:p>
                      <w:p>
                        <w:pPr>
                          <w:pStyle w:val="TableParagraph"/>
                          <w:spacing w:before="11"/>
                          <w:rPr>
                            <w:sz w:val="10"/>
                          </w:rPr>
                        </w:pPr>
                      </w:p>
                      <w:p>
                        <w:pPr>
                          <w:pStyle w:val="TableParagraph"/>
                          <w:spacing w:before="0"/>
                          <w:ind w:left="124"/>
                          <w:rPr>
                            <w:sz w:val="20"/>
                          </w:rPr>
                        </w:pPr>
                        <w:r>
                          <w:rPr>
                            <w:sz w:val="20"/>
                          </w:rPr>
                          <w:drawing>
                            <wp:inline distT="0" distB="0" distL="0" distR="0">
                              <wp:extent cx="75560" cy="205358"/>
                              <wp:effectExtent l="0" t="0" r="0" b="0"/>
                              <wp:docPr id="123" name="image63.png" descr=""/>
                              <wp:cNvGraphicFramePr>
                                <a:graphicFrameLocks noChangeAspect="1"/>
                              </wp:cNvGraphicFramePr>
                              <a:graphic>
                                <a:graphicData uri="http://schemas.openxmlformats.org/drawingml/2006/picture">
                                  <pic:pic>
                                    <pic:nvPicPr>
                                      <pic:cNvPr id="124" name="image63.png"/>
                                      <pic:cNvPicPr/>
                                    </pic:nvPicPr>
                                    <pic:blipFill>
                                      <a:blip r:embed="rId114" cstate="print"/>
                                      <a:stretch>
                                        <a:fillRect/>
                                      </a:stretch>
                                    </pic:blipFill>
                                    <pic:spPr>
                                      <a:xfrm>
                                        <a:off x="0" y="0"/>
                                        <a:ext cx="75560" cy="205358"/>
                                      </a:xfrm>
                                      <a:prstGeom prst="rect">
                                        <a:avLst/>
                                      </a:prstGeom>
                                    </pic:spPr>
                                  </pic:pic>
                                </a:graphicData>
                              </a:graphic>
                            </wp:inline>
                          </w:drawing>
                        </w:r>
                        <w:r>
                          <w:rPr>
                            <w:sz w:val="20"/>
                          </w:rPr>
                        </w:r>
                      </w:p>
                      <w:p>
                        <w:pPr>
                          <w:pStyle w:val="TableParagraph"/>
                          <w:spacing w:before="0"/>
                          <w:rPr>
                            <w:sz w:val="20"/>
                          </w:rPr>
                        </w:pPr>
                      </w:p>
                    </w:tc>
                    <w:tc>
                      <w:tcPr>
                        <w:tcW w:w="525" w:type="dxa"/>
                        <w:vMerge w:val="restart"/>
                        <w:tcBorders>
                          <w:top w:val="single" w:sz="4" w:space="0" w:color="858585"/>
                        </w:tcBorders>
                      </w:tcPr>
                      <w:p>
                        <w:pPr/>
                      </w:p>
                    </w:tc>
                    <w:tc>
                      <w:tcPr>
                        <w:tcW w:w="349" w:type="dxa"/>
                        <w:vMerge w:val="restart"/>
                        <w:tcBorders>
                          <w:top w:val="single" w:sz="4" w:space="0" w:color="858585"/>
                        </w:tcBorders>
                        <w:shd w:val="clear" w:color="auto" w:fill="D9D9D9"/>
                      </w:tcPr>
                      <w:p>
                        <w:pPr>
                          <w:pStyle w:val="TableParagraph"/>
                          <w:spacing w:before="10"/>
                          <w:rPr>
                            <w:sz w:val="16"/>
                          </w:rPr>
                        </w:pPr>
                      </w:p>
                      <w:p>
                        <w:pPr>
                          <w:pStyle w:val="TableParagraph"/>
                          <w:spacing w:before="0"/>
                          <w:ind w:left="125"/>
                          <w:rPr>
                            <w:sz w:val="20"/>
                          </w:rPr>
                        </w:pPr>
                        <w:r>
                          <w:rPr>
                            <w:sz w:val="20"/>
                          </w:rPr>
                          <w:drawing>
                            <wp:inline distT="0" distB="0" distL="0" distR="0">
                              <wp:extent cx="75966" cy="163353"/>
                              <wp:effectExtent l="0" t="0" r="0" b="0"/>
                              <wp:docPr id="125" name="image64.png" descr=""/>
                              <wp:cNvGraphicFramePr>
                                <a:graphicFrameLocks noChangeAspect="1"/>
                              </wp:cNvGraphicFramePr>
                              <a:graphic>
                                <a:graphicData uri="http://schemas.openxmlformats.org/drawingml/2006/picture">
                                  <pic:pic>
                                    <pic:nvPicPr>
                                      <pic:cNvPr id="126" name="image64.png"/>
                                      <pic:cNvPicPr/>
                                    </pic:nvPicPr>
                                    <pic:blipFill>
                                      <a:blip r:embed="rId115" cstate="print"/>
                                      <a:stretch>
                                        <a:fillRect/>
                                      </a:stretch>
                                    </pic:blipFill>
                                    <pic:spPr>
                                      <a:xfrm>
                                        <a:off x="0" y="0"/>
                                        <a:ext cx="75966" cy="163353"/>
                                      </a:xfrm>
                                      <a:prstGeom prst="rect">
                                        <a:avLst/>
                                      </a:prstGeom>
                                    </pic:spPr>
                                  </pic:pic>
                                </a:graphicData>
                              </a:graphic>
                            </wp:inline>
                          </w:drawing>
                        </w:r>
                        <w:r>
                          <w:rPr>
                            <w:sz w:val="20"/>
                          </w:rPr>
                        </w:r>
                      </w:p>
                      <w:p>
                        <w:pPr>
                          <w:pStyle w:val="TableParagraph"/>
                          <w:spacing w:before="2"/>
                          <w:rPr>
                            <w:sz w:val="17"/>
                          </w:rPr>
                        </w:pPr>
                      </w:p>
                    </w:tc>
                    <w:tc>
                      <w:tcPr>
                        <w:tcW w:w="525" w:type="dxa"/>
                        <w:vMerge w:val="restart"/>
                        <w:tcBorders>
                          <w:top w:val="single" w:sz="4" w:space="0" w:color="858585"/>
                        </w:tcBorders>
                      </w:tcPr>
                      <w:p>
                        <w:pPr/>
                      </w:p>
                    </w:tc>
                    <w:tc>
                      <w:tcPr>
                        <w:tcW w:w="349" w:type="dxa"/>
                        <w:tcBorders>
                          <w:top w:val="single" w:sz="4" w:space="0" w:color="858585"/>
                        </w:tcBorders>
                        <w:shd w:val="clear" w:color="auto" w:fill="D9D9D9"/>
                      </w:tcPr>
                      <w:p>
                        <w:pPr>
                          <w:pStyle w:val="TableParagraph"/>
                          <w:spacing w:before="0"/>
                          <w:ind w:left="125"/>
                          <w:rPr>
                            <w:sz w:val="20"/>
                          </w:rPr>
                        </w:pPr>
                        <w:r>
                          <w:rPr>
                            <w:sz w:val="20"/>
                          </w:rPr>
                          <w:drawing>
                            <wp:inline distT="0" distB="0" distL="0" distR="0">
                              <wp:extent cx="75326" cy="163353"/>
                              <wp:effectExtent l="0" t="0" r="0" b="0"/>
                              <wp:docPr id="127" name="image65.png" descr=""/>
                              <wp:cNvGraphicFramePr>
                                <a:graphicFrameLocks noChangeAspect="1"/>
                              </wp:cNvGraphicFramePr>
                              <a:graphic>
                                <a:graphicData uri="http://schemas.openxmlformats.org/drawingml/2006/picture">
                                  <pic:pic>
                                    <pic:nvPicPr>
                                      <pic:cNvPr id="128" name="image65.png"/>
                                      <pic:cNvPicPr/>
                                    </pic:nvPicPr>
                                    <pic:blipFill>
                                      <a:blip r:embed="rId116" cstate="print"/>
                                      <a:stretch>
                                        <a:fillRect/>
                                      </a:stretch>
                                    </pic:blipFill>
                                    <pic:spPr>
                                      <a:xfrm>
                                        <a:off x="0" y="0"/>
                                        <a:ext cx="75326" cy="163353"/>
                                      </a:xfrm>
                                      <a:prstGeom prst="rect">
                                        <a:avLst/>
                                      </a:prstGeom>
                                    </pic:spPr>
                                  </pic:pic>
                                </a:graphicData>
                              </a:graphic>
                            </wp:inline>
                          </w:drawing>
                        </w:r>
                        <w:r>
                          <w:rPr>
                            <w:sz w:val="20"/>
                          </w:rPr>
                        </w:r>
                      </w:p>
                    </w:tc>
                    <w:tc>
                      <w:tcPr>
                        <w:tcW w:w="525" w:type="dxa"/>
                        <w:vMerge w:val="restart"/>
                        <w:tcBorders>
                          <w:top w:val="single" w:sz="4" w:space="0" w:color="858585"/>
                        </w:tcBorders>
                      </w:tcPr>
                      <w:p>
                        <w:pPr/>
                      </w:p>
                    </w:tc>
                    <w:tc>
                      <w:tcPr>
                        <w:tcW w:w="349" w:type="dxa"/>
                        <w:vMerge w:val="restart"/>
                        <w:tcBorders>
                          <w:top w:val="single" w:sz="4" w:space="0" w:color="858585"/>
                        </w:tcBorders>
                        <w:shd w:val="clear" w:color="auto" w:fill="D9D9D9"/>
                      </w:tcPr>
                      <w:p>
                        <w:pPr>
                          <w:pStyle w:val="TableParagraph"/>
                          <w:spacing w:before="9"/>
                          <w:rPr>
                            <w:sz w:val="24"/>
                          </w:rPr>
                        </w:pPr>
                      </w:p>
                      <w:p>
                        <w:pPr>
                          <w:pStyle w:val="TableParagraph"/>
                          <w:spacing w:before="0"/>
                          <w:ind w:left="126"/>
                          <w:rPr>
                            <w:sz w:val="20"/>
                          </w:rPr>
                        </w:pPr>
                        <w:r>
                          <w:rPr>
                            <w:sz w:val="20"/>
                          </w:rPr>
                          <w:drawing>
                            <wp:inline distT="0" distB="0" distL="0" distR="0">
                              <wp:extent cx="75481" cy="205358"/>
                              <wp:effectExtent l="0" t="0" r="0" b="0"/>
                              <wp:docPr id="129" name="image66.png" descr=""/>
                              <wp:cNvGraphicFramePr>
                                <a:graphicFrameLocks noChangeAspect="1"/>
                              </wp:cNvGraphicFramePr>
                              <a:graphic>
                                <a:graphicData uri="http://schemas.openxmlformats.org/drawingml/2006/picture">
                                  <pic:pic>
                                    <pic:nvPicPr>
                                      <pic:cNvPr id="130" name="image66.png"/>
                                      <pic:cNvPicPr/>
                                    </pic:nvPicPr>
                                    <pic:blipFill>
                                      <a:blip r:embed="rId117" cstate="print"/>
                                      <a:stretch>
                                        <a:fillRect/>
                                      </a:stretch>
                                    </pic:blipFill>
                                    <pic:spPr>
                                      <a:xfrm>
                                        <a:off x="0" y="0"/>
                                        <a:ext cx="75481" cy="205358"/>
                                      </a:xfrm>
                                      <a:prstGeom prst="rect">
                                        <a:avLst/>
                                      </a:prstGeom>
                                    </pic:spPr>
                                  </pic:pic>
                                </a:graphicData>
                              </a:graphic>
                            </wp:inline>
                          </w:drawing>
                        </w:r>
                        <w:r>
                          <w:rPr>
                            <w:sz w:val="20"/>
                          </w:rPr>
                        </w:r>
                      </w:p>
                      <w:p>
                        <w:pPr>
                          <w:pStyle w:val="TableParagraph"/>
                          <w:spacing w:before="10"/>
                          <w:rPr>
                            <w:sz w:val="22"/>
                          </w:rPr>
                        </w:pPr>
                      </w:p>
                    </w:tc>
                    <w:tc>
                      <w:tcPr>
                        <w:tcW w:w="263" w:type="dxa"/>
                        <w:vMerge w:val="restart"/>
                        <w:tcBorders>
                          <w:top w:val="single" w:sz="4" w:space="0" w:color="858585"/>
                        </w:tcBorders>
                      </w:tcPr>
                      <w:p>
                        <w:pPr/>
                      </w:p>
                    </w:tc>
                  </w:tr>
                  <w:tr>
                    <w:trPr>
                      <w:trHeight w:val="183" w:hRule="exact"/>
                    </w:trPr>
                    <w:tc>
                      <w:tcPr>
                        <w:tcW w:w="263" w:type="dxa"/>
                        <w:vMerge/>
                        <w:tcBorders>
                          <w:left w:val="single" w:sz="4" w:space="0" w:color="858585"/>
                          <w:bottom w:val="single" w:sz="4" w:space="0" w:color="858585"/>
                        </w:tcBorders>
                      </w:tcPr>
                      <w:p>
                        <w:pPr/>
                      </w:p>
                    </w:tc>
                    <w:tc>
                      <w:tcPr>
                        <w:tcW w:w="349" w:type="dxa"/>
                        <w:vMerge/>
                        <w:shd w:val="clear" w:color="auto" w:fill="D9D9D9"/>
                      </w:tcPr>
                      <w:p>
                        <w:pPr/>
                      </w:p>
                    </w:tc>
                    <w:tc>
                      <w:tcPr>
                        <w:tcW w:w="525" w:type="dxa"/>
                        <w:vMerge/>
                        <w:tcBorders>
                          <w:bottom w:val="single" w:sz="4" w:space="0" w:color="858585"/>
                        </w:tcBorders>
                      </w:tcPr>
                      <w:p>
                        <w:pPr/>
                      </w:p>
                    </w:tc>
                    <w:tc>
                      <w:tcPr>
                        <w:tcW w:w="349" w:type="dxa"/>
                        <w:vMerge/>
                        <w:shd w:val="clear" w:color="auto" w:fill="D9D9D9"/>
                      </w:tcPr>
                      <w:p>
                        <w:pPr/>
                      </w:p>
                    </w:tc>
                    <w:tc>
                      <w:tcPr>
                        <w:tcW w:w="525" w:type="dxa"/>
                        <w:vMerge/>
                        <w:tcBorders>
                          <w:bottom w:val="single" w:sz="4" w:space="0" w:color="858585"/>
                        </w:tcBorders>
                      </w:tcPr>
                      <w:p>
                        <w:pPr/>
                      </w:p>
                    </w:tc>
                    <w:tc>
                      <w:tcPr>
                        <w:tcW w:w="349" w:type="dxa"/>
                        <w:vMerge w:val="restart"/>
                        <w:shd w:val="clear" w:color="auto" w:fill="BEBEBE"/>
                      </w:tcPr>
                      <w:p>
                        <w:pPr>
                          <w:pStyle w:val="TableParagraph"/>
                          <w:spacing w:before="0"/>
                          <w:rPr>
                            <w:sz w:val="20"/>
                          </w:rPr>
                        </w:pPr>
                      </w:p>
                      <w:p>
                        <w:pPr>
                          <w:pStyle w:val="TableParagraph"/>
                          <w:spacing w:before="0"/>
                          <w:rPr>
                            <w:sz w:val="29"/>
                          </w:rPr>
                        </w:pPr>
                      </w:p>
                      <w:p>
                        <w:pPr>
                          <w:pStyle w:val="TableParagraph"/>
                          <w:spacing w:before="0"/>
                          <w:ind w:left="125"/>
                          <w:rPr>
                            <w:sz w:val="20"/>
                          </w:rPr>
                        </w:pPr>
                        <w:r>
                          <w:rPr>
                            <w:sz w:val="20"/>
                          </w:rPr>
                          <w:drawing>
                            <wp:inline distT="0" distB="0" distL="0" distR="0">
                              <wp:extent cx="76333" cy="214312"/>
                              <wp:effectExtent l="0" t="0" r="0" b="0"/>
                              <wp:docPr id="131" name="image91.png" descr=""/>
                              <wp:cNvGraphicFramePr>
                                <a:graphicFrameLocks noChangeAspect="1"/>
                              </wp:cNvGraphicFramePr>
                              <a:graphic>
                                <a:graphicData uri="http://schemas.openxmlformats.org/drawingml/2006/picture">
                                  <pic:pic>
                                    <pic:nvPicPr>
                                      <pic:cNvPr id="132" name="image91.png"/>
                                      <pic:cNvPicPr/>
                                    </pic:nvPicPr>
                                    <pic:blipFill>
                                      <a:blip r:embed="rId142" cstate="print"/>
                                      <a:stretch>
                                        <a:fillRect/>
                                      </a:stretch>
                                    </pic:blipFill>
                                    <pic:spPr>
                                      <a:xfrm>
                                        <a:off x="0" y="0"/>
                                        <a:ext cx="76333" cy="214312"/>
                                      </a:xfrm>
                                      <a:prstGeom prst="rect">
                                        <a:avLst/>
                                      </a:prstGeom>
                                    </pic:spPr>
                                  </pic:pic>
                                </a:graphicData>
                              </a:graphic>
                            </wp:inline>
                          </w:drawing>
                        </w:r>
                        <w:r>
                          <w:rPr>
                            <w:sz w:val="20"/>
                          </w:rPr>
                        </w:r>
                      </w:p>
                      <w:p>
                        <w:pPr>
                          <w:pStyle w:val="TableParagraph"/>
                          <w:spacing w:before="0"/>
                          <w:rPr>
                            <w:sz w:val="20"/>
                          </w:rPr>
                        </w:pPr>
                      </w:p>
                      <w:p>
                        <w:pPr>
                          <w:pStyle w:val="TableParagraph"/>
                          <w:spacing w:before="4"/>
                          <w:rPr>
                            <w:sz w:val="28"/>
                          </w:rPr>
                        </w:pPr>
                      </w:p>
                    </w:tc>
                    <w:tc>
                      <w:tcPr>
                        <w:tcW w:w="525" w:type="dxa"/>
                        <w:vMerge/>
                        <w:tcBorders>
                          <w:bottom w:val="single" w:sz="4" w:space="0" w:color="858585"/>
                        </w:tcBorders>
                      </w:tcPr>
                      <w:p>
                        <w:pPr/>
                      </w:p>
                    </w:tc>
                    <w:tc>
                      <w:tcPr>
                        <w:tcW w:w="349" w:type="dxa"/>
                        <w:vMerge/>
                        <w:shd w:val="clear" w:color="auto" w:fill="D9D9D9"/>
                      </w:tcPr>
                      <w:p>
                        <w:pPr/>
                      </w:p>
                    </w:tc>
                    <w:tc>
                      <w:tcPr>
                        <w:tcW w:w="263" w:type="dxa"/>
                        <w:vMerge/>
                        <w:tcBorders>
                          <w:bottom w:val="single" w:sz="4" w:space="0" w:color="858585"/>
                        </w:tcBorders>
                      </w:tcPr>
                      <w:p>
                        <w:pPr/>
                      </w:p>
                    </w:tc>
                  </w:tr>
                  <w:tr>
                    <w:trPr>
                      <w:trHeight w:val="228" w:hRule="exact"/>
                    </w:trPr>
                    <w:tc>
                      <w:tcPr>
                        <w:tcW w:w="263" w:type="dxa"/>
                        <w:vMerge w:val="restart"/>
                        <w:tcBorders>
                          <w:top w:val="single" w:sz="4" w:space="0" w:color="858585"/>
                          <w:left w:val="single" w:sz="4" w:space="0" w:color="858585"/>
                        </w:tcBorders>
                      </w:tcPr>
                      <w:p>
                        <w:pPr/>
                      </w:p>
                    </w:tc>
                    <w:tc>
                      <w:tcPr>
                        <w:tcW w:w="349" w:type="dxa"/>
                        <w:vMerge/>
                        <w:shd w:val="clear" w:color="auto" w:fill="D9D9D9"/>
                      </w:tcPr>
                      <w:p>
                        <w:pPr/>
                      </w:p>
                    </w:tc>
                    <w:tc>
                      <w:tcPr>
                        <w:tcW w:w="525" w:type="dxa"/>
                        <w:vMerge w:val="restart"/>
                        <w:tcBorders>
                          <w:top w:val="single" w:sz="4" w:space="0" w:color="858585"/>
                        </w:tcBorders>
                      </w:tcPr>
                      <w:p>
                        <w:pPr/>
                      </w:p>
                    </w:tc>
                    <w:tc>
                      <w:tcPr>
                        <w:tcW w:w="349" w:type="dxa"/>
                        <w:vMerge/>
                        <w:shd w:val="clear" w:color="auto" w:fill="D9D9D9"/>
                      </w:tcPr>
                      <w:p>
                        <w:pPr/>
                      </w:p>
                    </w:tc>
                    <w:tc>
                      <w:tcPr>
                        <w:tcW w:w="525" w:type="dxa"/>
                        <w:vMerge w:val="restart"/>
                        <w:tcBorders>
                          <w:top w:val="single" w:sz="4" w:space="0" w:color="858585"/>
                        </w:tcBorders>
                      </w:tcPr>
                      <w:p>
                        <w:pPr/>
                      </w:p>
                    </w:tc>
                    <w:tc>
                      <w:tcPr>
                        <w:tcW w:w="349" w:type="dxa"/>
                        <w:vMerge/>
                        <w:shd w:val="clear" w:color="auto" w:fill="BEBEBE"/>
                      </w:tcPr>
                      <w:p>
                        <w:pPr/>
                      </w:p>
                    </w:tc>
                    <w:tc>
                      <w:tcPr>
                        <w:tcW w:w="525" w:type="dxa"/>
                        <w:vMerge w:val="restart"/>
                        <w:tcBorders>
                          <w:top w:val="single" w:sz="4" w:space="0" w:color="858585"/>
                        </w:tcBorders>
                      </w:tcPr>
                      <w:p>
                        <w:pPr/>
                      </w:p>
                    </w:tc>
                    <w:tc>
                      <w:tcPr>
                        <w:tcW w:w="349" w:type="dxa"/>
                        <w:vMerge/>
                        <w:shd w:val="clear" w:color="auto" w:fill="D9D9D9"/>
                      </w:tcPr>
                      <w:p>
                        <w:pPr/>
                      </w:p>
                    </w:tc>
                    <w:tc>
                      <w:tcPr>
                        <w:tcW w:w="263" w:type="dxa"/>
                        <w:vMerge w:val="restart"/>
                        <w:tcBorders>
                          <w:top w:val="single" w:sz="4" w:space="0" w:color="858585"/>
                        </w:tcBorders>
                      </w:tcPr>
                      <w:p>
                        <w:pPr/>
                      </w:p>
                    </w:tc>
                  </w:tr>
                  <w:tr>
                    <w:trPr>
                      <w:trHeight w:val="221" w:hRule="exact"/>
                    </w:trPr>
                    <w:tc>
                      <w:tcPr>
                        <w:tcW w:w="263" w:type="dxa"/>
                        <w:vMerge/>
                        <w:tcBorders>
                          <w:left w:val="single" w:sz="4" w:space="0" w:color="858585"/>
                          <w:bottom w:val="single" w:sz="4" w:space="0" w:color="858585"/>
                        </w:tcBorders>
                      </w:tcPr>
                      <w:p>
                        <w:pPr/>
                      </w:p>
                    </w:tc>
                    <w:tc>
                      <w:tcPr>
                        <w:tcW w:w="349" w:type="dxa"/>
                        <w:vMerge/>
                        <w:shd w:val="clear" w:color="auto" w:fill="D9D9D9"/>
                      </w:tcPr>
                      <w:p>
                        <w:pPr/>
                      </w:p>
                    </w:tc>
                    <w:tc>
                      <w:tcPr>
                        <w:tcW w:w="525" w:type="dxa"/>
                        <w:vMerge/>
                        <w:tcBorders>
                          <w:bottom w:val="single" w:sz="4" w:space="0" w:color="858585"/>
                        </w:tcBorders>
                      </w:tcPr>
                      <w:p>
                        <w:pPr/>
                      </w:p>
                    </w:tc>
                    <w:tc>
                      <w:tcPr>
                        <w:tcW w:w="349" w:type="dxa"/>
                        <w:vMerge w:val="restart"/>
                        <w:shd w:val="clear" w:color="auto" w:fill="BEBEBE"/>
                      </w:tcPr>
                      <w:p>
                        <w:pPr>
                          <w:pStyle w:val="TableParagraph"/>
                          <w:spacing w:before="0"/>
                          <w:rPr>
                            <w:sz w:val="20"/>
                          </w:rPr>
                        </w:pPr>
                      </w:p>
                      <w:p>
                        <w:pPr>
                          <w:pStyle w:val="TableParagraph"/>
                          <w:spacing w:before="3"/>
                          <w:rPr>
                            <w:sz w:val="12"/>
                          </w:rPr>
                        </w:pPr>
                      </w:p>
                      <w:p>
                        <w:pPr>
                          <w:pStyle w:val="TableParagraph"/>
                          <w:spacing w:before="0"/>
                          <w:ind w:left="125"/>
                          <w:rPr>
                            <w:sz w:val="20"/>
                          </w:rPr>
                        </w:pPr>
                        <w:r>
                          <w:rPr>
                            <w:sz w:val="20"/>
                          </w:rPr>
                          <w:drawing>
                            <wp:inline distT="0" distB="0" distL="0" distR="0">
                              <wp:extent cx="76568" cy="214312"/>
                              <wp:effectExtent l="0" t="0" r="0" b="0"/>
                              <wp:docPr id="133" name="image90.png" descr=""/>
                              <wp:cNvGraphicFramePr>
                                <a:graphicFrameLocks noChangeAspect="1"/>
                              </wp:cNvGraphicFramePr>
                              <a:graphic>
                                <a:graphicData uri="http://schemas.openxmlformats.org/drawingml/2006/picture">
                                  <pic:pic>
                                    <pic:nvPicPr>
                                      <pic:cNvPr id="134" name="image90.png"/>
                                      <pic:cNvPicPr/>
                                    </pic:nvPicPr>
                                    <pic:blipFill>
                                      <a:blip r:embed="rId141" cstate="print"/>
                                      <a:stretch>
                                        <a:fillRect/>
                                      </a:stretch>
                                    </pic:blipFill>
                                    <pic:spPr>
                                      <a:xfrm>
                                        <a:off x="0" y="0"/>
                                        <a:ext cx="76568" cy="214312"/>
                                      </a:xfrm>
                                      <a:prstGeom prst="rect">
                                        <a:avLst/>
                                      </a:prstGeom>
                                    </pic:spPr>
                                  </pic:pic>
                                </a:graphicData>
                              </a:graphic>
                            </wp:inline>
                          </w:drawing>
                        </w:r>
                        <w:r>
                          <w:rPr>
                            <w:sz w:val="20"/>
                          </w:rPr>
                        </w:r>
                      </w:p>
                      <w:p>
                        <w:pPr>
                          <w:pStyle w:val="TableParagraph"/>
                          <w:spacing w:before="0"/>
                          <w:rPr>
                            <w:sz w:val="20"/>
                          </w:rPr>
                        </w:pPr>
                      </w:p>
                    </w:tc>
                    <w:tc>
                      <w:tcPr>
                        <w:tcW w:w="525" w:type="dxa"/>
                        <w:vMerge/>
                        <w:tcBorders>
                          <w:bottom w:val="single" w:sz="4" w:space="0" w:color="858585"/>
                        </w:tcBorders>
                      </w:tcPr>
                      <w:p>
                        <w:pPr/>
                      </w:p>
                    </w:tc>
                    <w:tc>
                      <w:tcPr>
                        <w:tcW w:w="349" w:type="dxa"/>
                        <w:vMerge/>
                        <w:shd w:val="clear" w:color="auto" w:fill="BEBEBE"/>
                      </w:tcPr>
                      <w:p>
                        <w:pPr/>
                      </w:p>
                    </w:tc>
                    <w:tc>
                      <w:tcPr>
                        <w:tcW w:w="525" w:type="dxa"/>
                        <w:vMerge/>
                        <w:tcBorders>
                          <w:bottom w:val="single" w:sz="4" w:space="0" w:color="858585"/>
                        </w:tcBorders>
                      </w:tcPr>
                      <w:p>
                        <w:pPr/>
                      </w:p>
                    </w:tc>
                    <w:tc>
                      <w:tcPr>
                        <w:tcW w:w="349" w:type="dxa"/>
                        <w:vMerge/>
                        <w:shd w:val="clear" w:color="auto" w:fill="D9D9D9"/>
                      </w:tcPr>
                      <w:p>
                        <w:pPr/>
                      </w:p>
                    </w:tc>
                    <w:tc>
                      <w:tcPr>
                        <w:tcW w:w="263" w:type="dxa"/>
                        <w:vMerge/>
                        <w:tcBorders>
                          <w:bottom w:val="single" w:sz="4" w:space="0" w:color="858585"/>
                        </w:tcBorders>
                      </w:tcPr>
                      <w:p>
                        <w:pPr/>
                      </w:p>
                    </w:tc>
                  </w:tr>
                  <w:tr>
                    <w:trPr>
                      <w:trHeight w:val="189" w:hRule="exact"/>
                    </w:trPr>
                    <w:tc>
                      <w:tcPr>
                        <w:tcW w:w="263" w:type="dxa"/>
                        <w:vMerge w:val="restart"/>
                        <w:tcBorders>
                          <w:top w:val="single" w:sz="4" w:space="0" w:color="858585"/>
                          <w:left w:val="single" w:sz="4" w:space="0" w:color="858585"/>
                        </w:tcBorders>
                      </w:tcPr>
                      <w:p>
                        <w:pPr/>
                      </w:p>
                    </w:tc>
                    <w:tc>
                      <w:tcPr>
                        <w:tcW w:w="349" w:type="dxa"/>
                        <w:vMerge/>
                        <w:shd w:val="clear" w:color="auto" w:fill="D9D9D9"/>
                      </w:tcPr>
                      <w:p>
                        <w:pPr/>
                      </w:p>
                    </w:tc>
                    <w:tc>
                      <w:tcPr>
                        <w:tcW w:w="525" w:type="dxa"/>
                        <w:vMerge w:val="restart"/>
                        <w:tcBorders>
                          <w:top w:val="single" w:sz="4" w:space="0" w:color="858585"/>
                        </w:tcBorders>
                      </w:tcPr>
                      <w:p>
                        <w:pPr/>
                      </w:p>
                    </w:tc>
                    <w:tc>
                      <w:tcPr>
                        <w:tcW w:w="349" w:type="dxa"/>
                        <w:vMerge/>
                        <w:shd w:val="clear" w:color="auto" w:fill="BEBEBE"/>
                      </w:tcPr>
                      <w:p>
                        <w:pPr/>
                      </w:p>
                    </w:tc>
                    <w:tc>
                      <w:tcPr>
                        <w:tcW w:w="525" w:type="dxa"/>
                        <w:vMerge w:val="restart"/>
                        <w:tcBorders>
                          <w:top w:val="single" w:sz="4" w:space="0" w:color="858585"/>
                        </w:tcBorders>
                      </w:tcPr>
                      <w:p>
                        <w:pPr/>
                      </w:p>
                    </w:tc>
                    <w:tc>
                      <w:tcPr>
                        <w:tcW w:w="349" w:type="dxa"/>
                        <w:vMerge/>
                        <w:shd w:val="clear" w:color="auto" w:fill="BEBEBE"/>
                      </w:tcPr>
                      <w:p>
                        <w:pPr/>
                      </w:p>
                    </w:tc>
                    <w:tc>
                      <w:tcPr>
                        <w:tcW w:w="525" w:type="dxa"/>
                        <w:vMerge w:val="restart"/>
                        <w:tcBorders>
                          <w:top w:val="single" w:sz="4" w:space="0" w:color="858585"/>
                        </w:tcBorders>
                      </w:tcPr>
                      <w:p>
                        <w:pPr/>
                      </w:p>
                    </w:tc>
                    <w:tc>
                      <w:tcPr>
                        <w:tcW w:w="349" w:type="dxa"/>
                        <w:vMerge w:val="restart"/>
                        <w:shd w:val="clear" w:color="auto" w:fill="BEBEBE"/>
                      </w:tcPr>
                      <w:p>
                        <w:pPr>
                          <w:pStyle w:val="TableParagraph"/>
                          <w:spacing w:before="4"/>
                          <w:rPr>
                            <w:sz w:val="24"/>
                          </w:rPr>
                        </w:pPr>
                      </w:p>
                      <w:p>
                        <w:pPr>
                          <w:pStyle w:val="TableParagraph"/>
                          <w:spacing w:before="0"/>
                          <w:ind w:left="126"/>
                          <w:rPr>
                            <w:sz w:val="20"/>
                          </w:rPr>
                        </w:pPr>
                        <w:r>
                          <w:rPr>
                            <w:sz w:val="20"/>
                          </w:rPr>
                          <w:drawing>
                            <wp:inline distT="0" distB="0" distL="0" distR="0">
                              <wp:extent cx="76537" cy="214312"/>
                              <wp:effectExtent l="0" t="0" r="0" b="0"/>
                              <wp:docPr id="135" name="image92.png" descr=""/>
                              <wp:cNvGraphicFramePr>
                                <a:graphicFrameLocks noChangeAspect="1"/>
                              </wp:cNvGraphicFramePr>
                              <a:graphic>
                                <a:graphicData uri="http://schemas.openxmlformats.org/drawingml/2006/picture">
                                  <pic:pic>
                                    <pic:nvPicPr>
                                      <pic:cNvPr id="136" name="image92.png"/>
                                      <pic:cNvPicPr/>
                                    </pic:nvPicPr>
                                    <pic:blipFill>
                                      <a:blip r:embed="rId143" cstate="print"/>
                                      <a:stretch>
                                        <a:fillRect/>
                                      </a:stretch>
                                    </pic:blipFill>
                                    <pic:spPr>
                                      <a:xfrm>
                                        <a:off x="0" y="0"/>
                                        <a:ext cx="76537" cy="214312"/>
                                      </a:xfrm>
                                      <a:prstGeom prst="rect">
                                        <a:avLst/>
                                      </a:prstGeom>
                                    </pic:spPr>
                                  </pic:pic>
                                </a:graphicData>
                              </a:graphic>
                            </wp:inline>
                          </w:drawing>
                        </w:r>
                        <w:r>
                          <w:rPr>
                            <w:sz w:val="20"/>
                          </w:rPr>
                        </w:r>
                      </w:p>
                      <w:p>
                        <w:pPr>
                          <w:pStyle w:val="TableParagraph"/>
                          <w:spacing w:before="5"/>
                          <w:rPr>
                            <w:sz w:val="20"/>
                          </w:rPr>
                        </w:pPr>
                      </w:p>
                    </w:tc>
                    <w:tc>
                      <w:tcPr>
                        <w:tcW w:w="263" w:type="dxa"/>
                        <w:vMerge w:val="restart"/>
                        <w:tcBorders>
                          <w:top w:val="single" w:sz="4" w:space="0" w:color="858585"/>
                        </w:tcBorders>
                      </w:tcPr>
                      <w:p>
                        <w:pPr/>
                      </w:p>
                    </w:tc>
                  </w:tr>
                  <w:tr>
                    <w:trPr>
                      <w:trHeight w:val="251" w:hRule="exact"/>
                    </w:trPr>
                    <w:tc>
                      <w:tcPr>
                        <w:tcW w:w="263" w:type="dxa"/>
                        <w:vMerge/>
                        <w:tcBorders>
                          <w:left w:val="single" w:sz="4" w:space="0" w:color="858585"/>
                          <w:bottom w:val="single" w:sz="4" w:space="0" w:color="858585"/>
                        </w:tcBorders>
                      </w:tcPr>
                      <w:p>
                        <w:pPr/>
                      </w:p>
                    </w:tc>
                    <w:tc>
                      <w:tcPr>
                        <w:tcW w:w="349" w:type="dxa"/>
                        <w:vMerge w:val="restart"/>
                        <w:shd w:val="clear" w:color="auto" w:fill="BEBEBE"/>
                      </w:tcPr>
                      <w:p>
                        <w:pPr>
                          <w:pStyle w:val="TableParagraph"/>
                          <w:spacing w:before="11" w:after="1"/>
                          <w:rPr>
                            <w:sz w:val="14"/>
                          </w:rPr>
                        </w:pPr>
                      </w:p>
                      <w:p>
                        <w:pPr>
                          <w:pStyle w:val="TableParagraph"/>
                          <w:spacing w:before="0"/>
                          <w:ind w:left="124"/>
                          <w:rPr>
                            <w:sz w:val="20"/>
                          </w:rPr>
                        </w:pPr>
                        <w:r>
                          <w:rPr>
                            <w:sz w:val="20"/>
                          </w:rPr>
                          <w:drawing>
                            <wp:inline distT="0" distB="0" distL="0" distR="0">
                              <wp:extent cx="76379" cy="214312"/>
                              <wp:effectExtent l="0" t="0" r="0" b="0"/>
                              <wp:docPr id="137" name="image89.png" descr=""/>
                              <wp:cNvGraphicFramePr>
                                <a:graphicFrameLocks noChangeAspect="1"/>
                              </wp:cNvGraphicFramePr>
                              <a:graphic>
                                <a:graphicData uri="http://schemas.openxmlformats.org/drawingml/2006/picture">
                                  <pic:pic>
                                    <pic:nvPicPr>
                                      <pic:cNvPr id="138" name="image89.png"/>
                                      <pic:cNvPicPr/>
                                    </pic:nvPicPr>
                                    <pic:blipFill>
                                      <a:blip r:embed="rId140" cstate="print"/>
                                      <a:stretch>
                                        <a:fillRect/>
                                      </a:stretch>
                                    </pic:blipFill>
                                    <pic:spPr>
                                      <a:xfrm>
                                        <a:off x="0" y="0"/>
                                        <a:ext cx="76379" cy="214312"/>
                                      </a:xfrm>
                                      <a:prstGeom prst="rect">
                                        <a:avLst/>
                                      </a:prstGeom>
                                    </pic:spPr>
                                  </pic:pic>
                                </a:graphicData>
                              </a:graphic>
                            </wp:inline>
                          </w:drawing>
                        </w:r>
                        <w:r>
                          <w:rPr>
                            <w:sz w:val="20"/>
                          </w:rPr>
                        </w:r>
                      </w:p>
                    </w:tc>
                    <w:tc>
                      <w:tcPr>
                        <w:tcW w:w="525" w:type="dxa"/>
                        <w:vMerge/>
                        <w:tcBorders>
                          <w:bottom w:val="single" w:sz="4" w:space="0" w:color="858585"/>
                        </w:tcBorders>
                      </w:tcPr>
                      <w:p>
                        <w:pPr/>
                      </w:p>
                    </w:tc>
                    <w:tc>
                      <w:tcPr>
                        <w:tcW w:w="349" w:type="dxa"/>
                        <w:vMerge/>
                        <w:shd w:val="clear" w:color="auto" w:fill="BEBEBE"/>
                      </w:tcPr>
                      <w:p>
                        <w:pPr/>
                      </w:p>
                    </w:tc>
                    <w:tc>
                      <w:tcPr>
                        <w:tcW w:w="525" w:type="dxa"/>
                        <w:vMerge/>
                        <w:tcBorders>
                          <w:bottom w:val="single" w:sz="4" w:space="0" w:color="858585"/>
                        </w:tcBorders>
                      </w:tcPr>
                      <w:p>
                        <w:pPr/>
                      </w:p>
                    </w:tc>
                    <w:tc>
                      <w:tcPr>
                        <w:tcW w:w="349" w:type="dxa"/>
                        <w:vMerge/>
                        <w:shd w:val="clear" w:color="auto" w:fill="BEBEBE"/>
                      </w:tcPr>
                      <w:p>
                        <w:pPr/>
                      </w:p>
                    </w:tc>
                    <w:tc>
                      <w:tcPr>
                        <w:tcW w:w="525" w:type="dxa"/>
                        <w:vMerge/>
                        <w:tcBorders>
                          <w:bottom w:val="single" w:sz="4" w:space="0" w:color="858585"/>
                        </w:tcBorders>
                      </w:tcPr>
                      <w:p>
                        <w:pPr/>
                      </w:p>
                    </w:tc>
                    <w:tc>
                      <w:tcPr>
                        <w:tcW w:w="349" w:type="dxa"/>
                        <w:vMerge/>
                        <w:shd w:val="clear" w:color="auto" w:fill="BEBEBE"/>
                      </w:tcPr>
                      <w:p>
                        <w:pPr/>
                      </w:p>
                    </w:tc>
                    <w:tc>
                      <w:tcPr>
                        <w:tcW w:w="263" w:type="dxa"/>
                        <w:vMerge/>
                        <w:tcBorders>
                          <w:bottom w:val="single" w:sz="4" w:space="0" w:color="858585"/>
                        </w:tcBorders>
                      </w:tcPr>
                      <w:p>
                        <w:pPr/>
                      </w:p>
                    </w:tc>
                  </w:tr>
                  <w:tr>
                    <w:trPr>
                      <w:trHeight w:val="449" w:hRule="exact"/>
                    </w:trPr>
                    <w:tc>
                      <w:tcPr>
                        <w:tcW w:w="263" w:type="dxa"/>
                        <w:tcBorders>
                          <w:top w:val="single" w:sz="4" w:space="0" w:color="858585"/>
                          <w:left w:val="single" w:sz="4" w:space="0" w:color="858585"/>
                          <w:bottom w:val="single" w:sz="4" w:space="0" w:color="858585"/>
                        </w:tcBorders>
                      </w:tcPr>
                      <w:p>
                        <w:pPr/>
                      </w:p>
                    </w:tc>
                    <w:tc>
                      <w:tcPr>
                        <w:tcW w:w="349" w:type="dxa"/>
                        <w:vMerge/>
                        <w:tcBorders>
                          <w:bottom w:val="single" w:sz="4" w:space="0" w:color="858585"/>
                        </w:tcBorders>
                        <w:shd w:val="clear" w:color="auto" w:fill="BEBEBE"/>
                      </w:tcPr>
                      <w:p>
                        <w:pPr/>
                      </w:p>
                    </w:tc>
                    <w:tc>
                      <w:tcPr>
                        <w:tcW w:w="525" w:type="dxa"/>
                        <w:tcBorders>
                          <w:top w:val="single" w:sz="4" w:space="0" w:color="858585"/>
                          <w:bottom w:val="single" w:sz="17" w:space="0" w:color="858585"/>
                        </w:tcBorders>
                      </w:tcPr>
                      <w:p>
                        <w:pPr/>
                      </w:p>
                    </w:tc>
                    <w:tc>
                      <w:tcPr>
                        <w:tcW w:w="349" w:type="dxa"/>
                        <w:vMerge/>
                        <w:tcBorders>
                          <w:bottom w:val="single" w:sz="4" w:space="0" w:color="858585"/>
                        </w:tcBorders>
                        <w:shd w:val="clear" w:color="auto" w:fill="BEBEBE"/>
                      </w:tcPr>
                      <w:p>
                        <w:pPr/>
                      </w:p>
                    </w:tc>
                    <w:tc>
                      <w:tcPr>
                        <w:tcW w:w="525" w:type="dxa"/>
                        <w:tcBorders>
                          <w:top w:val="single" w:sz="4" w:space="0" w:color="858585"/>
                          <w:bottom w:val="single" w:sz="17" w:space="0" w:color="858585"/>
                        </w:tcBorders>
                      </w:tcPr>
                      <w:p>
                        <w:pPr/>
                      </w:p>
                    </w:tc>
                    <w:tc>
                      <w:tcPr>
                        <w:tcW w:w="349" w:type="dxa"/>
                        <w:vMerge/>
                        <w:tcBorders>
                          <w:bottom w:val="single" w:sz="4" w:space="0" w:color="858585"/>
                        </w:tcBorders>
                        <w:shd w:val="clear" w:color="auto" w:fill="BEBEBE"/>
                      </w:tcPr>
                      <w:p>
                        <w:pPr/>
                      </w:p>
                    </w:tc>
                    <w:tc>
                      <w:tcPr>
                        <w:tcW w:w="525" w:type="dxa"/>
                        <w:tcBorders>
                          <w:top w:val="single" w:sz="4" w:space="0" w:color="858585"/>
                          <w:bottom w:val="single" w:sz="17" w:space="0" w:color="858585"/>
                        </w:tcBorders>
                      </w:tcPr>
                      <w:p>
                        <w:pPr/>
                      </w:p>
                    </w:tc>
                    <w:tc>
                      <w:tcPr>
                        <w:tcW w:w="349" w:type="dxa"/>
                        <w:vMerge/>
                        <w:tcBorders>
                          <w:bottom w:val="single" w:sz="4" w:space="0" w:color="858585"/>
                        </w:tcBorders>
                        <w:shd w:val="clear" w:color="auto" w:fill="BEBEBE"/>
                      </w:tcPr>
                      <w:p>
                        <w:pPr/>
                      </w:p>
                    </w:tc>
                    <w:tc>
                      <w:tcPr>
                        <w:tcW w:w="263" w:type="dxa"/>
                        <w:tcBorders>
                          <w:top w:val="single" w:sz="4" w:space="0" w:color="858585"/>
                          <w:bottom w:val="single" w:sz="4" w:space="0" w:color="858585"/>
                        </w:tcBorders>
                      </w:tcPr>
                      <w:p>
                        <w:pPr/>
                      </w:p>
                    </w:tc>
                  </w:tr>
                </w:tbl>
                <w:p>
                  <w:pPr>
                    <w:pStyle w:val="BodyText"/>
                  </w:pPr>
                </w:p>
              </w:txbxContent>
            </v:textbox>
            <w10:wrap type="none"/>
          </v:shape>
        </w:pict>
      </w:r>
      <w:r>
        <w:rPr/>
        <w:pict>
          <v:shape style="position:absolute;margin-left:348.884186pt;margin-top:-115.790329pt;width:164.75pt;height:93.4pt;mso-position-horizontal-relative:page;mso-position-vertical-relative:paragraph;z-index:41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
                    <w:gridCol w:w="328"/>
                    <w:gridCol w:w="490"/>
                    <w:gridCol w:w="328"/>
                    <w:gridCol w:w="492"/>
                    <w:gridCol w:w="327"/>
                    <w:gridCol w:w="492"/>
                    <w:gridCol w:w="328"/>
                    <w:gridCol w:w="245"/>
                  </w:tblGrid>
                  <w:tr>
                    <w:trPr>
                      <w:trHeight w:val="368" w:hRule="exact"/>
                    </w:trPr>
                    <w:tc>
                      <w:tcPr>
                        <w:tcW w:w="245" w:type="dxa"/>
                        <w:tcBorders>
                          <w:top w:val="single" w:sz="4" w:space="0" w:color="858585"/>
                          <w:left w:val="single" w:sz="4" w:space="0" w:color="858585"/>
                          <w:bottom w:val="single" w:sz="4" w:space="0" w:color="858585"/>
                        </w:tcBorders>
                      </w:tcPr>
                      <w:p>
                        <w:pPr/>
                      </w:p>
                    </w:tc>
                    <w:tc>
                      <w:tcPr>
                        <w:tcW w:w="328" w:type="dxa"/>
                        <w:vMerge w:val="restart"/>
                        <w:tcBorders>
                          <w:top w:val="single" w:sz="4" w:space="0" w:color="858585"/>
                        </w:tcBorders>
                        <w:shd w:val="clear" w:color="auto" w:fill="BEBEBE"/>
                      </w:tcPr>
                      <w:p>
                        <w:pPr>
                          <w:pStyle w:val="TableParagraph"/>
                          <w:spacing w:before="8" w:after="1"/>
                          <w:rPr>
                            <w:sz w:val="9"/>
                          </w:rPr>
                        </w:pPr>
                      </w:p>
                      <w:p>
                        <w:pPr>
                          <w:pStyle w:val="TableParagraph"/>
                          <w:spacing w:before="0"/>
                          <w:ind w:left="125"/>
                          <w:rPr>
                            <w:sz w:val="20"/>
                          </w:rPr>
                        </w:pPr>
                        <w:r>
                          <w:rPr>
                            <w:sz w:val="20"/>
                          </w:rPr>
                          <w:drawing>
                            <wp:inline distT="0" distB="0" distL="0" distR="0">
                              <wp:extent cx="72552" cy="185737"/>
                              <wp:effectExtent l="0" t="0" r="0" b="0"/>
                              <wp:docPr id="139" name="image72.png" descr=""/>
                              <wp:cNvGraphicFramePr>
                                <a:graphicFrameLocks noChangeAspect="1"/>
                              </wp:cNvGraphicFramePr>
                              <a:graphic>
                                <a:graphicData uri="http://schemas.openxmlformats.org/drawingml/2006/picture">
                                  <pic:pic>
                                    <pic:nvPicPr>
                                      <pic:cNvPr id="140" name="image72.png"/>
                                      <pic:cNvPicPr/>
                                    </pic:nvPicPr>
                                    <pic:blipFill>
                                      <a:blip r:embed="rId123" cstate="print"/>
                                      <a:stretch>
                                        <a:fillRect/>
                                      </a:stretch>
                                    </pic:blipFill>
                                    <pic:spPr>
                                      <a:xfrm>
                                        <a:off x="0" y="0"/>
                                        <a:ext cx="72552" cy="185737"/>
                                      </a:xfrm>
                                      <a:prstGeom prst="rect">
                                        <a:avLst/>
                                      </a:prstGeom>
                                    </pic:spPr>
                                  </pic:pic>
                                </a:graphicData>
                              </a:graphic>
                            </wp:inline>
                          </w:drawing>
                        </w:r>
                        <w:r>
                          <w:rPr>
                            <w:sz w:val="20"/>
                          </w:rPr>
                        </w:r>
                      </w:p>
                    </w:tc>
                    <w:tc>
                      <w:tcPr>
                        <w:tcW w:w="490" w:type="dxa"/>
                        <w:tcBorders>
                          <w:top w:val="single" w:sz="4" w:space="0" w:color="858585"/>
                          <w:bottom w:val="single" w:sz="4" w:space="0" w:color="858585"/>
                        </w:tcBorders>
                      </w:tcPr>
                      <w:p>
                        <w:pPr/>
                      </w:p>
                    </w:tc>
                    <w:tc>
                      <w:tcPr>
                        <w:tcW w:w="328" w:type="dxa"/>
                        <w:vMerge w:val="restart"/>
                        <w:tcBorders>
                          <w:top w:val="single" w:sz="4" w:space="0" w:color="858585"/>
                        </w:tcBorders>
                        <w:shd w:val="clear" w:color="auto" w:fill="BEBEBE"/>
                      </w:tcPr>
                      <w:p>
                        <w:pPr>
                          <w:pStyle w:val="TableParagraph"/>
                          <w:spacing w:before="0"/>
                          <w:rPr>
                            <w:sz w:val="6"/>
                          </w:rPr>
                        </w:pPr>
                      </w:p>
                      <w:p>
                        <w:pPr>
                          <w:pStyle w:val="TableParagraph"/>
                          <w:spacing w:before="0"/>
                          <w:ind w:left="125"/>
                          <w:rPr>
                            <w:sz w:val="20"/>
                          </w:rPr>
                        </w:pPr>
                        <w:r>
                          <w:rPr>
                            <w:sz w:val="20"/>
                          </w:rPr>
                          <w:drawing>
                            <wp:inline distT="0" distB="0" distL="0" distR="0">
                              <wp:extent cx="72277" cy="196024"/>
                              <wp:effectExtent l="0" t="0" r="0" b="0"/>
                              <wp:docPr id="141" name="image73.png" descr=""/>
                              <wp:cNvGraphicFramePr>
                                <a:graphicFrameLocks noChangeAspect="1"/>
                              </wp:cNvGraphicFramePr>
                              <a:graphic>
                                <a:graphicData uri="http://schemas.openxmlformats.org/drawingml/2006/picture">
                                  <pic:pic>
                                    <pic:nvPicPr>
                                      <pic:cNvPr id="142" name="image73.png"/>
                                      <pic:cNvPicPr/>
                                    </pic:nvPicPr>
                                    <pic:blipFill>
                                      <a:blip r:embed="rId124" cstate="print"/>
                                      <a:stretch>
                                        <a:fillRect/>
                                      </a:stretch>
                                    </pic:blipFill>
                                    <pic:spPr>
                                      <a:xfrm>
                                        <a:off x="0" y="0"/>
                                        <a:ext cx="72277" cy="196024"/>
                                      </a:xfrm>
                                      <a:prstGeom prst="rect">
                                        <a:avLst/>
                                      </a:prstGeom>
                                    </pic:spPr>
                                  </pic:pic>
                                </a:graphicData>
                              </a:graphic>
                            </wp:inline>
                          </w:drawing>
                        </w:r>
                        <w:r>
                          <w:rPr>
                            <w:sz w:val="20"/>
                          </w:rPr>
                        </w:r>
                      </w:p>
                    </w:tc>
                    <w:tc>
                      <w:tcPr>
                        <w:tcW w:w="492" w:type="dxa"/>
                        <w:tcBorders>
                          <w:top w:val="single" w:sz="4" w:space="0" w:color="858585"/>
                          <w:bottom w:val="single" w:sz="4" w:space="0" w:color="858585"/>
                        </w:tcBorders>
                      </w:tcPr>
                      <w:p>
                        <w:pPr/>
                      </w:p>
                    </w:tc>
                    <w:tc>
                      <w:tcPr>
                        <w:tcW w:w="327" w:type="dxa"/>
                        <w:vMerge w:val="restart"/>
                        <w:tcBorders>
                          <w:top w:val="single" w:sz="4" w:space="0" w:color="858585"/>
                        </w:tcBorders>
                        <w:shd w:val="clear" w:color="auto" w:fill="BEBEBE"/>
                      </w:tcPr>
                      <w:p>
                        <w:pPr>
                          <w:pStyle w:val="TableParagraph"/>
                          <w:spacing w:before="7"/>
                          <w:rPr>
                            <w:sz w:val="8"/>
                          </w:rPr>
                        </w:pPr>
                      </w:p>
                      <w:p>
                        <w:pPr>
                          <w:pStyle w:val="TableParagraph"/>
                          <w:spacing w:before="0"/>
                          <w:ind w:left="124"/>
                          <w:rPr>
                            <w:sz w:val="20"/>
                          </w:rPr>
                        </w:pPr>
                        <w:r>
                          <w:rPr>
                            <w:sz w:val="20"/>
                          </w:rPr>
                          <w:drawing>
                            <wp:inline distT="0" distB="0" distL="0" distR="0">
                              <wp:extent cx="72005" cy="196024"/>
                              <wp:effectExtent l="0" t="0" r="0" b="0"/>
                              <wp:docPr id="143" name="image74.png" descr=""/>
                              <wp:cNvGraphicFramePr>
                                <a:graphicFrameLocks noChangeAspect="1"/>
                              </wp:cNvGraphicFramePr>
                              <a:graphic>
                                <a:graphicData uri="http://schemas.openxmlformats.org/drawingml/2006/picture">
                                  <pic:pic>
                                    <pic:nvPicPr>
                                      <pic:cNvPr id="144" name="image74.png"/>
                                      <pic:cNvPicPr/>
                                    </pic:nvPicPr>
                                    <pic:blipFill>
                                      <a:blip r:embed="rId125" cstate="print"/>
                                      <a:stretch>
                                        <a:fillRect/>
                                      </a:stretch>
                                    </pic:blipFill>
                                    <pic:spPr>
                                      <a:xfrm>
                                        <a:off x="0" y="0"/>
                                        <a:ext cx="72005" cy="196024"/>
                                      </a:xfrm>
                                      <a:prstGeom prst="rect">
                                        <a:avLst/>
                                      </a:prstGeom>
                                    </pic:spPr>
                                  </pic:pic>
                                </a:graphicData>
                              </a:graphic>
                            </wp:inline>
                          </w:drawing>
                        </w:r>
                        <w:r>
                          <w:rPr>
                            <w:sz w:val="20"/>
                          </w:rPr>
                        </w:r>
                      </w:p>
                    </w:tc>
                    <w:tc>
                      <w:tcPr>
                        <w:tcW w:w="492" w:type="dxa"/>
                        <w:tcBorders>
                          <w:top w:val="single" w:sz="4" w:space="0" w:color="858585"/>
                          <w:bottom w:val="single" w:sz="4" w:space="0" w:color="858585"/>
                        </w:tcBorders>
                      </w:tcPr>
                      <w:p>
                        <w:pPr/>
                      </w:p>
                    </w:tc>
                    <w:tc>
                      <w:tcPr>
                        <w:tcW w:w="328" w:type="dxa"/>
                        <w:vMerge w:val="restart"/>
                        <w:tcBorders>
                          <w:top w:val="single" w:sz="4" w:space="0" w:color="858585"/>
                        </w:tcBorders>
                        <w:shd w:val="clear" w:color="auto" w:fill="BEBEBE"/>
                      </w:tcPr>
                      <w:p>
                        <w:pPr>
                          <w:pStyle w:val="TableParagraph"/>
                          <w:spacing w:before="0"/>
                          <w:rPr>
                            <w:sz w:val="8"/>
                          </w:rPr>
                        </w:pPr>
                      </w:p>
                      <w:p>
                        <w:pPr>
                          <w:pStyle w:val="TableParagraph"/>
                          <w:spacing w:before="0"/>
                          <w:ind w:left="137"/>
                          <w:rPr>
                            <w:sz w:val="20"/>
                          </w:rPr>
                        </w:pPr>
                        <w:r>
                          <w:rPr>
                            <w:sz w:val="20"/>
                          </w:rPr>
                          <w:drawing>
                            <wp:inline distT="0" distB="0" distL="0" distR="0">
                              <wp:extent cx="72065" cy="196024"/>
                              <wp:effectExtent l="0" t="0" r="0" b="0"/>
                              <wp:docPr id="145" name="image75.png" descr=""/>
                              <wp:cNvGraphicFramePr>
                                <a:graphicFrameLocks noChangeAspect="1"/>
                              </wp:cNvGraphicFramePr>
                              <a:graphic>
                                <a:graphicData uri="http://schemas.openxmlformats.org/drawingml/2006/picture">
                                  <pic:pic>
                                    <pic:nvPicPr>
                                      <pic:cNvPr id="146" name="image75.png"/>
                                      <pic:cNvPicPr/>
                                    </pic:nvPicPr>
                                    <pic:blipFill>
                                      <a:blip r:embed="rId126" cstate="print"/>
                                      <a:stretch>
                                        <a:fillRect/>
                                      </a:stretch>
                                    </pic:blipFill>
                                    <pic:spPr>
                                      <a:xfrm>
                                        <a:off x="0" y="0"/>
                                        <a:ext cx="72065" cy="196024"/>
                                      </a:xfrm>
                                      <a:prstGeom prst="rect">
                                        <a:avLst/>
                                      </a:prstGeom>
                                    </pic:spPr>
                                  </pic:pic>
                                </a:graphicData>
                              </a:graphic>
                            </wp:inline>
                          </w:drawing>
                        </w:r>
                        <w:r>
                          <w:rPr>
                            <w:sz w:val="20"/>
                          </w:rPr>
                        </w:r>
                      </w:p>
                    </w:tc>
                    <w:tc>
                      <w:tcPr>
                        <w:tcW w:w="245" w:type="dxa"/>
                        <w:tcBorders>
                          <w:top w:val="single" w:sz="4" w:space="0" w:color="858585"/>
                          <w:bottom w:val="single" w:sz="4" w:space="0" w:color="858585"/>
                        </w:tcBorders>
                      </w:tcPr>
                      <w:p>
                        <w:pPr/>
                      </w:p>
                    </w:tc>
                  </w:tr>
                  <w:tr>
                    <w:trPr>
                      <w:trHeight w:val="135" w:hRule="exact"/>
                    </w:trPr>
                    <w:tc>
                      <w:tcPr>
                        <w:tcW w:w="245" w:type="dxa"/>
                        <w:vMerge w:val="restart"/>
                        <w:tcBorders>
                          <w:top w:val="single" w:sz="4" w:space="0" w:color="858585"/>
                          <w:left w:val="single" w:sz="4" w:space="0" w:color="858585"/>
                        </w:tcBorders>
                      </w:tcPr>
                      <w:p>
                        <w:pPr/>
                      </w:p>
                    </w:tc>
                    <w:tc>
                      <w:tcPr>
                        <w:tcW w:w="328" w:type="dxa"/>
                        <w:vMerge/>
                        <w:shd w:val="clear" w:color="auto" w:fill="BEBEBE"/>
                      </w:tcPr>
                      <w:p>
                        <w:pPr/>
                      </w:p>
                    </w:tc>
                    <w:tc>
                      <w:tcPr>
                        <w:tcW w:w="490" w:type="dxa"/>
                        <w:vMerge w:val="restart"/>
                        <w:tcBorders>
                          <w:top w:val="single" w:sz="4" w:space="0" w:color="858585"/>
                        </w:tcBorders>
                      </w:tcPr>
                      <w:p>
                        <w:pPr/>
                      </w:p>
                    </w:tc>
                    <w:tc>
                      <w:tcPr>
                        <w:tcW w:w="328" w:type="dxa"/>
                        <w:vMerge/>
                        <w:shd w:val="clear" w:color="auto" w:fill="BEBEBE"/>
                      </w:tcPr>
                      <w:p>
                        <w:pPr/>
                      </w:p>
                    </w:tc>
                    <w:tc>
                      <w:tcPr>
                        <w:tcW w:w="492" w:type="dxa"/>
                        <w:vMerge w:val="restart"/>
                        <w:tcBorders>
                          <w:top w:val="single" w:sz="4" w:space="0" w:color="858585"/>
                        </w:tcBorders>
                      </w:tcPr>
                      <w:p>
                        <w:pPr/>
                      </w:p>
                    </w:tc>
                    <w:tc>
                      <w:tcPr>
                        <w:tcW w:w="327" w:type="dxa"/>
                        <w:vMerge/>
                        <w:shd w:val="clear" w:color="auto" w:fill="BEBEBE"/>
                      </w:tcPr>
                      <w:p>
                        <w:pPr/>
                      </w:p>
                    </w:tc>
                    <w:tc>
                      <w:tcPr>
                        <w:tcW w:w="492" w:type="dxa"/>
                        <w:vMerge w:val="restart"/>
                        <w:tcBorders>
                          <w:top w:val="single" w:sz="4" w:space="0" w:color="858585"/>
                        </w:tcBorders>
                      </w:tcPr>
                      <w:p>
                        <w:pPr/>
                      </w:p>
                    </w:tc>
                    <w:tc>
                      <w:tcPr>
                        <w:tcW w:w="328" w:type="dxa"/>
                        <w:vMerge/>
                        <w:shd w:val="clear" w:color="auto" w:fill="BEBEBE"/>
                      </w:tcPr>
                      <w:p>
                        <w:pPr/>
                      </w:p>
                    </w:tc>
                    <w:tc>
                      <w:tcPr>
                        <w:tcW w:w="245" w:type="dxa"/>
                        <w:vMerge w:val="restart"/>
                        <w:tcBorders>
                          <w:top w:val="single" w:sz="4" w:space="0" w:color="858585"/>
                        </w:tcBorders>
                      </w:tcPr>
                      <w:p>
                        <w:pPr/>
                      </w:p>
                    </w:tc>
                  </w:tr>
                  <w:tr>
                    <w:trPr>
                      <w:trHeight w:val="213" w:hRule="exact"/>
                    </w:trPr>
                    <w:tc>
                      <w:tcPr>
                        <w:tcW w:w="245" w:type="dxa"/>
                        <w:vMerge/>
                        <w:tcBorders>
                          <w:left w:val="single" w:sz="4" w:space="0" w:color="858585"/>
                          <w:bottom w:val="single" w:sz="4" w:space="0" w:color="858585"/>
                        </w:tcBorders>
                      </w:tcPr>
                      <w:p>
                        <w:pPr/>
                      </w:p>
                    </w:tc>
                    <w:tc>
                      <w:tcPr>
                        <w:tcW w:w="328" w:type="dxa"/>
                        <w:vMerge w:val="restart"/>
                        <w:shd w:val="clear" w:color="auto" w:fill="D9D9D9"/>
                      </w:tcPr>
                      <w:p>
                        <w:pPr>
                          <w:pStyle w:val="TableParagraph"/>
                          <w:spacing w:before="11"/>
                          <w:rPr>
                            <w:sz w:val="4"/>
                          </w:rPr>
                        </w:pPr>
                      </w:p>
                      <w:p>
                        <w:pPr>
                          <w:pStyle w:val="TableParagraph"/>
                          <w:spacing w:line="165" w:lineRule="exact" w:before="0"/>
                          <w:ind w:left="97"/>
                          <w:rPr>
                            <w:sz w:val="16"/>
                          </w:rPr>
                        </w:pPr>
                        <w:r>
                          <w:rPr>
                            <w:position w:val="-2"/>
                            <w:sz w:val="16"/>
                          </w:rPr>
                          <w:drawing>
                            <wp:inline distT="0" distB="0" distL="0" distR="0">
                              <wp:extent cx="71662" cy="105156"/>
                              <wp:effectExtent l="0" t="0" r="0" b="0"/>
                              <wp:docPr id="147" name="image69.png" descr=""/>
                              <wp:cNvGraphicFramePr>
                                <a:graphicFrameLocks noChangeAspect="1"/>
                              </wp:cNvGraphicFramePr>
                              <a:graphic>
                                <a:graphicData uri="http://schemas.openxmlformats.org/drawingml/2006/picture">
                                  <pic:pic>
                                    <pic:nvPicPr>
                                      <pic:cNvPr id="148" name="image69.png"/>
                                      <pic:cNvPicPr/>
                                    </pic:nvPicPr>
                                    <pic:blipFill>
                                      <a:blip r:embed="rId120" cstate="print"/>
                                      <a:stretch>
                                        <a:fillRect/>
                                      </a:stretch>
                                    </pic:blipFill>
                                    <pic:spPr>
                                      <a:xfrm>
                                        <a:off x="0" y="0"/>
                                        <a:ext cx="71662" cy="105156"/>
                                      </a:xfrm>
                                      <a:prstGeom prst="rect">
                                        <a:avLst/>
                                      </a:prstGeom>
                                    </pic:spPr>
                                  </pic:pic>
                                </a:graphicData>
                              </a:graphic>
                            </wp:inline>
                          </w:drawing>
                        </w:r>
                        <w:r>
                          <w:rPr>
                            <w:position w:val="-2"/>
                            <w:sz w:val="16"/>
                          </w:rPr>
                        </w:r>
                      </w:p>
                      <w:p>
                        <w:pPr>
                          <w:pStyle w:val="TableParagraph"/>
                          <w:spacing w:before="10"/>
                          <w:rPr>
                            <w:sz w:val="16"/>
                          </w:rPr>
                        </w:pPr>
                      </w:p>
                    </w:tc>
                    <w:tc>
                      <w:tcPr>
                        <w:tcW w:w="490" w:type="dxa"/>
                        <w:vMerge/>
                        <w:tcBorders>
                          <w:bottom w:val="single" w:sz="4" w:space="0" w:color="858585"/>
                        </w:tcBorders>
                      </w:tcPr>
                      <w:p>
                        <w:pPr/>
                      </w:p>
                    </w:tc>
                    <w:tc>
                      <w:tcPr>
                        <w:tcW w:w="328" w:type="dxa"/>
                        <w:vMerge w:val="restart"/>
                        <w:shd w:val="clear" w:color="auto" w:fill="D9D9D9"/>
                      </w:tcPr>
                      <w:p>
                        <w:pPr>
                          <w:pStyle w:val="TableParagraph"/>
                          <w:spacing w:before="10"/>
                          <w:rPr>
                            <w:sz w:val="16"/>
                          </w:rPr>
                        </w:pPr>
                      </w:p>
                      <w:p>
                        <w:pPr>
                          <w:pStyle w:val="TableParagraph"/>
                          <w:spacing w:line="165" w:lineRule="exact" w:before="0"/>
                          <w:ind w:left="110"/>
                          <w:rPr>
                            <w:sz w:val="16"/>
                          </w:rPr>
                        </w:pPr>
                        <w:r>
                          <w:rPr>
                            <w:position w:val="-2"/>
                            <w:sz w:val="16"/>
                          </w:rPr>
                          <w:drawing>
                            <wp:inline distT="0" distB="0" distL="0" distR="0">
                              <wp:extent cx="71907" cy="105156"/>
                              <wp:effectExtent l="0" t="0" r="0" b="0"/>
                              <wp:docPr id="149" name="image70.png" descr=""/>
                              <wp:cNvGraphicFramePr>
                                <a:graphicFrameLocks noChangeAspect="1"/>
                              </wp:cNvGraphicFramePr>
                              <a:graphic>
                                <a:graphicData uri="http://schemas.openxmlformats.org/drawingml/2006/picture">
                                  <pic:pic>
                                    <pic:nvPicPr>
                                      <pic:cNvPr id="150" name="image70.png"/>
                                      <pic:cNvPicPr/>
                                    </pic:nvPicPr>
                                    <pic:blipFill>
                                      <a:blip r:embed="rId121" cstate="print"/>
                                      <a:stretch>
                                        <a:fillRect/>
                                      </a:stretch>
                                    </pic:blipFill>
                                    <pic:spPr>
                                      <a:xfrm>
                                        <a:off x="0" y="0"/>
                                        <a:ext cx="71907" cy="105156"/>
                                      </a:xfrm>
                                      <a:prstGeom prst="rect">
                                        <a:avLst/>
                                      </a:prstGeom>
                                    </pic:spPr>
                                  </pic:pic>
                                </a:graphicData>
                              </a:graphic>
                            </wp:inline>
                          </w:drawing>
                        </w:r>
                        <w:r>
                          <w:rPr>
                            <w:position w:val="-2"/>
                            <w:sz w:val="16"/>
                          </w:rPr>
                        </w:r>
                      </w:p>
                      <w:p>
                        <w:pPr>
                          <w:pStyle w:val="TableParagraph"/>
                          <w:spacing w:before="0"/>
                          <w:rPr>
                            <w:sz w:val="20"/>
                          </w:rPr>
                        </w:pPr>
                      </w:p>
                    </w:tc>
                    <w:tc>
                      <w:tcPr>
                        <w:tcW w:w="492" w:type="dxa"/>
                        <w:vMerge/>
                        <w:tcBorders>
                          <w:bottom w:val="single" w:sz="4" w:space="0" w:color="858585"/>
                        </w:tcBorders>
                      </w:tcPr>
                      <w:p>
                        <w:pPr/>
                      </w:p>
                    </w:tc>
                    <w:tc>
                      <w:tcPr>
                        <w:tcW w:w="327" w:type="dxa"/>
                        <w:vMerge w:val="restart"/>
                        <w:shd w:val="clear" w:color="auto" w:fill="D9D9D9"/>
                      </w:tcPr>
                      <w:p>
                        <w:pPr>
                          <w:pStyle w:val="TableParagraph"/>
                          <w:spacing w:before="1"/>
                          <w:rPr>
                            <w:sz w:val="28"/>
                          </w:rPr>
                        </w:pPr>
                      </w:p>
                      <w:p>
                        <w:pPr>
                          <w:pStyle w:val="TableParagraph"/>
                          <w:spacing w:before="0"/>
                          <w:ind w:left="119"/>
                          <w:rPr>
                            <w:sz w:val="20"/>
                          </w:rPr>
                        </w:pPr>
                        <w:r>
                          <w:rPr>
                            <w:sz w:val="20"/>
                          </w:rPr>
                          <w:drawing>
                            <wp:inline distT="0" distB="0" distL="0" distR="0">
                              <wp:extent cx="72806" cy="204787"/>
                              <wp:effectExtent l="0" t="0" r="0" b="0"/>
                              <wp:docPr id="151" name="image101.png" descr=""/>
                              <wp:cNvGraphicFramePr>
                                <a:graphicFrameLocks noChangeAspect="1"/>
                              </wp:cNvGraphicFramePr>
                              <a:graphic>
                                <a:graphicData uri="http://schemas.openxmlformats.org/drawingml/2006/picture">
                                  <pic:pic>
                                    <pic:nvPicPr>
                                      <pic:cNvPr id="152" name="image101.png"/>
                                      <pic:cNvPicPr/>
                                    </pic:nvPicPr>
                                    <pic:blipFill>
                                      <a:blip r:embed="rId152" cstate="print"/>
                                      <a:stretch>
                                        <a:fillRect/>
                                      </a:stretch>
                                    </pic:blipFill>
                                    <pic:spPr>
                                      <a:xfrm>
                                        <a:off x="0" y="0"/>
                                        <a:ext cx="72806" cy="204787"/>
                                      </a:xfrm>
                                      <a:prstGeom prst="rect">
                                        <a:avLst/>
                                      </a:prstGeom>
                                    </pic:spPr>
                                  </pic:pic>
                                </a:graphicData>
                              </a:graphic>
                            </wp:inline>
                          </w:drawing>
                        </w:r>
                        <w:r>
                          <w:rPr>
                            <w:sz w:val="20"/>
                          </w:rPr>
                        </w:r>
                      </w:p>
                      <w:p>
                        <w:pPr>
                          <w:pStyle w:val="TableParagraph"/>
                          <w:spacing w:before="7"/>
                          <w:rPr>
                            <w:sz w:val="23"/>
                          </w:rPr>
                        </w:pPr>
                      </w:p>
                    </w:tc>
                    <w:tc>
                      <w:tcPr>
                        <w:tcW w:w="492" w:type="dxa"/>
                        <w:vMerge/>
                        <w:tcBorders>
                          <w:bottom w:val="single" w:sz="4" w:space="0" w:color="858585"/>
                        </w:tcBorders>
                      </w:tcPr>
                      <w:p>
                        <w:pPr/>
                      </w:p>
                    </w:tc>
                    <w:tc>
                      <w:tcPr>
                        <w:tcW w:w="328" w:type="dxa"/>
                        <w:vMerge w:val="restart"/>
                        <w:shd w:val="clear" w:color="auto" w:fill="D9D9D9"/>
                      </w:tcPr>
                      <w:p>
                        <w:pPr>
                          <w:pStyle w:val="TableParagraph"/>
                          <w:spacing w:before="11"/>
                          <w:rPr>
                            <w:sz w:val="10"/>
                          </w:rPr>
                        </w:pPr>
                      </w:p>
                      <w:p>
                        <w:pPr>
                          <w:pStyle w:val="TableParagraph"/>
                          <w:spacing w:before="0"/>
                          <w:ind w:left="121"/>
                          <w:rPr>
                            <w:sz w:val="20"/>
                          </w:rPr>
                        </w:pPr>
                        <w:r>
                          <w:rPr>
                            <w:sz w:val="20"/>
                          </w:rPr>
                          <w:drawing>
                            <wp:inline distT="0" distB="0" distL="0" distR="0">
                              <wp:extent cx="72050" cy="196024"/>
                              <wp:effectExtent l="0" t="0" r="0" b="0"/>
                              <wp:docPr id="153" name="image71.png" descr=""/>
                              <wp:cNvGraphicFramePr>
                                <a:graphicFrameLocks noChangeAspect="1"/>
                              </wp:cNvGraphicFramePr>
                              <a:graphic>
                                <a:graphicData uri="http://schemas.openxmlformats.org/drawingml/2006/picture">
                                  <pic:pic>
                                    <pic:nvPicPr>
                                      <pic:cNvPr id="154" name="image71.png"/>
                                      <pic:cNvPicPr/>
                                    </pic:nvPicPr>
                                    <pic:blipFill>
                                      <a:blip r:embed="rId122" cstate="print"/>
                                      <a:stretch>
                                        <a:fillRect/>
                                      </a:stretch>
                                    </pic:blipFill>
                                    <pic:spPr>
                                      <a:xfrm>
                                        <a:off x="0" y="0"/>
                                        <a:ext cx="72050" cy="196024"/>
                                      </a:xfrm>
                                      <a:prstGeom prst="rect">
                                        <a:avLst/>
                                      </a:prstGeom>
                                    </pic:spPr>
                                  </pic:pic>
                                </a:graphicData>
                              </a:graphic>
                            </wp:inline>
                          </w:drawing>
                        </w:r>
                        <w:r>
                          <w:rPr>
                            <w:sz w:val="20"/>
                          </w:rPr>
                        </w:r>
                      </w:p>
                    </w:tc>
                    <w:tc>
                      <w:tcPr>
                        <w:tcW w:w="245" w:type="dxa"/>
                        <w:vMerge/>
                        <w:tcBorders>
                          <w:bottom w:val="single" w:sz="4" w:space="0" w:color="858585"/>
                        </w:tcBorders>
                      </w:tcPr>
                      <w:p>
                        <w:pPr/>
                      </w:p>
                    </w:tc>
                  </w:tr>
                  <w:tr>
                    <w:trPr>
                      <w:trHeight w:val="216" w:hRule="exact"/>
                    </w:trPr>
                    <w:tc>
                      <w:tcPr>
                        <w:tcW w:w="245" w:type="dxa"/>
                        <w:vMerge w:val="restart"/>
                        <w:tcBorders>
                          <w:top w:val="single" w:sz="4" w:space="0" w:color="858585"/>
                          <w:left w:val="single" w:sz="4" w:space="0" w:color="858585"/>
                        </w:tcBorders>
                      </w:tcPr>
                      <w:p>
                        <w:pPr/>
                      </w:p>
                    </w:tc>
                    <w:tc>
                      <w:tcPr>
                        <w:tcW w:w="328" w:type="dxa"/>
                        <w:vMerge/>
                        <w:shd w:val="clear" w:color="auto" w:fill="D9D9D9"/>
                      </w:tcPr>
                      <w:p>
                        <w:pPr/>
                      </w:p>
                    </w:tc>
                    <w:tc>
                      <w:tcPr>
                        <w:tcW w:w="490" w:type="dxa"/>
                        <w:vMerge w:val="restart"/>
                        <w:tcBorders>
                          <w:top w:val="single" w:sz="4" w:space="0" w:color="858585"/>
                        </w:tcBorders>
                      </w:tcPr>
                      <w:p>
                        <w:pPr/>
                      </w:p>
                    </w:tc>
                    <w:tc>
                      <w:tcPr>
                        <w:tcW w:w="328" w:type="dxa"/>
                        <w:vMerge/>
                        <w:shd w:val="clear" w:color="auto" w:fill="D9D9D9"/>
                      </w:tcPr>
                      <w:p>
                        <w:pPr/>
                      </w:p>
                    </w:tc>
                    <w:tc>
                      <w:tcPr>
                        <w:tcW w:w="492" w:type="dxa"/>
                        <w:vMerge w:val="restart"/>
                        <w:tcBorders>
                          <w:top w:val="single" w:sz="4" w:space="0" w:color="858585"/>
                        </w:tcBorders>
                      </w:tcPr>
                      <w:p>
                        <w:pPr/>
                      </w:p>
                    </w:tc>
                    <w:tc>
                      <w:tcPr>
                        <w:tcW w:w="327" w:type="dxa"/>
                        <w:vMerge/>
                        <w:shd w:val="clear" w:color="auto" w:fill="D9D9D9"/>
                      </w:tcPr>
                      <w:p>
                        <w:pPr/>
                      </w:p>
                    </w:tc>
                    <w:tc>
                      <w:tcPr>
                        <w:tcW w:w="492" w:type="dxa"/>
                        <w:vMerge w:val="restart"/>
                        <w:tcBorders>
                          <w:top w:val="single" w:sz="4" w:space="0" w:color="858585"/>
                        </w:tcBorders>
                      </w:tcPr>
                      <w:p>
                        <w:pPr/>
                      </w:p>
                    </w:tc>
                    <w:tc>
                      <w:tcPr>
                        <w:tcW w:w="328" w:type="dxa"/>
                        <w:vMerge/>
                        <w:shd w:val="clear" w:color="auto" w:fill="D9D9D9"/>
                      </w:tcPr>
                      <w:p>
                        <w:pPr/>
                      </w:p>
                    </w:tc>
                    <w:tc>
                      <w:tcPr>
                        <w:tcW w:w="245" w:type="dxa"/>
                        <w:vMerge w:val="restart"/>
                        <w:tcBorders>
                          <w:top w:val="single" w:sz="4" w:space="0" w:color="858585"/>
                        </w:tcBorders>
                      </w:tcPr>
                      <w:p>
                        <w:pPr/>
                      </w:p>
                    </w:tc>
                  </w:tr>
                  <w:tr>
                    <w:trPr>
                      <w:trHeight w:val="141" w:hRule="exact"/>
                    </w:trPr>
                    <w:tc>
                      <w:tcPr>
                        <w:tcW w:w="245" w:type="dxa"/>
                        <w:vMerge/>
                        <w:tcBorders>
                          <w:left w:val="single" w:sz="4" w:space="0" w:color="858585"/>
                          <w:bottom w:val="single" w:sz="4" w:space="0" w:color="858585"/>
                        </w:tcBorders>
                      </w:tcPr>
                      <w:p>
                        <w:pPr/>
                      </w:p>
                    </w:tc>
                    <w:tc>
                      <w:tcPr>
                        <w:tcW w:w="328" w:type="dxa"/>
                        <w:vMerge w:val="restart"/>
                        <w:shd w:val="clear" w:color="auto" w:fill="A6A6A6"/>
                      </w:tcPr>
                      <w:p>
                        <w:pPr>
                          <w:pStyle w:val="TableParagraph"/>
                          <w:spacing w:before="5"/>
                          <w:rPr>
                            <w:sz w:val="23"/>
                          </w:rPr>
                        </w:pPr>
                      </w:p>
                      <w:p>
                        <w:pPr>
                          <w:pStyle w:val="TableParagraph"/>
                          <w:spacing w:before="0"/>
                          <w:ind w:left="117"/>
                          <w:rPr>
                            <w:sz w:val="20"/>
                          </w:rPr>
                        </w:pPr>
                        <w:r>
                          <w:rPr>
                            <w:sz w:val="20"/>
                          </w:rPr>
                          <w:drawing>
                            <wp:inline distT="0" distB="0" distL="0" distR="0">
                              <wp:extent cx="73294" cy="204025"/>
                              <wp:effectExtent l="0" t="0" r="0" b="0"/>
                              <wp:docPr id="155" name="image97.png" descr=""/>
                              <wp:cNvGraphicFramePr>
                                <a:graphicFrameLocks noChangeAspect="1"/>
                              </wp:cNvGraphicFramePr>
                              <a:graphic>
                                <a:graphicData uri="http://schemas.openxmlformats.org/drawingml/2006/picture">
                                  <pic:pic>
                                    <pic:nvPicPr>
                                      <pic:cNvPr id="156" name="image97.png"/>
                                      <pic:cNvPicPr/>
                                    </pic:nvPicPr>
                                    <pic:blipFill>
                                      <a:blip r:embed="rId148" cstate="print"/>
                                      <a:stretch>
                                        <a:fillRect/>
                                      </a:stretch>
                                    </pic:blipFill>
                                    <pic:spPr>
                                      <a:xfrm>
                                        <a:off x="0" y="0"/>
                                        <a:ext cx="73294" cy="204025"/>
                                      </a:xfrm>
                                      <a:prstGeom prst="rect">
                                        <a:avLst/>
                                      </a:prstGeom>
                                    </pic:spPr>
                                  </pic:pic>
                                </a:graphicData>
                              </a:graphic>
                            </wp:inline>
                          </w:drawing>
                        </w:r>
                        <w:r>
                          <w:rPr>
                            <w:sz w:val="20"/>
                          </w:rPr>
                        </w:r>
                      </w:p>
                      <w:p>
                        <w:pPr>
                          <w:pStyle w:val="TableParagraph"/>
                          <w:spacing w:before="7"/>
                          <w:rPr>
                            <w:sz w:val="22"/>
                          </w:rPr>
                        </w:pPr>
                      </w:p>
                    </w:tc>
                    <w:tc>
                      <w:tcPr>
                        <w:tcW w:w="490" w:type="dxa"/>
                        <w:vMerge/>
                        <w:tcBorders>
                          <w:bottom w:val="single" w:sz="4" w:space="0" w:color="858585"/>
                        </w:tcBorders>
                      </w:tcPr>
                      <w:p>
                        <w:pPr/>
                      </w:p>
                    </w:tc>
                    <w:tc>
                      <w:tcPr>
                        <w:tcW w:w="328" w:type="dxa"/>
                        <w:vMerge/>
                        <w:shd w:val="clear" w:color="auto" w:fill="D9D9D9"/>
                      </w:tcPr>
                      <w:p>
                        <w:pPr/>
                      </w:p>
                    </w:tc>
                    <w:tc>
                      <w:tcPr>
                        <w:tcW w:w="492" w:type="dxa"/>
                        <w:vMerge/>
                        <w:tcBorders>
                          <w:bottom w:val="single" w:sz="4" w:space="0" w:color="858585"/>
                        </w:tcBorders>
                      </w:tcPr>
                      <w:p>
                        <w:pPr/>
                      </w:p>
                    </w:tc>
                    <w:tc>
                      <w:tcPr>
                        <w:tcW w:w="327" w:type="dxa"/>
                        <w:vMerge/>
                        <w:shd w:val="clear" w:color="auto" w:fill="D9D9D9"/>
                      </w:tcPr>
                      <w:p>
                        <w:pPr/>
                      </w:p>
                    </w:tc>
                    <w:tc>
                      <w:tcPr>
                        <w:tcW w:w="492" w:type="dxa"/>
                        <w:vMerge/>
                        <w:tcBorders>
                          <w:bottom w:val="single" w:sz="4" w:space="0" w:color="858585"/>
                        </w:tcBorders>
                      </w:tcPr>
                      <w:p>
                        <w:pPr/>
                      </w:p>
                    </w:tc>
                    <w:tc>
                      <w:tcPr>
                        <w:tcW w:w="328" w:type="dxa"/>
                        <w:vMerge/>
                        <w:shd w:val="clear" w:color="auto" w:fill="D9D9D9"/>
                      </w:tcPr>
                      <w:p>
                        <w:pPr/>
                      </w:p>
                    </w:tc>
                    <w:tc>
                      <w:tcPr>
                        <w:tcW w:w="245" w:type="dxa"/>
                        <w:vMerge/>
                        <w:tcBorders>
                          <w:bottom w:val="single" w:sz="4" w:space="0" w:color="858585"/>
                        </w:tcBorders>
                      </w:tcPr>
                      <w:p>
                        <w:pPr/>
                      </w:p>
                    </w:tc>
                  </w:tr>
                  <w:tr>
                    <w:trPr>
                      <w:trHeight w:val="158" w:hRule="exact"/>
                    </w:trPr>
                    <w:tc>
                      <w:tcPr>
                        <w:tcW w:w="245" w:type="dxa"/>
                        <w:vMerge w:val="restart"/>
                        <w:tcBorders>
                          <w:top w:val="single" w:sz="4" w:space="0" w:color="858585"/>
                          <w:left w:val="single" w:sz="4" w:space="0" w:color="858585"/>
                        </w:tcBorders>
                      </w:tcPr>
                      <w:p>
                        <w:pPr/>
                      </w:p>
                    </w:tc>
                    <w:tc>
                      <w:tcPr>
                        <w:tcW w:w="328" w:type="dxa"/>
                        <w:vMerge/>
                        <w:shd w:val="clear" w:color="auto" w:fill="A6A6A6"/>
                      </w:tcPr>
                      <w:p>
                        <w:pPr/>
                      </w:p>
                    </w:tc>
                    <w:tc>
                      <w:tcPr>
                        <w:tcW w:w="490" w:type="dxa"/>
                        <w:vMerge w:val="restart"/>
                        <w:tcBorders>
                          <w:top w:val="single" w:sz="4" w:space="0" w:color="858585"/>
                        </w:tcBorders>
                      </w:tcPr>
                      <w:p>
                        <w:pPr/>
                      </w:p>
                    </w:tc>
                    <w:tc>
                      <w:tcPr>
                        <w:tcW w:w="328" w:type="dxa"/>
                        <w:vMerge/>
                        <w:shd w:val="clear" w:color="auto" w:fill="D9D9D9"/>
                      </w:tcPr>
                      <w:p>
                        <w:pPr/>
                      </w:p>
                    </w:tc>
                    <w:tc>
                      <w:tcPr>
                        <w:tcW w:w="492" w:type="dxa"/>
                        <w:vMerge w:val="restart"/>
                        <w:tcBorders>
                          <w:top w:val="single" w:sz="4" w:space="0" w:color="858585"/>
                        </w:tcBorders>
                      </w:tcPr>
                      <w:p>
                        <w:pPr/>
                      </w:p>
                    </w:tc>
                    <w:tc>
                      <w:tcPr>
                        <w:tcW w:w="327" w:type="dxa"/>
                        <w:vMerge/>
                        <w:shd w:val="clear" w:color="auto" w:fill="D9D9D9"/>
                      </w:tcPr>
                      <w:p>
                        <w:pPr/>
                      </w:p>
                    </w:tc>
                    <w:tc>
                      <w:tcPr>
                        <w:tcW w:w="492" w:type="dxa"/>
                        <w:vMerge w:val="restart"/>
                        <w:tcBorders>
                          <w:top w:val="single" w:sz="4" w:space="0" w:color="858585"/>
                        </w:tcBorders>
                      </w:tcPr>
                      <w:p>
                        <w:pPr/>
                      </w:p>
                    </w:tc>
                    <w:tc>
                      <w:tcPr>
                        <w:tcW w:w="328" w:type="dxa"/>
                        <w:vMerge w:val="restart"/>
                        <w:shd w:val="clear" w:color="auto" w:fill="A6A6A6"/>
                      </w:tcPr>
                      <w:p>
                        <w:pPr>
                          <w:pStyle w:val="TableParagraph"/>
                          <w:spacing w:before="6" w:after="1"/>
                          <w:rPr>
                            <w:sz w:val="17"/>
                          </w:rPr>
                        </w:pPr>
                      </w:p>
                      <w:p>
                        <w:pPr>
                          <w:pStyle w:val="TableParagraph"/>
                          <w:spacing w:line="150" w:lineRule="exact" w:before="0"/>
                          <w:ind w:left="117"/>
                          <w:rPr>
                            <w:sz w:val="15"/>
                          </w:rPr>
                        </w:pPr>
                        <w:r>
                          <w:rPr>
                            <w:position w:val="-2"/>
                            <w:sz w:val="15"/>
                          </w:rPr>
                          <w:drawing>
                            <wp:inline distT="0" distB="0" distL="0" distR="0">
                              <wp:extent cx="73169" cy="95250"/>
                              <wp:effectExtent l="0" t="0" r="0" b="0"/>
                              <wp:docPr id="157" name="image100.png" descr=""/>
                              <wp:cNvGraphicFramePr>
                                <a:graphicFrameLocks noChangeAspect="1"/>
                              </wp:cNvGraphicFramePr>
                              <a:graphic>
                                <a:graphicData uri="http://schemas.openxmlformats.org/drawingml/2006/picture">
                                  <pic:pic>
                                    <pic:nvPicPr>
                                      <pic:cNvPr id="158" name="image100.png"/>
                                      <pic:cNvPicPr/>
                                    </pic:nvPicPr>
                                    <pic:blipFill>
                                      <a:blip r:embed="rId151" cstate="print"/>
                                      <a:stretch>
                                        <a:fillRect/>
                                      </a:stretch>
                                    </pic:blipFill>
                                    <pic:spPr>
                                      <a:xfrm>
                                        <a:off x="0" y="0"/>
                                        <a:ext cx="73169" cy="95250"/>
                                      </a:xfrm>
                                      <a:prstGeom prst="rect">
                                        <a:avLst/>
                                      </a:prstGeom>
                                    </pic:spPr>
                                  </pic:pic>
                                </a:graphicData>
                              </a:graphic>
                            </wp:inline>
                          </w:drawing>
                        </w:r>
                        <w:r>
                          <w:rPr>
                            <w:position w:val="-2"/>
                            <w:sz w:val="15"/>
                          </w:rPr>
                        </w:r>
                      </w:p>
                      <w:p>
                        <w:pPr>
                          <w:pStyle w:val="TableParagraph"/>
                          <w:spacing w:before="0"/>
                          <w:rPr>
                            <w:sz w:val="20"/>
                          </w:rPr>
                        </w:pPr>
                      </w:p>
                    </w:tc>
                    <w:tc>
                      <w:tcPr>
                        <w:tcW w:w="245" w:type="dxa"/>
                        <w:vMerge w:val="restart"/>
                        <w:tcBorders>
                          <w:top w:val="single" w:sz="4" w:space="0" w:color="858585"/>
                        </w:tcBorders>
                      </w:tcPr>
                      <w:p>
                        <w:pPr/>
                      </w:p>
                    </w:tc>
                  </w:tr>
                  <w:tr>
                    <w:trPr>
                      <w:trHeight w:val="213" w:hRule="exact"/>
                    </w:trPr>
                    <w:tc>
                      <w:tcPr>
                        <w:tcW w:w="245" w:type="dxa"/>
                        <w:vMerge/>
                        <w:tcBorders>
                          <w:left w:val="single" w:sz="4" w:space="0" w:color="858585"/>
                          <w:bottom w:val="single" w:sz="4" w:space="0" w:color="858585"/>
                        </w:tcBorders>
                      </w:tcPr>
                      <w:p>
                        <w:pPr/>
                      </w:p>
                    </w:tc>
                    <w:tc>
                      <w:tcPr>
                        <w:tcW w:w="328" w:type="dxa"/>
                        <w:vMerge/>
                        <w:shd w:val="clear" w:color="auto" w:fill="A6A6A6"/>
                      </w:tcPr>
                      <w:p>
                        <w:pPr/>
                      </w:p>
                    </w:tc>
                    <w:tc>
                      <w:tcPr>
                        <w:tcW w:w="490" w:type="dxa"/>
                        <w:vMerge/>
                        <w:tcBorders>
                          <w:bottom w:val="single" w:sz="4" w:space="0" w:color="858585"/>
                        </w:tcBorders>
                      </w:tcPr>
                      <w:p>
                        <w:pPr/>
                      </w:p>
                    </w:tc>
                    <w:tc>
                      <w:tcPr>
                        <w:tcW w:w="328" w:type="dxa"/>
                        <w:vMerge w:val="restart"/>
                        <w:shd w:val="clear" w:color="auto" w:fill="A6A6A6"/>
                      </w:tcPr>
                      <w:p>
                        <w:pPr>
                          <w:pStyle w:val="TableParagraph"/>
                          <w:spacing w:before="9"/>
                          <w:rPr>
                            <w:sz w:val="10"/>
                          </w:rPr>
                        </w:pPr>
                      </w:p>
                      <w:p>
                        <w:pPr>
                          <w:pStyle w:val="TableParagraph"/>
                          <w:spacing w:before="0"/>
                          <w:ind w:left="117"/>
                          <w:rPr>
                            <w:sz w:val="20"/>
                          </w:rPr>
                        </w:pPr>
                        <w:r>
                          <w:rPr>
                            <w:sz w:val="20"/>
                          </w:rPr>
                          <w:drawing>
                            <wp:inline distT="0" distB="0" distL="0" distR="0">
                              <wp:extent cx="73121" cy="204787"/>
                              <wp:effectExtent l="0" t="0" r="0" b="0"/>
                              <wp:docPr id="159" name="image98.png" descr=""/>
                              <wp:cNvGraphicFramePr>
                                <a:graphicFrameLocks noChangeAspect="1"/>
                              </wp:cNvGraphicFramePr>
                              <a:graphic>
                                <a:graphicData uri="http://schemas.openxmlformats.org/drawingml/2006/picture">
                                  <pic:pic>
                                    <pic:nvPicPr>
                                      <pic:cNvPr id="160" name="image98.png"/>
                                      <pic:cNvPicPr/>
                                    </pic:nvPicPr>
                                    <pic:blipFill>
                                      <a:blip r:embed="rId149" cstate="print"/>
                                      <a:stretch>
                                        <a:fillRect/>
                                      </a:stretch>
                                    </pic:blipFill>
                                    <pic:spPr>
                                      <a:xfrm>
                                        <a:off x="0" y="0"/>
                                        <a:ext cx="73121" cy="204787"/>
                                      </a:xfrm>
                                      <a:prstGeom prst="rect">
                                        <a:avLst/>
                                      </a:prstGeom>
                                    </pic:spPr>
                                  </pic:pic>
                                </a:graphicData>
                              </a:graphic>
                            </wp:inline>
                          </w:drawing>
                        </w:r>
                        <w:r>
                          <w:rPr>
                            <w:sz w:val="20"/>
                          </w:rPr>
                        </w:r>
                      </w:p>
                    </w:tc>
                    <w:tc>
                      <w:tcPr>
                        <w:tcW w:w="492" w:type="dxa"/>
                        <w:vMerge/>
                        <w:tcBorders>
                          <w:bottom w:val="single" w:sz="4" w:space="0" w:color="858585"/>
                        </w:tcBorders>
                      </w:tcPr>
                      <w:p>
                        <w:pPr/>
                      </w:p>
                    </w:tc>
                    <w:tc>
                      <w:tcPr>
                        <w:tcW w:w="327" w:type="dxa"/>
                        <w:vMerge/>
                        <w:shd w:val="clear" w:color="auto" w:fill="D9D9D9"/>
                      </w:tcPr>
                      <w:p>
                        <w:pPr/>
                      </w:p>
                    </w:tc>
                    <w:tc>
                      <w:tcPr>
                        <w:tcW w:w="492" w:type="dxa"/>
                        <w:vMerge/>
                        <w:tcBorders>
                          <w:bottom w:val="single" w:sz="4" w:space="0" w:color="858585"/>
                        </w:tcBorders>
                      </w:tcPr>
                      <w:p>
                        <w:pPr/>
                      </w:p>
                    </w:tc>
                    <w:tc>
                      <w:tcPr>
                        <w:tcW w:w="328" w:type="dxa"/>
                        <w:vMerge/>
                        <w:shd w:val="clear" w:color="auto" w:fill="A6A6A6"/>
                      </w:tcPr>
                      <w:p>
                        <w:pPr/>
                      </w:p>
                    </w:tc>
                    <w:tc>
                      <w:tcPr>
                        <w:tcW w:w="245" w:type="dxa"/>
                        <w:vMerge/>
                        <w:tcBorders>
                          <w:bottom w:val="single" w:sz="4" w:space="0" w:color="858585"/>
                        </w:tcBorders>
                      </w:tcPr>
                      <w:p>
                        <w:pPr/>
                      </w:p>
                    </w:tc>
                  </w:tr>
                  <w:tr>
                    <w:trPr>
                      <w:trHeight w:val="364" w:hRule="exact"/>
                    </w:trPr>
                    <w:tc>
                      <w:tcPr>
                        <w:tcW w:w="245" w:type="dxa"/>
                        <w:tcBorders>
                          <w:top w:val="single" w:sz="4" w:space="0" w:color="858585"/>
                          <w:left w:val="single" w:sz="4" w:space="0" w:color="858585"/>
                          <w:bottom w:val="single" w:sz="4" w:space="0" w:color="858585"/>
                        </w:tcBorders>
                      </w:tcPr>
                      <w:p>
                        <w:pPr/>
                      </w:p>
                    </w:tc>
                    <w:tc>
                      <w:tcPr>
                        <w:tcW w:w="328" w:type="dxa"/>
                        <w:vMerge/>
                        <w:tcBorders>
                          <w:bottom w:val="single" w:sz="4" w:space="0" w:color="858585"/>
                        </w:tcBorders>
                        <w:shd w:val="clear" w:color="auto" w:fill="A6A6A6"/>
                      </w:tcPr>
                      <w:p>
                        <w:pPr/>
                      </w:p>
                    </w:tc>
                    <w:tc>
                      <w:tcPr>
                        <w:tcW w:w="490" w:type="dxa"/>
                        <w:tcBorders>
                          <w:top w:val="single" w:sz="4" w:space="0" w:color="858585"/>
                          <w:bottom w:val="single" w:sz="17" w:space="0" w:color="858585"/>
                        </w:tcBorders>
                      </w:tcPr>
                      <w:p>
                        <w:pPr/>
                      </w:p>
                    </w:tc>
                    <w:tc>
                      <w:tcPr>
                        <w:tcW w:w="328" w:type="dxa"/>
                        <w:vMerge/>
                        <w:tcBorders>
                          <w:bottom w:val="single" w:sz="4" w:space="0" w:color="858585"/>
                        </w:tcBorders>
                        <w:shd w:val="clear" w:color="auto" w:fill="A6A6A6"/>
                      </w:tcPr>
                      <w:p>
                        <w:pPr/>
                      </w:p>
                    </w:tc>
                    <w:tc>
                      <w:tcPr>
                        <w:tcW w:w="492" w:type="dxa"/>
                        <w:tcBorders>
                          <w:top w:val="single" w:sz="4" w:space="0" w:color="858585"/>
                          <w:bottom w:val="single" w:sz="17" w:space="0" w:color="858585"/>
                        </w:tcBorders>
                      </w:tcPr>
                      <w:p>
                        <w:pPr/>
                      </w:p>
                    </w:tc>
                    <w:tc>
                      <w:tcPr>
                        <w:tcW w:w="327" w:type="dxa"/>
                        <w:tcBorders>
                          <w:bottom w:val="single" w:sz="4" w:space="0" w:color="858585"/>
                        </w:tcBorders>
                        <w:shd w:val="clear" w:color="auto" w:fill="A6A6A6"/>
                      </w:tcPr>
                      <w:p>
                        <w:pPr>
                          <w:pStyle w:val="TableParagraph"/>
                          <w:spacing w:before="3"/>
                          <w:rPr>
                            <w:sz w:val="3"/>
                          </w:rPr>
                        </w:pPr>
                      </w:p>
                      <w:p>
                        <w:pPr>
                          <w:pStyle w:val="TableParagraph"/>
                          <w:spacing w:before="0"/>
                          <w:ind w:left="116"/>
                          <w:rPr>
                            <w:sz w:val="20"/>
                          </w:rPr>
                        </w:pPr>
                        <w:r>
                          <w:rPr>
                            <w:sz w:val="20"/>
                          </w:rPr>
                          <w:drawing>
                            <wp:inline distT="0" distB="0" distL="0" distR="0">
                              <wp:extent cx="73323" cy="204787"/>
                              <wp:effectExtent l="0" t="0" r="0" b="0"/>
                              <wp:docPr id="161" name="image99.png" descr=""/>
                              <wp:cNvGraphicFramePr>
                                <a:graphicFrameLocks noChangeAspect="1"/>
                              </wp:cNvGraphicFramePr>
                              <a:graphic>
                                <a:graphicData uri="http://schemas.openxmlformats.org/drawingml/2006/picture">
                                  <pic:pic>
                                    <pic:nvPicPr>
                                      <pic:cNvPr id="162" name="image99.png"/>
                                      <pic:cNvPicPr/>
                                    </pic:nvPicPr>
                                    <pic:blipFill>
                                      <a:blip r:embed="rId150" cstate="print"/>
                                      <a:stretch>
                                        <a:fillRect/>
                                      </a:stretch>
                                    </pic:blipFill>
                                    <pic:spPr>
                                      <a:xfrm>
                                        <a:off x="0" y="0"/>
                                        <a:ext cx="73323" cy="204787"/>
                                      </a:xfrm>
                                      <a:prstGeom prst="rect">
                                        <a:avLst/>
                                      </a:prstGeom>
                                    </pic:spPr>
                                  </pic:pic>
                                </a:graphicData>
                              </a:graphic>
                            </wp:inline>
                          </w:drawing>
                        </w:r>
                        <w:r>
                          <w:rPr>
                            <w:sz w:val="20"/>
                          </w:rPr>
                        </w:r>
                      </w:p>
                    </w:tc>
                    <w:tc>
                      <w:tcPr>
                        <w:tcW w:w="492" w:type="dxa"/>
                        <w:tcBorders>
                          <w:top w:val="single" w:sz="4" w:space="0" w:color="858585"/>
                          <w:bottom w:val="single" w:sz="17" w:space="0" w:color="858585"/>
                        </w:tcBorders>
                      </w:tcPr>
                      <w:p>
                        <w:pPr/>
                      </w:p>
                    </w:tc>
                    <w:tc>
                      <w:tcPr>
                        <w:tcW w:w="328" w:type="dxa"/>
                        <w:vMerge/>
                        <w:tcBorders>
                          <w:bottom w:val="single" w:sz="4" w:space="0" w:color="858585"/>
                        </w:tcBorders>
                        <w:shd w:val="clear" w:color="auto" w:fill="A6A6A6"/>
                      </w:tcPr>
                      <w:p>
                        <w:pPr/>
                      </w:p>
                    </w:tc>
                    <w:tc>
                      <w:tcPr>
                        <w:tcW w:w="245" w:type="dxa"/>
                        <w:tcBorders>
                          <w:top w:val="single" w:sz="4" w:space="0" w:color="858585"/>
                          <w:bottom w:val="single" w:sz="4" w:space="0" w:color="858585"/>
                        </w:tcBorders>
                      </w:tcPr>
                      <w:p>
                        <w:pPr/>
                      </w:p>
                    </w:tc>
                  </w:tr>
                </w:tbl>
                <w:p>
                  <w:pPr>
                    <w:pStyle w:val="BodyText"/>
                  </w:pPr>
                </w:p>
              </w:txbxContent>
            </v:textbox>
            <w10:wrap type="none"/>
          </v:shape>
        </w:pict>
      </w:r>
      <w:r>
        <w:rPr>
          <w:color w:val="231F20"/>
          <w:w w:val="105"/>
          <w:sz w:val="18"/>
        </w:rPr>
        <w:t>Figura 2. Estructura de la superficie</w:t>
      </w:r>
      <w:r>
        <w:rPr>
          <w:color w:val="231F20"/>
          <w:spacing w:val="-16"/>
          <w:w w:val="105"/>
          <w:sz w:val="18"/>
        </w:rPr>
        <w:t> </w:t>
      </w:r>
      <w:r>
        <w:rPr>
          <w:color w:val="231F20"/>
          <w:w w:val="105"/>
          <w:sz w:val="18"/>
        </w:rPr>
        <w:t>agrícola</w:t>
      </w:r>
      <w:r>
        <w:rPr>
          <w:color w:val="231F20"/>
          <w:spacing w:val="-9"/>
          <w:w w:val="105"/>
          <w:sz w:val="18"/>
        </w:rPr>
        <w:t> </w:t>
      </w:r>
      <w:r>
        <w:rPr>
          <w:color w:val="231F20"/>
          <w:w w:val="105"/>
          <w:sz w:val="18"/>
        </w:rPr>
        <w:t>útil.</w:t>
        <w:tab/>
        <w:t>Figura 3. Composición de la superficie</w:t>
      </w:r>
      <w:r>
        <w:rPr>
          <w:color w:val="231F20"/>
          <w:spacing w:val="-22"/>
          <w:w w:val="105"/>
          <w:sz w:val="18"/>
        </w:rPr>
        <w:t> </w:t>
      </w:r>
      <w:r>
        <w:rPr>
          <w:color w:val="231F20"/>
          <w:w w:val="105"/>
          <w:sz w:val="18"/>
        </w:rPr>
        <w:t>forrajera.</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8.     </w:t>
      </w:r>
      <w:r>
        <w:rPr>
          <w:color w:val="231F20"/>
          <w:spacing w:val="25"/>
          <w:sz w:val="18"/>
        </w:rPr>
        <w:t> </w:t>
      </w:r>
      <w:r>
        <w:rPr>
          <w:color w:val="231F20"/>
          <w:sz w:val="18"/>
        </w:rPr>
        <w:t>La producción de bovinos para carne y su importancia en el desarrollo</w:t>
      </w:r>
      <w:r>
        <w:rPr>
          <w:color w:val="231F20"/>
          <w:spacing w:val="13"/>
          <w:sz w:val="18"/>
        </w:rPr>
        <w:t> </w:t>
      </w:r>
      <w:r>
        <w:rPr>
          <w:color w:val="231F20"/>
          <w:sz w:val="18"/>
        </w:rPr>
        <w:t>rural…</w:t>
      </w:r>
      <w:r>
        <w:rPr>
          <w:color w:val="231F20"/>
          <w:sz w:val="22"/>
        </w:rPr>
        <w:tab/>
      </w:r>
      <w:r>
        <w:rPr>
          <w:color w:val="231F20"/>
          <w:spacing w:val="-5"/>
          <w:sz w:val="22"/>
        </w:rPr>
        <w:t>127</w:t>
      </w:r>
    </w:p>
    <w:p>
      <w:pPr>
        <w:spacing w:before="349"/>
        <w:ind w:left="1553" w:right="2503" w:firstLine="0"/>
        <w:jc w:val="left"/>
        <w:rPr>
          <w:sz w:val="18"/>
        </w:rPr>
      </w:pPr>
      <w:r>
        <w:rPr/>
        <w:pict>
          <v:shape style="position:absolute;margin-left:77.442902pt;margin-top:35.709934pt;width:440.15pt;height:125.15pt;mso-position-horizontal-relative:page;mso-position-vertical-relative:paragraph;z-index:4192"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345"/>
                    <w:gridCol w:w="1361"/>
                    <w:gridCol w:w="1361"/>
                    <w:gridCol w:w="1361"/>
                    <w:gridCol w:w="1361"/>
                  </w:tblGrid>
                  <w:tr>
                    <w:trPr>
                      <w:trHeight w:val="369" w:hRule="exact"/>
                    </w:trPr>
                    <w:tc>
                      <w:tcPr>
                        <w:tcW w:w="3345" w:type="dxa"/>
                        <w:tcBorders>
                          <w:left w:val="nil"/>
                        </w:tcBorders>
                      </w:tcPr>
                      <w:p>
                        <w:pPr/>
                      </w:p>
                    </w:tc>
                    <w:tc>
                      <w:tcPr>
                        <w:tcW w:w="1361" w:type="dxa"/>
                      </w:tcPr>
                      <w:p>
                        <w:pPr>
                          <w:pStyle w:val="TableParagraph"/>
                          <w:spacing w:before="79"/>
                          <w:ind w:left="133" w:right="133"/>
                          <w:jc w:val="center"/>
                          <w:rPr>
                            <w:rFonts w:ascii="Cambria"/>
                            <w:i/>
                            <w:sz w:val="18"/>
                          </w:rPr>
                        </w:pPr>
                        <w:r>
                          <w:rPr>
                            <w:rFonts w:ascii="Cambria"/>
                            <w:i/>
                            <w:color w:val="231F20"/>
                            <w:sz w:val="18"/>
                          </w:rPr>
                          <w:t>E1</w:t>
                        </w:r>
                      </w:p>
                    </w:tc>
                    <w:tc>
                      <w:tcPr>
                        <w:tcW w:w="1361" w:type="dxa"/>
                      </w:tcPr>
                      <w:p>
                        <w:pPr>
                          <w:pStyle w:val="TableParagraph"/>
                          <w:spacing w:before="79"/>
                          <w:ind w:left="133" w:right="133"/>
                          <w:jc w:val="center"/>
                          <w:rPr>
                            <w:rFonts w:ascii="Cambria"/>
                            <w:i/>
                            <w:sz w:val="18"/>
                          </w:rPr>
                        </w:pPr>
                        <w:r>
                          <w:rPr>
                            <w:rFonts w:ascii="Cambria"/>
                            <w:i/>
                            <w:color w:val="231F20"/>
                            <w:sz w:val="18"/>
                          </w:rPr>
                          <w:t>E2</w:t>
                        </w:r>
                      </w:p>
                    </w:tc>
                    <w:tc>
                      <w:tcPr>
                        <w:tcW w:w="1361" w:type="dxa"/>
                      </w:tcPr>
                      <w:p>
                        <w:pPr>
                          <w:pStyle w:val="TableParagraph"/>
                          <w:spacing w:before="79"/>
                          <w:ind w:left="133" w:right="133"/>
                          <w:jc w:val="center"/>
                          <w:rPr>
                            <w:rFonts w:ascii="Cambria"/>
                            <w:i/>
                            <w:sz w:val="18"/>
                          </w:rPr>
                        </w:pPr>
                        <w:r>
                          <w:rPr>
                            <w:rFonts w:ascii="Cambria"/>
                            <w:i/>
                            <w:color w:val="231F20"/>
                            <w:sz w:val="18"/>
                          </w:rPr>
                          <w:t>E3</w:t>
                        </w:r>
                      </w:p>
                    </w:tc>
                    <w:tc>
                      <w:tcPr>
                        <w:tcW w:w="1361" w:type="dxa"/>
                        <w:tcBorders>
                          <w:right w:val="nil"/>
                        </w:tcBorders>
                      </w:tcPr>
                      <w:p>
                        <w:pPr>
                          <w:pStyle w:val="TableParagraph"/>
                          <w:spacing w:before="79"/>
                          <w:ind w:left="274" w:right="278"/>
                          <w:jc w:val="center"/>
                          <w:rPr>
                            <w:rFonts w:ascii="Cambria"/>
                            <w:i/>
                            <w:sz w:val="18"/>
                          </w:rPr>
                        </w:pPr>
                        <w:r>
                          <w:rPr>
                            <w:rFonts w:ascii="Cambria"/>
                            <w:i/>
                            <w:color w:val="231F20"/>
                            <w:w w:val="105"/>
                            <w:sz w:val="18"/>
                          </w:rPr>
                          <w:t>Promedio</w:t>
                        </w:r>
                      </w:p>
                    </w:tc>
                  </w:tr>
                  <w:tr>
                    <w:trPr>
                      <w:trHeight w:val="354" w:hRule="exact"/>
                    </w:trPr>
                    <w:tc>
                      <w:tcPr>
                        <w:tcW w:w="3345" w:type="dxa"/>
                        <w:tcBorders>
                          <w:left w:val="nil"/>
                        </w:tcBorders>
                      </w:tcPr>
                      <w:p>
                        <w:pPr>
                          <w:pStyle w:val="TableParagraph"/>
                          <w:ind w:left="113"/>
                          <w:rPr>
                            <w:sz w:val="17"/>
                          </w:rPr>
                        </w:pPr>
                        <w:r>
                          <w:rPr>
                            <w:color w:val="231F20"/>
                            <w:sz w:val="17"/>
                          </w:rPr>
                          <w:t>Edad del titular</w:t>
                        </w:r>
                      </w:p>
                    </w:tc>
                    <w:tc>
                      <w:tcPr>
                        <w:tcW w:w="1361" w:type="dxa"/>
                      </w:tcPr>
                      <w:p>
                        <w:pPr>
                          <w:pStyle w:val="TableParagraph"/>
                          <w:ind w:left="133" w:right="133"/>
                          <w:jc w:val="center"/>
                          <w:rPr>
                            <w:sz w:val="17"/>
                          </w:rPr>
                        </w:pPr>
                        <w:r>
                          <w:rPr>
                            <w:color w:val="231F20"/>
                            <w:w w:val="110"/>
                            <w:sz w:val="17"/>
                          </w:rPr>
                          <w:t>52,68</w:t>
                        </w:r>
                      </w:p>
                    </w:tc>
                    <w:tc>
                      <w:tcPr>
                        <w:tcW w:w="1361" w:type="dxa"/>
                      </w:tcPr>
                      <w:p>
                        <w:pPr>
                          <w:pStyle w:val="TableParagraph"/>
                          <w:ind w:left="133" w:right="133"/>
                          <w:jc w:val="center"/>
                          <w:rPr>
                            <w:sz w:val="17"/>
                          </w:rPr>
                        </w:pPr>
                        <w:r>
                          <w:rPr>
                            <w:color w:val="231F20"/>
                            <w:w w:val="110"/>
                            <w:sz w:val="17"/>
                          </w:rPr>
                          <w:t>65,00</w:t>
                        </w:r>
                      </w:p>
                    </w:tc>
                    <w:tc>
                      <w:tcPr>
                        <w:tcW w:w="1361" w:type="dxa"/>
                      </w:tcPr>
                      <w:p>
                        <w:pPr>
                          <w:pStyle w:val="TableParagraph"/>
                          <w:ind w:left="218" w:right="133"/>
                          <w:jc w:val="center"/>
                          <w:rPr>
                            <w:sz w:val="17"/>
                          </w:rPr>
                        </w:pPr>
                        <w:r>
                          <w:rPr>
                            <w:color w:val="231F20"/>
                            <w:w w:val="110"/>
                            <w:sz w:val="17"/>
                          </w:rPr>
                          <w:t>48,45</w:t>
                        </w:r>
                      </w:p>
                    </w:tc>
                    <w:tc>
                      <w:tcPr>
                        <w:tcW w:w="1361" w:type="dxa"/>
                        <w:tcBorders>
                          <w:right w:val="nil"/>
                        </w:tcBorders>
                      </w:tcPr>
                      <w:p>
                        <w:pPr>
                          <w:pStyle w:val="TableParagraph"/>
                          <w:ind w:left="274" w:right="278"/>
                          <w:jc w:val="center"/>
                          <w:rPr>
                            <w:sz w:val="17"/>
                          </w:rPr>
                        </w:pPr>
                        <w:r>
                          <w:rPr>
                            <w:color w:val="231F20"/>
                            <w:w w:val="110"/>
                            <w:sz w:val="17"/>
                          </w:rPr>
                          <w:t>55,45</w:t>
                        </w:r>
                      </w:p>
                    </w:tc>
                  </w:tr>
                  <w:tr>
                    <w:trPr>
                      <w:trHeight w:val="354" w:hRule="exact"/>
                    </w:trPr>
                    <w:tc>
                      <w:tcPr>
                        <w:tcW w:w="3345" w:type="dxa"/>
                        <w:tcBorders>
                          <w:left w:val="nil"/>
                        </w:tcBorders>
                      </w:tcPr>
                      <w:p>
                        <w:pPr>
                          <w:pStyle w:val="TableParagraph"/>
                          <w:ind w:left="113"/>
                          <w:rPr>
                            <w:sz w:val="17"/>
                          </w:rPr>
                        </w:pPr>
                        <w:r>
                          <w:rPr>
                            <w:color w:val="231F20"/>
                            <w:w w:val="105"/>
                            <w:sz w:val="17"/>
                          </w:rPr>
                          <w:t>Personas en casa</w:t>
                        </w:r>
                      </w:p>
                    </w:tc>
                    <w:tc>
                      <w:tcPr>
                        <w:tcW w:w="1361" w:type="dxa"/>
                      </w:tcPr>
                      <w:p>
                        <w:pPr>
                          <w:pStyle w:val="TableParagraph"/>
                          <w:ind w:left="218" w:right="133"/>
                          <w:jc w:val="center"/>
                          <w:rPr>
                            <w:sz w:val="17"/>
                          </w:rPr>
                        </w:pPr>
                        <w:r>
                          <w:rPr>
                            <w:color w:val="231F20"/>
                            <w:w w:val="110"/>
                            <w:sz w:val="17"/>
                          </w:rPr>
                          <w:t>4,27</w:t>
                        </w:r>
                      </w:p>
                    </w:tc>
                    <w:tc>
                      <w:tcPr>
                        <w:tcW w:w="1361" w:type="dxa"/>
                      </w:tcPr>
                      <w:p>
                        <w:pPr>
                          <w:pStyle w:val="TableParagraph"/>
                          <w:ind w:left="218" w:right="133"/>
                          <w:jc w:val="center"/>
                          <w:rPr>
                            <w:sz w:val="17"/>
                          </w:rPr>
                        </w:pPr>
                        <w:r>
                          <w:rPr>
                            <w:color w:val="231F20"/>
                            <w:w w:val="110"/>
                            <w:sz w:val="17"/>
                          </w:rPr>
                          <w:t>3,83</w:t>
                        </w:r>
                      </w:p>
                    </w:tc>
                    <w:tc>
                      <w:tcPr>
                        <w:tcW w:w="1361" w:type="dxa"/>
                      </w:tcPr>
                      <w:p>
                        <w:pPr>
                          <w:pStyle w:val="TableParagraph"/>
                          <w:ind w:left="303" w:right="133"/>
                          <w:jc w:val="center"/>
                          <w:rPr>
                            <w:sz w:val="17"/>
                          </w:rPr>
                        </w:pPr>
                        <w:r>
                          <w:rPr>
                            <w:color w:val="231F20"/>
                            <w:w w:val="110"/>
                            <w:sz w:val="17"/>
                          </w:rPr>
                          <w:t>4,86</w:t>
                        </w:r>
                      </w:p>
                    </w:tc>
                    <w:tc>
                      <w:tcPr>
                        <w:tcW w:w="1361" w:type="dxa"/>
                        <w:tcBorders>
                          <w:right w:val="nil"/>
                        </w:tcBorders>
                      </w:tcPr>
                      <w:p>
                        <w:pPr>
                          <w:pStyle w:val="TableParagraph"/>
                          <w:ind w:left="275" w:right="195"/>
                          <w:jc w:val="center"/>
                          <w:rPr>
                            <w:sz w:val="17"/>
                          </w:rPr>
                        </w:pPr>
                        <w:r>
                          <w:rPr>
                            <w:color w:val="231F20"/>
                            <w:w w:val="110"/>
                            <w:sz w:val="17"/>
                          </w:rPr>
                          <w:t>4,30</w:t>
                        </w:r>
                      </w:p>
                    </w:tc>
                  </w:tr>
                  <w:tr>
                    <w:trPr>
                      <w:trHeight w:val="354" w:hRule="exact"/>
                    </w:trPr>
                    <w:tc>
                      <w:tcPr>
                        <w:tcW w:w="3345" w:type="dxa"/>
                        <w:tcBorders>
                          <w:left w:val="nil"/>
                        </w:tcBorders>
                      </w:tcPr>
                      <w:p>
                        <w:pPr>
                          <w:pStyle w:val="TableParagraph"/>
                          <w:ind w:left="113"/>
                          <w:rPr>
                            <w:sz w:val="17"/>
                          </w:rPr>
                        </w:pPr>
                        <w:r>
                          <w:rPr>
                            <w:color w:val="231F20"/>
                            <w:w w:val="105"/>
                            <w:sz w:val="17"/>
                          </w:rPr>
                          <w:t>Hijos mayores de 18 años</w:t>
                        </w:r>
                      </w:p>
                    </w:tc>
                    <w:tc>
                      <w:tcPr>
                        <w:tcW w:w="1361" w:type="dxa"/>
                      </w:tcPr>
                      <w:p>
                        <w:pPr>
                          <w:pStyle w:val="TableParagraph"/>
                          <w:ind w:left="218" w:right="133"/>
                          <w:jc w:val="center"/>
                          <w:rPr>
                            <w:sz w:val="17"/>
                          </w:rPr>
                        </w:pPr>
                        <w:r>
                          <w:rPr>
                            <w:color w:val="231F20"/>
                            <w:w w:val="110"/>
                            <w:sz w:val="17"/>
                          </w:rPr>
                          <w:t>1,21</w:t>
                        </w:r>
                      </w:p>
                    </w:tc>
                    <w:tc>
                      <w:tcPr>
                        <w:tcW w:w="1361" w:type="dxa"/>
                      </w:tcPr>
                      <w:p>
                        <w:pPr>
                          <w:pStyle w:val="TableParagraph"/>
                          <w:ind w:left="218" w:right="133"/>
                          <w:jc w:val="center"/>
                          <w:rPr>
                            <w:sz w:val="17"/>
                          </w:rPr>
                        </w:pPr>
                        <w:r>
                          <w:rPr>
                            <w:color w:val="231F20"/>
                            <w:w w:val="110"/>
                            <w:sz w:val="17"/>
                          </w:rPr>
                          <w:t>1,00</w:t>
                        </w:r>
                      </w:p>
                    </w:tc>
                    <w:tc>
                      <w:tcPr>
                        <w:tcW w:w="1361" w:type="dxa"/>
                      </w:tcPr>
                      <w:p>
                        <w:pPr>
                          <w:pStyle w:val="TableParagraph"/>
                          <w:ind w:left="303" w:right="133"/>
                          <w:jc w:val="center"/>
                          <w:rPr>
                            <w:sz w:val="17"/>
                          </w:rPr>
                        </w:pPr>
                        <w:r>
                          <w:rPr>
                            <w:color w:val="231F20"/>
                            <w:w w:val="110"/>
                            <w:sz w:val="17"/>
                          </w:rPr>
                          <w:t>1,67</w:t>
                        </w:r>
                      </w:p>
                    </w:tc>
                    <w:tc>
                      <w:tcPr>
                        <w:tcW w:w="1361" w:type="dxa"/>
                        <w:tcBorders>
                          <w:right w:val="nil"/>
                        </w:tcBorders>
                      </w:tcPr>
                      <w:p>
                        <w:pPr>
                          <w:pStyle w:val="TableParagraph"/>
                          <w:ind w:left="275" w:right="195"/>
                          <w:jc w:val="center"/>
                          <w:rPr>
                            <w:sz w:val="17"/>
                          </w:rPr>
                        </w:pPr>
                        <w:r>
                          <w:rPr>
                            <w:color w:val="231F20"/>
                            <w:w w:val="110"/>
                            <w:sz w:val="17"/>
                          </w:rPr>
                          <w:t>1,24</w:t>
                        </w:r>
                      </w:p>
                    </w:tc>
                  </w:tr>
                  <w:tr>
                    <w:trPr>
                      <w:trHeight w:val="354" w:hRule="exact"/>
                    </w:trPr>
                    <w:tc>
                      <w:tcPr>
                        <w:tcW w:w="3345" w:type="dxa"/>
                        <w:tcBorders>
                          <w:left w:val="nil"/>
                        </w:tcBorders>
                      </w:tcPr>
                      <w:p>
                        <w:pPr>
                          <w:pStyle w:val="TableParagraph"/>
                          <w:ind w:left="113"/>
                          <w:rPr>
                            <w:sz w:val="17"/>
                          </w:rPr>
                        </w:pPr>
                        <w:r>
                          <w:rPr>
                            <w:color w:val="231F20"/>
                            <w:sz w:val="17"/>
                          </w:rPr>
                          <w:t>Dedicación de los titulares</w:t>
                        </w:r>
                      </w:p>
                    </w:tc>
                    <w:tc>
                      <w:tcPr>
                        <w:tcW w:w="1361" w:type="dxa"/>
                      </w:tcPr>
                      <w:p>
                        <w:pPr/>
                      </w:p>
                    </w:tc>
                    <w:tc>
                      <w:tcPr>
                        <w:tcW w:w="1361" w:type="dxa"/>
                      </w:tcPr>
                      <w:p>
                        <w:pPr/>
                      </w:p>
                    </w:tc>
                    <w:tc>
                      <w:tcPr>
                        <w:tcW w:w="1361" w:type="dxa"/>
                      </w:tcPr>
                      <w:p>
                        <w:pPr/>
                      </w:p>
                    </w:tc>
                    <w:tc>
                      <w:tcPr>
                        <w:tcW w:w="1361" w:type="dxa"/>
                        <w:tcBorders>
                          <w:right w:val="nil"/>
                        </w:tcBorders>
                      </w:tcPr>
                      <w:p>
                        <w:pPr/>
                      </w:p>
                    </w:tc>
                  </w:tr>
                  <w:tr>
                    <w:trPr>
                      <w:trHeight w:val="354" w:hRule="exact"/>
                    </w:trPr>
                    <w:tc>
                      <w:tcPr>
                        <w:tcW w:w="3345" w:type="dxa"/>
                        <w:tcBorders>
                          <w:left w:val="nil"/>
                        </w:tcBorders>
                      </w:tcPr>
                      <w:p>
                        <w:pPr>
                          <w:pStyle w:val="TableParagraph"/>
                          <w:ind w:left="453"/>
                          <w:rPr>
                            <w:sz w:val="17"/>
                          </w:rPr>
                        </w:pPr>
                        <w:r>
                          <w:rPr>
                            <w:color w:val="231F20"/>
                            <w:w w:val="110"/>
                            <w:sz w:val="17"/>
                          </w:rPr>
                          <w:t>Completa (%)</w:t>
                        </w:r>
                      </w:p>
                    </w:tc>
                    <w:tc>
                      <w:tcPr>
                        <w:tcW w:w="1361" w:type="dxa"/>
                      </w:tcPr>
                      <w:p>
                        <w:pPr>
                          <w:pStyle w:val="TableParagraph"/>
                          <w:ind w:left="133" w:right="133"/>
                          <w:jc w:val="center"/>
                          <w:rPr>
                            <w:sz w:val="17"/>
                          </w:rPr>
                        </w:pPr>
                        <w:r>
                          <w:rPr>
                            <w:color w:val="231F20"/>
                            <w:w w:val="110"/>
                            <w:sz w:val="17"/>
                          </w:rPr>
                          <w:t>84,21</w:t>
                        </w:r>
                      </w:p>
                    </w:tc>
                    <w:tc>
                      <w:tcPr>
                        <w:tcW w:w="1361" w:type="dxa"/>
                      </w:tcPr>
                      <w:p>
                        <w:pPr>
                          <w:pStyle w:val="TableParagraph"/>
                          <w:ind w:left="133" w:right="133"/>
                          <w:jc w:val="center"/>
                          <w:rPr>
                            <w:sz w:val="17"/>
                          </w:rPr>
                        </w:pPr>
                        <w:r>
                          <w:rPr>
                            <w:color w:val="231F20"/>
                            <w:w w:val="110"/>
                            <w:sz w:val="17"/>
                          </w:rPr>
                          <w:t>83,33</w:t>
                        </w:r>
                      </w:p>
                    </w:tc>
                    <w:tc>
                      <w:tcPr>
                        <w:tcW w:w="1361" w:type="dxa"/>
                      </w:tcPr>
                      <w:p>
                        <w:pPr>
                          <w:pStyle w:val="TableParagraph"/>
                          <w:ind w:left="133" w:right="133"/>
                          <w:jc w:val="center"/>
                          <w:rPr>
                            <w:sz w:val="17"/>
                          </w:rPr>
                        </w:pPr>
                        <w:r>
                          <w:rPr>
                            <w:color w:val="231F20"/>
                            <w:w w:val="110"/>
                            <w:sz w:val="17"/>
                          </w:rPr>
                          <w:t>100,00</w:t>
                        </w:r>
                      </w:p>
                    </w:tc>
                    <w:tc>
                      <w:tcPr>
                        <w:tcW w:w="1361" w:type="dxa"/>
                        <w:tcBorders>
                          <w:right w:val="nil"/>
                        </w:tcBorders>
                      </w:tcPr>
                      <w:p>
                        <w:pPr>
                          <w:pStyle w:val="TableParagraph"/>
                          <w:ind w:left="274" w:right="278"/>
                          <w:jc w:val="center"/>
                          <w:rPr>
                            <w:sz w:val="17"/>
                          </w:rPr>
                        </w:pPr>
                        <w:r>
                          <w:rPr>
                            <w:color w:val="231F20"/>
                            <w:w w:val="110"/>
                            <w:sz w:val="17"/>
                          </w:rPr>
                          <w:t>86,00</w:t>
                        </w:r>
                      </w:p>
                    </w:tc>
                  </w:tr>
                  <w:tr>
                    <w:trPr>
                      <w:trHeight w:val="354" w:hRule="exact"/>
                    </w:trPr>
                    <w:tc>
                      <w:tcPr>
                        <w:tcW w:w="3345" w:type="dxa"/>
                        <w:tcBorders>
                          <w:left w:val="nil"/>
                        </w:tcBorders>
                      </w:tcPr>
                      <w:p>
                        <w:pPr>
                          <w:pStyle w:val="TableParagraph"/>
                          <w:ind w:left="453"/>
                          <w:rPr>
                            <w:sz w:val="17"/>
                          </w:rPr>
                        </w:pPr>
                        <w:r>
                          <w:rPr>
                            <w:color w:val="231F20"/>
                            <w:w w:val="110"/>
                            <w:sz w:val="17"/>
                          </w:rPr>
                          <w:t>Parcial (%)</w:t>
                        </w:r>
                      </w:p>
                    </w:tc>
                    <w:tc>
                      <w:tcPr>
                        <w:tcW w:w="1361" w:type="dxa"/>
                      </w:tcPr>
                      <w:p>
                        <w:pPr>
                          <w:pStyle w:val="TableParagraph"/>
                          <w:ind w:left="128" w:right="133"/>
                          <w:jc w:val="center"/>
                          <w:rPr>
                            <w:sz w:val="17"/>
                          </w:rPr>
                        </w:pPr>
                        <w:r>
                          <w:rPr>
                            <w:color w:val="231F20"/>
                            <w:w w:val="110"/>
                            <w:sz w:val="17"/>
                          </w:rPr>
                          <w:t>15,79</w:t>
                        </w:r>
                      </w:p>
                    </w:tc>
                    <w:tc>
                      <w:tcPr>
                        <w:tcW w:w="1361" w:type="dxa"/>
                      </w:tcPr>
                      <w:p>
                        <w:pPr>
                          <w:pStyle w:val="TableParagraph"/>
                          <w:ind w:left="133" w:right="133"/>
                          <w:jc w:val="center"/>
                          <w:rPr>
                            <w:sz w:val="17"/>
                          </w:rPr>
                        </w:pPr>
                        <w:r>
                          <w:rPr>
                            <w:color w:val="231F20"/>
                            <w:w w:val="110"/>
                            <w:sz w:val="17"/>
                          </w:rPr>
                          <w:t>16,67</w:t>
                        </w:r>
                      </w:p>
                    </w:tc>
                    <w:tc>
                      <w:tcPr>
                        <w:tcW w:w="1361" w:type="dxa"/>
                      </w:tcPr>
                      <w:p>
                        <w:pPr>
                          <w:pStyle w:val="TableParagraph"/>
                          <w:ind w:left="303" w:right="133"/>
                          <w:jc w:val="center"/>
                          <w:rPr>
                            <w:sz w:val="17"/>
                          </w:rPr>
                        </w:pPr>
                        <w:r>
                          <w:rPr>
                            <w:color w:val="231F20"/>
                            <w:w w:val="110"/>
                            <w:sz w:val="17"/>
                          </w:rPr>
                          <w:t>0,00</w:t>
                        </w:r>
                      </w:p>
                    </w:tc>
                    <w:tc>
                      <w:tcPr>
                        <w:tcW w:w="1361" w:type="dxa"/>
                        <w:tcBorders>
                          <w:right w:val="nil"/>
                        </w:tcBorders>
                      </w:tcPr>
                      <w:p>
                        <w:pPr>
                          <w:pStyle w:val="TableParagraph"/>
                          <w:ind w:left="274" w:right="278"/>
                          <w:jc w:val="center"/>
                          <w:rPr>
                            <w:sz w:val="17"/>
                          </w:rPr>
                        </w:pPr>
                        <w:r>
                          <w:rPr>
                            <w:color w:val="231F20"/>
                            <w:w w:val="110"/>
                            <w:sz w:val="17"/>
                          </w:rPr>
                          <w:t>14,00</w:t>
                        </w:r>
                      </w:p>
                    </w:tc>
                  </w:tr>
                </w:tbl>
                <w:p>
                  <w:pPr>
                    <w:pStyle w:val="BodyText"/>
                  </w:pPr>
                </w:p>
              </w:txbxContent>
            </v:textbox>
            <w10:wrap type="none"/>
          </v:shape>
        </w:pict>
      </w:r>
      <w:r>
        <w:rPr>
          <w:color w:val="231F20"/>
          <w:w w:val="105"/>
          <w:sz w:val="18"/>
        </w:rPr>
        <w:t>Cuadro 5. Estructura familiar.</w:t>
      </w:r>
    </w:p>
    <w:p>
      <w:pPr>
        <w:spacing w:after="0"/>
        <w:jc w:val="left"/>
        <w:rPr>
          <w:sz w:val="18"/>
        </w:rPr>
        <w:sectPr>
          <w:pgSz w:w="11900" w:h="14450"/>
          <w:pgMar w:header="0" w:footer="222"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8"/>
        </w:rPr>
      </w:pPr>
    </w:p>
    <w:p>
      <w:pPr>
        <w:spacing w:before="1"/>
        <w:ind w:left="1553" w:right="0" w:firstLine="0"/>
        <w:jc w:val="both"/>
        <w:rPr>
          <w:rFonts w:ascii="Cambria"/>
          <w:i/>
          <w:sz w:val="20"/>
        </w:rPr>
      </w:pPr>
      <w:r>
        <w:rPr>
          <w:rFonts w:ascii="Cambria"/>
          <w:i/>
          <w:color w:val="231F20"/>
          <w:w w:val="110"/>
          <w:sz w:val="20"/>
        </w:rPr>
        <w:t>Mano de obra</w:t>
      </w:r>
    </w:p>
    <w:p>
      <w:pPr>
        <w:pStyle w:val="BodyText"/>
        <w:spacing w:line="273" w:lineRule="auto" w:before="156"/>
        <w:ind w:left="1553"/>
        <w:jc w:val="both"/>
      </w:pPr>
      <w:r>
        <w:rPr>
          <w:color w:val="231F20"/>
        </w:rPr>
        <w:t>La disponibilidad de mano de obra en las unida- des de producción está directamente relacionada con el tamaño de la familia. En el Cuadro 6 se muestra la disponibilidad de unidades de trabajo año (UTA). Se observa que E3 es el estrato </w:t>
      </w:r>
      <w:r>
        <w:rPr>
          <w:color w:val="231F20"/>
          <w:spacing w:val="2"/>
        </w:rPr>
        <w:t>que </w:t>
      </w:r>
      <w:r>
        <w:rPr>
          <w:color w:val="231F20"/>
        </w:rPr>
        <w:t>mayor disponibilidad presenta. También puede verse que el mayor porcentaje de la  mano  de  obra es de tipo familiar. Sin embargo, la presencia de mano de obra contratada es relevante, sobre todo en E3 y E1. Esta tendencia también obede-   ce a la especialización en las unidades de pro- ducción. La contratación de mano de obra puede ser</w:t>
      </w:r>
      <w:r>
        <w:rPr>
          <w:color w:val="231F20"/>
          <w:spacing w:val="32"/>
        </w:rPr>
        <w:t> </w:t>
      </w:r>
      <w:r>
        <w:rPr>
          <w:color w:val="231F20"/>
        </w:rPr>
        <w:t>eventual</w:t>
      </w:r>
      <w:r>
        <w:rPr>
          <w:color w:val="231F20"/>
          <w:spacing w:val="32"/>
        </w:rPr>
        <w:t> </w:t>
      </w:r>
      <w:r>
        <w:rPr>
          <w:color w:val="231F20"/>
        </w:rPr>
        <w:t>o</w:t>
      </w:r>
      <w:r>
        <w:rPr>
          <w:color w:val="231F20"/>
          <w:spacing w:val="32"/>
        </w:rPr>
        <w:t> </w:t>
      </w:r>
      <w:r>
        <w:rPr>
          <w:color w:val="231F20"/>
        </w:rPr>
        <w:t>temporal,</w:t>
      </w:r>
      <w:r>
        <w:rPr>
          <w:color w:val="231F20"/>
          <w:spacing w:val="32"/>
        </w:rPr>
        <w:t> </w:t>
      </w:r>
      <w:r>
        <w:rPr>
          <w:color w:val="231F20"/>
        </w:rPr>
        <w:t>como</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rPr>
        <w:t>caso</w:t>
      </w:r>
      <w:r>
        <w:rPr>
          <w:color w:val="231F20"/>
          <w:spacing w:val="32"/>
        </w:rPr>
        <w:t> </w:t>
      </w:r>
      <w:r>
        <w:rPr>
          <w:color w:val="231F20"/>
        </w:rPr>
        <w:t>de</w:t>
      </w:r>
      <w:r>
        <w:rPr>
          <w:color w:val="231F20"/>
          <w:spacing w:val="32"/>
        </w:rPr>
        <w:t> </w:t>
      </w:r>
      <w:r>
        <w:rPr>
          <w:color w:val="231F20"/>
          <w:spacing w:val="2"/>
        </w:rPr>
        <w:t>E1,</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8"/>
        </w:rPr>
      </w:pPr>
    </w:p>
    <w:p>
      <w:pPr>
        <w:pStyle w:val="BodyText"/>
        <w:spacing w:line="256" w:lineRule="auto"/>
        <w:ind w:left="410" w:right="1551"/>
        <w:jc w:val="both"/>
      </w:pPr>
      <w:r>
        <w:rPr>
          <w:color w:val="231F20"/>
        </w:rPr>
        <w:t>mientras que en el estrato de mayor tamaño el 67%  es  mano  de  obra</w:t>
      </w:r>
      <w:r>
        <w:rPr>
          <w:color w:val="231F20"/>
          <w:spacing w:val="2"/>
        </w:rPr>
        <w:t> </w:t>
      </w:r>
      <w:r>
        <w:rPr>
          <w:color w:val="231F20"/>
        </w:rPr>
        <w:t>fija.</w:t>
      </w:r>
    </w:p>
    <w:p>
      <w:pPr>
        <w:pStyle w:val="BodyText"/>
        <w:spacing w:before="6"/>
        <w:rPr>
          <w:sz w:val="18"/>
        </w:rPr>
      </w:pPr>
    </w:p>
    <w:p>
      <w:pPr>
        <w:spacing w:before="0"/>
        <w:ind w:left="410" w:right="0" w:firstLine="0"/>
        <w:jc w:val="both"/>
        <w:rPr>
          <w:rFonts w:ascii="Cambria"/>
          <w:i/>
          <w:sz w:val="20"/>
        </w:rPr>
      </w:pPr>
      <w:r>
        <w:rPr>
          <w:rFonts w:ascii="Cambria"/>
          <w:i/>
          <w:color w:val="231F20"/>
          <w:w w:val="105"/>
          <w:sz w:val="20"/>
        </w:rPr>
        <w:t>Estructura del hato</w:t>
      </w:r>
    </w:p>
    <w:p>
      <w:pPr>
        <w:pStyle w:val="BodyText"/>
        <w:spacing w:line="256" w:lineRule="auto" w:before="139"/>
        <w:ind w:left="410" w:right="1551"/>
        <w:jc w:val="both"/>
      </w:pPr>
      <w:r>
        <w:rPr>
          <w:color w:val="231F20"/>
        </w:rPr>
        <w:t>La estructura del hato se muestra en el Cuadro </w:t>
      </w:r>
      <w:r>
        <w:rPr>
          <w:color w:val="231F20"/>
          <w:spacing w:val="-13"/>
        </w:rPr>
        <w:t>7.  </w:t>
      </w:r>
      <w:r>
        <w:rPr>
          <w:color w:val="231F20"/>
        </w:rPr>
        <w:t>Se observa que el estrato E3 es el que tiene mayor número de unidades ganaderas totales, unidades ganaderas bovinas y vacas. Las vacas para cría re- presentan el 63% de las unidades ganaderas bo- vinas en los tres estratos, y el resto lo conforman animales para reemplazo, becerros/as  y  anima-  les para desecho o sementales. La presencia de ovinos y caprinos es muy moderada, ya que sólo representan el 5,88% de las unidades ganaderas totales.</w:t>
      </w:r>
    </w:p>
    <w:p>
      <w:pPr>
        <w:spacing w:after="0" w:line="256" w:lineRule="auto"/>
        <w:jc w:val="both"/>
        <w:sectPr>
          <w:type w:val="continuous"/>
          <w:pgSz w:w="11900" w:h="14450"/>
          <w:pgMar w:top="420" w:bottom="420" w:left="0" w:right="0"/>
          <w:cols w:num="2" w:equalWidth="0">
            <w:col w:w="5724" w:space="40"/>
            <w:col w:w="6136"/>
          </w:cols>
        </w:sectPr>
      </w:pPr>
    </w:p>
    <w:p>
      <w:pPr>
        <w:pStyle w:val="BodyText"/>
      </w:pPr>
    </w:p>
    <w:p>
      <w:pPr>
        <w:pStyle w:val="BodyText"/>
        <w:spacing w:before="9"/>
        <w:rPr>
          <w:sz w:val="19"/>
        </w:rPr>
      </w:pPr>
    </w:p>
    <w:p>
      <w:pPr>
        <w:spacing w:before="1"/>
        <w:ind w:left="1553" w:right="2503" w:firstLine="0"/>
        <w:jc w:val="left"/>
        <w:rPr>
          <w:sz w:val="18"/>
        </w:rPr>
      </w:pPr>
      <w:r>
        <w:rPr>
          <w:color w:val="231F20"/>
          <w:sz w:val="18"/>
        </w:rPr>
        <w:t>Cuadro 6.        Disponibilidad de mano de obra en las unidades de producción.</w:t>
      </w:r>
    </w:p>
    <w:p>
      <w:pPr>
        <w:pStyle w:val="BodyText"/>
        <w:spacing w:before="10"/>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345"/>
        <w:gridCol w:w="1361"/>
        <w:gridCol w:w="1361"/>
        <w:gridCol w:w="1361"/>
        <w:gridCol w:w="1361"/>
      </w:tblGrid>
      <w:tr>
        <w:trPr>
          <w:trHeight w:val="369" w:hRule="exact"/>
        </w:trPr>
        <w:tc>
          <w:tcPr>
            <w:tcW w:w="3345" w:type="dxa"/>
            <w:tcBorders>
              <w:left w:val="nil"/>
            </w:tcBorders>
          </w:tcPr>
          <w:p>
            <w:pPr/>
          </w:p>
        </w:tc>
        <w:tc>
          <w:tcPr>
            <w:tcW w:w="1361" w:type="dxa"/>
          </w:tcPr>
          <w:p>
            <w:pPr>
              <w:pStyle w:val="TableParagraph"/>
              <w:spacing w:before="79"/>
              <w:ind w:left="133" w:right="133"/>
              <w:jc w:val="center"/>
              <w:rPr>
                <w:rFonts w:ascii="Cambria"/>
                <w:i/>
                <w:sz w:val="18"/>
              </w:rPr>
            </w:pPr>
            <w:r>
              <w:rPr>
                <w:rFonts w:ascii="Cambria"/>
                <w:i/>
                <w:color w:val="231F20"/>
                <w:sz w:val="18"/>
              </w:rPr>
              <w:t>E1</w:t>
            </w:r>
          </w:p>
        </w:tc>
        <w:tc>
          <w:tcPr>
            <w:tcW w:w="1361" w:type="dxa"/>
          </w:tcPr>
          <w:p>
            <w:pPr>
              <w:pStyle w:val="TableParagraph"/>
              <w:spacing w:before="79"/>
              <w:ind w:left="133" w:right="133"/>
              <w:jc w:val="center"/>
              <w:rPr>
                <w:rFonts w:ascii="Cambria"/>
                <w:i/>
                <w:sz w:val="18"/>
              </w:rPr>
            </w:pPr>
            <w:r>
              <w:rPr>
                <w:rFonts w:ascii="Cambria"/>
                <w:i/>
                <w:color w:val="231F20"/>
                <w:sz w:val="18"/>
              </w:rPr>
              <w:t>E2</w:t>
            </w:r>
          </w:p>
        </w:tc>
        <w:tc>
          <w:tcPr>
            <w:tcW w:w="1361" w:type="dxa"/>
          </w:tcPr>
          <w:p>
            <w:pPr>
              <w:pStyle w:val="TableParagraph"/>
              <w:spacing w:before="79"/>
              <w:ind w:left="133" w:right="133"/>
              <w:jc w:val="center"/>
              <w:rPr>
                <w:rFonts w:ascii="Cambria"/>
                <w:i/>
                <w:sz w:val="18"/>
              </w:rPr>
            </w:pPr>
            <w:r>
              <w:rPr>
                <w:rFonts w:ascii="Cambria"/>
                <w:i/>
                <w:color w:val="231F20"/>
                <w:sz w:val="18"/>
              </w:rPr>
              <w:t>E3</w:t>
            </w:r>
          </w:p>
        </w:tc>
        <w:tc>
          <w:tcPr>
            <w:tcW w:w="1361" w:type="dxa"/>
            <w:tcBorders>
              <w:right w:val="nil"/>
            </w:tcBorders>
          </w:tcPr>
          <w:p>
            <w:pPr>
              <w:pStyle w:val="TableParagraph"/>
              <w:spacing w:before="79"/>
              <w:ind w:left="275" w:right="278"/>
              <w:jc w:val="center"/>
              <w:rPr>
                <w:rFonts w:ascii="Cambria"/>
                <w:i/>
                <w:sz w:val="18"/>
              </w:rPr>
            </w:pPr>
            <w:r>
              <w:rPr>
                <w:rFonts w:ascii="Cambria"/>
                <w:i/>
                <w:color w:val="231F20"/>
                <w:w w:val="105"/>
                <w:sz w:val="18"/>
              </w:rPr>
              <w:t>Promedio</w:t>
            </w:r>
          </w:p>
        </w:tc>
      </w:tr>
      <w:tr>
        <w:trPr>
          <w:trHeight w:val="354" w:hRule="exact"/>
        </w:trPr>
        <w:tc>
          <w:tcPr>
            <w:tcW w:w="3345" w:type="dxa"/>
            <w:tcBorders>
              <w:left w:val="nil"/>
            </w:tcBorders>
          </w:tcPr>
          <w:p>
            <w:pPr>
              <w:pStyle w:val="TableParagraph"/>
              <w:ind w:left="113"/>
              <w:rPr>
                <w:sz w:val="17"/>
              </w:rPr>
            </w:pPr>
            <w:r>
              <w:rPr>
                <w:color w:val="231F20"/>
                <w:sz w:val="17"/>
              </w:rPr>
              <w:t>UTA familiar</w:t>
            </w:r>
          </w:p>
        </w:tc>
        <w:tc>
          <w:tcPr>
            <w:tcW w:w="1361" w:type="dxa"/>
          </w:tcPr>
          <w:p>
            <w:pPr>
              <w:pStyle w:val="TableParagraph"/>
              <w:ind w:left="217" w:right="133"/>
              <w:jc w:val="center"/>
              <w:rPr>
                <w:sz w:val="17"/>
              </w:rPr>
            </w:pPr>
            <w:r>
              <w:rPr>
                <w:color w:val="231F20"/>
                <w:w w:val="110"/>
                <w:sz w:val="17"/>
              </w:rPr>
              <w:t>1,28</w:t>
            </w:r>
          </w:p>
        </w:tc>
        <w:tc>
          <w:tcPr>
            <w:tcW w:w="1361" w:type="dxa"/>
          </w:tcPr>
          <w:p>
            <w:pPr>
              <w:pStyle w:val="TableParagraph"/>
              <w:ind w:left="217" w:right="133"/>
              <w:jc w:val="center"/>
              <w:rPr>
                <w:sz w:val="17"/>
              </w:rPr>
            </w:pPr>
            <w:r>
              <w:rPr>
                <w:color w:val="231F20"/>
                <w:w w:val="110"/>
                <w:sz w:val="17"/>
              </w:rPr>
              <w:t>1,14</w:t>
            </w:r>
          </w:p>
        </w:tc>
        <w:tc>
          <w:tcPr>
            <w:tcW w:w="1361" w:type="dxa"/>
          </w:tcPr>
          <w:p>
            <w:pPr>
              <w:pStyle w:val="TableParagraph"/>
              <w:ind w:left="217" w:right="133"/>
              <w:jc w:val="center"/>
              <w:rPr>
                <w:sz w:val="17"/>
              </w:rPr>
            </w:pPr>
            <w:r>
              <w:rPr>
                <w:color w:val="231F20"/>
                <w:w w:val="110"/>
                <w:sz w:val="17"/>
              </w:rPr>
              <w:t>1,34</w:t>
            </w:r>
          </w:p>
        </w:tc>
        <w:tc>
          <w:tcPr>
            <w:tcW w:w="1361" w:type="dxa"/>
            <w:tcBorders>
              <w:right w:val="nil"/>
            </w:tcBorders>
          </w:tcPr>
          <w:p>
            <w:pPr>
              <w:pStyle w:val="TableParagraph"/>
              <w:ind w:left="275" w:right="196"/>
              <w:jc w:val="center"/>
              <w:rPr>
                <w:sz w:val="17"/>
              </w:rPr>
            </w:pPr>
            <w:r>
              <w:rPr>
                <w:color w:val="231F20"/>
                <w:w w:val="110"/>
                <w:sz w:val="17"/>
              </w:rPr>
              <w:t>1,27</w:t>
            </w:r>
          </w:p>
        </w:tc>
      </w:tr>
      <w:tr>
        <w:trPr>
          <w:trHeight w:val="354" w:hRule="exact"/>
        </w:trPr>
        <w:tc>
          <w:tcPr>
            <w:tcW w:w="3345" w:type="dxa"/>
            <w:tcBorders>
              <w:left w:val="nil"/>
            </w:tcBorders>
          </w:tcPr>
          <w:p>
            <w:pPr>
              <w:pStyle w:val="TableParagraph"/>
              <w:ind w:left="453"/>
              <w:rPr>
                <w:sz w:val="17"/>
              </w:rPr>
            </w:pPr>
            <w:r>
              <w:rPr>
                <w:color w:val="231F20"/>
                <w:w w:val="105"/>
                <w:sz w:val="17"/>
              </w:rPr>
              <w:t>UTA familiar/UTA total (%)</w:t>
            </w:r>
          </w:p>
        </w:tc>
        <w:tc>
          <w:tcPr>
            <w:tcW w:w="1361" w:type="dxa"/>
          </w:tcPr>
          <w:p>
            <w:pPr>
              <w:pStyle w:val="TableParagraph"/>
              <w:ind w:left="133" w:right="133"/>
              <w:jc w:val="center"/>
              <w:rPr>
                <w:sz w:val="17"/>
              </w:rPr>
            </w:pPr>
            <w:r>
              <w:rPr>
                <w:color w:val="231F20"/>
                <w:w w:val="110"/>
                <w:sz w:val="17"/>
              </w:rPr>
              <w:t>72,62</w:t>
            </w:r>
          </w:p>
        </w:tc>
        <w:tc>
          <w:tcPr>
            <w:tcW w:w="1361" w:type="dxa"/>
          </w:tcPr>
          <w:p>
            <w:pPr>
              <w:pStyle w:val="TableParagraph"/>
              <w:ind w:left="133" w:right="133"/>
              <w:jc w:val="center"/>
              <w:rPr>
                <w:sz w:val="17"/>
              </w:rPr>
            </w:pPr>
            <w:r>
              <w:rPr>
                <w:color w:val="231F20"/>
                <w:w w:val="110"/>
                <w:sz w:val="17"/>
              </w:rPr>
              <w:t>69,00</w:t>
            </w:r>
          </w:p>
        </w:tc>
        <w:tc>
          <w:tcPr>
            <w:tcW w:w="1361" w:type="dxa"/>
          </w:tcPr>
          <w:p>
            <w:pPr>
              <w:pStyle w:val="TableParagraph"/>
              <w:ind w:left="133" w:right="133"/>
              <w:jc w:val="center"/>
              <w:rPr>
                <w:sz w:val="17"/>
              </w:rPr>
            </w:pPr>
            <w:r>
              <w:rPr>
                <w:color w:val="231F20"/>
                <w:w w:val="110"/>
                <w:sz w:val="17"/>
              </w:rPr>
              <w:t>66,91</w:t>
            </w:r>
          </w:p>
        </w:tc>
        <w:tc>
          <w:tcPr>
            <w:tcW w:w="1361" w:type="dxa"/>
            <w:tcBorders>
              <w:right w:val="nil"/>
            </w:tcBorders>
          </w:tcPr>
          <w:p>
            <w:pPr>
              <w:pStyle w:val="TableParagraph"/>
              <w:ind w:left="275" w:right="278"/>
              <w:jc w:val="center"/>
              <w:rPr>
                <w:sz w:val="17"/>
              </w:rPr>
            </w:pPr>
            <w:r>
              <w:rPr>
                <w:color w:val="231F20"/>
                <w:w w:val="110"/>
                <w:sz w:val="17"/>
              </w:rPr>
              <w:t>76,06</w:t>
            </w:r>
          </w:p>
        </w:tc>
      </w:tr>
      <w:tr>
        <w:trPr>
          <w:trHeight w:val="354" w:hRule="exact"/>
        </w:trPr>
        <w:tc>
          <w:tcPr>
            <w:tcW w:w="3345" w:type="dxa"/>
            <w:tcBorders>
              <w:left w:val="nil"/>
            </w:tcBorders>
          </w:tcPr>
          <w:p>
            <w:pPr>
              <w:pStyle w:val="TableParagraph"/>
              <w:ind w:left="113"/>
              <w:rPr>
                <w:sz w:val="17"/>
              </w:rPr>
            </w:pPr>
            <w:r>
              <w:rPr>
                <w:color w:val="231F20"/>
                <w:sz w:val="17"/>
              </w:rPr>
              <w:t>UTA contratada</w:t>
            </w:r>
          </w:p>
        </w:tc>
        <w:tc>
          <w:tcPr>
            <w:tcW w:w="1361" w:type="dxa"/>
          </w:tcPr>
          <w:p>
            <w:pPr>
              <w:pStyle w:val="TableParagraph"/>
              <w:ind w:left="217" w:right="133"/>
              <w:jc w:val="center"/>
              <w:rPr>
                <w:sz w:val="17"/>
              </w:rPr>
            </w:pPr>
            <w:r>
              <w:rPr>
                <w:color w:val="231F20"/>
                <w:w w:val="110"/>
                <w:sz w:val="17"/>
              </w:rPr>
              <w:t>0,28</w:t>
            </w:r>
          </w:p>
        </w:tc>
        <w:tc>
          <w:tcPr>
            <w:tcW w:w="1361" w:type="dxa"/>
          </w:tcPr>
          <w:p>
            <w:pPr>
              <w:pStyle w:val="TableParagraph"/>
              <w:ind w:left="218" w:right="133"/>
              <w:jc w:val="center"/>
              <w:rPr>
                <w:sz w:val="17"/>
              </w:rPr>
            </w:pPr>
            <w:r>
              <w:rPr>
                <w:color w:val="231F20"/>
                <w:w w:val="110"/>
                <w:sz w:val="17"/>
              </w:rPr>
              <w:t>0,51</w:t>
            </w:r>
          </w:p>
        </w:tc>
        <w:tc>
          <w:tcPr>
            <w:tcW w:w="1361" w:type="dxa"/>
          </w:tcPr>
          <w:p>
            <w:pPr>
              <w:pStyle w:val="TableParagraph"/>
              <w:ind w:left="211" w:right="133"/>
              <w:jc w:val="center"/>
              <w:rPr>
                <w:sz w:val="17"/>
              </w:rPr>
            </w:pPr>
            <w:r>
              <w:rPr>
                <w:color w:val="231F20"/>
                <w:w w:val="110"/>
                <w:sz w:val="17"/>
              </w:rPr>
              <w:t>0,72</w:t>
            </w:r>
          </w:p>
        </w:tc>
        <w:tc>
          <w:tcPr>
            <w:tcW w:w="1361" w:type="dxa"/>
            <w:tcBorders>
              <w:right w:val="nil"/>
            </w:tcBorders>
          </w:tcPr>
          <w:p>
            <w:pPr>
              <w:pStyle w:val="TableParagraph"/>
              <w:ind w:left="275" w:right="195"/>
              <w:jc w:val="center"/>
              <w:rPr>
                <w:sz w:val="17"/>
              </w:rPr>
            </w:pPr>
            <w:r>
              <w:rPr>
                <w:color w:val="231F20"/>
                <w:w w:val="110"/>
                <w:sz w:val="17"/>
              </w:rPr>
              <w:t>0,36</w:t>
            </w:r>
          </w:p>
        </w:tc>
      </w:tr>
      <w:tr>
        <w:trPr>
          <w:trHeight w:val="354" w:hRule="exact"/>
        </w:trPr>
        <w:tc>
          <w:tcPr>
            <w:tcW w:w="3345" w:type="dxa"/>
            <w:tcBorders>
              <w:left w:val="nil"/>
            </w:tcBorders>
          </w:tcPr>
          <w:p>
            <w:pPr>
              <w:pStyle w:val="TableParagraph"/>
              <w:ind w:left="453"/>
              <w:rPr>
                <w:sz w:val="17"/>
              </w:rPr>
            </w:pPr>
            <w:r>
              <w:rPr>
                <w:color w:val="231F20"/>
                <w:w w:val="105"/>
                <w:sz w:val="17"/>
              </w:rPr>
              <w:t>UTA eventual/UTA contratada (%)</w:t>
            </w:r>
          </w:p>
        </w:tc>
        <w:tc>
          <w:tcPr>
            <w:tcW w:w="1361" w:type="dxa"/>
          </w:tcPr>
          <w:p>
            <w:pPr>
              <w:pStyle w:val="TableParagraph"/>
              <w:ind w:left="132" w:right="133"/>
              <w:jc w:val="center"/>
              <w:rPr>
                <w:sz w:val="17"/>
              </w:rPr>
            </w:pPr>
            <w:r>
              <w:rPr>
                <w:color w:val="231F20"/>
                <w:w w:val="110"/>
                <w:sz w:val="17"/>
              </w:rPr>
              <w:t>58,57</w:t>
            </w:r>
          </w:p>
        </w:tc>
        <w:tc>
          <w:tcPr>
            <w:tcW w:w="1361" w:type="dxa"/>
          </w:tcPr>
          <w:p>
            <w:pPr>
              <w:pStyle w:val="TableParagraph"/>
              <w:ind w:left="133" w:right="133"/>
              <w:jc w:val="center"/>
              <w:rPr>
                <w:sz w:val="17"/>
              </w:rPr>
            </w:pPr>
            <w:r>
              <w:rPr>
                <w:color w:val="231F20"/>
                <w:w w:val="110"/>
                <w:sz w:val="17"/>
              </w:rPr>
              <w:t>40,54</w:t>
            </w:r>
          </w:p>
        </w:tc>
        <w:tc>
          <w:tcPr>
            <w:tcW w:w="1361" w:type="dxa"/>
          </w:tcPr>
          <w:p>
            <w:pPr>
              <w:pStyle w:val="TableParagraph"/>
              <w:ind w:left="132" w:right="133"/>
              <w:jc w:val="center"/>
              <w:rPr>
                <w:sz w:val="17"/>
              </w:rPr>
            </w:pPr>
            <w:r>
              <w:rPr>
                <w:color w:val="231F20"/>
                <w:w w:val="110"/>
                <w:sz w:val="17"/>
              </w:rPr>
              <w:t>24,27</w:t>
            </w:r>
          </w:p>
        </w:tc>
        <w:tc>
          <w:tcPr>
            <w:tcW w:w="1361" w:type="dxa"/>
            <w:tcBorders>
              <w:right w:val="nil"/>
            </w:tcBorders>
          </w:tcPr>
          <w:p>
            <w:pPr>
              <w:pStyle w:val="TableParagraph"/>
              <w:ind w:left="275" w:right="277"/>
              <w:jc w:val="center"/>
              <w:rPr>
                <w:sz w:val="17"/>
              </w:rPr>
            </w:pPr>
            <w:r>
              <w:rPr>
                <w:color w:val="231F20"/>
                <w:w w:val="110"/>
                <w:sz w:val="17"/>
              </w:rPr>
              <w:t>47,20</w:t>
            </w:r>
          </w:p>
        </w:tc>
      </w:tr>
      <w:tr>
        <w:trPr>
          <w:trHeight w:val="354" w:hRule="exact"/>
        </w:trPr>
        <w:tc>
          <w:tcPr>
            <w:tcW w:w="3345" w:type="dxa"/>
            <w:tcBorders>
              <w:left w:val="nil"/>
            </w:tcBorders>
          </w:tcPr>
          <w:p>
            <w:pPr>
              <w:pStyle w:val="TableParagraph"/>
              <w:ind w:left="453"/>
              <w:rPr>
                <w:sz w:val="17"/>
              </w:rPr>
            </w:pPr>
            <w:r>
              <w:rPr>
                <w:color w:val="231F20"/>
                <w:w w:val="105"/>
                <w:sz w:val="17"/>
              </w:rPr>
              <w:t>UTA fija/UTA contratada (%)</w:t>
            </w:r>
          </w:p>
        </w:tc>
        <w:tc>
          <w:tcPr>
            <w:tcW w:w="1361" w:type="dxa"/>
          </w:tcPr>
          <w:p>
            <w:pPr>
              <w:pStyle w:val="TableParagraph"/>
              <w:ind w:left="133" w:right="133"/>
              <w:jc w:val="center"/>
              <w:rPr>
                <w:sz w:val="17"/>
              </w:rPr>
            </w:pPr>
            <w:r>
              <w:rPr>
                <w:color w:val="231F20"/>
                <w:w w:val="110"/>
                <w:sz w:val="17"/>
              </w:rPr>
              <w:t>41,43</w:t>
            </w:r>
          </w:p>
        </w:tc>
        <w:tc>
          <w:tcPr>
            <w:tcW w:w="1361" w:type="dxa"/>
          </w:tcPr>
          <w:p>
            <w:pPr>
              <w:pStyle w:val="TableParagraph"/>
              <w:ind w:left="133" w:right="133"/>
              <w:jc w:val="center"/>
              <w:rPr>
                <w:sz w:val="17"/>
              </w:rPr>
            </w:pPr>
            <w:r>
              <w:rPr>
                <w:color w:val="231F20"/>
                <w:w w:val="110"/>
                <w:sz w:val="17"/>
              </w:rPr>
              <w:t>59,46</w:t>
            </w:r>
          </w:p>
        </w:tc>
        <w:tc>
          <w:tcPr>
            <w:tcW w:w="1361" w:type="dxa"/>
          </w:tcPr>
          <w:p>
            <w:pPr>
              <w:pStyle w:val="TableParagraph"/>
              <w:ind w:left="129" w:right="133"/>
              <w:jc w:val="center"/>
              <w:rPr>
                <w:sz w:val="17"/>
              </w:rPr>
            </w:pPr>
            <w:r>
              <w:rPr>
                <w:color w:val="231F20"/>
                <w:w w:val="110"/>
                <w:sz w:val="17"/>
              </w:rPr>
              <w:t>75,73</w:t>
            </w:r>
          </w:p>
        </w:tc>
        <w:tc>
          <w:tcPr>
            <w:tcW w:w="1361" w:type="dxa"/>
            <w:tcBorders>
              <w:right w:val="nil"/>
            </w:tcBorders>
          </w:tcPr>
          <w:p>
            <w:pPr>
              <w:pStyle w:val="TableParagraph"/>
              <w:ind w:left="275" w:right="277"/>
              <w:jc w:val="center"/>
              <w:rPr>
                <w:sz w:val="17"/>
              </w:rPr>
            </w:pPr>
            <w:r>
              <w:rPr>
                <w:color w:val="231F20"/>
                <w:w w:val="110"/>
                <w:sz w:val="17"/>
              </w:rPr>
              <w:t>52,80</w:t>
            </w:r>
          </w:p>
        </w:tc>
      </w:tr>
      <w:tr>
        <w:trPr>
          <w:trHeight w:val="354" w:hRule="exact"/>
        </w:trPr>
        <w:tc>
          <w:tcPr>
            <w:tcW w:w="3345" w:type="dxa"/>
            <w:tcBorders>
              <w:left w:val="nil"/>
            </w:tcBorders>
          </w:tcPr>
          <w:p>
            <w:pPr>
              <w:pStyle w:val="TableParagraph"/>
              <w:ind w:left="113"/>
              <w:rPr>
                <w:sz w:val="17"/>
              </w:rPr>
            </w:pPr>
            <w:r>
              <w:rPr>
                <w:color w:val="231F20"/>
                <w:sz w:val="17"/>
              </w:rPr>
              <w:t>UTA total</w:t>
            </w:r>
          </w:p>
        </w:tc>
        <w:tc>
          <w:tcPr>
            <w:tcW w:w="1361" w:type="dxa"/>
          </w:tcPr>
          <w:p>
            <w:pPr>
              <w:pStyle w:val="TableParagraph"/>
              <w:ind w:left="217" w:right="133"/>
              <w:jc w:val="center"/>
              <w:rPr>
                <w:sz w:val="17"/>
              </w:rPr>
            </w:pPr>
            <w:r>
              <w:rPr>
                <w:color w:val="231F20"/>
                <w:w w:val="110"/>
                <w:sz w:val="17"/>
              </w:rPr>
              <w:t>1,51</w:t>
            </w:r>
          </w:p>
        </w:tc>
        <w:tc>
          <w:tcPr>
            <w:tcW w:w="1361" w:type="dxa"/>
          </w:tcPr>
          <w:p>
            <w:pPr>
              <w:pStyle w:val="TableParagraph"/>
              <w:ind w:left="218" w:right="133"/>
              <w:jc w:val="center"/>
              <w:rPr>
                <w:sz w:val="17"/>
              </w:rPr>
            </w:pPr>
            <w:r>
              <w:rPr>
                <w:color w:val="231F20"/>
                <w:w w:val="110"/>
                <w:sz w:val="17"/>
              </w:rPr>
              <w:t>1,65</w:t>
            </w:r>
          </w:p>
        </w:tc>
        <w:tc>
          <w:tcPr>
            <w:tcW w:w="1361" w:type="dxa"/>
          </w:tcPr>
          <w:p>
            <w:pPr>
              <w:pStyle w:val="TableParagraph"/>
              <w:ind w:left="218" w:right="133"/>
              <w:jc w:val="center"/>
              <w:rPr>
                <w:sz w:val="17"/>
              </w:rPr>
            </w:pPr>
            <w:r>
              <w:rPr>
                <w:color w:val="231F20"/>
                <w:w w:val="110"/>
                <w:sz w:val="17"/>
              </w:rPr>
              <w:t>2,06</w:t>
            </w:r>
          </w:p>
        </w:tc>
        <w:tc>
          <w:tcPr>
            <w:tcW w:w="1361" w:type="dxa"/>
            <w:tcBorders>
              <w:right w:val="nil"/>
            </w:tcBorders>
          </w:tcPr>
          <w:p>
            <w:pPr>
              <w:pStyle w:val="TableParagraph"/>
              <w:ind w:left="275" w:right="195"/>
              <w:jc w:val="center"/>
              <w:rPr>
                <w:sz w:val="17"/>
              </w:rPr>
            </w:pPr>
            <w:r>
              <w:rPr>
                <w:color w:val="231F20"/>
                <w:w w:val="110"/>
                <w:sz w:val="17"/>
              </w:rPr>
              <w:t>1,62</w:t>
            </w:r>
          </w:p>
        </w:tc>
      </w:tr>
    </w:tbl>
    <w:p>
      <w:pPr>
        <w:spacing w:before="90"/>
        <w:ind w:left="1553" w:right="2503" w:firstLine="0"/>
        <w:jc w:val="left"/>
        <w:rPr>
          <w:sz w:val="15"/>
        </w:rPr>
      </w:pPr>
      <w:r>
        <w:rPr>
          <w:color w:val="231F20"/>
          <w:sz w:val="15"/>
        </w:rPr>
        <w:t>UTA: unidad de trabajo  año.</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6320" w:val="left" w:leader="none"/>
        </w:tabs>
        <w:spacing w:before="64"/>
        <w:ind w:left="1551" w:right="0" w:firstLine="0"/>
        <w:jc w:val="left"/>
        <w:rPr>
          <w:sz w:val="12"/>
        </w:rPr>
      </w:pPr>
      <w:r>
        <w:rPr>
          <w:color w:val="231F20"/>
          <w:spacing w:val="-5"/>
          <w:w w:val="120"/>
          <w:sz w:val="22"/>
        </w:rPr>
        <w:t>128</w:t>
        <w:tab/>
      </w:r>
      <w:r>
        <w:rPr>
          <w:color w:val="231F20"/>
          <w:w w:val="120"/>
          <w:sz w:val="18"/>
        </w:rPr>
        <w:t>SECCIÓN 2.  C. S</w:t>
      </w:r>
      <w:r>
        <w:rPr>
          <w:color w:val="231F20"/>
          <w:w w:val="120"/>
          <w:sz w:val="12"/>
        </w:rPr>
        <w:t>iStemaS  de  bovinoS  produCtoreS  de</w:t>
      </w:r>
      <w:r>
        <w:rPr>
          <w:color w:val="231F20"/>
          <w:spacing w:val="-2"/>
          <w:w w:val="120"/>
          <w:sz w:val="12"/>
        </w:rPr>
        <w:t> </w:t>
      </w:r>
      <w:r>
        <w:rPr>
          <w:color w:val="231F20"/>
          <w:w w:val="120"/>
          <w:sz w:val="12"/>
        </w:rPr>
        <w:t>Carne</w:t>
      </w:r>
    </w:p>
    <w:p>
      <w:pPr>
        <w:pStyle w:val="BodyText"/>
        <w:spacing w:before="9"/>
        <w:rPr>
          <w:sz w:val="22"/>
        </w:rPr>
      </w:pPr>
    </w:p>
    <w:p>
      <w:pPr>
        <w:spacing w:after="0"/>
        <w:rPr>
          <w:sz w:val="22"/>
        </w:rPr>
        <w:sectPr>
          <w:pgSz w:w="11900" w:h="14450"/>
          <w:pgMar w:header="0" w:footer="222" w:top="420" w:bottom="420" w:left="0" w:right="0"/>
        </w:sectPr>
      </w:pPr>
    </w:p>
    <w:p>
      <w:pPr>
        <w:spacing w:before="76"/>
        <w:ind w:left="1553" w:right="-4" w:firstLine="0"/>
        <w:jc w:val="left"/>
        <w:rPr>
          <w:rFonts w:ascii="Cambria" w:hAnsi="Cambria"/>
          <w:i/>
          <w:sz w:val="20"/>
        </w:rPr>
      </w:pPr>
      <w:r>
        <w:rPr>
          <w:rFonts w:ascii="Cambria" w:hAnsi="Cambria"/>
          <w:i/>
          <w:color w:val="231F20"/>
          <w:w w:val="110"/>
          <w:sz w:val="20"/>
        </w:rPr>
        <w:t>Indicadores de producción</w:t>
      </w:r>
    </w:p>
    <w:p>
      <w:pPr>
        <w:spacing w:before="34"/>
        <w:ind w:left="1553" w:right="-4" w:firstLine="0"/>
        <w:jc w:val="left"/>
        <w:rPr>
          <w:rFonts w:ascii="Cambria" w:hAnsi="Cambria"/>
          <w:i/>
          <w:sz w:val="20"/>
        </w:rPr>
      </w:pPr>
      <w:r>
        <w:rPr>
          <w:rFonts w:ascii="Cambria" w:hAnsi="Cambria"/>
          <w:i/>
          <w:color w:val="231F20"/>
          <w:w w:val="110"/>
          <w:sz w:val="20"/>
        </w:rPr>
        <w:t>en las unidades de producción</w:t>
      </w:r>
    </w:p>
    <w:p>
      <w:pPr>
        <w:pStyle w:val="BodyText"/>
        <w:spacing w:before="3"/>
        <w:rPr>
          <w:rFonts w:ascii="Cambria"/>
          <w:i/>
          <w:sz w:val="22"/>
        </w:rPr>
      </w:pPr>
    </w:p>
    <w:p>
      <w:pPr>
        <w:pStyle w:val="BodyText"/>
        <w:spacing w:line="264" w:lineRule="auto"/>
        <w:ind w:left="1553" w:right="-4"/>
      </w:pPr>
      <w:r>
        <w:rPr>
          <w:color w:val="231F20"/>
        </w:rPr>
        <w:t>El </w:t>
      </w:r>
      <w:r>
        <w:rPr>
          <w:color w:val="231F20"/>
          <w:spacing w:val="-4"/>
        </w:rPr>
        <w:t>número </w:t>
      </w:r>
      <w:r>
        <w:rPr>
          <w:color w:val="231F20"/>
        </w:rPr>
        <w:t>de </w:t>
      </w:r>
      <w:r>
        <w:rPr>
          <w:color w:val="231F20"/>
          <w:spacing w:val="-4"/>
        </w:rPr>
        <w:t>becerros nacidos </w:t>
      </w:r>
      <w:r>
        <w:rPr>
          <w:color w:val="231F20"/>
        </w:rPr>
        <w:t>se ve  </w:t>
      </w:r>
      <w:r>
        <w:rPr>
          <w:color w:val="231F20"/>
          <w:spacing w:val="-4"/>
        </w:rPr>
        <w:t>reflejado por</w:t>
      </w:r>
      <w:r>
        <w:rPr>
          <w:color w:val="231F20"/>
          <w:spacing w:val="-4"/>
          <w:w w:val="98"/>
        </w:rPr>
        <w:t> </w:t>
      </w:r>
      <w:r>
        <w:rPr>
          <w:color w:val="231F20"/>
        </w:rPr>
        <w:t>el </w:t>
      </w:r>
      <w:r>
        <w:rPr>
          <w:color w:val="231F20"/>
          <w:spacing w:val="-4"/>
        </w:rPr>
        <w:t>numero  </w:t>
      </w:r>
      <w:r>
        <w:rPr>
          <w:color w:val="231F20"/>
        </w:rPr>
        <w:t>de </w:t>
      </w:r>
      <w:r>
        <w:rPr>
          <w:color w:val="231F20"/>
          <w:spacing w:val="-4"/>
        </w:rPr>
        <w:t>vacas  </w:t>
      </w:r>
      <w:r>
        <w:rPr>
          <w:color w:val="231F20"/>
        </w:rPr>
        <w:t>en el </w:t>
      </w:r>
      <w:r>
        <w:rPr>
          <w:color w:val="231F20"/>
          <w:spacing w:val="-4"/>
        </w:rPr>
        <w:t>hato.  </w:t>
      </w:r>
      <w:r>
        <w:rPr>
          <w:color w:val="231F20"/>
        </w:rPr>
        <w:t>En el </w:t>
      </w:r>
      <w:r>
        <w:rPr>
          <w:color w:val="231F20"/>
          <w:spacing w:val="-4"/>
        </w:rPr>
        <w:t>Cuadro  </w:t>
      </w:r>
      <w:r>
        <w:rPr>
          <w:color w:val="231F20"/>
        </w:rPr>
        <w:t>8    </w:t>
      </w:r>
      <w:r>
        <w:rPr>
          <w:color w:val="231F20"/>
          <w:spacing w:val="-4"/>
        </w:rPr>
        <w:t>se</w:t>
      </w:r>
    </w:p>
    <w:p>
      <w:pPr>
        <w:pStyle w:val="BodyText"/>
        <w:spacing w:line="256" w:lineRule="auto" w:before="67"/>
        <w:ind w:left="417" w:right="1551"/>
        <w:jc w:val="both"/>
      </w:pPr>
      <w:r>
        <w:rPr/>
        <w:br w:type="column"/>
      </w:r>
      <w:r>
        <w:rPr>
          <w:color w:val="231F20"/>
          <w:spacing w:val="-4"/>
        </w:rPr>
        <w:t>muestra </w:t>
      </w:r>
      <w:r>
        <w:rPr>
          <w:color w:val="231F20"/>
        </w:rPr>
        <w:t>el </w:t>
      </w:r>
      <w:r>
        <w:rPr>
          <w:color w:val="231F20"/>
          <w:spacing w:val="-4"/>
        </w:rPr>
        <w:t>esquema </w:t>
      </w:r>
      <w:r>
        <w:rPr>
          <w:color w:val="231F20"/>
        </w:rPr>
        <w:t>de </w:t>
      </w:r>
      <w:r>
        <w:rPr>
          <w:color w:val="231F20"/>
          <w:spacing w:val="-4"/>
        </w:rPr>
        <w:t>ventas, </w:t>
      </w:r>
      <w:r>
        <w:rPr>
          <w:color w:val="231F20"/>
        </w:rPr>
        <w:t>en el </w:t>
      </w:r>
      <w:r>
        <w:rPr>
          <w:color w:val="231F20"/>
          <w:spacing w:val="-3"/>
        </w:rPr>
        <w:t>cual </w:t>
      </w:r>
      <w:r>
        <w:rPr>
          <w:color w:val="231F20"/>
        </w:rPr>
        <w:t>se </w:t>
      </w:r>
      <w:r>
        <w:rPr>
          <w:color w:val="231F20"/>
          <w:spacing w:val="-4"/>
        </w:rPr>
        <w:t>observa </w:t>
      </w:r>
      <w:r>
        <w:rPr>
          <w:color w:val="231F20"/>
          <w:spacing w:val="-3"/>
        </w:rPr>
        <w:t>que </w:t>
      </w:r>
      <w:r>
        <w:rPr>
          <w:color w:val="231F20"/>
        </w:rPr>
        <w:t>la </w:t>
      </w:r>
      <w:r>
        <w:rPr>
          <w:color w:val="231F20"/>
          <w:spacing w:val="-4"/>
        </w:rPr>
        <w:t>venta </w:t>
      </w:r>
      <w:r>
        <w:rPr>
          <w:color w:val="231F20"/>
        </w:rPr>
        <w:t>de </w:t>
      </w:r>
      <w:r>
        <w:rPr>
          <w:color w:val="231F20"/>
          <w:spacing w:val="-4"/>
        </w:rPr>
        <w:t>terneros destetados </w:t>
      </w:r>
      <w:r>
        <w:rPr>
          <w:color w:val="231F20"/>
        </w:rPr>
        <w:t>es la </w:t>
      </w:r>
      <w:r>
        <w:rPr>
          <w:color w:val="231F20"/>
          <w:spacing w:val="-4"/>
        </w:rPr>
        <w:t>principal fuente </w:t>
      </w:r>
      <w:r>
        <w:rPr>
          <w:color w:val="231F20"/>
        </w:rPr>
        <w:t>de </w:t>
      </w:r>
      <w:r>
        <w:rPr>
          <w:color w:val="231F20"/>
          <w:spacing w:val="-4"/>
        </w:rPr>
        <w:t>ingresos, aunque </w:t>
      </w:r>
      <w:r>
        <w:rPr>
          <w:color w:val="231F20"/>
        </w:rPr>
        <w:t>es </w:t>
      </w:r>
      <w:r>
        <w:rPr>
          <w:color w:val="231F20"/>
          <w:spacing w:val="-4"/>
        </w:rPr>
        <w:t>destacable </w:t>
      </w:r>
      <w:r>
        <w:rPr>
          <w:color w:val="231F20"/>
        </w:rPr>
        <w:t>la </w:t>
      </w:r>
      <w:r>
        <w:rPr>
          <w:color w:val="231F20"/>
          <w:spacing w:val="-4"/>
        </w:rPr>
        <w:t>engorda </w:t>
      </w:r>
      <w:r>
        <w:rPr>
          <w:color w:val="231F20"/>
        </w:rPr>
        <w:t>de </w:t>
      </w:r>
      <w:r>
        <w:rPr>
          <w:color w:val="231F20"/>
          <w:spacing w:val="-4"/>
        </w:rPr>
        <w:t>ganado. </w:t>
      </w:r>
      <w:r>
        <w:rPr>
          <w:color w:val="231F20"/>
        </w:rPr>
        <w:t>En el </w:t>
      </w:r>
      <w:r>
        <w:rPr>
          <w:color w:val="231F20"/>
          <w:spacing w:val="-4"/>
        </w:rPr>
        <w:t>Cuadro </w:t>
      </w:r>
      <w:r>
        <w:rPr>
          <w:color w:val="231F20"/>
        </w:rPr>
        <w:t>9 se </w:t>
      </w:r>
      <w:r>
        <w:rPr>
          <w:color w:val="231F20"/>
          <w:spacing w:val="-4"/>
        </w:rPr>
        <w:t>detallan otras  fuen-  </w:t>
      </w:r>
      <w:r>
        <w:rPr>
          <w:color w:val="231F20"/>
          <w:spacing w:val="-3"/>
        </w:rPr>
        <w:t>tes </w:t>
      </w:r>
      <w:r>
        <w:rPr>
          <w:color w:val="231F20"/>
        </w:rPr>
        <w:t>de </w:t>
      </w:r>
      <w:r>
        <w:rPr>
          <w:color w:val="231F20"/>
          <w:spacing w:val="-4"/>
        </w:rPr>
        <w:t>ingresos, sobre </w:t>
      </w:r>
      <w:r>
        <w:rPr>
          <w:color w:val="231F20"/>
          <w:spacing w:val="-3"/>
        </w:rPr>
        <w:t>todo </w:t>
      </w:r>
      <w:r>
        <w:rPr>
          <w:color w:val="231F20"/>
          <w:spacing w:val="-4"/>
        </w:rPr>
        <w:t>leche </w:t>
      </w:r>
      <w:r>
        <w:rPr>
          <w:color w:val="231F20"/>
        </w:rPr>
        <w:t>y </w:t>
      </w:r>
      <w:r>
        <w:rPr>
          <w:color w:val="231F20"/>
          <w:spacing w:val="-3"/>
        </w:rPr>
        <w:t>sus  </w:t>
      </w:r>
      <w:r>
        <w:rPr>
          <w:color w:val="231F20"/>
          <w:spacing w:val="7"/>
        </w:rPr>
        <w:t> </w:t>
      </w:r>
      <w:r>
        <w:rPr>
          <w:color w:val="231F20"/>
          <w:spacing w:val="-4"/>
        </w:rPr>
        <w:t>derivados.</w:t>
      </w:r>
    </w:p>
    <w:p>
      <w:pPr>
        <w:spacing w:after="0" w:line="256" w:lineRule="auto"/>
        <w:jc w:val="both"/>
        <w:sectPr>
          <w:type w:val="continuous"/>
          <w:pgSz w:w="11900" w:h="14450"/>
          <w:pgMar w:top="420" w:bottom="420" w:left="0" w:right="0"/>
          <w:cols w:num="2" w:equalWidth="0">
            <w:col w:w="5717" w:space="40"/>
            <w:col w:w="6143"/>
          </w:cols>
        </w:sectPr>
      </w:pPr>
    </w:p>
    <w:p>
      <w:pPr>
        <w:pStyle w:val="BodyText"/>
        <w:spacing w:before="11"/>
        <w:rPr>
          <w:sz w:val="22"/>
        </w:rPr>
      </w:pPr>
    </w:p>
    <w:p>
      <w:pPr>
        <w:spacing w:before="71" w:after="32"/>
        <w:ind w:left="1553" w:right="2503" w:firstLine="0"/>
        <w:jc w:val="left"/>
        <w:rPr>
          <w:sz w:val="18"/>
        </w:rPr>
      </w:pPr>
      <w:r>
        <w:rPr>
          <w:color w:val="231F20"/>
          <w:sz w:val="18"/>
        </w:rPr>
        <w:t>Cuadro 7.    Tamaño  y estructura del  hato.</w:t>
      </w: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891"/>
        <w:gridCol w:w="1474"/>
        <w:gridCol w:w="1474"/>
        <w:gridCol w:w="1474"/>
        <w:gridCol w:w="1474"/>
      </w:tblGrid>
      <w:tr>
        <w:trPr>
          <w:trHeight w:val="340" w:hRule="exact"/>
        </w:trPr>
        <w:tc>
          <w:tcPr>
            <w:tcW w:w="2891" w:type="dxa"/>
            <w:tcBorders>
              <w:left w:val="nil"/>
            </w:tcBorders>
          </w:tcPr>
          <w:p>
            <w:pPr/>
          </w:p>
        </w:tc>
        <w:tc>
          <w:tcPr>
            <w:tcW w:w="1474" w:type="dxa"/>
          </w:tcPr>
          <w:p>
            <w:pPr>
              <w:pStyle w:val="TableParagraph"/>
              <w:spacing w:before="65"/>
              <w:ind w:left="474" w:right="474"/>
              <w:jc w:val="center"/>
              <w:rPr>
                <w:rFonts w:ascii="Cambria"/>
                <w:i/>
                <w:sz w:val="18"/>
              </w:rPr>
            </w:pPr>
            <w:r>
              <w:rPr>
                <w:rFonts w:ascii="Cambria"/>
                <w:i/>
                <w:color w:val="231F20"/>
                <w:sz w:val="18"/>
              </w:rPr>
              <w:t>E1</w:t>
            </w:r>
          </w:p>
        </w:tc>
        <w:tc>
          <w:tcPr>
            <w:tcW w:w="1474" w:type="dxa"/>
          </w:tcPr>
          <w:p>
            <w:pPr>
              <w:pStyle w:val="TableParagraph"/>
              <w:spacing w:before="65"/>
              <w:ind w:left="474" w:right="474"/>
              <w:jc w:val="center"/>
              <w:rPr>
                <w:rFonts w:ascii="Cambria"/>
                <w:i/>
                <w:sz w:val="18"/>
              </w:rPr>
            </w:pPr>
            <w:r>
              <w:rPr>
                <w:rFonts w:ascii="Cambria"/>
                <w:i/>
                <w:color w:val="231F20"/>
                <w:sz w:val="18"/>
              </w:rPr>
              <w:t>E2</w:t>
            </w:r>
          </w:p>
        </w:tc>
        <w:tc>
          <w:tcPr>
            <w:tcW w:w="1474" w:type="dxa"/>
          </w:tcPr>
          <w:p>
            <w:pPr>
              <w:pStyle w:val="TableParagraph"/>
              <w:spacing w:before="65"/>
              <w:ind w:left="474" w:right="474"/>
              <w:jc w:val="center"/>
              <w:rPr>
                <w:rFonts w:ascii="Cambria"/>
                <w:i/>
                <w:sz w:val="18"/>
              </w:rPr>
            </w:pPr>
            <w:r>
              <w:rPr>
                <w:rFonts w:ascii="Cambria"/>
                <w:i/>
                <w:color w:val="231F20"/>
                <w:sz w:val="18"/>
              </w:rPr>
              <w:t>E3</w:t>
            </w:r>
          </w:p>
        </w:tc>
        <w:tc>
          <w:tcPr>
            <w:tcW w:w="1474" w:type="dxa"/>
            <w:tcBorders>
              <w:right w:val="nil"/>
            </w:tcBorders>
          </w:tcPr>
          <w:p>
            <w:pPr>
              <w:pStyle w:val="TableParagraph"/>
              <w:spacing w:before="65"/>
              <w:ind w:left="331" w:right="335"/>
              <w:jc w:val="center"/>
              <w:rPr>
                <w:rFonts w:ascii="Cambria"/>
                <w:i/>
                <w:sz w:val="18"/>
              </w:rPr>
            </w:pPr>
            <w:r>
              <w:rPr>
                <w:rFonts w:ascii="Cambria"/>
                <w:i/>
                <w:color w:val="231F20"/>
                <w:w w:val="105"/>
                <w:sz w:val="18"/>
              </w:rPr>
              <w:t>Promedio</w:t>
            </w:r>
          </w:p>
        </w:tc>
      </w:tr>
      <w:tr>
        <w:trPr>
          <w:trHeight w:val="340" w:hRule="exact"/>
        </w:trPr>
        <w:tc>
          <w:tcPr>
            <w:tcW w:w="2891" w:type="dxa"/>
            <w:tcBorders>
              <w:left w:val="nil"/>
            </w:tcBorders>
          </w:tcPr>
          <w:p>
            <w:pPr>
              <w:pStyle w:val="TableParagraph"/>
              <w:spacing w:before="56"/>
              <w:ind w:left="113"/>
              <w:rPr>
                <w:sz w:val="17"/>
              </w:rPr>
            </w:pPr>
            <w:r>
              <w:rPr>
                <w:color w:val="231F20"/>
                <w:w w:val="105"/>
                <w:sz w:val="17"/>
              </w:rPr>
              <w:t>UGT</w:t>
            </w:r>
          </w:p>
        </w:tc>
        <w:tc>
          <w:tcPr>
            <w:tcW w:w="1474" w:type="dxa"/>
          </w:tcPr>
          <w:p>
            <w:pPr>
              <w:pStyle w:val="TableParagraph"/>
              <w:spacing w:before="56"/>
              <w:ind w:right="515"/>
              <w:jc w:val="right"/>
              <w:rPr>
                <w:sz w:val="17"/>
              </w:rPr>
            </w:pPr>
            <w:r>
              <w:rPr>
                <w:color w:val="231F20"/>
                <w:w w:val="110"/>
                <w:sz w:val="17"/>
              </w:rPr>
              <w:t>21,02</w:t>
            </w:r>
          </w:p>
        </w:tc>
        <w:tc>
          <w:tcPr>
            <w:tcW w:w="1474" w:type="dxa"/>
          </w:tcPr>
          <w:p>
            <w:pPr>
              <w:pStyle w:val="TableParagraph"/>
              <w:spacing w:before="56"/>
              <w:ind w:right="515"/>
              <w:jc w:val="right"/>
              <w:rPr>
                <w:sz w:val="17"/>
              </w:rPr>
            </w:pPr>
            <w:r>
              <w:rPr>
                <w:color w:val="231F20"/>
                <w:w w:val="110"/>
                <w:sz w:val="17"/>
              </w:rPr>
              <w:t>46,32</w:t>
            </w:r>
          </w:p>
        </w:tc>
        <w:tc>
          <w:tcPr>
            <w:tcW w:w="1474" w:type="dxa"/>
          </w:tcPr>
          <w:p>
            <w:pPr>
              <w:pStyle w:val="TableParagraph"/>
              <w:spacing w:before="56"/>
              <w:ind w:left="474" w:right="474"/>
              <w:jc w:val="center"/>
              <w:rPr>
                <w:sz w:val="17"/>
              </w:rPr>
            </w:pPr>
            <w:r>
              <w:rPr>
                <w:color w:val="231F20"/>
                <w:w w:val="110"/>
                <w:sz w:val="17"/>
              </w:rPr>
              <w:t>78,69</w:t>
            </w:r>
          </w:p>
        </w:tc>
        <w:tc>
          <w:tcPr>
            <w:tcW w:w="1474" w:type="dxa"/>
            <w:tcBorders>
              <w:right w:val="nil"/>
            </w:tcBorders>
          </w:tcPr>
          <w:p>
            <w:pPr>
              <w:pStyle w:val="TableParagraph"/>
              <w:spacing w:before="56"/>
              <w:ind w:left="331" w:right="334"/>
              <w:jc w:val="center"/>
              <w:rPr>
                <w:sz w:val="17"/>
              </w:rPr>
            </w:pPr>
            <w:r>
              <w:rPr>
                <w:color w:val="231F20"/>
                <w:w w:val="110"/>
                <w:sz w:val="17"/>
              </w:rPr>
              <w:t>30,97</w:t>
            </w:r>
          </w:p>
        </w:tc>
      </w:tr>
      <w:tr>
        <w:trPr>
          <w:trHeight w:val="340" w:hRule="exact"/>
        </w:trPr>
        <w:tc>
          <w:tcPr>
            <w:tcW w:w="2891" w:type="dxa"/>
            <w:tcBorders>
              <w:left w:val="nil"/>
            </w:tcBorders>
          </w:tcPr>
          <w:p>
            <w:pPr>
              <w:pStyle w:val="TableParagraph"/>
              <w:spacing w:before="56"/>
              <w:ind w:left="113"/>
              <w:rPr>
                <w:sz w:val="17"/>
              </w:rPr>
            </w:pPr>
            <w:r>
              <w:rPr>
                <w:color w:val="231F20"/>
                <w:w w:val="105"/>
                <w:sz w:val="17"/>
              </w:rPr>
              <w:t>UGB</w:t>
            </w:r>
          </w:p>
        </w:tc>
        <w:tc>
          <w:tcPr>
            <w:tcW w:w="1474" w:type="dxa"/>
          </w:tcPr>
          <w:p>
            <w:pPr>
              <w:pStyle w:val="TableParagraph"/>
              <w:spacing w:before="56"/>
              <w:ind w:right="519"/>
              <w:jc w:val="right"/>
              <w:rPr>
                <w:sz w:val="17"/>
              </w:rPr>
            </w:pPr>
            <w:r>
              <w:rPr>
                <w:color w:val="231F20"/>
                <w:w w:val="110"/>
                <w:sz w:val="17"/>
              </w:rPr>
              <w:t>19,59</w:t>
            </w:r>
          </w:p>
        </w:tc>
        <w:tc>
          <w:tcPr>
            <w:tcW w:w="1474" w:type="dxa"/>
          </w:tcPr>
          <w:p>
            <w:pPr>
              <w:pStyle w:val="TableParagraph"/>
              <w:spacing w:before="56"/>
              <w:ind w:right="517"/>
              <w:jc w:val="right"/>
              <w:rPr>
                <w:sz w:val="17"/>
              </w:rPr>
            </w:pPr>
            <w:r>
              <w:rPr>
                <w:color w:val="231F20"/>
                <w:w w:val="110"/>
                <w:sz w:val="17"/>
              </w:rPr>
              <w:t>45,13</w:t>
            </w:r>
          </w:p>
        </w:tc>
        <w:tc>
          <w:tcPr>
            <w:tcW w:w="1474" w:type="dxa"/>
          </w:tcPr>
          <w:p>
            <w:pPr>
              <w:pStyle w:val="TableParagraph"/>
              <w:spacing w:before="56"/>
              <w:ind w:left="474" w:right="474"/>
              <w:jc w:val="center"/>
              <w:rPr>
                <w:sz w:val="17"/>
              </w:rPr>
            </w:pPr>
            <w:r>
              <w:rPr>
                <w:color w:val="231F20"/>
                <w:w w:val="110"/>
                <w:sz w:val="17"/>
              </w:rPr>
              <w:t>74,58</w:t>
            </w:r>
          </w:p>
        </w:tc>
        <w:tc>
          <w:tcPr>
            <w:tcW w:w="1474" w:type="dxa"/>
            <w:tcBorders>
              <w:right w:val="nil"/>
            </w:tcBorders>
          </w:tcPr>
          <w:p>
            <w:pPr>
              <w:pStyle w:val="TableParagraph"/>
              <w:spacing w:before="56"/>
              <w:ind w:left="329" w:right="335"/>
              <w:jc w:val="center"/>
              <w:rPr>
                <w:sz w:val="17"/>
              </w:rPr>
            </w:pPr>
            <w:r>
              <w:rPr>
                <w:color w:val="231F20"/>
                <w:w w:val="110"/>
                <w:sz w:val="17"/>
              </w:rPr>
              <w:t>29,26</w:t>
            </w:r>
          </w:p>
        </w:tc>
      </w:tr>
      <w:tr>
        <w:trPr>
          <w:trHeight w:val="340" w:hRule="exact"/>
        </w:trPr>
        <w:tc>
          <w:tcPr>
            <w:tcW w:w="2891" w:type="dxa"/>
            <w:tcBorders>
              <w:left w:val="nil"/>
            </w:tcBorders>
          </w:tcPr>
          <w:p>
            <w:pPr>
              <w:pStyle w:val="TableParagraph"/>
              <w:spacing w:before="56"/>
              <w:ind w:left="113"/>
              <w:rPr>
                <w:sz w:val="17"/>
              </w:rPr>
            </w:pPr>
            <w:r>
              <w:rPr>
                <w:color w:val="231F20"/>
                <w:w w:val="110"/>
                <w:sz w:val="17"/>
              </w:rPr>
              <w:t>UGB/UGT</w:t>
            </w:r>
            <w:r>
              <w:rPr>
                <w:color w:val="231F20"/>
                <w:w w:val="110"/>
                <w:position w:val="6"/>
                <w:sz w:val="10"/>
              </w:rPr>
              <w:t>a  </w:t>
            </w:r>
            <w:r>
              <w:rPr>
                <w:color w:val="231F20"/>
                <w:w w:val="110"/>
                <w:sz w:val="17"/>
              </w:rPr>
              <w:t>(%)</w:t>
            </w:r>
          </w:p>
        </w:tc>
        <w:tc>
          <w:tcPr>
            <w:tcW w:w="1474" w:type="dxa"/>
          </w:tcPr>
          <w:p>
            <w:pPr>
              <w:pStyle w:val="TableParagraph"/>
              <w:spacing w:before="56"/>
              <w:ind w:right="514"/>
              <w:jc w:val="right"/>
              <w:rPr>
                <w:sz w:val="17"/>
              </w:rPr>
            </w:pPr>
            <w:r>
              <w:rPr>
                <w:color w:val="231F20"/>
                <w:w w:val="110"/>
                <w:sz w:val="17"/>
              </w:rPr>
              <w:t>94,43</w:t>
            </w:r>
          </w:p>
        </w:tc>
        <w:tc>
          <w:tcPr>
            <w:tcW w:w="1474" w:type="dxa"/>
          </w:tcPr>
          <w:p>
            <w:pPr>
              <w:pStyle w:val="TableParagraph"/>
              <w:spacing w:before="56"/>
              <w:ind w:right="528"/>
              <w:jc w:val="right"/>
              <w:rPr>
                <w:sz w:val="17"/>
              </w:rPr>
            </w:pPr>
            <w:r>
              <w:rPr>
                <w:color w:val="231F20"/>
                <w:w w:val="110"/>
                <w:sz w:val="17"/>
              </w:rPr>
              <w:t>97,00</w:t>
            </w:r>
          </w:p>
        </w:tc>
        <w:tc>
          <w:tcPr>
            <w:tcW w:w="1474" w:type="dxa"/>
          </w:tcPr>
          <w:p>
            <w:pPr>
              <w:pStyle w:val="TableParagraph"/>
              <w:spacing w:before="56"/>
              <w:ind w:left="474" w:right="474"/>
              <w:jc w:val="center"/>
              <w:rPr>
                <w:sz w:val="17"/>
              </w:rPr>
            </w:pPr>
            <w:r>
              <w:rPr>
                <w:color w:val="231F20"/>
                <w:w w:val="110"/>
                <w:sz w:val="17"/>
              </w:rPr>
              <w:t>95,58</w:t>
            </w:r>
          </w:p>
        </w:tc>
        <w:tc>
          <w:tcPr>
            <w:tcW w:w="1474" w:type="dxa"/>
            <w:tcBorders>
              <w:right w:val="nil"/>
            </w:tcBorders>
          </w:tcPr>
          <w:p>
            <w:pPr>
              <w:pStyle w:val="TableParagraph"/>
              <w:spacing w:before="56"/>
              <w:ind w:left="331" w:right="335"/>
              <w:jc w:val="center"/>
              <w:rPr>
                <w:sz w:val="17"/>
              </w:rPr>
            </w:pPr>
            <w:r>
              <w:rPr>
                <w:color w:val="231F20"/>
                <w:w w:val="110"/>
                <w:sz w:val="17"/>
              </w:rPr>
              <w:t>94,12</w:t>
            </w:r>
          </w:p>
        </w:tc>
      </w:tr>
      <w:tr>
        <w:trPr>
          <w:trHeight w:val="340" w:hRule="exact"/>
        </w:trPr>
        <w:tc>
          <w:tcPr>
            <w:tcW w:w="2891" w:type="dxa"/>
            <w:tcBorders>
              <w:left w:val="nil"/>
            </w:tcBorders>
          </w:tcPr>
          <w:p>
            <w:pPr>
              <w:pStyle w:val="TableParagraph"/>
              <w:spacing w:before="56"/>
              <w:ind w:left="113"/>
              <w:rPr>
                <w:sz w:val="17"/>
              </w:rPr>
            </w:pPr>
            <w:r>
              <w:rPr>
                <w:color w:val="231F20"/>
                <w:w w:val="110"/>
                <w:sz w:val="17"/>
              </w:rPr>
              <w:t>UGO/UGT</w:t>
            </w:r>
            <w:r>
              <w:rPr>
                <w:color w:val="231F20"/>
                <w:w w:val="110"/>
                <w:position w:val="6"/>
                <w:sz w:val="10"/>
              </w:rPr>
              <w:t>a  </w:t>
            </w:r>
            <w:r>
              <w:rPr>
                <w:color w:val="231F20"/>
                <w:w w:val="110"/>
                <w:sz w:val="17"/>
              </w:rPr>
              <w:t>(%)</w:t>
            </w:r>
          </w:p>
        </w:tc>
        <w:tc>
          <w:tcPr>
            <w:tcW w:w="1474" w:type="dxa"/>
          </w:tcPr>
          <w:p>
            <w:pPr>
              <w:pStyle w:val="TableParagraph"/>
              <w:spacing w:before="56"/>
              <w:ind w:right="522"/>
              <w:jc w:val="right"/>
              <w:rPr>
                <w:sz w:val="17"/>
              </w:rPr>
            </w:pPr>
            <w:r>
              <w:rPr>
                <w:color w:val="231F20"/>
                <w:w w:val="110"/>
                <w:sz w:val="17"/>
              </w:rPr>
              <w:t>6,57</w:t>
            </w:r>
          </w:p>
        </w:tc>
        <w:tc>
          <w:tcPr>
            <w:tcW w:w="1474" w:type="dxa"/>
          </w:tcPr>
          <w:p>
            <w:pPr>
              <w:pStyle w:val="TableParagraph"/>
              <w:spacing w:before="56"/>
              <w:ind w:right="521"/>
              <w:jc w:val="right"/>
              <w:rPr>
                <w:sz w:val="17"/>
              </w:rPr>
            </w:pPr>
            <w:r>
              <w:rPr>
                <w:color w:val="231F20"/>
                <w:w w:val="110"/>
                <w:sz w:val="17"/>
              </w:rPr>
              <w:t>3,00</w:t>
            </w:r>
          </w:p>
        </w:tc>
        <w:tc>
          <w:tcPr>
            <w:tcW w:w="1474" w:type="dxa"/>
          </w:tcPr>
          <w:p>
            <w:pPr>
              <w:pStyle w:val="TableParagraph"/>
              <w:spacing w:before="56"/>
              <w:ind w:left="476" w:right="391"/>
              <w:jc w:val="center"/>
              <w:rPr>
                <w:sz w:val="17"/>
              </w:rPr>
            </w:pPr>
            <w:r>
              <w:rPr>
                <w:color w:val="231F20"/>
                <w:w w:val="110"/>
                <w:sz w:val="17"/>
              </w:rPr>
              <w:t>4,42</w:t>
            </w:r>
          </w:p>
        </w:tc>
        <w:tc>
          <w:tcPr>
            <w:tcW w:w="1474" w:type="dxa"/>
            <w:tcBorders>
              <w:right w:val="nil"/>
            </w:tcBorders>
          </w:tcPr>
          <w:p>
            <w:pPr>
              <w:pStyle w:val="TableParagraph"/>
              <w:spacing w:before="56"/>
              <w:ind w:left="331" w:right="251"/>
              <w:jc w:val="center"/>
              <w:rPr>
                <w:sz w:val="17"/>
              </w:rPr>
            </w:pPr>
            <w:r>
              <w:rPr>
                <w:color w:val="231F20"/>
                <w:w w:val="110"/>
                <w:sz w:val="17"/>
              </w:rPr>
              <w:t>5,88</w:t>
            </w:r>
          </w:p>
        </w:tc>
      </w:tr>
      <w:tr>
        <w:trPr>
          <w:trHeight w:val="340" w:hRule="exact"/>
        </w:trPr>
        <w:tc>
          <w:tcPr>
            <w:tcW w:w="2891" w:type="dxa"/>
            <w:tcBorders>
              <w:left w:val="nil"/>
            </w:tcBorders>
          </w:tcPr>
          <w:p>
            <w:pPr>
              <w:pStyle w:val="TableParagraph"/>
              <w:spacing w:before="56"/>
              <w:ind w:left="113"/>
              <w:rPr>
                <w:sz w:val="17"/>
              </w:rPr>
            </w:pPr>
            <w:r>
              <w:rPr>
                <w:color w:val="231F20"/>
                <w:w w:val="105"/>
                <w:sz w:val="17"/>
              </w:rPr>
              <w:t>Número de vacas</w:t>
            </w:r>
          </w:p>
        </w:tc>
        <w:tc>
          <w:tcPr>
            <w:tcW w:w="1474" w:type="dxa"/>
          </w:tcPr>
          <w:p>
            <w:pPr>
              <w:pStyle w:val="TableParagraph"/>
              <w:spacing w:before="56"/>
              <w:ind w:right="528"/>
              <w:jc w:val="right"/>
              <w:rPr>
                <w:sz w:val="17"/>
              </w:rPr>
            </w:pPr>
            <w:r>
              <w:rPr>
                <w:color w:val="231F20"/>
                <w:w w:val="110"/>
                <w:sz w:val="17"/>
              </w:rPr>
              <w:t>11,87</w:t>
            </w:r>
          </w:p>
        </w:tc>
        <w:tc>
          <w:tcPr>
            <w:tcW w:w="1474" w:type="dxa"/>
          </w:tcPr>
          <w:p>
            <w:pPr>
              <w:pStyle w:val="TableParagraph"/>
              <w:spacing w:before="56"/>
              <w:ind w:right="520"/>
              <w:jc w:val="right"/>
              <w:rPr>
                <w:sz w:val="17"/>
              </w:rPr>
            </w:pPr>
            <w:r>
              <w:rPr>
                <w:color w:val="231F20"/>
                <w:w w:val="110"/>
                <w:sz w:val="17"/>
              </w:rPr>
              <w:t>29,67</w:t>
            </w:r>
          </w:p>
        </w:tc>
        <w:tc>
          <w:tcPr>
            <w:tcW w:w="1474" w:type="dxa"/>
          </w:tcPr>
          <w:p>
            <w:pPr>
              <w:pStyle w:val="TableParagraph"/>
              <w:spacing w:before="56"/>
              <w:ind w:left="474" w:right="474"/>
              <w:jc w:val="center"/>
              <w:rPr>
                <w:sz w:val="17"/>
              </w:rPr>
            </w:pPr>
            <w:r>
              <w:rPr>
                <w:color w:val="231F20"/>
                <w:w w:val="110"/>
                <w:sz w:val="17"/>
              </w:rPr>
              <w:t>47,83</w:t>
            </w:r>
          </w:p>
        </w:tc>
        <w:tc>
          <w:tcPr>
            <w:tcW w:w="1474" w:type="dxa"/>
            <w:tcBorders>
              <w:right w:val="nil"/>
            </w:tcBorders>
          </w:tcPr>
          <w:p>
            <w:pPr>
              <w:pStyle w:val="TableParagraph"/>
              <w:spacing w:before="56"/>
              <w:ind w:left="331" w:right="334"/>
              <w:jc w:val="center"/>
              <w:rPr>
                <w:sz w:val="17"/>
              </w:rPr>
            </w:pPr>
            <w:r>
              <w:rPr>
                <w:color w:val="231F20"/>
                <w:w w:val="110"/>
                <w:sz w:val="17"/>
              </w:rPr>
              <w:t>18,32</w:t>
            </w:r>
          </w:p>
        </w:tc>
      </w:tr>
      <w:tr>
        <w:trPr>
          <w:trHeight w:val="340" w:hRule="exact"/>
        </w:trPr>
        <w:tc>
          <w:tcPr>
            <w:tcW w:w="2891" w:type="dxa"/>
            <w:tcBorders>
              <w:left w:val="nil"/>
            </w:tcBorders>
          </w:tcPr>
          <w:p>
            <w:pPr>
              <w:pStyle w:val="TableParagraph"/>
              <w:spacing w:before="56"/>
              <w:ind w:left="113"/>
              <w:rPr>
                <w:sz w:val="17"/>
              </w:rPr>
            </w:pPr>
            <w:r>
              <w:rPr>
                <w:color w:val="231F20"/>
                <w:w w:val="110"/>
                <w:sz w:val="17"/>
              </w:rPr>
              <w:t>Vacas/UGB (%)</w:t>
            </w:r>
          </w:p>
        </w:tc>
        <w:tc>
          <w:tcPr>
            <w:tcW w:w="1474" w:type="dxa"/>
          </w:tcPr>
          <w:p>
            <w:pPr>
              <w:pStyle w:val="TableParagraph"/>
              <w:spacing w:before="56"/>
              <w:ind w:right="514"/>
              <w:jc w:val="right"/>
              <w:rPr>
                <w:sz w:val="17"/>
              </w:rPr>
            </w:pPr>
            <w:r>
              <w:rPr>
                <w:color w:val="231F20"/>
                <w:w w:val="110"/>
                <w:sz w:val="17"/>
              </w:rPr>
              <w:t>62,09</w:t>
            </w:r>
          </w:p>
        </w:tc>
        <w:tc>
          <w:tcPr>
            <w:tcW w:w="1474" w:type="dxa"/>
          </w:tcPr>
          <w:p>
            <w:pPr>
              <w:pStyle w:val="TableParagraph"/>
              <w:spacing w:before="56"/>
              <w:ind w:right="515"/>
              <w:jc w:val="right"/>
              <w:rPr>
                <w:sz w:val="17"/>
              </w:rPr>
            </w:pPr>
            <w:r>
              <w:rPr>
                <w:color w:val="231F20"/>
                <w:w w:val="110"/>
                <w:sz w:val="17"/>
              </w:rPr>
              <w:t>69,22</w:t>
            </w:r>
          </w:p>
        </w:tc>
        <w:tc>
          <w:tcPr>
            <w:tcW w:w="1474" w:type="dxa"/>
          </w:tcPr>
          <w:p>
            <w:pPr>
              <w:pStyle w:val="TableParagraph"/>
              <w:spacing w:before="56"/>
              <w:ind w:left="474" w:right="474"/>
              <w:jc w:val="center"/>
              <w:rPr>
                <w:sz w:val="17"/>
              </w:rPr>
            </w:pPr>
            <w:r>
              <w:rPr>
                <w:color w:val="231F20"/>
                <w:w w:val="110"/>
                <w:sz w:val="17"/>
              </w:rPr>
              <w:t>63,17</w:t>
            </w:r>
          </w:p>
        </w:tc>
        <w:tc>
          <w:tcPr>
            <w:tcW w:w="1474" w:type="dxa"/>
            <w:tcBorders>
              <w:right w:val="nil"/>
            </w:tcBorders>
          </w:tcPr>
          <w:p>
            <w:pPr>
              <w:pStyle w:val="TableParagraph"/>
              <w:spacing w:before="56"/>
              <w:ind w:left="331" w:right="335"/>
              <w:jc w:val="center"/>
              <w:rPr>
                <w:sz w:val="17"/>
              </w:rPr>
            </w:pPr>
            <w:r>
              <w:rPr>
                <w:color w:val="231F20"/>
                <w:w w:val="110"/>
                <w:sz w:val="17"/>
              </w:rPr>
              <w:t>63,05</w:t>
            </w:r>
          </w:p>
        </w:tc>
      </w:tr>
    </w:tbl>
    <w:p>
      <w:pPr>
        <w:spacing w:before="34"/>
        <w:ind w:left="1553" w:right="2503" w:firstLine="0"/>
        <w:jc w:val="left"/>
        <w:rPr>
          <w:sz w:val="15"/>
        </w:rPr>
      </w:pPr>
      <w:r>
        <w:rPr>
          <w:color w:val="231F20"/>
          <w:sz w:val="15"/>
        </w:rPr>
        <w:t>UGT: unidades ganaderas totales; UGB: unidades ganaderas bovinas; UGO: unidades ganaderas de ovinos y caprinos.</w:t>
      </w:r>
    </w:p>
    <w:p>
      <w:pPr>
        <w:spacing w:before="17"/>
        <w:ind w:left="1553" w:right="2503" w:firstLine="0"/>
        <w:jc w:val="left"/>
        <w:rPr>
          <w:sz w:val="15"/>
        </w:rPr>
      </w:pPr>
      <w:r>
        <w:rPr>
          <w:color w:val="231F20"/>
          <w:position w:val="5"/>
          <w:sz w:val="8"/>
        </w:rPr>
        <w:t>a</w:t>
      </w:r>
      <w:r>
        <w:rPr>
          <w:color w:val="231F20"/>
          <w:sz w:val="15"/>
        </w:rPr>
        <w:t>Las UGT son la sumatoria de UGB y UGO, donde una vaca es una UGB y una oveja o cabra es 0,14 UGB.</w:t>
      </w:r>
    </w:p>
    <w:p>
      <w:pPr>
        <w:pStyle w:val="BodyText"/>
        <w:rPr>
          <w:sz w:val="14"/>
        </w:rPr>
      </w:pPr>
    </w:p>
    <w:p>
      <w:pPr>
        <w:pStyle w:val="BodyText"/>
        <w:spacing w:before="10"/>
        <w:rPr>
          <w:sz w:val="17"/>
        </w:rPr>
      </w:pPr>
    </w:p>
    <w:p>
      <w:pPr>
        <w:spacing w:before="0"/>
        <w:ind w:left="1553" w:right="2503" w:firstLine="0"/>
        <w:jc w:val="left"/>
        <w:rPr>
          <w:sz w:val="18"/>
        </w:rPr>
      </w:pPr>
      <w:r>
        <w:rPr>
          <w:color w:val="231F20"/>
          <w:sz w:val="18"/>
        </w:rPr>
        <w:t>Cuadro 8.        Número de animales vendidos en las unidades de producción.</w:t>
      </w:r>
    </w:p>
    <w:p>
      <w:pPr>
        <w:pStyle w:val="BodyText"/>
        <w:spacing w:before="3"/>
        <w:rPr>
          <w:sz w:val="7"/>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891"/>
        <w:gridCol w:w="1474"/>
        <w:gridCol w:w="1474"/>
        <w:gridCol w:w="1474"/>
        <w:gridCol w:w="1474"/>
      </w:tblGrid>
      <w:tr>
        <w:trPr>
          <w:trHeight w:val="352" w:hRule="exact"/>
        </w:trPr>
        <w:tc>
          <w:tcPr>
            <w:tcW w:w="2891" w:type="dxa"/>
            <w:tcBorders>
              <w:left w:val="nil"/>
            </w:tcBorders>
          </w:tcPr>
          <w:p>
            <w:pPr/>
          </w:p>
        </w:tc>
        <w:tc>
          <w:tcPr>
            <w:tcW w:w="1474" w:type="dxa"/>
          </w:tcPr>
          <w:p>
            <w:pPr>
              <w:pStyle w:val="TableParagraph"/>
              <w:spacing w:before="62"/>
              <w:ind w:left="474" w:right="474"/>
              <w:jc w:val="center"/>
              <w:rPr>
                <w:rFonts w:ascii="Cambria"/>
                <w:i/>
                <w:sz w:val="18"/>
              </w:rPr>
            </w:pPr>
            <w:r>
              <w:rPr>
                <w:rFonts w:ascii="Cambria"/>
                <w:i/>
                <w:color w:val="231F20"/>
                <w:sz w:val="18"/>
              </w:rPr>
              <w:t>E1</w:t>
            </w:r>
          </w:p>
        </w:tc>
        <w:tc>
          <w:tcPr>
            <w:tcW w:w="1474" w:type="dxa"/>
          </w:tcPr>
          <w:p>
            <w:pPr>
              <w:pStyle w:val="TableParagraph"/>
              <w:spacing w:before="62"/>
              <w:ind w:left="474" w:right="474"/>
              <w:jc w:val="center"/>
              <w:rPr>
                <w:rFonts w:ascii="Cambria"/>
                <w:i/>
                <w:sz w:val="18"/>
              </w:rPr>
            </w:pPr>
            <w:r>
              <w:rPr>
                <w:rFonts w:ascii="Cambria"/>
                <w:i/>
                <w:color w:val="231F20"/>
                <w:sz w:val="18"/>
              </w:rPr>
              <w:t>E2</w:t>
            </w:r>
          </w:p>
        </w:tc>
        <w:tc>
          <w:tcPr>
            <w:tcW w:w="1474" w:type="dxa"/>
          </w:tcPr>
          <w:p>
            <w:pPr>
              <w:pStyle w:val="TableParagraph"/>
              <w:spacing w:before="62"/>
              <w:ind w:left="474" w:right="474"/>
              <w:jc w:val="center"/>
              <w:rPr>
                <w:rFonts w:ascii="Cambria"/>
                <w:i/>
                <w:sz w:val="18"/>
              </w:rPr>
            </w:pPr>
            <w:r>
              <w:rPr>
                <w:rFonts w:ascii="Cambria"/>
                <w:i/>
                <w:color w:val="231F20"/>
                <w:sz w:val="18"/>
              </w:rPr>
              <w:t>E3</w:t>
            </w:r>
          </w:p>
        </w:tc>
        <w:tc>
          <w:tcPr>
            <w:tcW w:w="1474" w:type="dxa"/>
            <w:tcBorders>
              <w:right w:val="nil"/>
            </w:tcBorders>
          </w:tcPr>
          <w:p>
            <w:pPr>
              <w:pStyle w:val="TableParagraph"/>
              <w:spacing w:before="62"/>
              <w:ind w:left="331" w:right="335"/>
              <w:jc w:val="center"/>
              <w:rPr>
                <w:rFonts w:ascii="Cambria"/>
                <w:i/>
                <w:sz w:val="18"/>
              </w:rPr>
            </w:pPr>
            <w:r>
              <w:rPr>
                <w:rFonts w:ascii="Cambria"/>
                <w:i/>
                <w:color w:val="231F20"/>
                <w:w w:val="105"/>
                <w:sz w:val="18"/>
              </w:rPr>
              <w:t>Promedio</w:t>
            </w:r>
          </w:p>
        </w:tc>
      </w:tr>
      <w:tr>
        <w:trPr>
          <w:trHeight w:val="337" w:hRule="exact"/>
        </w:trPr>
        <w:tc>
          <w:tcPr>
            <w:tcW w:w="2891" w:type="dxa"/>
            <w:tcBorders>
              <w:left w:val="nil"/>
            </w:tcBorders>
          </w:tcPr>
          <w:p>
            <w:pPr>
              <w:pStyle w:val="TableParagraph"/>
              <w:spacing w:before="56"/>
              <w:ind w:left="113"/>
              <w:rPr>
                <w:sz w:val="17"/>
              </w:rPr>
            </w:pPr>
            <w:r>
              <w:rPr>
                <w:color w:val="231F20"/>
                <w:sz w:val="17"/>
              </w:rPr>
              <w:t>Terneros al destete</w:t>
            </w:r>
          </w:p>
        </w:tc>
        <w:tc>
          <w:tcPr>
            <w:tcW w:w="1474" w:type="dxa"/>
          </w:tcPr>
          <w:p>
            <w:pPr>
              <w:pStyle w:val="TableParagraph"/>
              <w:spacing w:before="56"/>
              <w:ind w:right="521"/>
              <w:jc w:val="right"/>
              <w:rPr>
                <w:sz w:val="17"/>
              </w:rPr>
            </w:pPr>
            <w:r>
              <w:rPr>
                <w:color w:val="231F20"/>
                <w:w w:val="110"/>
                <w:sz w:val="17"/>
              </w:rPr>
              <w:t>8,83</w:t>
            </w:r>
          </w:p>
        </w:tc>
        <w:tc>
          <w:tcPr>
            <w:tcW w:w="1474" w:type="dxa"/>
          </w:tcPr>
          <w:p>
            <w:pPr>
              <w:pStyle w:val="TableParagraph"/>
              <w:spacing w:before="56"/>
              <w:ind w:right="515"/>
              <w:jc w:val="right"/>
              <w:rPr>
                <w:sz w:val="17"/>
              </w:rPr>
            </w:pPr>
            <w:r>
              <w:rPr>
                <w:color w:val="231F20"/>
                <w:w w:val="110"/>
                <w:sz w:val="17"/>
              </w:rPr>
              <w:t>21,49</w:t>
            </w:r>
          </w:p>
        </w:tc>
        <w:tc>
          <w:tcPr>
            <w:tcW w:w="1474" w:type="dxa"/>
          </w:tcPr>
          <w:p>
            <w:pPr>
              <w:pStyle w:val="TableParagraph"/>
              <w:spacing w:before="56"/>
              <w:ind w:left="473" w:right="474"/>
              <w:jc w:val="center"/>
              <w:rPr>
                <w:sz w:val="17"/>
              </w:rPr>
            </w:pPr>
            <w:r>
              <w:rPr>
                <w:color w:val="231F20"/>
                <w:w w:val="110"/>
                <w:sz w:val="17"/>
              </w:rPr>
              <w:t>35,54</w:t>
            </w:r>
          </w:p>
        </w:tc>
        <w:tc>
          <w:tcPr>
            <w:tcW w:w="1474" w:type="dxa"/>
            <w:tcBorders>
              <w:right w:val="nil"/>
            </w:tcBorders>
          </w:tcPr>
          <w:p>
            <w:pPr>
              <w:pStyle w:val="TableParagraph"/>
              <w:spacing w:before="56"/>
              <w:ind w:left="331" w:right="334"/>
              <w:jc w:val="center"/>
              <w:rPr>
                <w:sz w:val="17"/>
              </w:rPr>
            </w:pPr>
            <w:r>
              <w:rPr>
                <w:color w:val="231F20"/>
                <w:w w:val="110"/>
                <w:sz w:val="17"/>
              </w:rPr>
              <w:t>13,56</w:t>
            </w:r>
          </w:p>
        </w:tc>
      </w:tr>
      <w:tr>
        <w:trPr>
          <w:trHeight w:val="337" w:hRule="exact"/>
        </w:trPr>
        <w:tc>
          <w:tcPr>
            <w:tcW w:w="2891" w:type="dxa"/>
            <w:tcBorders>
              <w:left w:val="nil"/>
            </w:tcBorders>
          </w:tcPr>
          <w:p>
            <w:pPr>
              <w:pStyle w:val="TableParagraph"/>
              <w:spacing w:before="56"/>
              <w:ind w:left="113"/>
              <w:rPr>
                <w:sz w:val="17"/>
              </w:rPr>
            </w:pPr>
            <w:r>
              <w:rPr>
                <w:color w:val="231F20"/>
                <w:sz w:val="17"/>
              </w:rPr>
              <w:t>Animales engordados</w:t>
            </w:r>
          </w:p>
        </w:tc>
        <w:tc>
          <w:tcPr>
            <w:tcW w:w="1474" w:type="dxa"/>
          </w:tcPr>
          <w:p>
            <w:pPr>
              <w:pStyle w:val="TableParagraph"/>
              <w:spacing w:before="56"/>
              <w:ind w:right="524"/>
              <w:jc w:val="right"/>
              <w:rPr>
                <w:sz w:val="17"/>
              </w:rPr>
            </w:pPr>
            <w:r>
              <w:rPr>
                <w:color w:val="231F20"/>
                <w:w w:val="110"/>
                <w:sz w:val="17"/>
              </w:rPr>
              <w:t>6,18</w:t>
            </w:r>
          </w:p>
        </w:tc>
        <w:tc>
          <w:tcPr>
            <w:tcW w:w="1474" w:type="dxa"/>
          </w:tcPr>
          <w:p>
            <w:pPr>
              <w:pStyle w:val="TableParagraph"/>
              <w:spacing w:before="56"/>
              <w:ind w:right="524"/>
              <w:jc w:val="right"/>
              <w:rPr>
                <w:sz w:val="17"/>
              </w:rPr>
            </w:pPr>
            <w:r>
              <w:rPr>
                <w:color w:val="231F20"/>
                <w:w w:val="110"/>
                <w:sz w:val="17"/>
              </w:rPr>
              <w:t>6,13</w:t>
            </w:r>
          </w:p>
        </w:tc>
        <w:tc>
          <w:tcPr>
            <w:tcW w:w="1474" w:type="dxa"/>
          </w:tcPr>
          <w:p>
            <w:pPr>
              <w:pStyle w:val="TableParagraph"/>
              <w:spacing w:before="56"/>
              <w:ind w:left="474" w:right="474"/>
              <w:jc w:val="center"/>
              <w:rPr>
                <w:sz w:val="17"/>
              </w:rPr>
            </w:pPr>
            <w:r>
              <w:rPr>
                <w:color w:val="231F20"/>
                <w:w w:val="110"/>
                <w:sz w:val="17"/>
              </w:rPr>
              <w:t>22,05</w:t>
            </w:r>
          </w:p>
        </w:tc>
        <w:tc>
          <w:tcPr>
            <w:tcW w:w="1474" w:type="dxa"/>
            <w:tcBorders>
              <w:right w:val="nil"/>
            </w:tcBorders>
          </w:tcPr>
          <w:p>
            <w:pPr>
              <w:pStyle w:val="TableParagraph"/>
              <w:spacing w:before="56"/>
              <w:ind w:left="331" w:right="252"/>
              <w:jc w:val="center"/>
              <w:rPr>
                <w:sz w:val="17"/>
              </w:rPr>
            </w:pPr>
            <w:r>
              <w:rPr>
                <w:color w:val="231F20"/>
                <w:w w:val="110"/>
                <w:sz w:val="17"/>
              </w:rPr>
              <w:t>7,84</w:t>
            </w:r>
          </w:p>
        </w:tc>
      </w:tr>
      <w:tr>
        <w:trPr>
          <w:trHeight w:val="337" w:hRule="exact"/>
        </w:trPr>
        <w:tc>
          <w:tcPr>
            <w:tcW w:w="2891" w:type="dxa"/>
            <w:tcBorders>
              <w:left w:val="nil"/>
            </w:tcBorders>
          </w:tcPr>
          <w:p>
            <w:pPr>
              <w:pStyle w:val="TableParagraph"/>
              <w:spacing w:before="56"/>
              <w:ind w:left="113"/>
              <w:rPr>
                <w:sz w:val="10"/>
              </w:rPr>
            </w:pPr>
            <w:r>
              <w:rPr>
                <w:color w:val="231F20"/>
                <w:sz w:val="17"/>
              </w:rPr>
              <w:t>Total  animales vendidos propios</w:t>
            </w:r>
            <w:r>
              <w:rPr>
                <w:color w:val="231F20"/>
                <w:position w:val="6"/>
                <w:sz w:val="10"/>
              </w:rPr>
              <w:t>a</w:t>
            </w:r>
          </w:p>
        </w:tc>
        <w:tc>
          <w:tcPr>
            <w:tcW w:w="1474" w:type="dxa"/>
          </w:tcPr>
          <w:p>
            <w:pPr>
              <w:pStyle w:val="TableParagraph"/>
              <w:spacing w:before="56"/>
              <w:ind w:right="519"/>
              <w:jc w:val="right"/>
              <w:rPr>
                <w:sz w:val="17"/>
              </w:rPr>
            </w:pPr>
            <w:r>
              <w:rPr>
                <w:color w:val="231F20"/>
                <w:w w:val="110"/>
                <w:sz w:val="17"/>
              </w:rPr>
              <w:t>10,54</w:t>
            </w:r>
          </w:p>
        </w:tc>
        <w:tc>
          <w:tcPr>
            <w:tcW w:w="1474" w:type="dxa"/>
          </w:tcPr>
          <w:p>
            <w:pPr>
              <w:pStyle w:val="TableParagraph"/>
              <w:spacing w:before="56"/>
              <w:ind w:right="520"/>
              <w:jc w:val="right"/>
              <w:rPr>
                <w:sz w:val="17"/>
              </w:rPr>
            </w:pPr>
            <w:r>
              <w:rPr>
                <w:color w:val="231F20"/>
                <w:w w:val="110"/>
                <w:sz w:val="17"/>
              </w:rPr>
              <w:t>25,67</w:t>
            </w:r>
          </w:p>
        </w:tc>
        <w:tc>
          <w:tcPr>
            <w:tcW w:w="1474" w:type="dxa"/>
          </w:tcPr>
          <w:p>
            <w:pPr>
              <w:pStyle w:val="TableParagraph"/>
              <w:spacing w:before="56"/>
              <w:ind w:left="474" w:right="474"/>
              <w:jc w:val="center"/>
              <w:rPr>
                <w:sz w:val="17"/>
              </w:rPr>
            </w:pPr>
            <w:r>
              <w:rPr>
                <w:color w:val="231F20"/>
                <w:w w:val="110"/>
                <w:sz w:val="17"/>
              </w:rPr>
              <w:t>42,41</w:t>
            </w:r>
          </w:p>
        </w:tc>
        <w:tc>
          <w:tcPr>
            <w:tcW w:w="1474" w:type="dxa"/>
            <w:tcBorders>
              <w:right w:val="nil"/>
            </w:tcBorders>
          </w:tcPr>
          <w:p>
            <w:pPr>
              <w:pStyle w:val="TableParagraph"/>
              <w:spacing w:before="56"/>
              <w:ind w:left="325" w:right="335"/>
              <w:jc w:val="center"/>
              <w:rPr>
                <w:sz w:val="17"/>
              </w:rPr>
            </w:pPr>
            <w:r>
              <w:rPr>
                <w:color w:val="231F20"/>
                <w:w w:val="110"/>
                <w:sz w:val="17"/>
              </w:rPr>
              <w:t>16,18</w:t>
            </w:r>
          </w:p>
        </w:tc>
      </w:tr>
      <w:tr>
        <w:trPr>
          <w:trHeight w:val="337" w:hRule="exact"/>
        </w:trPr>
        <w:tc>
          <w:tcPr>
            <w:tcW w:w="2891" w:type="dxa"/>
            <w:tcBorders>
              <w:left w:val="nil"/>
            </w:tcBorders>
          </w:tcPr>
          <w:p>
            <w:pPr>
              <w:pStyle w:val="TableParagraph"/>
              <w:spacing w:before="56"/>
              <w:ind w:left="113"/>
              <w:rPr>
                <w:sz w:val="17"/>
              </w:rPr>
            </w:pPr>
            <w:r>
              <w:rPr>
                <w:color w:val="231F20"/>
                <w:sz w:val="17"/>
              </w:rPr>
              <w:t>Total  animales vendidos</w:t>
            </w:r>
          </w:p>
        </w:tc>
        <w:tc>
          <w:tcPr>
            <w:tcW w:w="1474" w:type="dxa"/>
          </w:tcPr>
          <w:p>
            <w:pPr>
              <w:pStyle w:val="TableParagraph"/>
              <w:spacing w:before="56"/>
              <w:ind w:right="517"/>
              <w:jc w:val="right"/>
              <w:rPr>
                <w:sz w:val="17"/>
              </w:rPr>
            </w:pPr>
            <w:r>
              <w:rPr>
                <w:color w:val="231F20"/>
                <w:w w:val="110"/>
                <w:sz w:val="17"/>
              </w:rPr>
              <w:t>10,96</w:t>
            </w:r>
          </w:p>
        </w:tc>
        <w:tc>
          <w:tcPr>
            <w:tcW w:w="1474" w:type="dxa"/>
          </w:tcPr>
          <w:p>
            <w:pPr>
              <w:pStyle w:val="TableParagraph"/>
              <w:spacing w:before="56"/>
              <w:ind w:right="519"/>
              <w:jc w:val="right"/>
              <w:rPr>
                <w:sz w:val="17"/>
              </w:rPr>
            </w:pPr>
            <w:r>
              <w:rPr>
                <w:color w:val="231F20"/>
                <w:w w:val="110"/>
                <w:sz w:val="17"/>
              </w:rPr>
              <w:t>26,81</w:t>
            </w:r>
          </w:p>
        </w:tc>
        <w:tc>
          <w:tcPr>
            <w:tcW w:w="1474" w:type="dxa"/>
          </w:tcPr>
          <w:p>
            <w:pPr>
              <w:pStyle w:val="TableParagraph"/>
              <w:spacing w:before="56"/>
              <w:ind w:left="474" w:right="474"/>
              <w:jc w:val="center"/>
              <w:rPr>
                <w:sz w:val="17"/>
              </w:rPr>
            </w:pPr>
            <w:r>
              <w:rPr>
                <w:color w:val="231F20"/>
                <w:w w:val="110"/>
                <w:sz w:val="17"/>
              </w:rPr>
              <w:t>42,41</w:t>
            </w:r>
          </w:p>
        </w:tc>
        <w:tc>
          <w:tcPr>
            <w:tcW w:w="1474" w:type="dxa"/>
            <w:tcBorders>
              <w:right w:val="nil"/>
            </w:tcBorders>
          </w:tcPr>
          <w:p>
            <w:pPr>
              <w:pStyle w:val="TableParagraph"/>
              <w:spacing w:before="56"/>
              <w:ind w:left="331" w:right="335"/>
              <w:jc w:val="center"/>
              <w:rPr>
                <w:sz w:val="17"/>
              </w:rPr>
            </w:pPr>
            <w:r>
              <w:rPr>
                <w:color w:val="231F20"/>
                <w:w w:val="110"/>
                <w:sz w:val="17"/>
              </w:rPr>
              <w:t>16,63</w:t>
            </w:r>
          </w:p>
        </w:tc>
      </w:tr>
    </w:tbl>
    <w:p>
      <w:pPr>
        <w:spacing w:before="35"/>
        <w:ind w:left="1553" w:right="2503" w:firstLine="0"/>
        <w:jc w:val="left"/>
        <w:rPr>
          <w:sz w:val="15"/>
        </w:rPr>
      </w:pPr>
      <w:r>
        <w:rPr>
          <w:color w:val="231F20"/>
          <w:position w:val="5"/>
          <w:sz w:val="8"/>
        </w:rPr>
        <w:t>a </w:t>
      </w:r>
      <w:r>
        <w:rPr>
          <w:color w:val="231F20"/>
          <w:sz w:val="15"/>
        </w:rPr>
        <w:t>Se contemplan los animales que son comprados y finalizados en la unidades de producción.</w:t>
      </w:r>
    </w:p>
    <w:p>
      <w:pPr>
        <w:pStyle w:val="BodyText"/>
        <w:rPr>
          <w:sz w:val="14"/>
        </w:rPr>
      </w:pPr>
    </w:p>
    <w:p>
      <w:pPr>
        <w:spacing w:before="104"/>
        <w:ind w:left="1553" w:right="2503" w:firstLine="0"/>
        <w:jc w:val="left"/>
        <w:rPr>
          <w:sz w:val="18"/>
        </w:rPr>
      </w:pPr>
      <w:r>
        <w:rPr>
          <w:color w:val="231F20"/>
          <w:sz w:val="18"/>
        </w:rPr>
        <w:t>Cuadro 9.       Otras fuentes de ingresos en las unidades de producción.</w:t>
      </w:r>
    </w:p>
    <w:p>
      <w:pPr>
        <w:pStyle w:val="BodyText"/>
        <w:spacing w:before="3"/>
        <w:rPr>
          <w:sz w:val="7"/>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869"/>
        <w:gridCol w:w="1474"/>
        <w:gridCol w:w="1474"/>
        <w:gridCol w:w="1474"/>
        <w:gridCol w:w="1474"/>
      </w:tblGrid>
      <w:tr>
        <w:trPr>
          <w:trHeight w:val="352" w:hRule="exact"/>
        </w:trPr>
        <w:tc>
          <w:tcPr>
            <w:tcW w:w="2869" w:type="dxa"/>
            <w:tcBorders>
              <w:left w:val="nil"/>
            </w:tcBorders>
          </w:tcPr>
          <w:p>
            <w:pPr/>
          </w:p>
        </w:tc>
        <w:tc>
          <w:tcPr>
            <w:tcW w:w="1474" w:type="dxa"/>
          </w:tcPr>
          <w:p>
            <w:pPr>
              <w:pStyle w:val="TableParagraph"/>
              <w:spacing w:before="62"/>
              <w:ind w:left="474" w:right="474"/>
              <w:jc w:val="center"/>
              <w:rPr>
                <w:rFonts w:ascii="Cambria"/>
                <w:i/>
                <w:sz w:val="18"/>
              </w:rPr>
            </w:pPr>
            <w:r>
              <w:rPr>
                <w:rFonts w:ascii="Cambria"/>
                <w:i/>
                <w:color w:val="231F20"/>
                <w:sz w:val="18"/>
              </w:rPr>
              <w:t>E1</w:t>
            </w:r>
          </w:p>
        </w:tc>
        <w:tc>
          <w:tcPr>
            <w:tcW w:w="1474" w:type="dxa"/>
          </w:tcPr>
          <w:p>
            <w:pPr>
              <w:pStyle w:val="TableParagraph"/>
              <w:spacing w:before="62"/>
              <w:ind w:left="474" w:right="474"/>
              <w:jc w:val="center"/>
              <w:rPr>
                <w:rFonts w:ascii="Cambria"/>
                <w:i/>
                <w:sz w:val="18"/>
              </w:rPr>
            </w:pPr>
            <w:r>
              <w:rPr>
                <w:rFonts w:ascii="Cambria"/>
                <w:i/>
                <w:color w:val="231F20"/>
                <w:sz w:val="18"/>
              </w:rPr>
              <w:t>E2</w:t>
            </w:r>
          </w:p>
        </w:tc>
        <w:tc>
          <w:tcPr>
            <w:tcW w:w="1474" w:type="dxa"/>
          </w:tcPr>
          <w:p>
            <w:pPr>
              <w:pStyle w:val="TableParagraph"/>
              <w:spacing w:before="62"/>
              <w:ind w:left="632"/>
              <w:rPr>
                <w:rFonts w:ascii="Cambria"/>
                <w:i/>
                <w:sz w:val="18"/>
              </w:rPr>
            </w:pPr>
            <w:r>
              <w:rPr>
                <w:rFonts w:ascii="Cambria"/>
                <w:i/>
                <w:color w:val="231F20"/>
                <w:sz w:val="18"/>
              </w:rPr>
              <w:t>E3</w:t>
            </w:r>
          </w:p>
        </w:tc>
        <w:tc>
          <w:tcPr>
            <w:tcW w:w="1474" w:type="dxa"/>
            <w:tcBorders>
              <w:right w:val="nil"/>
            </w:tcBorders>
          </w:tcPr>
          <w:p>
            <w:pPr>
              <w:pStyle w:val="TableParagraph"/>
              <w:spacing w:before="62"/>
              <w:ind w:left="345" w:right="239"/>
              <w:rPr>
                <w:rFonts w:ascii="Cambria"/>
                <w:i/>
                <w:sz w:val="18"/>
              </w:rPr>
            </w:pPr>
            <w:r>
              <w:rPr>
                <w:rFonts w:ascii="Cambria"/>
                <w:i/>
                <w:color w:val="231F20"/>
                <w:w w:val="105"/>
                <w:sz w:val="18"/>
              </w:rPr>
              <w:t>Promedio</w:t>
            </w:r>
          </w:p>
        </w:tc>
      </w:tr>
      <w:tr>
        <w:trPr>
          <w:trHeight w:val="340" w:hRule="exact"/>
        </w:trPr>
        <w:tc>
          <w:tcPr>
            <w:tcW w:w="2869" w:type="dxa"/>
            <w:tcBorders>
              <w:left w:val="nil"/>
            </w:tcBorders>
          </w:tcPr>
          <w:p>
            <w:pPr>
              <w:pStyle w:val="TableParagraph"/>
              <w:spacing w:before="56"/>
              <w:ind w:left="113"/>
              <w:rPr>
                <w:sz w:val="17"/>
              </w:rPr>
            </w:pPr>
            <w:r>
              <w:rPr>
                <w:color w:val="231F20"/>
                <w:w w:val="105"/>
                <w:sz w:val="17"/>
              </w:rPr>
              <w:t>Vacas de desecho</w:t>
            </w:r>
          </w:p>
        </w:tc>
        <w:tc>
          <w:tcPr>
            <w:tcW w:w="1474" w:type="dxa"/>
          </w:tcPr>
          <w:p>
            <w:pPr/>
          </w:p>
        </w:tc>
        <w:tc>
          <w:tcPr>
            <w:tcW w:w="1474" w:type="dxa"/>
          </w:tcPr>
          <w:p>
            <w:pPr>
              <w:pStyle w:val="TableParagraph"/>
              <w:spacing w:before="56"/>
              <w:ind w:right="446"/>
              <w:jc w:val="right"/>
              <w:rPr>
                <w:sz w:val="17"/>
              </w:rPr>
            </w:pPr>
            <w:r>
              <w:rPr>
                <w:color w:val="231F20"/>
                <w:w w:val="110"/>
                <w:sz w:val="17"/>
              </w:rPr>
              <w:t>0,83</w:t>
            </w:r>
          </w:p>
        </w:tc>
        <w:tc>
          <w:tcPr>
            <w:tcW w:w="1474" w:type="dxa"/>
          </w:tcPr>
          <w:p>
            <w:pPr>
              <w:pStyle w:val="TableParagraph"/>
              <w:spacing w:before="56"/>
              <w:ind w:left="682"/>
              <w:rPr>
                <w:sz w:val="17"/>
              </w:rPr>
            </w:pPr>
            <w:r>
              <w:rPr>
                <w:color w:val="231F20"/>
                <w:w w:val="110"/>
                <w:sz w:val="17"/>
              </w:rPr>
              <w:t>3,86</w:t>
            </w:r>
          </w:p>
        </w:tc>
        <w:tc>
          <w:tcPr>
            <w:tcW w:w="1474" w:type="dxa"/>
            <w:tcBorders>
              <w:right w:val="nil"/>
            </w:tcBorders>
          </w:tcPr>
          <w:p>
            <w:pPr>
              <w:pStyle w:val="TableParagraph"/>
              <w:spacing w:before="56"/>
              <w:ind w:left="686" w:right="239"/>
              <w:rPr>
                <w:sz w:val="17"/>
              </w:rPr>
            </w:pPr>
            <w:r>
              <w:rPr>
                <w:color w:val="231F20"/>
                <w:w w:val="110"/>
                <w:sz w:val="17"/>
              </w:rPr>
              <w:t>1,50</w:t>
            </w:r>
          </w:p>
        </w:tc>
      </w:tr>
      <w:tr>
        <w:trPr>
          <w:trHeight w:val="340" w:hRule="exact"/>
        </w:trPr>
        <w:tc>
          <w:tcPr>
            <w:tcW w:w="2869" w:type="dxa"/>
            <w:tcBorders>
              <w:left w:val="nil"/>
            </w:tcBorders>
          </w:tcPr>
          <w:p>
            <w:pPr>
              <w:pStyle w:val="TableParagraph"/>
              <w:spacing w:before="56"/>
              <w:ind w:left="113"/>
              <w:rPr>
                <w:sz w:val="17"/>
              </w:rPr>
            </w:pPr>
            <w:r>
              <w:rPr>
                <w:color w:val="231F20"/>
                <w:sz w:val="17"/>
              </w:rPr>
              <w:t>Hembras  para reemplazo</w:t>
            </w:r>
          </w:p>
        </w:tc>
        <w:tc>
          <w:tcPr>
            <w:tcW w:w="1474" w:type="dxa"/>
          </w:tcPr>
          <w:p>
            <w:pPr>
              <w:pStyle w:val="TableParagraph"/>
              <w:spacing w:before="56"/>
              <w:ind w:right="446"/>
              <w:jc w:val="right"/>
              <w:rPr>
                <w:sz w:val="17"/>
              </w:rPr>
            </w:pPr>
            <w:r>
              <w:rPr>
                <w:color w:val="231F20"/>
                <w:w w:val="110"/>
                <w:sz w:val="17"/>
              </w:rPr>
              <w:t>0,43</w:t>
            </w:r>
          </w:p>
        </w:tc>
        <w:tc>
          <w:tcPr>
            <w:tcW w:w="1474" w:type="dxa"/>
          </w:tcPr>
          <w:p>
            <w:pPr>
              <w:pStyle w:val="TableParagraph"/>
              <w:spacing w:before="56"/>
              <w:ind w:right="446"/>
              <w:jc w:val="right"/>
              <w:rPr>
                <w:sz w:val="17"/>
              </w:rPr>
            </w:pPr>
            <w:r>
              <w:rPr>
                <w:color w:val="231F20"/>
                <w:w w:val="110"/>
                <w:sz w:val="17"/>
              </w:rPr>
              <w:t>0,67</w:t>
            </w:r>
          </w:p>
        </w:tc>
        <w:tc>
          <w:tcPr>
            <w:tcW w:w="1474" w:type="dxa"/>
          </w:tcPr>
          <w:p>
            <w:pPr>
              <w:pStyle w:val="TableParagraph"/>
              <w:spacing w:before="56"/>
              <w:ind w:left="682"/>
              <w:rPr>
                <w:sz w:val="17"/>
              </w:rPr>
            </w:pPr>
            <w:r>
              <w:rPr>
                <w:color w:val="231F20"/>
                <w:w w:val="110"/>
                <w:sz w:val="17"/>
              </w:rPr>
              <w:t>1,00</w:t>
            </w:r>
          </w:p>
        </w:tc>
        <w:tc>
          <w:tcPr>
            <w:tcW w:w="1474" w:type="dxa"/>
            <w:tcBorders>
              <w:right w:val="nil"/>
            </w:tcBorders>
          </w:tcPr>
          <w:p>
            <w:pPr>
              <w:pStyle w:val="TableParagraph"/>
              <w:spacing w:before="56"/>
              <w:ind w:left="686" w:right="239"/>
              <w:rPr>
                <w:sz w:val="17"/>
              </w:rPr>
            </w:pPr>
            <w:r>
              <w:rPr>
                <w:color w:val="231F20"/>
                <w:w w:val="110"/>
                <w:sz w:val="17"/>
              </w:rPr>
              <w:t>0,54</w:t>
            </w:r>
          </w:p>
        </w:tc>
      </w:tr>
      <w:tr>
        <w:trPr>
          <w:trHeight w:val="340" w:hRule="exact"/>
        </w:trPr>
        <w:tc>
          <w:tcPr>
            <w:tcW w:w="2869" w:type="dxa"/>
            <w:tcBorders>
              <w:left w:val="nil"/>
            </w:tcBorders>
          </w:tcPr>
          <w:p>
            <w:pPr>
              <w:pStyle w:val="TableParagraph"/>
              <w:spacing w:before="56"/>
              <w:ind w:left="113"/>
              <w:rPr>
                <w:sz w:val="17"/>
              </w:rPr>
            </w:pPr>
            <w:r>
              <w:rPr>
                <w:color w:val="231F20"/>
                <w:sz w:val="17"/>
              </w:rPr>
              <w:t>Vaquillas</w:t>
            </w:r>
          </w:p>
        </w:tc>
        <w:tc>
          <w:tcPr>
            <w:tcW w:w="1474" w:type="dxa"/>
          </w:tcPr>
          <w:p>
            <w:pPr>
              <w:pStyle w:val="TableParagraph"/>
              <w:spacing w:before="56"/>
              <w:ind w:right="446"/>
              <w:jc w:val="right"/>
              <w:rPr>
                <w:sz w:val="17"/>
              </w:rPr>
            </w:pPr>
            <w:r>
              <w:rPr>
                <w:color w:val="231F20"/>
                <w:w w:val="110"/>
                <w:sz w:val="17"/>
              </w:rPr>
              <w:t>0,65</w:t>
            </w:r>
          </w:p>
        </w:tc>
        <w:tc>
          <w:tcPr>
            <w:tcW w:w="1474" w:type="dxa"/>
          </w:tcPr>
          <w:p>
            <w:pPr>
              <w:pStyle w:val="TableParagraph"/>
              <w:spacing w:before="56"/>
              <w:ind w:right="446"/>
              <w:jc w:val="right"/>
              <w:rPr>
                <w:sz w:val="17"/>
              </w:rPr>
            </w:pPr>
            <w:r>
              <w:rPr>
                <w:color w:val="231F20"/>
                <w:w w:val="110"/>
                <w:sz w:val="17"/>
              </w:rPr>
              <w:t>0,00</w:t>
            </w:r>
          </w:p>
        </w:tc>
        <w:tc>
          <w:tcPr>
            <w:tcW w:w="1474" w:type="dxa"/>
          </w:tcPr>
          <w:p>
            <w:pPr>
              <w:pStyle w:val="TableParagraph"/>
              <w:spacing w:before="56"/>
              <w:ind w:left="682"/>
              <w:rPr>
                <w:sz w:val="17"/>
              </w:rPr>
            </w:pPr>
            <w:r>
              <w:rPr>
                <w:color w:val="231F20"/>
                <w:w w:val="110"/>
                <w:sz w:val="17"/>
              </w:rPr>
              <w:t>1,86</w:t>
            </w:r>
          </w:p>
        </w:tc>
        <w:tc>
          <w:tcPr>
            <w:tcW w:w="1474" w:type="dxa"/>
            <w:tcBorders>
              <w:right w:val="nil"/>
            </w:tcBorders>
          </w:tcPr>
          <w:p>
            <w:pPr>
              <w:pStyle w:val="TableParagraph"/>
              <w:spacing w:before="56"/>
              <w:ind w:left="696" w:right="239"/>
              <w:rPr>
                <w:sz w:val="17"/>
              </w:rPr>
            </w:pPr>
            <w:r>
              <w:rPr>
                <w:color w:val="231F20"/>
                <w:w w:val="110"/>
                <w:sz w:val="17"/>
              </w:rPr>
              <w:t>0,74</w:t>
            </w:r>
          </w:p>
        </w:tc>
      </w:tr>
      <w:tr>
        <w:trPr>
          <w:trHeight w:val="340" w:hRule="exact"/>
        </w:trPr>
        <w:tc>
          <w:tcPr>
            <w:tcW w:w="2869" w:type="dxa"/>
            <w:tcBorders>
              <w:left w:val="nil"/>
            </w:tcBorders>
          </w:tcPr>
          <w:p>
            <w:pPr>
              <w:pStyle w:val="TableParagraph"/>
              <w:spacing w:before="56"/>
              <w:ind w:left="113"/>
              <w:rPr>
                <w:sz w:val="17"/>
              </w:rPr>
            </w:pPr>
            <w:r>
              <w:rPr>
                <w:color w:val="231F20"/>
                <w:sz w:val="17"/>
              </w:rPr>
              <w:t>Machos  para sementales</w:t>
            </w:r>
          </w:p>
        </w:tc>
        <w:tc>
          <w:tcPr>
            <w:tcW w:w="1474" w:type="dxa"/>
          </w:tcPr>
          <w:p>
            <w:pPr>
              <w:pStyle w:val="TableParagraph"/>
              <w:spacing w:before="56"/>
              <w:ind w:right="446"/>
              <w:jc w:val="right"/>
              <w:rPr>
                <w:sz w:val="17"/>
              </w:rPr>
            </w:pPr>
            <w:r>
              <w:rPr>
                <w:color w:val="231F20"/>
                <w:w w:val="110"/>
                <w:sz w:val="17"/>
              </w:rPr>
              <w:t>0,05</w:t>
            </w:r>
          </w:p>
        </w:tc>
        <w:tc>
          <w:tcPr>
            <w:tcW w:w="1474" w:type="dxa"/>
          </w:tcPr>
          <w:p>
            <w:pPr>
              <w:pStyle w:val="TableParagraph"/>
              <w:spacing w:before="56"/>
              <w:ind w:right="446"/>
              <w:jc w:val="right"/>
              <w:rPr>
                <w:sz w:val="17"/>
              </w:rPr>
            </w:pPr>
            <w:r>
              <w:rPr>
                <w:color w:val="231F20"/>
                <w:w w:val="110"/>
                <w:sz w:val="17"/>
              </w:rPr>
              <w:t>0,00</w:t>
            </w:r>
          </w:p>
        </w:tc>
        <w:tc>
          <w:tcPr>
            <w:tcW w:w="1474" w:type="dxa"/>
          </w:tcPr>
          <w:p>
            <w:pPr>
              <w:pStyle w:val="TableParagraph"/>
              <w:spacing w:before="56"/>
              <w:ind w:left="686"/>
              <w:rPr>
                <w:sz w:val="17"/>
              </w:rPr>
            </w:pPr>
            <w:r>
              <w:rPr>
                <w:color w:val="231F20"/>
                <w:w w:val="110"/>
                <w:sz w:val="17"/>
              </w:rPr>
              <w:t>0,57</w:t>
            </w:r>
          </w:p>
        </w:tc>
        <w:tc>
          <w:tcPr>
            <w:tcW w:w="1474" w:type="dxa"/>
            <w:tcBorders>
              <w:right w:val="nil"/>
            </w:tcBorders>
          </w:tcPr>
          <w:p>
            <w:pPr>
              <w:pStyle w:val="TableParagraph"/>
              <w:spacing w:before="56"/>
              <w:ind w:left="689" w:right="239"/>
              <w:rPr>
                <w:sz w:val="17"/>
              </w:rPr>
            </w:pPr>
            <w:r>
              <w:rPr>
                <w:color w:val="231F20"/>
                <w:w w:val="110"/>
                <w:sz w:val="17"/>
              </w:rPr>
              <w:t>0,12</w:t>
            </w:r>
          </w:p>
        </w:tc>
      </w:tr>
      <w:tr>
        <w:trPr>
          <w:trHeight w:val="354" w:hRule="exact"/>
        </w:trPr>
        <w:tc>
          <w:tcPr>
            <w:tcW w:w="2869" w:type="dxa"/>
            <w:tcBorders>
              <w:left w:val="nil"/>
            </w:tcBorders>
          </w:tcPr>
          <w:p>
            <w:pPr>
              <w:pStyle w:val="TableParagraph"/>
              <w:spacing w:before="56"/>
              <w:ind w:left="113"/>
              <w:rPr>
                <w:sz w:val="17"/>
              </w:rPr>
            </w:pPr>
            <w:r>
              <w:rPr>
                <w:color w:val="231F20"/>
                <w:w w:val="105"/>
                <w:sz w:val="17"/>
              </w:rPr>
              <w:t>Ovinos</w:t>
            </w:r>
          </w:p>
        </w:tc>
        <w:tc>
          <w:tcPr>
            <w:tcW w:w="1474" w:type="dxa"/>
          </w:tcPr>
          <w:p>
            <w:pPr>
              <w:pStyle w:val="TableParagraph"/>
              <w:spacing w:before="56"/>
              <w:ind w:right="446"/>
              <w:jc w:val="right"/>
              <w:rPr>
                <w:sz w:val="17"/>
              </w:rPr>
            </w:pPr>
            <w:r>
              <w:rPr>
                <w:color w:val="231F20"/>
                <w:w w:val="110"/>
                <w:sz w:val="17"/>
              </w:rPr>
              <w:t>1,24</w:t>
            </w:r>
          </w:p>
        </w:tc>
        <w:tc>
          <w:tcPr>
            <w:tcW w:w="1474" w:type="dxa"/>
          </w:tcPr>
          <w:p>
            <w:pPr>
              <w:pStyle w:val="TableParagraph"/>
              <w:spacing w:before="56"/>
              <w:ind w:right="446"/>
              <w:jc w:val="right"/>
              <w:rPr>
                <w:sz w:val="17"/>
              </w:rPr>
            </w:pPr>
            <w:r>
              <w:rPr>
                <w:color w:val="231F20"/>
                <w:w w:val="110"/>
                <w:sz w:val="17"/>
              </w:rPr>
              <w:t>0,00</w:t>
            </w:r>
          </w:p>
        </w:tc>
        <w:tc>
          <w:tcPr>
            <w:tcW w:w="1474" w:type="dxa"/>
          </w:tcPr>
          <w:p>
            <w:pPr>
              <w:pStyle w:val="TableParagraph"/>
              <w:spacing w:before="56"/>
              <w:ind w:left="696"/>
              <w:rPr>
                <w:sz w:val="17"/>
              </w:rPr>
            </w:pPr>
            <w:r>
              <w:rPr>
                <w:color w:val="231F20"/>
                <w:w w:val="110"/>
                <w:sz w:val="17"/>
              </w:rPr>
              <w:t>0,71</w:t>
            </w:r>
          </w:p>
        </w:tc>
        <w:tc>
          <w:tcPr>
            <w:tcW w:w="1474" w:type="dxa"/>
            <w:tcBorders>
              <w:right w:val="nil"/>
            </w:tcBorders>
          </w:tcPr>
          <w:p>
            <w:pPr>
              <w:pStyle w:val="TableParagraph"/>
              <w:spacing w:before="56"/>
              <w:ind w:left="682" w:right="239"/>
              <w:rPr>
                <w:sz w:val="17"/>
              </w:rPr>
            </w:pPr>
            <w:r>
              <w:rPr>
                <w:color w:val="231F20"/>
                <w:w w:val="110"/>
                <w:sz w:val="17"/>
              </w:rPr>
              <w:t>1,02</w:t>
            </w:r>
          </w:p>
        </w:tc>
      </w:tr>
      <w:tr>
        <w:trPr>
          <w:trHeight w:val="354" w:hRule="exact"/>
        </w:trPr>
        <w:tc>
          <w:tcPr>
            <w:tcW w:w="2869" w:type="dxa"/>
            <w:tcBorders>
              <w:left w:val="nil"/>
            </w:tcBorders>
          </w:tcPr>
          <w:p>
            <w:pPr>
              <w:pStyle w:val="TableParagraph"/>
              <w:spacing w:before="56"/>
              <w:ind w:left="113"/>
              <w:rPr>
                <w:sz w:val="17"/>
              </w:rPr>
            </w:pPr>
            <w:r>
              <w:rPr>
                <w:color w:val="231F20"/>
                <w:w w:val="105"/>
                <w:sz w:val="17"/>
              </w:rPr>
              <w:t>Leche (litros)</w:t>
            </w:r>
          </w:p>
        </w:tc>
        <w:tc>
          <w:tcPr>
            <w:tcW w:w="1474" w:type="dxa"/>
          </w:tcPr>
          <w:p>
            <w:pPr>
              <w:pStyle w:val="TableParagraph"/>
              <w:spacing w:before="56"/>
              <w:ind w:right="446"/>
              <w:jc w:val="right"/>
              <w:rPr>
                <w:sz w:val="17"/>
              </w:rPr>
            </w:pPr>
            <w:r>
              <w:rPr>
                <w:color w:val="231F20"/>
                <w:w w:val="110"/>
                <w:sz w:val="17"/>
              </w:rPr>
              <w:t>5400,00</w:t>
            </w:r>
          </w:p>
        </w:tc>
        <w:tc>
          <w:tcPr>
            <w:tcW w:w="1474" w:type="dxa"/>
          </w:tcPr>
          <w:p>
            <w:pPr>
              <w:pStyle w:val="TableParagraph"/>
              <w:spacing w:before="56"/>
              <w:ind w:right="446"/>
              <w:jc w:val="right"/>
              <w:rPr>
                <w:sz w:val="17"/>
              </w:rPr>
            </w:pPr>
            <w:r>
              <w:rPr>
                <w:color w:val="231F20"/>
                <w:w w:val="110"/>
                <w:sz w:val="17"/>
              </w:rPr>
              <w:t>5670,00</w:t>
            </w:r>
          </w:p>
        </w:tc>
        <w:tc>
          <w:tcPr>
            <w:tcW w:w="1474" w:type="dxa"/>
          </w:tcPr>
          <w:p>
            <w:pPr>
              <w:pStyle w:val="TableParagraph"/>
              <w:spacing w:before="56"/>
              <w:ind w:left="682"/>
              <w:rPr>
                <w:sz w:val="17"/>
              </w:rPr>
            </w:pPr>
            <w:r>
              <w:rPr>
                <w:color w:val="231F20"/>
                <w:w w:val="110"/>
                <w:sz w:val="17"/>
              </w:rPr>
              <w:t>0,00</w:t>
            </w:r>
          </w:p>
        </w:tc>
        <w:tc>
          <w:tcPr>
            <w:tcW w:w="1474" w:type="dxa"/>
            <w:tcBorders>
              <w:right w:val="nil"/>
            </w:tcBorders>
          </w:tcPr>
          <w:p>
            <w:pPr>
              <w:pStyle w:val="TableParagraph"/>
              <w:spacing w:before="56"/>
              <w:ind w:left="392" w:right="239"/>
              <w:rPr>
                <w:sz w:val="17"/>
              </w:rPr>
            </w:pPr>
            <w:r>
              <w:rPr>
                <w:color w:val="231F20"/>
                <w:w w:val="115"/>
                <w:sz w:val="17"/>
              </w:rPr>
              <w:t>5508,00</w:t>
            </w:r>
          </w:p>
        </w:tc>
      </w:tr>
      <w:tr>
        <w:trPr>
          <w:trHeight w:val="354" w:hRule="exact"/>
        </w:trPr>
        <w:tc>
          <w:tcPr>
            <w:tcW w:w="2869" w:type="dxa"/>
            <w:tcBorders>
              <w:left w:val="nil"/>
            </w:tcBorders>
          </w:tcPr>
          <w:p>
            <w:pPr>
              <w:pStyle w:val="TableParagraph"/>
              <w:spacing w:before="56"/>
              <w:ind w:left="113"/>
              <w:rPr>
                <w:sz w:val="17"/>
              </w:rPr>
            </w:pPr>
            <w:r>
              <w:rPr>
                <w:color w:val="231F20"/>
                <w:w w:val="105"/>
                <w:sz w:val="17"/>
              </w:rPr>
              <w:t>Quesos (piezas)</w:t>
            </w:r>
          </w:p>
        </w:tc>
        <w:tc>
          <w:tcPr>
            <w:tcW w:w="1474" w:type="dxa"/>
          </w:tcPr>
          <w:p>
            <w:pPr>
              <w:pStyle w:val="TableParagraph"/>
              <w:spacing w:before="56"/>
              <w:ind w:right="450"/>
              <w:jc w:val="right"/>
              <w:rPr>
                <w:sz w:val="17"/>
              </w:rPr>
            </w:pPr>
            <w:r>
              <w:rPr>
                <w:color w:val="231F20"/>
                <w:w w:val="110"/>
                <w:sz w:val="17"/>
              </w:rPr>
              <w:t>158,67</w:t>
            </w:r>
          </w:p>
        </w:tc>
        <w:tc>
          <w:tcPr>
            <w:tcW w:w="1474" w:type="dxa"/>
          </w:tcPr>
          <w:p>
            <w:pPr>
              <w:pStyle w:val="TableParagraph"/>
              <w:spacing w:before="56"/>
              <w:ind w:right="446"/>
              <w:jc w:val="right"/>
              <w:rPr>
                <w:sz w:val="17"/>
              </w:rPr>
            </w:pPr>
            <w:r>
              <w:rPr>
                <w:color w:val="231F20"/>
                <w:w w:val="110"/>
                <w:sz w:val="17"/>
              </w:rPr>
              <w:t>382,50</w:t>
            </w:r>
          </w:p>
        </w:tc>
        <w:tc>
          <w:tcPr>
            <w:tcW w:w="1474" w:type="dxa"/>
          </w:tcPr>
          <w:p>
            <w:pPr>
              <w:pStyle w:val="TableParagraph"/>
              <w:spacing w:before="56"/>
              <w:ind w:left="682"/>
              <w:rPr>
                <w:sz w:val="17"/>
              </w:rPr>
            </w:pPr>
            <w:r>
              <w:rPr>
                <w:color w:val="231F20"/>
                <w:w w:val="110"/>
                <w:sz w:val="17"/>
              </w:rPr>
              <w:t>0,00</w:t>
            </w:r>
          </w:p>
        </w:tc>
        <w:tc>
          <w:tcPr>
            <w:tcW w:w="1474" w:type="dxa"/>
            <w:tcBorders>
              <w:right w:val="nil"/>
            </w:tcBorders>
          </w:tcPr>
          <w:p>
            <w:pPr>
              <w:pStyle w:val="TableParagraph"/>
              <w:spacing w:before="56"/>
              <w:ind w:left="491" w:right="239"/>
              <w:rPr>
                <w:sz w:val="17"/>
              </w:rPr>
            </w:pPr>
            <w:r>
              <w:rPr>
                <w:color w:val="231F20"/>
                <w:w w:val="110"/>
                <w:sz w:val="17"/>
              </w:rPr>
              <w:t>248,20</w:t>
            </w:r>
          </w:p>
        </w:tc>
      </w:tr>
    </w:tbl>
    <w:p>
      <w:pPr>
        <w:spacing w:before="35"/>
        <w:ind w:left="1553" w:right="2503" w:firstLine="0"/>
        <w:jc w:val="left"/>
        <w:rPr>
          <w:sz w:val="15"/>
        </w:rPr>
      </w:pPr>
      <w:r>
        <w:rPr>
          <w:color w:val="231F20"/>
          <w:w w:val="105"/>
          <w:position w:val="5"/>
          <w:sz w:val="8"/>
        </w:rPr>
        <w:t>a </w:t>
      </w:r>
      <w:r>
        <w:rPr>
          <w:color w:val="231F20"/>
          <w:w w:val="105"/>
          <w:sz w:val="15"/>
        </w:rPr>
        <w:t>El precio de venta de la leche fue de $10,0.</w:t>
      </w:r>
    </w:p>
    <w:p>
      <w:pPr>
        <w:spacing w:before="17"/>
        <w:ind w:left="1553" w:right="2503" w:firstLine="0"/>
        <w:jc w:val="left"/>
        <w:rPr>
          <w:sz w:val="15"/>
        </w:rPr>
      </w:pPr>
      <w:r>
        <w:rPr>
          <w:color w:val="231F20"/>
          <w:position w:val="5"/>
          <w:sz w:val="8"/>
        </w:rPr>
        <w:t>b </w:t>
      </w:r>
      <w:r>
        <w:rPr>
          <w:color w:val="231F20"/>
          <w:sz w:val="15"/>
        </w:rPr>
        <w:t>Los quesos que se comercializan son piezas de 200 gramos en promedio a un precio de venta de $20.</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8.     </w:t>
      </w:r>
      <w:r>
        <w:rPr>
          <w:color w:val="231F20"/>
          <w:spacing w:val="25"/>
          <w:sz w:val="18"/>
        </w:rPr>
        <w:t> </w:t>
      </w:r>
      <w:r>
        <w:rPr>
          <w:color w:val="231F20"/>
          <w:sz w:val="18"/>
        </w:rPr>
        <w:t>La producción de bovinos para carne y su importancia en el desarrollo</w:t>
      </w:r>
      <w:r>
        <w:rPr>
          <w:color w:val="231F20"/>
          <w:spacing w:val="13"/>
          <w:sz w:val="18"/>
        </w:rPr>
        <w:t> </w:t>
      </w:r>
      <w:r>
        <w:rPr>
          <w:color w:val="231F20"/>
          <w:sz w:val="18"/>
        </w:rPr>
        <w:t>rural…</w:t>
      </w:r>
      <w:r>
        <w:rPr>
          <w:color w:val="231F20"/>
          <w:sz w:val="22"/>
        </w:rPr>
        <w:tab/>
      </w:r>
      <w:r>
        <w:rPr>
          <w:color w:val="231F20"/>
          <w:spacing w:val="-5"/>
          <w:sz w:val="22"/>
        </w:rPr>
        <w:t>129</w:t>
      </w:r>
    </w:p>
    <w:p>
      <w:pPr>
        <w:spacing w:after="0"/>
        <w:jc w:val="left"/>
        <w:rPr>
          <w:sz w:val="22"/>
        </w:rPr>
        <w:sectPr>
          <w:pgSz w:w="11900" w:h="14450"/>
          <w:pgMar w:header="0" w:footer="222" w:top="420" w:bottom="420" w:left="0" w:right="0"/>
        </w:sectPr>
      </w:pPr>
    </w:p>
    <w:p>
      <w:pPr>
        <w:pStyle w:val="BodyText"/>
        <w:spacing w:before="11"/>
        <w:rPr>
          <w:sz w:val="28"/>
        </w:rPr>
      </w:pPr>
    </w:p>
    <w:p>
      <w:pPr>
        <w:spacing w:before="1"/>
        <w:ind w:left="1553" w:right="0" w:firstLine="0"/>
        <w:jc w:val="both"/>
        <w:rPr>
          <w:rFonts w:ascii="Cambria" w:hAnsi="Cambria"/>
          <w:i/>
          <w:sz w:val="20"/>
        </w:rPr>
      </w:pPr>
      <w:r>
        <w:rPr>
          <w:rFonts w:ascii="Cambria" w:hAnsi="Cambria"/>
          <w:i/>
          <w:color w:val="231F20"/>
          <w:w w:val="105"/>
          <w:sz w:val="20"/>
        </w:rPr>
        <w:t>Análisis  económico</w:t>
      </w:r>
    </w:p>
    <w:p>
      <w:pPr>
        <w:spacing w:before="25"/>
        <w:ind w:left="1553" w:right="0" w:firstLine="0"/>
        <w:jc w:val="both"/>
        <w:rPr>
          <w:rFonts w:ascii="Cambria" w:hAnsi="Cambria"/>
          <w:i/>
          <w:sz w:val="20"/>
        </w:rPr>
      </w:pPr>
      <w:r>
        <w:rPr>
          <w:rFonts w:ascii="Cambria" w:hAnsi="Cambria"/>
          <w:i/>
          <w:color w:val="231F20"/>
          <w:w w:val="110"/>
          <w:sz w:val="20"/>
        </w:rPr>
        <w:t>en las unidades de producción</w:t>
      </w:r>
    </w:p>
    <w:p>
      <w:pPr>
        <w:pStyle w:val="BodyText"/>
        <w:spacing w:line="254" w:lineRule="auto" w:before="138"/>
        <w:ind w:left="1553"/>
        <w:jc w:val="both"/>
      </w:pPr>
      <w:r>
        <w:rPr>
          <w:color w:val="231F20"/>
        </w:rPr>
        <w:t>Los precios unitarios de venta y compra de pro- ductos obtenidos e insumos (kilos o litros) que se requieren para la producción se muestran en los Cuadros  10  y 11.</w:t>
      </w:r>
    </w:p>
    <w:p>
      <w:pPr>
        <w:pStyle w:val="BodyText"/>
      </w:pPr>
    </w:p>
    <w:p>
      <w:pPr>
        <w:pStyle w:val="BodyText"/>
        <w:spacing w:before="9"/>
        <w:rPr>
          <w:sz w:val="18"/>
        </w:rPr>
      </w:pPr>
    </w:p>
    <w:p>
      <w:pPr>
        <w:spacing w:line="283" w:lineRule="auto" w:before="1"/>
        <w:ind w:left="1553" w:right="0" w:firstLine="0"/>
        <w:jc w:val="both"/>
        <w:rPr>
          <w:sz w:val="18"/>
        </w:rPr>
      </w:pPr>
      <w:r>
        <w:rPr>
          <w:color w:val="231F20"/>
          <w:sz w:val="18"/>
        </w:rPr>
        <w:t>Cuadro 10. Precios unitarios de venta de animales y productos en las unidades de   producción.</w:t>
      </w:r>
    </w:p>
    <w:p>
      <w:pPr>
        <w:pStyle w:val="BodyText"/>
        <w:spacing w:before="11"/>
        <w:rPr>
          <w:sz w:val="28"/>
        </w:rPr>
      </w:pPr>
      <w:r>
        <w:rPr/>
        <w:br w:type="column"/>
      </w:r>
      <w:r>
        <w:rPr>
          <w:sz w:val="28"/>
        </w:rPr>
      </w:r>
    </w:p>
    <w:p>
      <w:pPr>
        <w:spacing w:before="1"/>
        <w:ind w:left="413" w:right="0" w:firstLine="0"/>
        <w:jc w:val="both"/>
        <w:rPr>
          <w:rFonts w:ascii="Cambria" w:hAnsi="Cambria"/>
          <w:i/>
          <w:sz w:val="20"/>
        </w:rPr>
      </w:pPr>
      <w:r>
        <w:rPr>
          <w:rFonts w:ascii="Cambria" w:hAnsi="Cambria"/>
          <w:i/>
          <w:color w:val="231F20"/>
          <w:w w:val="110"/>
          <w:sz w:val="20"/>
        </w:rPr>
        <w:t>Costos de producción</w:t>
      </w:r>
    </w:p>
    <w:p>
      <w:pPr>
        <w:pStyle w:val="BodyText"/>
        <w:spacing w:line="254" w:lineRule="auto" w:before="138"/>
        <w:ind w:left="413" w:right="1551"/>
        <w:jc w:val="both"/>
      </w:pPr>
      <w:r>
        <w:rPr>
          <w:color w:val="231F20"/>
        </w:rPr>
        <w:t>Los principales costos de producción se muestran en el Cuadro </w:t>
      </w:r>
      <w:r>
        <w:rPr>
          <w:color w:val="231F20"/>
          <w:spacing w:val="-5"/>
        </w:rPr>
        <w:t>12. </w:t>
      </w:r>
      <w:r>
        <w:rPr>
          <w:color w:val="231F20"/>
        </w:rPr>
        <w:t>Entre los de mayor relevancia en las</w:t>
      </w:r>
      <w:r>
        <w:rPr>
          <w:color w:val="231F20"/>
          <w:spacing w:val="-11"/>
        </w:rPr>
        <w:t> </w:t>
      </w:r>
      <w:r>
        <w:rPr>
          <w:color w:val="231F20"/>
        </w:rPr>
        <w:t>unidades</w:t>
      </w:r>
      <w:r>
        <w:rPr>
          <w:color w:val="231F20"/>
          <w:spacing w:val="-10"/>
        </w:rPr>
        <w:t> </w:t>
      </w:r>
      <w:r>
        <w:rPr>
          <w:color w:val="231F20"/>
        </w:rPr>
        <w:t>de</w:t>
      </w:r>
      <w:r>
        <w:rPr>
          <w:color w:val="231F20"/>
          <w:spacing w:val="-11"/>
        </w:rPr>
        <w:t> </w:t>
      </w:r>
      <w:r>
        <w:rPr>
          <w:color w:val="231F20"/>
        </w:rPr>
        <w:t>producción</w:t>
      </w:r>
      <w:r>
        <w:rPr>
          <w:color w:val="231F20"/>
          <w:spacing w:val="-11"/>
        </w:rPr>
        <w:t> </w:t>
      </w:r>
      <w:r>
        <w:rPr>
          <w:color w:val="231F20"/>
        </w:rPr>
        <w:t>destaca</w:t>
      </w:r>
      <w:r>
        <w:rPr>
          <w:color w:val="231F20"/>
          <w:spacing w:val="-11"/>
        </w:rPr>
        <w:t> </w:t>
      </w:r>
      <w:r>
        <w:rPr>
          <w:color w:val="231F20"/>
        </w:rPr>
        <w:t>la</w:t>
      </w:r>
      <w:r>
        <w:rPr>
          <w:color w:val="231F20"/>
          <w:spacing w:val="-11"/>
        </w:rPr>
        <w:t> </w:t>
      </w:r>
      <w:r>
        <w:rPr>
          <w:color w:val="231F20"/>
        </w:rPr>
        <w:t>alimentación,</w:t>
      </w:r>
    </w:p>
    <w:p>
      <w:pPr>
        <w:pStyle w:val="BodyText"/>
        <w:spacing w:before="10"/>
        <w:rPr>
          <w:sz w:val="24"/>
        </w:rPr>
      </w:pPr>
    </w:p>
    <w:p>
      <w:pPr>
        <w:spacing w:line="283" w:lineRule="auto" w:before="0"/>
        <w:ind w:left="413" w:right="1551" w:firstLine="0"/>
        <w:jc w:val="both"/>
        <w:rPr>
          <w:sz w:val="18"/>
        </w:rPr>
      </w:pPr>
      <w:r>
        <w:rPr/>
        <w:pict>
          <v:shape style="position:absolute;margin-left:308.466614pt;margin-top:31.238651pt;width:208.6pt;height:231.35pt;mso-position-horizontal-relative:page;mso-position-vertical-relative:paragraph;z-index:4216"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390"/>
                    <w:gridCol w:w="1767"/>
                  </w:tblGrid>
                  <w:tr>
                    <w:trPr>
                      <w:trHeight w:val="369" w:hRule="exact"/>
                    </w:trPr>
                    <w:tc>
                      <w:tcPr>
                        <w:tcW w:w="2390" w:type="dxa"/>
                        <w:tcBorders>
                          <w:left w:val="nil"/>
                        </w:tcBorders>
                      </w:tcPr>
                      <w:p>
                        <w:pPr>
                          <w:pStyle w:val="TableParagraph"/>
                          <w:spacing w:before="79"/>
                          <w:ind w:left="814" w:right="809"/>
                          <w:jc w:val="center"/>
                          <w:rPr>
                            <w:rFonts w:ascii="Cambria"/>
                            <w:i/>
                            <w:sz w:val="18"/>
                          </w:rPr>
                        </w:pPr>
                        <w:r>
                          <w:rPr>
                            <w:rFonts w:ascii="Cambria"/>
                            <w:i/>
                            <w:color w:val="231F20"/>
                            <w:w w:val="105"/>
                            <w:sz w:val="18"/>
                          </w:rPr>
                          <w:t>Producto</w:t>
                        </w:r>
                      </w:p>
                    </w:tc>
                    <w:tc>
                      <w:tcPr>
                        <w:tcW w:w="1767" w:type="dxa"/>
                        <w:tcBorders>
                          <w:right w:val="nil"/>
                        </w:tcBorders>
                      </w:tcPr>
                      <w:p>
                        <w:pPr>
                          <w:pStyle w:val="TableParagraph"/>
                          <w:spacing w:before="79"/>
                          <w:ind w:left="154"/>
                          <w:rPr>
                            <w:rFonts w:ascii="Cambria"/>
                            <w:i/>
                            <w:sz w:val="18"/>
                          </w:rPr>
                        </w:pPr>
                        <w:r>
                          <w:rPr>
                            <w:rFonts w:ascii="Cambria"/>
                            <w:i/>
                            <w:color w:val="231F20"/>
                            <w:w w:val="105"/>
                            <w:sz w:val="18"/>
                          </w:rPr>
                          <w:t>Precio unitario ($)</w:t>
                        </w:r>
                      </w:p>
                    </w:tc>
                  </w:tr>
                  <w:tr>
                    <w:trPr>
                      <w:trHeight w:val="354" w:hRule="exact"/>
                    </w:trPr>
                    <w:tc>
                      <w:tcPr>
                        <w:tcW w:w="2390" w:type="dxa"/>
                        <w:tcBorders>
                          <w:left w:val="nil"/>
                        </w:tcBorders>
                      </w:tcPr>
                      <w:p>
                        <w:pPr>
                          <w:pStyle w:val="TableParagraph"/>
                          <w:ind w:left="113"/>
                          <w:rPr>
                            <w:sz w:val="17"/>
                          </w:rPr>
                        </w:pPr>
                        <w:r>
                          <w:rPr>
                            <w:color w:val="231F20"/>
                            <w:sz w:val="17"/>
                          </w:rPr>
                          <w:t>Pajas de trigo o avena   (pacas)</w:t>
                        </w:r>
                      </w:p>
                    </w:tc>
                    <w:tc>
                      <w:tcPr>
                        <w:tcW w:w="1767" w:type="dxa"/>
                        <w:tcBorders>
                          <w:right w:val="nil"/>
                        </w:tcBorders>
                      </w:tcPr>
                      <w:p>
                        <w:pPr>
                          <w:pStyle w:val="TableParagraph"/>
                          <w:ind w:left="690" w:right="693"/>
                          <w:jc w:val="center"/>
                          <w:rPr>
                            <w:sz w:val="17"/>
                          </w:rPr>
                        </w:pPr>
                        <w:r>
                          <w:rPr>
                            <w:color w:val="231F20"/>
                            <w:w w:val="110"/>
                            <w:sz w:val="17"/>
                          </w:rPr>
                          <w:t>1,01</w:t>
                        </w:r>
                      </w:p>
                    </w:tc>
                  </w:tr>
                  <w:tr>
                    <w:trPr>
                      <w:trHeight w:val="354" w:hRule="exact"/>
                    </w:trPr>
                    <w:tc>
                      <w:tcPr>
                        <w:tcW w:w="2390" w:type="dxa"/>
                        <w:tcBorders>
                          <w:left w:val="nil"/>
                        </w:tcBorders>
                      </w:tcPr>
                      <w:p>
                        <w:pPr>
                          <w:pStyle w:val="TableParagraph"/>
                          <w:ind w:left="113"/>
                          <w:rPr>
                            <w:sz w:val="17"/>
                          </w:rPr>
                        </w:pPr>
                        <w:r>
                          <w:rPr>
                            <w:color w:val="231F20"/>
                            <w:sz w:val="17"/>
                          </w:rPr>
                          <w:t>Rastrojo  de  maíz (pacas)</w:t>
                        </w:r>
                      </w:p>
                    </w:tc>
                    <w:tc>
                      <w:tcPr>
                        <w:tcW w:w="1767" w:type="dxa"/>
                        <w:tcBorders>
                          <w:right w:val="nil"/>
                        </w:tcBorders>
                      </w:tcPr>
                      <w:p>
                        <w:pPr>
                          <w:pStyle w:val="TableParagraph"/>
                          <w:ind w:left="690" w:right="694"/>
                          <w:jc w:val="center"/>
                          <w:rPr>
                            <w:sz w:val="17"/>
                          </w:rPr>
                        </w:pPr>
                        <w:r>
                          <w:rPr>
                            <w:color w:val="231F20"/>
                            <w:w w:val="110"/>
                            <w:sz w:val="17"/>
                          </w:rPr>
                          <w:t>0,99</w:t>
                        </w:r>
                      </w:p>
                    </w:tc>
                  </w:tr>
                  <w:tr>
                    <w:trPr>
                      <w:trHeight w:val="354" w:hRule="exact"/>
                    </w:trPr>
                    <w:tc>
                      <w:tcPr>
                        <w:tcW w:w="2390" w:type="dxa"/>
                        <w:tcBorders>
                          <w:left w:val="nil"/>
                        </w:tcBorders>
                      </w:tcPr>
                      <w:p>
                        <w:pPr>
                          <w:pStyle w:val="TableParagraph"/>
                          <w:ind w:left="113"/>
                          <w:rPr>
                            <w:sz w:val="17"/>
                          </w:rPr>
                        </w:pPr>
                        <w:r>
                          <w:rPr>
                            <w:color w:val="231F20"/>
                            <w:sz w:val="17"/>
                          </w:rPr>
                          <w:t>Concentrado comercial</w:t>
                        </w:r>
                      </w:p>
                    </w:tc>
                    <w:tc>
                      <w:tcPr>
                        <w:tcW w:w="1767" w:type="dxa"/>
                        <w:tcBorders>
                          <w:right w:val="nil"/>
                        </w:tcBorders>
                      </w:tcPr>
                      <w:p>
                        <w:pPr>
                          <w:pStyle w:val="TableParagraph"/>
                          <w:ind w:left="690" w:right="694"/>
                          <w:jc w:val="center"/>
                          <w:rPr>
                            <w:sz w:val="17"/>
                          </w:rPr>
                        </w:pPr>
                        <w:r>
                          <w:rPr>
                            <w:color w:val="231F20"/>
                            <w:w w:val="110"/>
                            <w:sz w:val="17"/>
                          </w:rPr>
                          <w:t>4,80</w:t>
                        </w:r>
                      </w:p>
                    </w:tc>
                  </w:tr>
                  <w:tr>
                    <w:trPr>
                      <w:trHeight w:val="354" w:hRule="exact"/>
                    </w:trPr>
                    <w:tc>
                      <w:tcPr>
                        <w:tcW w:w="2390" w:type="dxa"/>
                        <w:tcBorders>
                          <w:left w:val="nil"/>
                        </w:tcBorders>
                      </w:tcPr>
                      <w:p>
                        <w:pPr>
                          <w:pStyle w:val="TableParagraph"/>
                          <w:ind w:left="113"/>
                          <w:rPr>
                            <w:sz w:val="17"/>
                          </w:rPr>
                        </w:pPr>
                        <w:r>
                          <w:rPr>
                            <w:color w:val="231F20"/>
                            <w:sz w:val="17"/>
                          </w:rPr>
                          <w:t>Maíz</w:t>
                        </w:r>
                      </w:p>
                    </w:tc>
                    <w:tc>
                      <w:tcPr>
                        <w:tcW w:w="1767" w:type="dxa"/>
                        <w:tcBorders>
                          <w:right w:val="nil"/>
                        </w:tcBorders>
                      </w:tcPr>
                      <w:p>
                        <w:pPr>
                          <w:pStyle w:val="TableParagraph"/>
                          <w:ind w:left="690" w:right="693"/>
                          <w:jc w:val="center"/>
                          <w:rPr>
                            <w:sz w:val="17"/>
                          </w:rPr>
                        </w:pPr>
                        <w:r>
                          <w:rPr>
                            <w:color w:val="231F20"/>
                            <w:w w:val="110"/>
                            <w:sz w:val="17"/>
                          </w:rPr>
                          <w:t>3,13</w:t>
                        </w:r>
                      </w:p>
                    </w:tc>
                  </w:tr>
                  <w:tr>
                    <w:trPr>
                      <w:trHeight w:val="354" w:hRule="exact"/>
                    </w:trPr>
                    <w:tc>
                      <w:tcPr>
                        <w:tcW w:w="2390" w:type="dxa"/>
                        <w:tcBorders>
                          <w:left w:val="nil"/>
                        </w:tcBorders>
                      </w:tcPr>
                      <w:p>
                        <w:pPr>
                          <w:pStyle w:val="TableParagraph"/>
                          <w:ind w:left="113"/>
                          <w:rPr>
                            <w:sz w:val="17"/>
                          </w:rPr>
                        </w:pPr>
                        <w:r>
                          <w:rPr>
                            <w:color w:val="231F20"/>
                            <w:sz w:val="17"/>
                          </w:rPr>
                          <w:t>Minerales</w:t>
                        </w:r>
                      </w:p>
                    </w:tc>
                    <w:tc>
                      <w:tcPr>
                        <w:tcW w:w="1767" w:type="dxa"/>
                        <w:tcBorders>
                          <w:right w:val="nil"/>
                        </w:tcBorders>
                      </w:tcPr>
                      <w:p>
                        <w:pPr>
                          <w:pStyle w:val="TableParagraph"/>
                          <w:ind w:left="686" w:right="696"/>
                          <w:jc w:val="center"/>
                          <w:rPr>
                            <w:sz w:val="17"/>
                          </w:rPr>
                        </w:pPr>
                        <w:r>
                          <w:rPr>
                            <w:color w:val="231F20"/>
                            <w:w w:val="110"/>
                            <w:sz w:val="17"/>
                          </w:rPr>
                          <w:t>0,78</w:t>
                        </w:r>
                      </w:p>
                    </w:tc>
                  </w:tr>
                  <w:tr>
                    <w:trPr>
                      <w:trHeight w:val="354" w:hRule="exact"/>
                    </w:trPr>
                    <w:tc>
                      <w:tcPr>
                        <w:tcW w:w="2390" w:type="dxa"/>
                        <w:tcBorders>
                          <w:left w:val="nil"/>
                        </w:tcBorders>
                      </w:tcPr>
                      <w:p>
                        <w:pPr>
                          <w:pStyle w:val="TableParagraph"/>
                          <w:ind w:left="113"/>
                          <w:rPr>
                            <w:sz w:val="17"/>
                          </w:rPr>
                        </w:pPr>
                        <w:r>
                          <w:rPr>
                            <w:color w:val="231F20"/>
                            <w:w w:val="105"/>
                            <w:sz w:val="17"/>
                          </w:rPr>
                          <w:t>Semillas (pastos y maíz)</w:t>
                        </w:r>
                      </w:p>
                    </w:tc>
                    <w:tc>
                      <w:tcPr>
                        <w:tcW w:w="1767" w:type="dxa"/>
                        <w:tcBorders>
                          <w:right w:val="nil"/>
                        </w:tcBorders>
                      </w:tcPr>
                      <w:p>
                        <w:pPr>
                          <w:pStyle w:val="TableParagraph"/>
                          <w:ind w:left="690" w:right="694"/>
                          <w:jc w:val="center"/>
                          <w:rPr>
                            <w:sz w:val="17"/>
                          </w:rPr>
                        </w:pPr>
                        <w:r>
                          <w:rPr>
                            <w:color w:val="231F20"/>
                            <w:w w:val="110"/>
                            <w:sz w:val="17"/>
                          </w:rPr>
                          <w:t>8,45</w:t>
                        </w:r>
                      </w:p>
                    </w:tc>
                  </w:tr>
                  <w:tr>
                    <w:trPr>
                      <w:trHeight w:val="354" w:hRule="exact"/>
                    </w:trPr>
                    <w:tc>
                      <w:tcPr>
                        <w:tcW w:w="2390" w:type="dxa"/>
                        <w:tcBorders>
                          <w:left w:val="nil"/>
                        </w:tcBorders>
                      </w:tcPr>
                      <w:p>
                        <w:pPr>
                          <w:pStyle w:val="TableParagraph"/>
                          <w:ind w:left="113"/>
                          <w:rPr>
                            <w:sz w:val="17"/>
                          </w:rPr>
                        </w:pPr>
                        <w:r>
                          <w:rPr>
                            <w:color w:val="231F20"/>
                            <w:sz w:val="17"/>
                          </w:rPr>
                          <w:t>Fertilizantes</w:t>
                        </w:r>
                      </w:p>
                    </w:tc>
                    <w:tc>
                      <w:tcPr>
                        <w:tcW w:w="1767" w:type="dxa"/>
                        <w:tcBorders>
                          <w:right w:val="nil"/>
                        </w:tcBorders>
                      </w:tcPr>
                      <w:p>
                        <w:pPr>
                          <w:pStyle w:val="TableParagraph"/>
                          <w:ind w:left="690" w:right="693"/>
                          <w:jc w:val="center"/>
                          <w:rPr>
                            <w:sz w:val="17"/>
                          </w:rPr>
                        </w:pPr>
                        <w:r>
                          <w:rPr>
                            <w:color w:val="231F20"/>
                            <w:w w:val="110"/>
                            <w:sz w:val="17"/>
                          </w:rPr>
                          <w:t>3,67</w:t>
                        </w:r>
                      </w:p>
                    </w:tc>
                  </w:tr>
                  <w:tr>
                    <w:trPr>
                      <w:trHeight w:val="354" w:hRule="exact"/>
                    </w:trPr>
                    <w:tc>
                      <w:tcPr>
                        <w:tcW w:w="2390" w:type="dxa"/>
                        <w:tcBorders>
                          <w:left w:val="nil"/>
                        </w:tcBorders>
                      </w:tcPr>
                      <w:p>
                        <w:pPr>
                          <w:pStyle w:val="TableParagraph"/>
                          <w:ind w:left="113"/>
                          <w:rPr>
                            <w:sz w:val="17"/>
                          </w:rPr>
                        </w:pPr>
                        <w:r>
                          <w:rPr>
                            <w:color w:val="231F20"/>
                            <w:sz w:val="17"/>
                          </w:rPr>
                          <w:t>Urea</w:t>
                        </w:r>
                      </w:p>
                    </w:tc>
                    <w:tc>
                      <w:tcPr>
                        <w:tcW w:w="1767" w:type="dxa"/>
                        <w:tcBorders>
                          <w:right w:val="nil"/>
                        </w:tcBorders>
                      </w:tcPr>
                      <w:p>
                        <w:pPr>
                          <w:pStyle w:val="TableParagraph"/>
                          <w:ind w:left="690" w:right="693"/>
                          <w:jc w:val="center"/>
                          <w:rPr>
                            <w:sz w:val="17"/>
                          </w:rPr>
                        </w:pPr>
                        <w:r>
                          <w:rPr>
                            <w:color w:val="231F20"/>
                            <w:w w:val="110"/>
                            <w:sz w:val="17"/>
                          </w:rPr>
                          <w:t>9,41</w:t>
                        </w:r>
                      </w:p>
                    </w:tc>
                  </w:tr>
                  <w:tr>
                    <w:trPr>
                      <w:trHeight w:val="354" w:hRule="exact"/>
                    </w:trPr>
                    <w:tc>
                      <w:tcPr>
                        <w:tcW w:w="2390" w:type="dxa"/>
                        <w:tcBorders>
                          <w:left w:val="nil"/>
                        </w:tcBorders>
                      </w:tcPr>
                      <w:p>
                        <w:pPr>
                          <w:pStyle w:val="TableParagraph"/>
                          <w:ind w:left="113"/>
                          <w:rPr>
                            <w:sz w:val="10"/>
                          </w:rPr>
                        </w:pPr>
                        <w:r>
                          <w:rPr>
                            <w:color w:val="231F20"/>
                            <w:sz w:val="17"/>
                          </w:rPr>
                          <w:t>Dos materias</w:t>
                        </w:r>
                        <w:r>
                          <w:rPr>
                            <w:color w:val="231F20"/>
                            <w:position w:val="6"/>
                            <w:sz w:val="10"/>
                          </w:rPr>
                          <w:t>a</w:t>
                        </w:r>
                      </w:p>
                    </w:tc>
                    <w:tc>
                      <w:tcPr>
                        <w:tcW w:w="1767" w:type="dxa"/>
                        <w:tcBorders>
                          <w:right w:val="nil"/>
                        </w:tcBorders>
                      </w:tcPr>
                      <w:p>
                        <w:pPr>
                          <w:pStyle w:val="TableParagraph"/>
                          <w:ind w:left="690" w:right="693"/>
                          <w:jc w:val="center"/>
                          <w:rPr>
                            <w:sz w:val="17"/>
                          </w:rPr>
                        </w:pPr>
                        <w:r>
                          <w:rPr>
                            <w:color w:val="231F20"/>
                            <w:w w:val="110"/>
                            <w:sz w:val="17"/>
                          </w:rPr>
                          <w:t>2,81</w:t>
                        </w:r>
                      </w:p>
                    </w:tc>
                  </w:tr>
                  <w:tr>
                    <w:trPr>
                      <w:trHeight w:val="354" w:hRule="exact"/>
                    </w:trPr>
                    <w:tc>
                      <w:tcPr>
                        <w:tcW w:w="2390" w:type="dxa"/>
                        <w:tcBorders>
                          <w:left w:val="nil"/>
                        </w:tcBorders>
                      </w:tcPr>
                      <w:p>
                        <w:pPr>
                          <w:pStyle w:val="TableParagraph"/>
                          <w:ind w:left="113"/>
                          <w:rPr>
                            <w:sz w:val="17"/>
                          </w:rPr>
                        </w:pPr>
                        <w:r>
                          <w:rPr>
                            <w:color w:val="231F20"/>
                            <w:sz w:val="17"/>
                          </w:rPr>
                          <w:t>Sulfato de amonio</w:t>
                        </w:r>
                      </w:p>
                    </w:tc>
                    <w:tc>
                      <w:tcPr>
                        <w:tcW w:w="1767" w:type="dxa"/>
                        <w:tcBorders>
                          <w:right w:val="nil"/>
                        </w:tcBorders>
                      </w:tcPr>
                      <w:p>
                        <w:pPr>
                          <w:pStyle w:val="TableParagraph"/>
                          <w:ind w:left="690" w:right="693"/>
                          <w:jc w:val="center"/>
                          <w:rPr>
                            <w:sz w:val="17"/>
                          </w:rPr>
                        </w:pPr>
                        <w:r>
                          <w:rPr>
                            <w:color w:val="231F20"/>
                            <w:w w:val="110"/>
                            <w:sz w:val="17"/>
                          </w:rPr>
                          <w:t>3,14</w:t>
                        </w:r>
                      </w:p>
                    </w:tc>
                  </w:tr>
                  <w:tr>
                    <w:trPr>
                      <w:trHeight w:val="354" w:hRule="exact"/>
                    </w:trPr>
                    <w:tc>
                      <w:tcPr>
                        <w:tcW w:w="2390" w:type="dxa"/>
                        <w:tcBorders>
                          <w:left w:val="nil"/>
                        </w:tcBorders>
                      </w:tcPr>
                      <w:p>
                        <w:pPr>
                          <w:pStyle w:val="TableParagraph"/>
                          <w:ind w:left="113"/>
                          <w:rPr>
                            <w:sz w:val="17"/>
                          </w:rPr>
                        </w:pPr>
                        <w:r>
                          <w:rPr>
                            <w:color w:val="231F20"/>
                            <w:sz w:val="17"/>
                          </w:rPr>
                          <w:t>Fitosanitarios</w:t>
                        </w:r>
                      </w:p>
                    </w:tc>
                    <w:tc>
                      <w:tcPr>
                        <w:tcW w:w="1767" w:type="dxa"/>
                        <w:tcBorders>
                          <w:right w:val="nil"/>
                        </w:tcBorders>
                      </w:tcPr>
                      <w:p>
                        <w:pPr>
                          <w:pStyle w:val="TableParagraph"/>
                          <w:ind w:left="532"/>
                          <w:rPr>
                            <w:sz w:val="17"/>
                          </w:rPr>
                        </w:pPr>
                        <w:r>
                          <w:rPr>
                            <w:color w:val="231F20"/>
                            <w:w w:val="110"/>
                            <w:sz w:val="17"/>
                          </w:rPr>
                          <w:t>135,64</w:t>
                        </w:r>
                      </w:p>
                    </w:tc>
                  </w:tr>
                  <w:tr>
                    <w:trPr>
                      <w:trHeight w:val="354" w:hRule="exact"/>
                    </w:trPr>
                    <w:tc>
                      <w:tcPr>
                        <w:tcW w:w="2390" w:type="dxa"/>
                        <w:tcBorders>
                          <w:left w:val="nil"/>
                        </w:tcBorders>
                      </w:tcPr>
                      <w:p>
                        <w:pPr>
                          <w:pStyle w:val="TableParagraph"/>
                          <w:ind w:left="113"/>
                          <w:rPr>
                            <w:sz w:val="17"/>
                          </w:rPr>
                        </w:pPr>
                        <w:r>
                          <w:rPr>
                            <w:color w:val="231F20"/>
                            <w:w w:val="105"/>
                            <w:sz w:val="17"/>
                          </w:rPr>
                          <w:t>Combustible</w:t>
                        </w:r>
                      </w:p>
                    </w:tc>
                    <w:tc>
                      <w:tcPr>
                        <w:tcW w:w="1767" w:type="dxa"/>
                        <w:tcBorders>
                          <w:right w:val="nil"/>
                        </w:tcBorders>
                      </w:tcPr>
                      <w:p>
                        <w:pPr>
                          <w:pStyle w:val="TableParagraph"/>
                          <w:ind w:left="690" w:right="693"/>
                          <w:jc w:val="center"/>
                          <w:rPr>
                            <w:sz w:val="17"/>
                          </w:rPr>
                        </w:pPr>
                        <w:r>
                          <w:rPr>
                            <w:color w:val="231F20"/>
                            <w:w w:val="110"/>
                            <w:sz w:val="17"/>
                          </w:rPr>
                          <w:t>7,01</w:t>
                        </w:r>
                      </w:p>
                    </w:tc>
                  </w:tr>
                </w:tbl>
                <w:p>
                  <w:pPr>
                    <w:pStyle w:val="BodyText"/>
                  </w:pPr>
                </w:p>
              </w:txbxContent>
            </v:textbox>
            <w10:wrap type="none"/>
          </v:shape>
        </w:pict>
      </w:r>
      <w:r>
        <w:rPr>
          <w:color w:val="231F20"/>
          <w:sz w:val="18"/>
        </w:rPr>
        <w:t>Cuadro 11. Precio (por kilo o litro) de los insumos uti- lizados en la producción  animal.</w:t>
      </w:r>
    </w:p>
    <w:p>
      <w:pPr>
        <w:spacing w:after="0" w:line="283"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8"/>
        </w:rPr>
      </w:pPr>
    </w:p>
    <w:p>
      <w:pPr>
        <w:spacing w:before="0"/>
        <w:ind w:left="6174" w:right="0" w:firstLine="0"/>
        <w:jc w:val="left"/>
        <w:rPr>
          <w:sz w:val="15"/>
        </w:rPr>
      </w:pPr>
      <w:r>
        <w:rPr/>
        <w:pict>
          <v:shape style="position:absolute;margin-left:77.442902pt;margin-top:-201.332184pt;width:208.6pt;height:206.95pt;mso-position-horizontal-relative:page;mso-position-vertical-relative:paragraph;z-index:424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34"/>
                    <w:gridCol w:w="1923"/>
                  </w:tblGrid>
                  <w:tr>
                    <w:trPr>
                      <w:trHeight w:val="369" w:hRule="exact"/>
                    </w:trPr>
                    <w:tc>
                      <w:tcPr>
                        <w:tcW w:w="2234" w:type="dxa"/>
                        <w:tcBorders>
                          <w:left w:val="nil"/>
                        </w:tcBorders>
                      </w:tcPr>
                      <w:p>
                        <w:pPr>
                          <w:pStyle w:val="TableParagraph"/>
                          <w:spacing w:before="79"/>
                          <w:ind w:left="736" w:right="731"/>
                          <w:jc w:val="center"/>
                          <w:rPr>
                            <w:rFonts w:ascii="Cambria"/>
                            <w:i/>
                            <w:sz w:val="18"/>
                          </w:rPr>
                        </w:pPr>
                        <w:r>
                          <w:rPr>
                            <w:rFonts w:ascii="Cambria"/>
                            <w:i/>
                            <w:color w:val="231F20"/>
                            <w:w w:val="105"/>
                            <w:sz w:val="18"/>
                          </w:rPr>
                          <w:t>Producto</w:t>
                        </w:r>
                      </w:p>
                    </w:tc>
                    <w:tc>
                      <w:tcPr>
                        <w:tcW w:w="1923" w:type="dxa"/>
                        <w:tcBorders>
                          <w:right w:val="nil"/>
                        </w:tcBorders>
                      </w:tcPr>
                      <w:p>
                        <w:pPr>
                          <w:pStyle w:val="TableParagraph"/>
                          <w:spacing w:before="79"/>
                          <w:ind w:left="232"/>
                          <w:rPr>
                            <w:rFonts w:ascii="Cambria"/>
                            <w:i/>
                            <w:sz w:val="18"/>
                          </w:rPr>
                        </w:pPr>
                        <w:r>
                          <w:rPr>
                            <w:rFonts w:ascii="Cambria"/>
                            <w:i/>
                            <w:color w:val="231F20"/>
                            <w:w w:val="105"/>
                            <w:sz w:val="18"/>
                          </w:rPr>
                          <w:t>Precio unitario ($)</w:t>
                        </w:r>
                      </w:p>
                    </w:tc>
                  </w:tr>
                  <w:tr>
                    <w:trPr>
                      <w:trHeight w:val="354" w:hRule="exact"/>
                    </w:trPr>
                    <w:tc>
                      <w:tcPr>
                        <w:tcW w:w="2234" w:type="dxa"/>
                        <w:tcBorders>
                          <w:left w:val="nil"/>
                        </w:tcBorders>
                      </w:tcPr>
                      <w:p>
                        <w:pPr>
                          <w:pStyle w:val="TableParagraph"/>
                          <w:ind w:left="113"/>
                          <w:rPr>
                            <w:sz w:val="17"/>
                          </w:rPr>
                        </w:pPr>
                        <w:r>
                          <w:rPr>
                            <w:color w:val="231F20"/>
                            <w:sz w:val="17"/>
                          </w:rPr>
                          <w:t>Machos destetados</w:t>
                        </w:r>
                      </w:p>
                    </w:tc>
                    <w:tc>
                      <w:tcPr>
                        <w:tcW w:w="1923" w:type="dxa"/>
                        <w:tcBorders>
                          <w:right w:val="nil"/>
                        </w:tcBorders>
                      </w:tcPr>
                      <w:p>
                        <w:pPr>
                          <w:pStyle w:val="TableParagraph"/>
                          <w:ind w:left="794"/>
                          <w:rPr>
                            <w:sz w:val="17"/>
                          </w:rPr>
                        </w:pPr>
                        <w:r>
                          <w:rPr>
                            <w:color w:val="231F20"/>
                            <w:w w:val="110"/>
                            <w:sz w:val="17"/>
                          </w:rPr>
                          <w:t>5775,00</w:t>
                        </w:r>
                      </w:p>
                    </w:tc>
                  </w:tr>
                  <w:tr>
                    <w:trPr>
                      <w:trHeight w:val="354" w:hRule="exact"/>
                    </w:trPr>
                    <w:tc>
                      <w:tcPr>
                        <w:tcW w:w="2234" w:type="dxa"/>
                        <w:tcBorders>
                          <w:left w:val="nil"/>
                        </w:tcBorders>
                      </w:tcPr>
                      <w:p>
                        <w:pPr>
                          <w:pStyle w:val="TableParagraph"/>
                          <w:ind w:left="113"/>
                          <w:rPr>
                            <w:sz w:val="17"/>
                          </w:rPr>
                        </w:pPr>
                        <w:r>
                          <w:rPr>
                            <w:color w:val="231F20"/>
                            <w:sz w:val="17"/>
                          </w:rPr>
                          <w:t>Hembras destetadas</w:t>
                        </w:r>
                      </w:p>
                    </w:tc>
                    <w:tc>
                      <w:tcPr>
                        <w:tcW w:w="1923" w:type="dxa"/>
                        <w:tcBorders>
                          <w:right w:val="nil"/>
                        </w:tcBorders>
                      </w:tcPr>
                      <w:p>
                        <w:pPr>
                          <w:pStyle w:val="TableParagraph"/>
                          <w:ind w:left="780"/>
                          <w:rPr>
                            <w:sz w:val="17"/>
                          </w:rPr>
                        </w:pPr>
                        <w:r>
                          <w:rPr>
                            <w:color w:val="231F20"/>
                            <w:w w:val="115"/>
                            <w:sz w:val="17"/>
                          </w:rPr>
                          <w:t>4462,50</w:t>
                        </w:r>
                      </w:p>
                    </w:tc>
                  </w:tr>
                  <w:tr>
                    <w:trPr>
                      <w:trHeight w:val="354" w:hRule="exact"/>
                    </w:trPr>
                    <w:tc>
                      <w:tcPr>
                        <w:tcW w:w="2234" w:type="dxa"/>
                        <w:tcBorders>
                          <w:left w:val="nil"/>
                        </w:tcBorders>
                      </w:tcPr>
                      <w:p>
                        <w:pPr>
                          <w:pStyle w:val="TableParagraph"/>
                          <w:ind w:left="113"/>
                          <w:rPr>
                            <w:sz w:val="17"/>
                          </w:rPr>
                        </w:pPr>
                        <w:r>
                          <w:rPr>
                            <w:color w:val="231F20"/>
                            <w:sz w:val="17"/>
                          </w:rPr>
                          <w:t>Machos engordados</w:t>
                        </w:r>
                      </w:p>
                    </w:tc>
                    <w:tc>
                      <w:tcPr>
                        <w:tcW w:w="1923" w:type="dxa"/>
                        <w:tcBorders>
                          <w:right w:val="nil"/>
                        </w:tcBorders>
                      </w:tcPr>
                      <w:p>
                        <w:pPr>
                          <w:pStyle w:val="TableParagraph"/>
                          <w:ind w:left="670"/>
                          <w:rPr>
                            <w:sz w:val="17"/>
                          </w:rPr>
                        </w:pPr>
                        <w:r>
                          <w:rPr>
                            <w:color w:val="231F20"/>
                            <w:w w:val="115"/>
                            <w:sz w:val="17"/>
                          </w:rPr>
                          <w:t>10164,00</w:t>
                        </w:r>
                      </w:p>
                    </w:tc>
                  </w:tr>
                  <w:tr>
                    <w:trPr>
                      <w:trHeight w:val="354" w:hRule="exact"/>
                    </w:trPr>
                    <w:tc>
                      <w:tcPr>
                        <w:tcW w:w="2234" w:type="dxa"/>
                        <w:tcBorders>
                          <w:left w:val="nil"/>
                        </w:tcBorders>
                      </w:tcPr>
                      <w:p>
                        <w:pPr>
                          <w:pStyle w:val="TableParagraph"/>
                          <w:ind w:left="113"/>
                          <w:rPr>
                            <w:sz w:val="17"/>
                          </w:rPr>
                        </w:pPr>
                        <w:r>
                          <w:rPr>
                            <w:color w:val="231F20"/>
                            <w:w w:val="105"/>
                            <w:sz w:val="17"/>
                          </w:rPr>
                          <w:t>Vacas de desecho</w:t>
                        </w:r>
                      </w:p>
                    </w:tc>
                    <w:tc>
                      <w:tcPr>
                        <w:tcW w:w="1923" w:type="dxa"/>
                        <w:tcBorders>
                          <w:right w:val="nil"/>
                        </w:tcBorders>
                      </w:tcPr>
                      <w:p>
                        <w:pPr>
                          <w:pStyle w:val="TableParagraph"/>
                          <w:ind w:left="777"/>
                          <w:rPr>
                            <w:sz w:val="17"/>
                          </w:rPr>
                        </w:pPr>
                        <w:r>
                          <w:rPr>
                            <w:color w:val="231F20"/>
                            <w:w w:val="115"/>
                            <w:sz w:val="17"/>
                          </w:rPr>
                          <w:t>4000,00</w:t>
                        </w:r>
                      </w:p>
                    </w:tc>
                  </w:tr>
                  <w:tr>
                    <w:trPr>
                      <w:trHeight w:val="354" w:hRule="exact"/>
                    </w:trPr>
                    <w:tc>
                      <w:tcPr>
                        <w:tcW w:w="2234" w:type="dxa"/>
                        <w:tcBorders>
                          <w:left w:val="nil"/>
                        </w:tcBorders>
                      </w:tcPr>
                      <w:p>
                        <w:pPr>
                          <w:pStyle w:val="TableParagraph"/>
                          <w:ind w:left="113"/>
                          <w:rPr>
                            <w:sz w:val="17"/>
                          </w:rPr>
                        </w:pPr>
                        <w:r>
                          <w:rPr>
                            <w:color w:val="231F20"/>
                            <w:sz w:val="17"/>
                          </w:rPr>
                          <w:t>Terneras  para reemplazo</w:t>
                        </w:r>
                      </w:p>
                    </w:tc>
                    <w:tc>
                      <w:tcPr>
                        <w:tcW w:w="1923" w:type="dxa"/>
                        <w:tcBorders>
                          <w:right w:val="nil"/>
                        </w:tcBorders>
                      </w:tcPr>
                      <w:p>
                        <w:pPr>
                          <w:pStyle w:val="TableParagraph"/>
                          <w:ind w:left="777"/>
                          <w:rPr>
                            <w:sz w:val="17"/>
                          </w:rPr>
                        </w:pPr>
                        <w:r>
                          <w:rPr>
                            <w:color w:val="231F20"/>
                            <w:w w:val="115"/>
                            <w:sz w:val="17"/>
                          </w:rPr>
                          <w:t>4605,64</w:t>
                        </w:r>
                      </w:p>
                    </w:tc>
                  </w:tr>
                  <w:tr>
                    <w:trPr>
                      <w:trHeight w:val="354" w:hRule="exact"/>
                    </w:trPr>
                    <w:tc>
                      <w:tcPr>
                        <w:tcW w:w="2234" w:type="dxa"/>
                        <w:tcBorders>
                          <w:left w:val="nil"/>
                        </w:tcBorders>
                      </w:tcPr>
                      <w:p>
                        <w:pPr>
                          <w:pStyle w:val="TableParagraph"/>
                          <w:ind w:left="113"/>
                          <w:rPr>
                            <w:sz w:val="17"/>
                          </w:rPr>
                        </w:pPr>
                        <w:r>
                          <w:rPr>
                            <w:color w:val="231F20"/>
                            <w:sz w:val="17"/>
                          </w:rPr>
                          <w:t>Vaquillas para reemplazo</w:t>
                        </w:r>
                      </w:p>
                    </w:tc>
                    <w:tc>
                      <w:tcPr>
                        <w:tcW w:w="1923" w:type="dxa"/>
                        <w:tcBorders>
                          <w:right w:val="nil"/>
                        </w:tcBorders>
                      </w:tcPr>
                      <w:p>
                        <w:pPr>
                          <w:pStyle w:val="TableParagraph"/>
                          <w:ind w:left="787"/>
                          <w:rPr>
                            <w:sz w:val="17"/>
                          </w:rPr>
                        </w:pPr>
                        <w:r>
                          <w:rPr>
                            <w:color w:val="231F20"/>
                            <w:w w:val="110"/>
                            <w:sz w:val="17"/>
                          </w:rPr>
                          <w:t>5550,00</w:t>
                        </w:r>
                      </w:p>
                    </w:tc>
                  </w:tr>
                  <w:tr>
                    <w:trPr>
                      <w:trHeight w:val="574" w:hRule="exact"/>
                    </w:trPr>
                    <w:tc>
                      <w:tcPr>
                        <w:tcW w:w="2234" w:type="dxa"/>
                        <w:tcBorders>
                          <w:left w:val="nil"/>
                        </w:tcBorders>
                      </w:tcPr>
                      <w:p>
                        <w:pPr>
                          <w:pStyle w:val="TableParagraph"/>
                          <w:spacing w:line="254" w:lineRule="auto"/>
                          <w:ind w:left="113"/>
                          <w:rPr>
                            <w:sz w:val="17"/>
                          </w:rPr>
                        </w:pPr>
                        <w:r>
                          <w:rPr>
                            <w:color w:val="231F20"/>
                            <w:sz w:val="17"/>
                          </w:rPr>
                          <w:t>Machos para reemplazo (sementales)</w:t>
                        </w:r>
                      </w:p>
                    </w:tc>
                    <w:tc>
                      <w:tcPr>
                        <w:tcW w:w="1923" w:type="dxa"/>
                        <w:tcBorders>
                          <w:right w:val="nil"/>
                        </w:tcBorders>
                      </w:tcPr>
                      <w:p>
                        <w:pPr>
                          <w:pStyle w:val="TableParagraph"/>
                          <w:spacing w:before="0"/>
                          <w:rPr>
                            <w:sz w:val="15"/>
                          </w:rPr>
                        </w:pPr>
                      </w:p>
                      <w:p>
                        <w:pPr>
                          <w:pStyle w:val="TableParagraph"/>
                          <w:spacing w:before="0"/>
                          <w:ind w:left="794"/>
                          <w:rPr>
                            <w:sz w:val="17"/>
                          </w:rPr>
                        </w:pPr>
                        <w:r>
                          <w:rPr>
                            <w:color w:val="231F20"/>
                            <w:w w:val="110"/>
                            <w:sz w:val="17"/>
                          </w:rPr>
                          <w:t>9750,00</w:t>
                        </w:r>
                      </w:p>
                    </w:tc>
                  </w:tr>
                  <w:tr>
                    <w:trPr>
                      <w:trHeight w:val="354" w:hRule="exact"/>
                    </w:trPr>
                    <w:tc>
                      <w:tcPr>
                        <w:tcW w:w="2234" w:type="dxa"/>
                        <w:tcBorders>
                          <w:left w:val="nil"/>
                        </w:tcBorders>
                      </w:tcPr>
                      <w:p>
                        <w:pPr>
                          <w:pStyle w:val="TableParagraph"/>
                          <w:ind w:left="113"/>
                          <w:rPr>
                            <w:sz w:val="17"/>
                          </w:rPr>
                        </w:pPr>
                        <w:r>
                          <w:rPr>
                            <w:color w:val="231F20"/>
                            <w:sz w:val="17"/>
                          </w:rPr>
                          <w:t>Corderos</w:t>
                        </w:r>
                      </w:p>
                    </w:tc>
                    <w:tc>
                      <w:tcPr>
                        <w:tcW w:w="1923" w:type="dxa"/>
                        <w:tcBorders>
                          <w:right w:val="nil"/>
                        </w:tcBorders>
                      </w:tcPr>
                      <w:p>
                        <w:pPr>
                          <w:pStyle w:val="TableParagraph"/>
                          <w:ind w:left="876"/>
                          <w:rPr>
                            <w:sz w:val="17"/>
                          </w:rPr>
                        </w:pPr>
                        <w:r>
                          <w:rPr>
                            <w:color w:val="231F20"/>
                            <w:w w:val="110"/>
                            <w:sz w:val="17"/>
                          </w:rPr>
                          <w:t>680,00</w:t>
                        </w:r>
                      </w:p>
                    </w:tc>
                  </w:tr>
                  <w:tr>
                    <w:trPr>
                      <w:trHeight w:val="354" w:hRule="exact"/>
                    </w:trPr>
                    <w:tc>
                      <w:tcPr>
                        <w:tcW w:w="2234" w:type="dxa"/>
                        <w:tcBorders>
                          <w:left w:val="nil"/>
                        </w:tcBorders>
                      </w:tcPr>
                      <w:p>
                        <w:pPr>
                          <w:pStyle w:val="TableParagraph"/>
                          <w:ind w:left="113"/>
                          <w:rPr>
                            <w:sz w:val="17"/>
                          </w:rPr>
                        </w:pPr>
                        <w:r>
                          <w:rPr>
                            <w:color w:val="231F20"/>
                            <w:w w:val="105"/>
                            <w:sz w:val="17"/>
                          </w:rPr>
                          <w:t>Leche</w:t>
                        </w:r>
                      </w:p>
                    </w:tc>
                    <w:tc>
                      <w:tcPr>
                        <w:tcW w:w="1923" w:type="dxa"/>
                        <w:tcBorders>
                          <w:right w:val="nil"/>
                        </w:tcBorders>
                      </w:tcPr>
                      <w:p>
                        <w:pPr>
                          <w:pStyle w:val="TableParagraph"/>
                          <w:ind w:left="982"/>
                          <w:rPr>
                            <w:sz w:val="17"/>
                          </w:rPr>
                        </w:pPr>
                        <w:r>
                          <w:rPr>
                            <w:color w:val="231F20"/>
                            <w:w w:val="110"/>
                            <w:sz w:val="17"/>
                          </w:rPr>
                          <w:t>10,00</w:t>
                        </w:r>
                      </w:p>
                    </w:tc>
                  </w:tr>
                  <w:tr>
                    <w:trPr>
                      <w:trHeight w:val="354" w:hRule="exact"/>
                    </w:trPr>
                    <w:tc>
                      <w:tcPr>
                        <w:tcW w:w="2234" w:type="dxa"/>
                        <w:tcBorders>
                          <w:left w:val="nil"/>
                        </w:tcBorders>
                      </w:tcPr>
                      <w:p>
                        <w:pPr>
                          <w:pStyle w:val="TableParagraph"/>
                          <w:ind w:left="113"/>
                          <w:rPr>
                            <w:sz w:val="17"/>
                          </w:rPr>
                        </w:pPr>
                        <w:r>
                          <w:rPr>
                            <w:color w:val="231F20"/>
                            <w:w w:val="105"/>
                            <w:sz w:val="17"/>
                          </w:rPr>
                          <w:t>Queso</w:t>
                        </w:r>
                      </w:p>
                    </w:tc>
                    <w:tc>
                      <w:tcPr>
                        <w:tcW w:w="1923" w:type="dxa"/>
                        <w:tcBorders>
                          <w:right w:val="nil"/>
                        </w:tcBorders>
                      </w:tcPr>
                      <w:p>
                        <w:pPr>
                          <w:pStyle w:val="TableParagraph"/>
                          <w:ind w:left="978"/>
                          <w:rPr>
                            <w:sz w:val="17"/>
                          </w:rPr>
                        </w:pPr>
                        <w:r>
                          <w:rPr>
                            <w:color w:val="231F20"/>
                            <w:w w:val="110"/>
                            <w:sz w:val="17"/>
                          </w:rPr>
                          <w:t>50,40</w:t>
                        </w:r>
                      </w:p>
                    </w:tc>
                  </w:tr>
                </w:tbl>
                <w:p>
                  <w:pPr>
                    <w:pStyle w:val="BodyText"/>
                  </w:pPr>
                </w:p>
              </w:txbxContent>
            </v:textbox>
            <w10:wrap type="none"/>
          </v:shape>
        </w:pict>
      </w:r>
      <w:r>
        <w:rPr>
          <w:color w:val="231F20"/>
          <w:position w:val="5"/>
          <w:sz w:val="8"/>
        </w:rPr>
        <w:t>a </w:t>
      </w:r>
      <w:r>
        <w:rPr>
          <w:color w:val="231F20"/>
          <w:sz w:val="15"/>
        </w:rPr>
        <w:t>Mezcla de fertilizante que incluye nitrógeno y  fosforo.</w:t>
      </w:r>
    </w:p>
    <w:p>
      <w:pPr>
        <w:pStyle w:val="BodyText"/>
        <w:rPr>
          <w:sz w:val="14"/>
        </w:rPr>
      </w:pPr>
    </w:p>
    <w:p>
      <w:pPr>
        <w:pStyle w:val="BodyText"/>
        <w:rPr>
          <w:sz w:val="14"/>
        </w:rPr>
      </w:pPr>
    </w:p>
    <w:p>
      <w:pPr>
        <w:pStyle w:val="BodyText"/>
        <w:spacing w:before="1"/>
        <w:rPr>
          <w:sz w:val="13"/>
        </w:rPr>
      </w:pPr>
    </w:p>
    <w:p>
      <w:pPr>
        <w:spacing w:before="0"/>
        <w:ind w:left="1553" w:right="2503" w:firstLine="0"/>
        <w:jc w:val="left"/>
        <w:rPr>
          <w:sz w:val="18"/>
        </w:rPr>
      </w:pPr>
      <w:r>
        <w:rPr>
          <w:color w:val="231F20"/>
          <w:sz w:val="18"/>
        </w:rPr>
        <w:t>Cuadro 12.         Principales costos ($) de producción en las unidades de producción.</w:t>
      </w:r>
    </w:p>
    <w:p>
      <w:pPr>
        <w:pStyle w:val="BodyText"/>
        <w:spacing w:before="10"/>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567"/>
        <w:gridCol w:w="1304"/>
        <w:gridCol w:w="1304"/>
        <w:gridCol w:w="1304"/>
        <w:gridCol w:w="1304"/>
      </w:tblGrid>
      <w:tr>
        <w:trPr>
          <w:trHeight w:val="369" w:hRule="exact"/>
        </w:trPr>
        <w:tc>
          <w:tcPr>
            <w:tcW w:w="3567" w:type="dxa"/>
            <w:tcBorders>
              <w:left w:val="nil"/>
            </w:tcBorders>
          </w:tcPr>
          <w:p>
            <w:pPr/>
          </w:p>
        </w:tc>
        <w:tc>
          <w:tcPr>
            <w:tcW w:w="1304" w:type="dxa"/>
          </w:tcPr>
          <w:p>
            <w:pPr>
              <w:pStyle w:val="TableParagraph"/>
              <w:spacing w:before="79"/>
              <w:ind w:left="104" w:right="104"/>
              <w:jc w:val="center"/>
              <w:rPr>
                <w:rFonts w:ascii="Cambria"/>
                <w:i/>
                <w:sz w:val="18"/>
              </w:rPr>
            </w:pPr>
            <w:r>
              <w:rPr>
                <w:rFonts w:ascii="Cambria"/>
                <w:i/>
                <w:color w:val="231F20"/>
                <w:sz w:val="18"/>
              </w:rPr>
              <w:t>E1</w:t>
            </w:r>
          </w:p>
        </w:tc>
        <w:tc>
          <w:tcPr>
            <w:tcW w:w="1304" w:type="dxa"/>
          </w:tcPr>
          <w:p>
            <w:pPr>
              <w:pStyle w:val="TableParagraph"/>
              <w:spacing w:before="79"/>
              <w:ind w:left="104" w:right="104"/>
              <w:jc w:val="center"/>
              <w:rPr>
                <w:rFonts w:ascii="Cambria"/>
                <w:i/>
                <w:sz w:val="18"/>
              </w:rPr>
            </w:pPr>
            <w:r>
              <w:rPr>
                <w:rFonts w:ascii="Cambria"/>
                <w:i/>
                <w:color w:val="231F20"/>
                <w:sz w:val="18"/>
              </w:rPr>
              <w:t>E2</w:t>
            </w:r>
          </w:p>
        </w:tc>
        <w:tc>
          <w:tcPr>
            <w:tcW w:w="1304" w:type="dxa"/>
          </w:tcPr>
          <w:p>
            <w:pPr>
              <w:pStyle w:val="TableParagraph"/>
              <w:spacing w:before="79"/>
              <w:ind w:left="104" w:right="104"/>
              <w:jc w:val="center"/>
              <w:rPr>
                <w:rFonts w:ascii="Cambria"/>
                <w:i/>
                <w:sz w:val="18"/>
              </w:rPr>
            </w:pPr>
            <w:r>
              <w:rPr>
                <w:rFonts w:ascii="Cambria"/>
                <w:i/>
                <w:color w:val="231F20"/>
                <w:sz w:val="18"/>
              </w:rPr>
              <w:t>E3</w:t>
            </w:r>
          </w:p>
        </w:tc>
        <w:tc>
          <w:tcPr>
            <w:tcW w:w="1304" w:type="dxa"/>
            <w:tcBorders>
              <w:right w:val="nil"/>
            </w:tcBorders>
          </w:tcPr>
          <w:p>
            <w:pPr>
              <w:pStyle w:val="TableParagraph"/>
              <w:spacing w:before="79"/>
              <w:ind w:right="263"/>
              <w:jc w:val="right"/>
              <w:rPr>
                <w:rFonts w:ascii="Cambria"/>
                <w:i/>
                <w:sz w:val="18"/>
              </w:rPr>
            </w:pPr>
            <w:r>
              <w:rPr>
                <w:rFonts w:ascii="Cambria"/>
                <w:i/>
                <w:color w:val="231F20"/>
                <w:w w:val="105"/>
                <w:sz w:val="18"/>
              </w:rPr>
              <w:t>Promedio</w:t>
            </w:r>
          </w:p>
        </w:tc>
      </w:tr>
      <w:tr>
        <w:trPr>
          <w:trHeight w:val="354" w:hRule="exact"/>
        </w:trPr>
        <w:tc>
          <w:tcPr>
            <w:tcW w:w="3567" w:type="dxa"/>
            <w:tcBorders>
              <w:left w:val="nil"/>
            </w:tcBorders>
          </w:tcPr>
          <w:p>
            <w:pPr>
              <w:pStyle w:val="TableParagraph"/>
              <w:ind w:left="113"/>
              <w:rPr>
                <w:sz w:val="17"/>
              </w:rPr>
            </w:pPr>
            <w:r>
              <w:rPr>
                <w:color w:val="231F20"/>
                <w:sz w:val="17"/>
              </w:rPr>
              <w:t>Alimentación</w:t>
            </w:r>
          </w:p>
        </w:tc>
        <w:tc>
          <w:tcPr>
            <w:tcW w:w="1304" w:type="dxa"/>
          </w:tcPr>
          <w:p>
            <w:pPr>
              <w:pStyle w:val="TableParagraph"/>
              <w:ind w:right="219"/>
              <w:jc w:val="right"/>
              <w:rPr>
                <w:sz w:val="17"/>
              </w:rPr>
            </w:pPr>
            <w:r>
              <w:rPr>
                <w:color w:val="231F20"/>
                <w:w w:val="110"/>
                <w:sz w:val="17"/>
              </w:rPr>
              <w:t>19479,05</w:t>
            </w:r>
          </w:p>
        </w:tc>
        <w:tc>
          <w:tcPr>
            <w:tcW w:w="1304" w:type="dxa"/>
          </w:tcPr>
          <w:p>
            <w:pPr>
              <w:pStyle w:val="TableParagraph"/>
              <w:ind w:right="219"/>
              <w:jc w:val="right"/>
              <w:rPr>
                <w:sz w:val="17"/>
              </w:rPr>
            </w:pPr>
            <w:r>
              <w:rPr>
                <w:color w:val="231F20"/>
                <w:w w:val="110"/>
                <w:sz w:val="17"/>
              </w:rPr>
              <w:t>27999,53</w:t>
            </w:r>
          </w:p>
        </w:tc>
        <w:tc>
          <w:tcPr>
            <w:tcW w:w="1304" w:type="dxa"/>
          </w:tcPr>
          <w:p>
            <w:pPr>
              <w:pStyle w:val="TableParagraph"/>
              <w:ind w:right="219"/>
              <w:jc w:val="right"/>
              <w:rPr>
                <w:sz w:val="17"/>
              </w:rPr>
            </w:pPr>
            <w:r>
              <w:rPr>
                <w:color w:val="231F20"/>
                <w:w w:val="110"/>
                <w:sz w:val="17"/>
              </w:rPr>
              <w:t>35140,54</w:t>
            </w:r>
          </w:p>
        </w:tc>
        <w:tc>
          <w:tcPr>
            <w:tcW w:w="1304" w:type="dxa"/>
            <w:tcBorders>
              <w:right w:val="nil"/>
            </w:tcBorders>
          </w:tcPr>
          <w:p>
            <w:pPr>
              <w:pStyle w:val="TableParagraph"/>
              <w:ind w:right="224"/>
              <w:jc w:val="right"/>
              <w:rPr>
                <w:sz w:val="17"/>
              </w:rPr>
            </w:pPr>
            <w:r>
              <w:rPr>
                <w:color w:val="231F20"/>
                <w:w w:val="110"/>
                <w:sz w:val="17"/>
              </w:rPr>
              <w:t>22380,88</w:t>
            </w:r>
          </w:p>
        </w:tc>
      </w:tr>
      <w:tr>
        <w:trPr>
          <w:trHeight w:val="354" w:hRule="exact"/>
        </w:trPr>
        <w:tc>
          <w:tcPr>
            <w:tcW w:w="3567" w:type="dxa"/>
            <w:tcBorders>
              <w:left w:val="nil"/>
            </w:tcBorders>
          </w:tcPr>
          <w:p>
            <w:pPr>
              <w:pStyle w:val="TableParagraph"/>
              <w:ind w:left="113"/>
              <w:rPr>
                <w:sz w:val="17"/>
              </w:rPr>
            </w:pPr>
            <w:r>
              <w:rPr>
                <w:color w:val="231F20"/>
                <w:sz w:val="17"/>
              </w:rPr>
              <w:t>Mantenimiento de instalaciones y  equipo</w:t>
            </w:r>
          </w:p>
        </w:tc>
        <w:tc>
          <w:tcPr>
            <w:tcW w:w="1304" w:type="dxa"/>
          </w:tcPr>
          <w:p>
            <w:pPr>
              <w:pStyle w:val="TableParagraph"/>
              <w:ind w:right="219"/>
              <w:jc w:val="right"/>
              <w:rPr>
                <w:sz w:val="17"/>
              </w:rPr>
            </w:pPr>
            <w:r>
              <w:rPr>
                <w:color w:val="231F20"/>
                <w:w w:val="110"/>
                <w:sz w:val="17"/>
              </w:rPr>
              <w:t>63,07</w:t>
            </w:r>
          </w:p>
        </w:tc>
        <w:tc>
          <w:tcPr>
            <w:tcW w:w="1304" w:type="dxa"/>
          </w:tcPr>
          <w:p>
            <w:pPr>
              <w:pStyle w:val="TableParagraph"/>
              <w:ind w:right="223"/>
              <w:jc w:val="right"/>
              <w:rPr>
                <w:sz w:val="17"/>
              </w:rPr>
            </w:pPr>
            <w:r>
              <w:rPr>
                <w:color w:val="231F20"/>
                <w:w w:val="110"/>
                <w:sz w:val="17"/>
              </w:rPr>
              <w:t>130,56</w:t>
            </w:r>
          </w:p>
        </w:tc>
        <w:tc>
          <w:tcPr>
            <w:tcW w:w="1304" w:type="dxa"/>
          </w:tcPr>
          <w:p>
            <w:pPr>
              <w:pStyle w:val="TableParagraph"/>
              <w:ind w:right="223"/>
              <w:jc w:val="right"/>
              <w:rPr>
                <w:sz w:val="17"/>
              </w:rPr>
            </w:pPr>
            <w:r>
              <w:rPr>
                <w:color w:val="231F20"/>
                <w:w w:val="110"/>
                <w:sz w:val="17"/>
              </w:rPr>
              <w:t>158,33</w:t>
            </w:r>
          </w:p>
        </w:tc>
        <w:tc>
          <w:tcPr>
            <w:tcW w:w="1304" w:type="dxa"/>
            <w:tcBorders>
              <w:right w:val="nil"/>
            </w:tcBorders>
          </w:tcPr>
          <w:p>
            <w:pPr>
              <w:pStyle w:val="TableParagraph"/>
              <w:ind w:right="224"/>
              <w:jc w:val="right"/>
              <w:rPr>
                <w:sz w:val="17"/>
              </w:rPr>
            </w:pPr>
            <w:r>
              <w:rPr>
                <w:color w:val="231F20"/>
                <w:w w:val="110"/>
                <w:sz w:val="17"/>
              </w:rPr>
              <w:t>82,60</w:t>
            </w:r>
          </w:p>
        </w:tc>
      </w:tr>
      <w:tr>
        <w:trPr>
          <w:trHeight w:val="354" w:hRule="exact"/>
        </w:trPr>
        <w:tc>
          <w:tcPr>
            <w:tcW w:w="3567" w:type="dxa"/>
            <w:tcBorders>
              <w:left w:val="nil"/>
            </w:tcBorders>
          </w:tcPr>
          <w:p>
            <w:pPr>
              <w:pStyle w:val="TableParagraph"/>
              <w:ind w:left="113"/>
              <w:rPr>
                <w:sz w:val="17"/>
              </w:rPr>
            </w:pPr>
            <w:r>
              <w:rPr>
                <w:color w:val="231F20"/>
                <w:sz w:val="17"/>
              </w:rPr>
              <w:t>Sanitarios</w:t>
            </w:r>
          </w:p>
        </w:tc>
        <w:tc>
          <w:tcPr>
            <w:tcW w:w="1304" w:type="dxa"/>
          </w:tcPr>
          <w:p>
            <w:pPr>
              <w:pStyle w:val="TableParagraph"/>
              <w:ind w:right="223"/>
              <w:jc w:val="right"/>
              <w:rPr>
                <w:sz w:val="17"/>
              </w:rPr>
            </w:pPr>
            <w:r>
              <w:rPr>
                <w:color w:val="231F20"/>
                <w:w w:val="110"/>
                <w:sz w:val="17"/>
              </w:rPr>
              <w:t>2455,26</w:t>
            </w:r>
          </w:p>
        </w:tc>
        <w:tc>
          <w:tcPr>
            <w:tcW w:w="1304" w:type="dxa"/>
          </w:tcPr>
          <w:p>
            <w:pPr>
              <w:pStyle w:val="TableParagraph"/>
              <w:ind w:right="223"/>
              <w:jc w:val="right"/>
              <w:rPr>
                <w:sz w:val="17"/>
              </w:rPr>
            </w:pPr>
            <w:r>
              <w:rPr>
                <w:color w:val="231F20"/>
                <w:w w:val="110"/>
                <w:sz w:val="17"/>
              </w:rPr>
              <w:t>2733,33</w:t>
            </w:r>
          </w:p>
        </w:tc>
        <w:tc>
          <w:tcPr>
            <w:tcW w:w="1304" w:type="dxa"/>
          </w:tcPr>
          <w:p>
            <w:pPr>
              <w:pStyle w:val="TableParagraph"/>
              <w:ind w:right="219"/>
              <w:jc w:val="right"/>
              <w:rPr>
                <w:sz w:val="17"/>
              </w:rPr>
            </w:pPr>
            <w:r>
              <w:rPr>
                <w:color w:val="231F20"/>
                <w:w w:val="110"/>
                <w:sz w:val="17"/>
              </w:rPr>
              <w:t>6750,00</w:t>
            </w:r>
          </w:p>
        </w:tc>
        <w:tc>
          <w:tcPr>
            <w:tcW w:w="1304" w:type="dxa"/>
            <w:tcBorders>
              <w:right w:val="nil"/>
            </w:tcBorders>
          </w:tcPr>
          <w:p>
            <w:pPr>
              <w:pStyle w:val="TableParagraph"/>
              <w:ind w:right="224"/>
              <w:jc w:val="right"/>
              <w:rPr>
                <w:sz w:val="17"/>
              </w:rPr>
            </w:pPr>
            <w:r>
              <w:rPr>
                <w:color w:val="231F20"/>
                <w:w w:val="110"/>
                <w:sz w:val="17"/>
              </w:rPr>
              <w:t>3004,00</w:t>
            </w:r>
          </w:p>
        </w:tc>
      </w:tr>
      <w:tr>
        <w:trPr>
          <w:trHeight w:val="354" w:hRule="exact"/>
        </w:trPr>
        <w:tc>
          <w:tcPr>
            <w:tcW w:w="3567" w:type="dxa"/>
            <w:tcBorders>
              <w:left w:val="nil"/>
            </w:tcBorders>
          </w:tcPr>
          <w:p>
            <w:pPr>
              <w:pStyle w:val="TableParagraph"/>
              <w:ind w:left="113"/>
              <w:rPr>
                <w:sz w:val="17"/>
              </w:rPr>
            </w:pPr>
            <w:r>
              <w:rPr>
                <w:color w:val="231F20"/>
                <w:sz w:val="17"/>
              </w:rPr>
              <w:t>Servicios (luz, agua,  etc.)</w:t>
            </w:r>
          </w:p>
        </w:tc>
        <w:tc>
          <w:tcPr>
            <w:tcW w:w="1304" w:type="dxa"/>
          </w:tcPr>
          <w:p>
            <w:pPr>
              <w:pStyle w:val="TableParagraph"/>
              <w:ind w:right="219"/>
              <w:jc w:val="right"/>
              <w:rPr>
                <w:sz w:val="17"/>
              </w:rPr>
            </w:pPr>
            <w:r>
              <w:rPr>
                <w:color w:val="231F20"/>
                <w:w w:val="110"/>
                <w:sz w:val="17"/>
              </w:rPr>
              <w:t>193,16</w:t>
            </w:r>
          </w:p>
        </w:tc>
        <w:tc>
          <w:tcPr>
            <w:tcW w:w="1304" w:type="dxa"/>
          </w:tcPr>
          <w:p>
            <w:pPr>
              <w:pStyle w:val="TableParagraph"/>
              <w:ind w:right="219"/>
              <w:jc w:val="right"/>
              <w:rPr>
                <w:sz w:val="17"/>
              </w:rPr>
            </w:pPr>
            <w:r>
              <w:rPr>
                <w:color w:val="231F20"/>
                <w:w w:val="110"/>
                <w:sz w:val="17"/>
              </w:rPr>
              <w:t>700,00</w:t>
            </w:r>
          </w:p>
        </w:tc>
        <w:tc>
          <w:tcPr>
            <w:tcW w:w="1304" w:type="dxa"/>
          </w:tcPr>
          <w:p>
            <w:pPr>
              <w:pStyle w:val="TableParagraph"/>
              <w:ind w:right="219"/>
              <w:jc w:val="right"/>
              <w:rPr>
                <w:sz w:val="17"/>
              </w:rPr>
            </w:pPr>
            <w:r>
              <w:rPr>
                <w:color w:val="231F20"/>
                <w:w w:val="110"/>
                <w:sz w:val="17"/>
              </w:rPr>
              <w:t>178,33</w:t>
            </w:r>
          </w:p>
        </w:tc>
        <w:tc>
          <w:tcPr>
            <w:tcW w:w="1304" w:type="dxa"/>
            <w:tcBorders>
              <w:right w:val="nil"/>
            </w:tcBorders>
          </w:tcPr>
          <w:p>
            <w:pPr>
              <w:pStyle w:val="TableParagraph"/>
              <w:ind w:right="228"/>
              <w:jc w:val="right"/>
              <w:rPr>
                <w:sz w:val="17"/>
              </w:rPr>
            </w:pPr>
            <w:r>
              <w:rPr>
                <w:color w:val="231F20"/>
                <w:w w:val="110"/>
                <w:sz w:val="17"/>
              </w:rPr>
              <w:t>252,20</w:t>
            </w:r>
          </w:p>
        </w:tc>
      </w:tr>
      <w:tr>
        <w:trPr>
          <w:trHeight w:val="354" w:hRule="exact"/>
        </w:trPr>
        <w:tc>
          <w:tcPr>
            <w:tcW w:w="3567" w:type="dxa"/>
            <w:tcBorders>
              <w:left w:val="nil"/>
            </w:tcBorders>
          </w:tcPr>
          <w:p>
            <w:pPr>
              <w:pStyle w:val="TableParagraph"/>
              <w:ind w:left="113"/>
              <w:rPr>
                <w:sz w:val="17"/>
              </w:rPr>
            </w:pPr>
            <w:r>
              <w:rPr>
                <w:color w:val="231F20"/>
                <w:sz w:val="17"/>
              </w:rPr>
              <w:t>Comercialización</w:t>
            </w:r>
          </w:p>
        </w:tc>
        <w:tc>
          <w:tcPr>
            <w:tcW w:w="1304" w:type="dxa"/>
          </w:tcPr>
          <w:p>
            <w:pPr>
              <w:pStyle w:val="TableParagraph"/>
              <w:ind w:right="219"/>
              <w:jc w:val="right"/>
              <w:rPr>
                <w:sz w:val="17"/>
              </w:rPr>
            </w:pPr>
            <w:r>
              <w:rPr>
                <w:color w:val="231F20"/>
                <w:w w:val="110"/>
                <w:sz w:val="17"/>
              </w:rPr>
              <w:t>273,68</w:t>
            </w:r>
          </w:p>
        </w:tc>
        <w:tc>
          <w:tcPr>
            <w:tcW w:w="1304" w:type="dxa"/>
          </w:tcPr>
          <w:p>
            <w:pPr>
              <w:pStyle w:val="TableParagraph"/>
              <w:ind w:right="223"/>
              <w:jc w:val="right"/>
              <w:rPr>
                <w:sz w:val="17"/>
              </w:rPr>
            </w:pPr>
            <w:r>
              <w:rPr>
                <w:color w:val="231F20"/>
                <w:w w:val="110"/>
                <w:sz w:val="17"/>
              </w:rPr>
              <w:t>216,67</w:t>
            </w:r>
          </w:p>
        </w:tc>
        <w:tc>
          <w:tcPr>
            <w:tcW w:w="1304" w:type="dxa"/>
          </w:tcPr>
          <w:p>
            <w:pPr>
              <w:pStyle w:val="TableParagraph"/>
              <w:ind w:right="223"/>
              <w:jc w:val="right"/>
              <w:rPr>
                <w:sz w:val="17"/>
              </w:rPr>
            </w:pPr>
            <w:r>
              <w:rPr>
                <w:color w:val="231F20"/>
                <w:w w:val="110"/>
                <w:sz w:val="17"/>
              </w:rPr>
              <w:t>341,67</w:t>
            </w:r>
          </w:p>
        </w:tc>
        <w:tc>
          <w:tcPr>
            <w:tcW w:w="1304" w:type="dxa"/>
            <w:tcBorders>
              <w:right w:val="nil"/>
            </w:tcBorders>
          </w:tcPr>
          <w:p>
            <w:pPr>
              <w:pStyle w:val="TableParagraph"/>
              <w:ind w:right="224"/>
              <w:jc w:val="right"/>
              <w:rPr>
                <w:sz w:val="17"/>
              </w:rPr>
            </w:pPr>
            <w:r>
              <w:rPr>
                <w:color w:val="231F20"/>
                <w:w w:val="110"/>
                <w:sz w:val="17"/>
              </w:rPr>
              <w:t>275,00</w:t>
            </w:r>
          </w:p>
        </w:tc>
      </w:tr>
      <w:tr>
        <w:trPr>
          <w:trHeight w:val="354" w:hRule="exact"/>
        </w:trPr>
        <w:tc>
          <w:tcPr>
            <w:tcW w:w="3567" w:type="dxa"/>
            <w:tcBorders>
              <w:left w:val="nil"/>
            </w:tcBorders>
          </w:tcPr>
          <w:p>
            <w:pPr>
              <w:pStyle w:val="TableParagraph"/>
              <w:ind w:left="113"/>
              <w:rPr>
                <w:sz w:val="17"/>
              </w:rPr>
            </w:pPr>
            <w:r>
              <w:rPr>
                <w:color w:val="231F20"/>
                <w:sz w:val="17"/>
              </w:rPr>
              <w:t>Mano de obra</w:t>
            </w:r>
          </w:p>
        </w:tc>
        <w:tc>
          <w:tcPr>
            <w:tcW w:w="1304" w:type="dxa"/>
          </w:tcPr>
          <w:p>
            <w:pPr>
              <w:pStyle w:val="TableParagraph"/>
              <w:ind w:right="219"/>
              <w:jc w:val="right"/>
              <w:rPr>
                <w:sz w:val="17"/>
              </w:rPr>
            </w:pPr>
            <w:r>
              <w:rPr>
                <w:color w:val="231F20"/>
                <w:w w:val="110"/>
                <w:sz w:val="17"/>
              </w:rPr>
              <w:t>10500,00</w:t>
            </w:r>
          </w:p>
        </w:tc>
        <w:tc>
          <w:tcPr>
            <w:tcW w:w="1304" w:type="dxa"/>
          </w:tcPr>
          <w:p>
            <w:pPr>
              <w:pStyle w:val="TableParagraph"/>
              <w:ind w:right="219"/>
              <w:jc w:val="right"/>
              <w:rPr>
                <w:sz w:val="17"/>
              </w:rPr>
            </w:pPr>
            <w:r>
              <w:rPr>
                <w:color w:val="231F20"/>
                <w:w w:val="110"/>
                <w:sz w:val="17"/>
              </w:rPr>
              <w:t>21583,33</w:t>
            </w:r>
          </w:p>
        </w:tc>
        <w:tc>
          <w:tcPr>
            <w:tcW w:w="1304" w:type="dxa"/>
          </w:tcPr>
          <w:p>
            <w:pPr>
              <w:pStyle w:val="TableParagraph"/>
              <w:ind w:right="219"/>
              <w:jc w:val="right"/>
              <w:rPr>
                <w:sz w:val="17"/>
              </w:rPr>
            </w:pPr>
            <w:r>
              <w:rPr>
                <w:color w:val="231F20"/>
                <w:w w:val="110"/>
                <w:sz w:val="17"/>
              </w:rPr>
              <w:t>30041,67</w:t>
            </w:r>
          </w:p>
        </w:tc>
        <w:tc>
          <w:tcPr>
            <w:tcW w:w="1304" w:type="dxa"/>
            <w:tcBorders>
              <w:right w:val="nil"/>
            </w:tcBorders>
          </w:tcPr>
          <w:p>
            <w:pPr>
              <w:pStyle w:val="TableParagraph"/>
              <w:ind w:right="224"/>
              <w:jc w:val="right"/>
              <w:rPr>
                <w:sz w:val="17"/>
              </w:rPr>
            </w:pPr>
            <w:r>
              <w:rPr>
                <w:color w:val="231F20"/>
                <w:w w:val="110"/>
                <w:sz w:val="17"/>
              </w:rPr>
              <w:t>14175,00</w:t>
            </w:r>
          </w:p>
        </w:tc>
      </w:tr>
      <w:tr>
        <w:trPr>
          <w:trHeight w:val="354" w:hRule="exact"/>
        </w:trPr>
        <w:tc>
          <w:tcPr>
            <w:tcW w:w="3567" w:type="dxa"/>
            <w:tcBorders>
              <w:left w:val="nil"/>
            </w:tcBorders>
          </w:tcPr>
          <w:p>
            <w:pPr>
              <w:pStyle w:val="TableParagraph"/>
              <w:ind w:left="113"/>
              <w:rPr>
                <w:sz w:val="17"/>
              </w:rPr>
            </w:pPr>
            <w:r>
              <w:rPr>
                <w:color w:val="231F20"/>
                <w:sz w:val="17"/>
              </w:rPr>
              <w:t>Pequeño utillaje</w:t>
            </w:r>
          </w:p>
        </w:tc>
        <w:tc>
          <w:tcPr>
            <w:tcW w:w="1304" w:type="dxa"/>
          </w:tcPr>
          <w:p>
            <w:pPr>
              <w:pStyle w:val="TableParagraph"/>
              <w:ind w:right="219"/>
              <w:jc w:val="right"/>
              <w:rPr>
                <w:sz w:val="17"/>
              </w:rPr>
            </w:pPr>
            <w:r>
              <w:rPr>
                <w:color w:val="231F20"/>
                <w:w w:val="110"/>
                <w:sz w:val="17"/>
              </w:rPr>
              <w:t>557,89</w:t>
            </w:r>
          </w:p>
        </w:tc>
        <w:tc>
          <w:tcPr>
            <w:tcW w:w="1304" w:type="dxa"/>
          </w:tcPr>
          <w:p>
            <w:pPr>
              <w:pStyle w:val="TableParagraph"/>
              <w:ind w:right="219"/>
              <w:jc w:val="right"/>
              <w:rPr>
                <w:sz w:val="17"/>
              </w:rPr>
            </w:pPr>
            <w:r>
              <w:rPr>
                <w:color w:val="231F20"/>
                <w:w w:val="110"/>
                <w:sz w:val="17"/>
              </w:rPr>
              <w:t>0,00</w:t>
            </w:r>
          </w:p>
        </w:tc>
        <w:tc>
          <w:tcPr>
            <w:tcW w:w="1304" w:type="dxa"/>
          </w:tcPr>
          <w:p>
            <w:pPr>
              <w:pStyle w:val="TableParagraph"/>
              <w:ind w:right="219"/>
              <w:jc w:val="right"/>
              <w:rPr>
                <w:sz w:val="17"/>
              </w:rPr>
            </w:pPr>
            <w:r>
              <w:rPr>
                <w:color w:val="231F20"/>
                <w:w w:val="110"/>
                <w:sz w:val="17"/>
              </w:rPr>
              <w:t>833,33</w:t>
            </w:r>
          </w:p>
        </w:tc>
        <w:tc>
          <w:tcPr>
            <w:tcW w:w="1304" w:type="dxa"/>
            <w:tcBorders>
              <w:right w:val="nil"/>
            </w:tcBorders>
          </w:tcPr>
          <w:p>
            <w:pPr>
              <w:pStyle w:val="TableParagraph"/>
              <w:ind w:right="224"/>
              <w:jc w:val="right"/>
              <w:rPr>
                <w:sz w:val="17"/>
              </w:rPr>
            </w:pPr>
            <w:r>
              <w:rPr>
                <w:color w:val="231F20"/>
                <w:w w:val="110"/>
                <w:sz w:val="17"/>
              </w:rPr>
              <w:t>524,00</w:t>
            </w:r>
          </w:p>
        </w:tc>
      </w:tr>
      <w:tr>
        <w:trPr>
          <w:trHeight w:val="354" w:hRule="exact"/>
        </w:trPr>
        <w:tc>
          <w:tcPr>
            <w:tcW w:w="3567" w:type="dxa"/>
            <w:tcBorders>
              <w:left w:val="nil"/>
            </w:tcBorders>
          </w:tcPr>
          <w:p>
            <w:pPr>
              <w:pStyle w:val="TableParagraph"/>
              <w:ind w:left="113"/>
              <w:rPr>
                <w:sz w:val="17"/>
              </w:rPr>
            </w:pPr>
            <w:r>
              <w:rPr>
                <w:color w:val="231F20"/>
                <w:sz w:val="17"/>
              </w:rPr>
              <w:t>Costo total</w:t>
            </w:r>
          </w:p>
        </w:tc>
        <w:tc>
          <w:tcPr>
            <w:tcW w:w="1304" w:type="dxa"/>
          </w:tcPr>
          <w:p>
            <w:pPr>
              <w:pStyle w:val="TableParagraph"/>
              <w:ind w:right="219"/>
              <w:jc w:val="right"/>
              <w:rPr>
                <w:sz w:val="17"/>
              </w:rPr>
            </w:pPr>
            <w:r>
              <w:rPr>
                <w:color w:val="231F20"/>
                <w:w w:val="110"/>
                <w:sz w:val="17"/>
              </w:rPr>
              <w:t>36544,05</w:t>
            </w:r>
          </w:p>
        </w:tc>
        <w:tc>
          <w:tcPr>
            <w:tcW w:w="1304" w:type="dxa"/>
          </w:tcPr>
          <w:p>
            <w:pPr>
              <w:pStyle w:val="TableParagraph"/>
              <w:ind w:right="226"/>
              <w:jc w:val="right"/>
              <w:rPr>
                <w:sz w:val="17"/>
              </w:rPr>
            </w:pPr>
            <w:r>
              <w:rPr>
                <w:color w:val="231F20"/>
                <w:w w:val="110"/>
                <w:sz w:val="17"/>
              </w:rPr>
              <w:t>56 918,97</w:t>
            </w:r>
          </w:p>
        </w:tc>
        <w:tc>
          <w:tcPr>
            <w:tcW w:w="1304" w:type="dxa"/>
          </w:tcPr>
          <w:p>
            <w:pPr>
              <w:pStyle w:val="TableParagraph"/>
              <w:ind w:right="219"/>
              <w:jc w:val="right"/>
              <w:rPr>
                <w:sz w:val="17"/>
              </w:rPr>
            </w:pPr>
            <w:r>
              <w:rPr>
                <w:color w:val="231F20"/>
                <w:w w:val="110"/>
                <w:sz w:val="17"/>
              </w:rPr>
              <w:t>75221,65</w:t>
            </w:r>
          </w:p>
        </w:tc>
        <w:tc>
          <w:tcPr>
            <w:tcW w:w="1304" w:type="dxa"/>
            <w:tcBorders>
              <w:right w:val="nil"/>
            </w:tcBorders>
          </w:tcPr>
          <w:p>
            <w:pPr>
              <w:pStyle w:val="TableParagraph"/>
              <w:ind w:right="224"/>
              <w:jc w:val="right"/>
              <w:rPr>
                <w:sz w:val="17"/>
              </w:rPr>
            </w:pPr>
            <w:r>
              <w:rPr>
                <w:color w:val="231F20"/>
                <w:w w:val="110"/>
                <w:sz w:val="17"/>
              </w:rPr>
              <w:t>43630,35</w:t>
            </w:r>
          </w:p>
        </w:tc>
      </w:tr>
    </w:tbl>
    <w:p>
      <w:pPr>
        <w:spacing w:after="0"/>
        <w:jc w:val="right"/>
        <w:rPr>
          <w:sz w:val="17"/>
        </w:rPr>
        <w:sectPr>
          <w:type w:val="continuous"/>
          <w:pgSz w:w="11900" w:h="14450"/>
          <w:pgMar w:top="420" w:bottom="420" w:left="0" w:right="0"/>
        </w:sectPr>
      </w:pPr>
    </w:p>
    <w:p>
      <w:pPr>
        <w:pStyle w:val="BodyText"/>
      </w:pPr>
    </w:p>
    <w:p>
      <w:pPr>
        <w:pStyle w:val="BodyText"/>
      </w:pPr>
    </w:p>
    <w:p>
      <w:pPr>
        <w:pStyle w:val="BodyText"/>
        <w:rPr>
          <w:sz w:val="17"/>
        </w:rPr>
      </w:pPr>
    </w:p>
    <w:p>
      <w:pPr>
        <w:tabs>
          <w:tab w:pos="6320" w:val="left" w:leader="none"/>
        </w:tabs>
        <w:spacing w:before="64"/>
        <w:ind w:left="1551" w:right="0" w:firstLine="0"/>
        <w:jc w:val="left"/>
        <w:rPr>
          <w:sz w:val="12"/>
        </w:rPr>
      </w:pPr>
      <w:r>
        <w:rPr/>
        <w:pict>
          <v:group style="position:absolute;margin-left:78.080566pt;margin-top:36.468540pt;width:206.9pt;height:138.050pt;mso-position-horizontal-relative:page;mso-position-vertical-relative:paragraph;z-index:-492616" coordorigin="1562,729" coordsize="4138,2761">
            <v:shape style="position:absolute;left:1852;top:2961;width:159;height:110" type="#_x0000_t75" stroked="false">
              <v:imagedata r:id="rId154" o:title=""/>
            </v:shape>
            <v:shape style="position:absolute;left:1857;top:2657;width:154;height:110" type="#_x0000_t75" stroked="false">
              <v:imagedata r:id="rId155" o:title=""/>
            </v:shape>
            <v:shape style="position:absolute;left:1856;top:2352;width:155;height:110" type="#_x0000_t75" stroked="false">
              <v:imagedata r:id="rId156" o:title=""/>
            </v:shape>
            <v:shape style="position:absolute;left:1857;top:2048;width:153;height:110" type="#_x0000_t75" stroked="false">
              <v:imagedata r:id="rId157" o:title=""/>
            </v:shape>
            <v:shape style="position:absolute;left:1856;top:1744;width:154;height:110" type="#_x0000_t75" stroked="false">
              <v:imagedata r:id="rId158" o:title=""/>
            </v:shape>
            <v:shape style="position:absolute;left:1672;top:1804;width:140;height:705" type="#_x0000_t75" stroked="false">
              <v:imagedata r:id="rId159" o:title=""/>
            </v:shape>
            <v:shape style="position:absolute;left:1857;top:1440;width:154;height:110" type="#_x0000_t75" stroked="false">
              <v:imagedata r:id="rId160" o:title=""/>
            </v:shape>
            <v:shape style="position:absolute;left:1783;top:1135;width:228;height:110" type="#_x0000_t75" stroked="false">
              <v:imagedata r:id="rId161" o:title=""/>
            </v:shape>
            <v:shape style="position:absolute;left:1928;top:1033;width:682;height:140" type="#_x0000_t75" stroked="false">
              <v:imagedata r:id="rId162" o:title=""/>
            </v:shape>
            <v:shape style="position:absolute;left:2660;top:1035;width:157;height:110" type="#_x0000_t75" stroked="false">
              <v:imagedata r:id="rId163" o:title=""/>
            </v:shape>
            <v:line style="position:absolute" from="1967,901" to="2045,901" stroked="true" strokeweight="3.913241pt" strokecolor="#a6a6a6"/>
            <v:shape style="position:absolute;left:2076;top:845;width:102;height:109" coordorigin="2076,845" coordsize="102,109" path="m2132,845l2117,845,2076,953,2091,953,2103,920,2163,920,2159,908,2107,908,2119,877,2121,870,2123,863,2124,856,2137,856,2132,845xm2163,920l2148,920,2160,953,2177,953,2163,920xm2137,856l2124,856,2126,862,2129,869,2143,908,2159,908,2137,856xe" filled="true" fillcolor="#000000" stroked="false">
              <v:path arrowok="t"/>
              <v:fill type="solid"/>
            </v:shape>
            <v:line style="position:absolute" from="2192,845" to="2192,953" stroked="true" strokeweight=".663878pt" strokecolor="#000000"/>
            <v:shape style="position:absolute;left:2219;top:844;width:712;height:111" coordorigin="2219,844" coordsize="712,111" path="m2232,874l2219,874,2219,953,2232,953,2232,874m2232,845l2219,845,2219,860,2232,860,2232,845m2358,953l2357,890,2356,884,2355,883,2347,875,2341,873,2323,873,2315,877,2309,886,2308,884,2308,882,2305,879,2298,874,2293,873,2282,873,2277,874,2269,878,2266,882,2263,885,2263,874,2251,874,2251,953,2265,953,2265,905,2265,899,2268,892,2271,889,2276,885,2277,885,2280,884,2289,884,2293,886,2297,892,2298,896,2298,953,2311,953,2311,899,2313,893,2320,886,2320,886,2325,884,2333,884,2336,885,2341,888,2342,890,2344,894,2344,898,2344,953,2358,953m2448,900l2445,890,2438,884,2434,879,2434,906,2390,906,2391,899,2393,894,2402,886,2407,884,2419,884,2425,886,2432,895,2434,899,2434,906,2434,879,2432,876,2423,873,2402,873,2393,876,2379,891,2376,901,2376,927,2379,937,2393,951,2402,954,2422,954,2430,952,2441,944,2442,943,2446,937,2448,929,2434,927,2432,933,2429,937,2422,942,2418,944,2407,944,2401,941,2393,932,2390,926,2390,917,2448,917,2448,906,2448,900m2528,898l2528,894,2527,888,2525,885,2525,884,2521,879,2518,877,2510,873,2506,873,2490,873,2482,877,2476,886,2476,874,2464,874,2464,953,2478,953,2478,900,2480,893,2488,886,2489,886,2493,884,2502,884,2505,885,2510,888,2512,890,2514,896,2515,900,2515,953,2528,953,2528,898m2579,953l2577,941,2577,941,2574,941,2572,941,2569,941,2567,941,2565,940,2565,939,2564,937,2563,934,2563,885,2577,885,2577,874,2563,874,2563,847,2550,855,2550,874,2541,874,2541,885,2550,885,2550,939,2551,943,2553,948,2555,950,2560,953,2564,954,2572,954,2575,953,2579,953m2657,953l2656,950,2655,947,2654,943,2654,940,2653,935,2653,913,2653,894,2653,892,2653,890,2652,886,2651,884,2650,883,2646,879,2643,877,2635,873,2630,873,2616,873,2610,874,2600,877,2596,880,2591,887,2589,891,2588,897,2601,899,2602,893,2604,889,2610,885,2615,884,2628,884,2633,885,2639,890,2640,894,2640,903,2640,913,2640,925,2639,929,2636,935,2633,939,2625,943,2620,944,2610,944,2606,943,2601,938,2600,935,2599,929,2600,927,2603,924,2604,922,2609,920,2613,919,2628,917,2635,915,2640,913,2640,903,2635,905,2627,906,2611,908,2607,909,2604,910,2601,911,2598,912,2592,916,2590,918,2586,925,2585,928,2585,939,2588,944,2597,952,2603,954,2617,954,2622,954,2631,950,2636,947,2640,944,2641,943,2641,947,2642,950,2644,953,2657,953m2738,926l2725,924,2724,931,2722,936,2715,942,2710,944,2699,944,2693,941,2685,932,2683,924,2683,903,2685,896,2694,886,2699,884,2710,884,2714,885,2720,890,2723,894,2724,899,2737,897,2735,889,2732,884,2732,883,2721,875,2714,873,2699,873,2692,874,2681,881,2677,885,2671,898,2670,905,2670,927,2673,937,2686,951,2695,954,2714,954,2721,952,2731,944,2733,942,2737,935,2738,926m2763,874l2750,874,2750,953,2763,953,2763,874m2763,845l2750,845,2750,860,2763,860,2763,845m2834,844l2817,844,2807,865,2818,865,2834,844m2851,900l2847,890,2841,884,2837,880,2837,903,2837,924,2835,931,2826,941,2821,944,2808,944,2802,941,2793,931,2791,924,2791,903,2793,896,2802,886,2808,884,2821,884,2826,886,2835,896,2837,903,2837,880,2834,876,2825,873,2805,873,2796,876,2782,888,2777,899,2777,927,2781,937,2794,951,2803,954,2821,954,2827,953,2839,947,2842,944,2843,942,2849,930,2851,923,2851,900m2930,898l2930,894,2929,888,2927,885,2927,884,2923,879,2920,877,2912,873,2908,873,2892,873,2884,877,2878,886,2878,874,2866,874,2866,953,2880,953,2880,900,2882,893,2890,886,2891,886,2895,884,2904,884,2907,885,2912,888,2914,890,2916,896,2917,900,2917,953,2930,953,2930,898e" filled="true" fillcolor="#000000" stroked="false">
              <v:path arrowok="t"/>
              <v:fill type="solid"/>
            </v:shape>
            <v:shape style="position:absolute;left:2871;top:1028;width:594;height:121" type="#_x0000_t75" stroked="false">
              <v:imagedata r:id="rId164" o:title=""/>
            </v:shape>
            <v:shape style="position:absolute;left:2484;top:3144;width:144;height:109" type="#_x0000_t75" stroked="false">
              <v:imagedata r:id="rId165" o:title=""/>
            </v:shape>
            <v:shape style="position:absolute;left:3314;top:3144;width:164;height:109" type="#_x0000_t75" stroked="false">
              <v:imagedata r:id="rId166" o:title=""/>
            </v:shape>
            <v:shape style="position:absolute;left:4144;top:3144;width:165;height:110" type="#_x0000_t75" stroked="false">
              <v:imagedata r:id="rId167" o:title=""/>
            </v:shape>
            <v:shape style="position:absolute;left:4743;top:3145;width:631;height:110" type="#_x0000_t75" stroked="false">
              <v:imagedata r:id="rId168" o:title=""/>
            </v:shape>
            <v:shape style="position:absolute;left:3582;top:3322;width:462;height:110" type="#_x0000_t75" stroked="false">
              <v:imagedata r:id="rId169" o:title=""/>
            </v:shape>
            <v:shape style="position:absolute;left:3877;top:845;width:520;height:110" type="#_x0000_t75" stroked="false">
              <v:imagedata r:id="rId170" o:title=""/>
            </v:shape>
            <v:shape style="position:absolute;left:4451;top:845;width:157;height:110" type="#_x0000_t75" stroked="false">
              <v:imagedata r:id="rId171" o:title=""/>
            </v:shape>
            <v:shape style="position:absolute;left:4660;top:845;width:291;height:110" type="#_x0000_t75" stroked="false">
              <v:imagedata r:id="rId172" o:title=""/>
            </v:shape>
            <v:shape style="position:absolute;left:3877;top:1033;width:513;height:112" type="#_x0000_t75" stroked="false">
              <v:imagedata r:id="rId173" o:title=""/>
            </v:shape>
            <v:rect style="position:absolute;left:1568;top:735;width:4126;height:2749" filled="false" stroked="true" strokeweight=".568785pt" strokecolor="#858585"/>
            <w10:wrap type="none"/>
          </v:group>
        </w:pict>
      </w:r>
      <w:r>
        <w:rPr>
          <w:color w:val="231F20"/>
          <w:spacing w:val="-5"/>
          <w:w w:val="120"/>
          <w:sz w:val="22"/>
        </w:rPr>
        <w:t>130</w:t>
        <w:tab/>
      </w:r>
      <w:r>
        <w:rPr>
          <w:color w:val="231F20"/>
          <w:w w:val="120"/>
          <w:sz w:val="18"/>
        </w:rPr>
        <w:t>SECCIÓN 2.  C. S</w:t>
      </w:r>
      <w:r>
        <w:rPr>
          <w:color w:val="231F20"/>
          <w:w w:val="120"/>
          <w:sz w:val="12"/>
        </w:rPr>
        <w:t>iStemaS  de  bovinoS  produCtoreS  de</w:t>
      </w:r>
      <w:r>
        <w:rPr>
          <w:color w:val="231F20"/>
          <w:spacing w:val="-2"/>
          <w:w w:val="120"/>
          <w:sz w:val="12"/>
        </w:rPr>
        <w:t> </w:t>
      </w:r>
      <w:r>
        <w:rPr>
          <w:color w:val="231F20"/>
          <w:w w:val="120"/>
          <w:sz w:val="12"/>
        </w:rPr>
        <w:t>Carne</w:t>
      </w:r>
    </w:p>
    <w:p>
      <w:pPr>
        <w:pStyle w:val="BodyText"/>
      </w:pPr>
    </w:p>
    <w:p>
      <w:pPr>
        <w:pStyle w:val="BodyText"/>
        <w:rPr>
          <w:sz w:val="11"/>
        </w:rPr>
      </w:pPr>
      <w:r>
        <w:rPr/>
        <w:pict>
          <v:shape style="position:absolute;margin-left:107.259682pt;margin-top:30.525913pt;width:167.1pt;height:92.7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8"/>
                    <w:gridCol w:w="333"/>
                    <w:gridCol w:w="497"/>
                    <w:gridCol w:w="333"/>
                    <w:gridCol w:w="497"/>
                    <w:gridCol w:w="333"/>
                    <w:gridCol w:w="497"/>
                    <w:gridCol w:w="333"/>
                    <w:gridCol w:w="249"/>
                  </w:tblGrid>
                  <w:tr>
                    <w:trPr>
                      <w:trHeight w:val="207" w:hRule="exact"/>
                    </w:trPr>
                    <w:tc>
                      <w:tcPr>
                        <w:tcW w:w="248" w:type="dxa"/>
                        <w:vMerge w:val="restart"/>
                        <w:tcBorders>
                          <w:top w:val="single" w:sz="4" w:space="0" w:color="858585"/>
                          <w:left w:val="single" w:sz="4" w:space="0" w:color="858585"/>
                        </w:tcBorders>
                      </w:tcPr>
                      <w:p>
                        <w:pPr/>
                      </w:p>
                    </w:tc>
                    <w:tc>
                      <w:tcPr>
                        <w:tcW w:w="333" w:type="dxa"/>
                        <w:vMerge w:val="restart"/>
                        <w:tcBorders>
                          <w:top w:val="single" w:sz="4" w:space="0" w:color="858585"/>
                        </w:tcBorders>
                        <w:shd w:val="clear" w:color="auto" w:fill="7E7E7E"/>
                      </w:tcPr>
                      <w:p>
                        <w:pPr/>
                      </w:p>
                    </w:tc>
                    <w:tc>
                      <w:tcPr>
                        <w:tcW w:w="497" w:type="dxa"/>
                        <w:vMerge w:val="restart"/>
                        <w:tcBorders>
                          <w:top w:val="single" w:sz="4" w:space="0" w:color="858585"/>
                        </w:tcBorders>
                      </w:tcPr>
                      <w:p>
                        <w:pPr/>
                      </w:p>
                    </w:tc>
                    <w:tc>
                      <w:tcPr>
                        <w:tcW w:w="333" w:type="dxa"/>
                        <w:tcBorders>
                          <w:top w:val="single" w:sz="4" w:space="0" w:color="858585"/>
                        </w:tcBorders>
                        <w:shd w:val="clear" w:color="auto" w:fill="7E7E7E"/>
                      </w:tcPr>
                      <w:p>
                        <w:pPr/>
                      </w:p>
                    </w:tc>
                    <w:tc>
                      <w:tcPr>
                        <w:tcW w:w="497" w:type="dxa"/>
                        <w:vMerge w:val="restart"/>
                        <w:tcBorders>
                          <w:top w:val="single" w:sz="4" w:space="0" w:color="858585"/>
                        </w:tcBorders>
                      </w:tcPr>
                      <w:p>
                        <w:pPr/>
                      </w:p>
                    </w:tc>
                    <w:tc>
                      <w:tcPr>
                        <w:tcW w:w="333" w:type="dxa"/>
                        <w:vMerge w:val="restart"/>
                        <w:tcBorders>
                          <w:top w:val="single" w:sz="4" w:space="0" w:color="858585"/>
                        </w:tcBorders>
                        <w:shd w:val="clear" w:color="auto" w:fill="7E7E7E"/>
                      </w:tcPr>
                      <w:p>
                        <w:pPr/>
                      </w:p>
                    </w:tc>
                    <w:tc>
                      <w:tcPr>
                        <w:tcW w:w="497" w:type="dxa"/>
                        <w:vMerge w:val="restart"/>
                        <w:tcBorders>
                          <w:top w:val="single" w:sz="4" w:space="0" w:color="858585"/>
                        </w:tcBorders>
                      </w:tcPr>
                      <w:p>
                        <w:pPr/>
                      </w:p>
                    </w:tc>
                    <w:tc>
                      <w:tcPr>
                        <w:tcW w:w="333" w:type="dxa"/>
                        <w:vMerge w:val="restart"/>
                        <w:tcBorders>
                          <w:top w:val="single" w:sz="4" w:space="0" w:color="858585"/>
                        </w:tcBorders>
                        <w:shd w:val="clear" w:color="auto" w:fill="7E7E7E"/>
                      </w:tcPr>
                      <w:p>
                        <w:pPr/>
                      </w:p>
                    </w:tc>
                    <w:tc>
                      <w:tcPr>
                        <w:tcW w:w="249" w:type="dxa"/>
                        <w:vMerge w:val="restart"/>
                        <w:tcBorders>
                          <w:top w:val="single" w:sz="4" w:space="0" w:color="858585"/>
                        </w:tcBorders>
                      </w:tcPr>
                      <w:p>
                        <w:pPr/>
                      </w:p>
                    </w:tc>
                  </w:tr>
                  <w:tr>
                    <w:trPr>
                      <w:trHeight w:val="116" w:hRule="exact"/>
                    </w:trPr>
                    <w:tc>
                      <w:tcPr>
                        <w:tcW w:w="248" w:type="dxa"/>
                        <w:vMerge/>
                        <w:tcBorders>
                          <w:left w:val="single" w:sz="4" w:space="0" w:color="858585"/>
                          <w:bottom w:val="single" w:sz="4" w:space="0" w:color="858585"/>
                        </w:tcBorders>
                      </w:tcPr>
                      <w:p>
                        <w:pPr/>
                      </w:p>
                    </w:tc>
                    <w:tc>
                      <w:tcPr>
                        <w:tcW w:w="333" w:type="dxa"/>
                        <w:vMerge/>
                        <w:shd w:val="clear" w:color="auto" w:fill="7E7E7E"/>
                      </w:tcPr>
                      <w:p>
                        <w:pPr/>
                      </w:p>
                    </w:tc>
                    <w:tc>
                      <w:tcPr>
                        <w:tcW w:w="497" w:type="dxa"/>
                        <w:vMerge/>
                        <w:tcBorders>
                          <w:bottom w:val="single" w:sz="4" w:space="0" w:color="858585"/>
                        </w:tcBorders>
                      </w:tcPr>
                      <w:p>
                        <w:pPr/>
                      </w:p>
                    </w:tc>
                    <w:tc>
                      <w:tcPr>
                        <w:tcW w:w="333" w:type="dxa"/>
                        <w:shd w:val="clear" w:color="auto" w:fill="D9D9D9"/>
                      </w:tcPr>
                      <w:p>
                        <w:pPr/>
                      </w:p>
                    </w:tc>
                    <w:tc>
                      <w:tcPr>
                        <w:tcW w:w="497" w:type="dxa"/>
                        <w:vMerge/>
                        <w:tcBorders>
                          <w:bottom w:val="single" w:sz="4" w:space="0" w:color="858585"/>
                        </w:tcBorders>
                      </w:tcPr>
                      <w:p>
                        <w:pPr/>
                      </w:p>
                    </w:tc>
                    <w:tc>
                      <w:tcPr>
                        <w:tcW w:w="333" w:type="dxa"/>
                        <w:vMerge/>
                        <w:tcBorders>
                          <w:bottom w:val="single" w:sz="33" w:space="0" w:color="D9D9D9"/>
                        </w:tcBorders>
                        <w:shd w:val="clear" w:color="auto" w:fill="7E7E7E"/>
                      </w:tcPr>
                      <w:p>
                        <w:pPr/>
                      </w:p>
                    </w:tc>
                    <w:tc>
                      <w:tcPr>
                        <w:tcW w:w="497" w:type="dxa"/>
                        <w:vMerge/>
                        <w:tcBorders>
                          <w:bottom w:val="single" w:sz="4" w:space="0" w:color="858585"/>
                        </w:tcBorders>
                      </w:tcPr>
                      <w:p>
                        <w:pPr/>
                      </w:p>
                    </w:tc>
                    <w:tc>
                      <w:tcPr>
                        <w:tcW w:w="333" w:type="dxa"/>
                        <w:vMerge/>
                        <w:shd w:val="clear" w:color="auto" w:fill="7E7E7E"/>
                      </w:tcPr>
                      <w:p>
                        <w:pPr/>
                      </w:p>
                    </w:tc>
                    <w:tc>
                      <w:tcPr>
                        <w:tcW w:w="249" w:type="dxa"/>
                        <w:vMerge/>
                        <w:tcBorders>
                          <w:bottom w:val="single" w:sz="4" w:space="0" w:color="858585"/>
                        </w:tcBorders>
                      </w:tcPr>
                      <w:p>
                        <w:pPr/>
                      </w:p>
                    </w:tc>
                  </w:tr>
                  <w:tr>
                    <w:trPr>
                      <w:trHeight w:val="191" w:hRule="exact"/>
                    </w:trPr>
                    <w:tc>
                      <w:tcPr>
                        <w:tcW w:w="248" w:type="dxa"/>
                        <w:vMerge w:val="restart"/>
                        <w:tcBorders>
                          <w:top w:val="single" w:sz="4" w:space="0" w:color="858585"/>
                          <w:left w:val="single" w:sz="4" w:space="0" w:color="858585"/>
                        </w:tcBorders>
                      </w:tcPr>
                      <w:p>
                        <w:pPr/>
                      </w:p>
                    </w:tc>
                    <w:tc>
                      <w:tcPr>
                        <w:tcW w:w="333" w:type="dxa"/>
                        <w:shd w:val="clear" w:color="auto" w:fill="D9D9D9"/>
                      </w:tcPr>
                      <w:p>
                        <w:pPr/>
                      </w:p>
                    </w:tc>
                    <w:tc>
                      <w:tcPr>
                        <w:tcW w:w="497" w:type="dxa"/>
                        <w:vMerge w:val="restart"/>
                        <w:tcBorders>
                          <w:top w:val="single" w:sz="4" w:space="0" w:color="858585"/>
                        </w:tcBorders>
                      </w:tcPr>
                      <w:p>
                        <w:pPr/>
                      </w:p>
                    </w:tc>
                    <w:tc>
                      <w:tcPr>
                        <w:tcW w:w="333" w:type="dxa"/>
                        <w:vMerge w:val="restart"/>
                        <w:shd w:val="clear" w:color="auto" w:fill="BEBEBE"/>
                      </w:tcPr>
                      <w:p>
                        <w:pPr/>
                      </w:p>
                    </w:tc>
                    <w:tc>
                      <w:tcPr>
                        <w:tcW w:w="497" w:type="dxa"/>
                        <w:vMerge w:val="restart"/>
                        <w:tcBorders>
                          <w:top w:val="single" w:sz="4" w:space="0" w:color="858585"/>
                        </w:tcBorders>
                      </w:tcPr>
                      <w:p>
                        <w:pPr/>
                      </w:p>
                    </w:tc>
                    <w:tc>
                      <w:tcPr>
                        <w:tcW w:w="333" w:type="dxa"/>
                        <w:vMerge w:val="restart"/>
                        <w:tcBorders>
                          <w:top w:val="single" w:sz="33" w:space="0" w:color="D9D9D9"/>
                        </w:tcBorders>
                        <w:shd w:val="clear" w:color="auto" w:fill="BEBEBE"/>
                      </w:tcPr>
                      <w:p>
                        <w:pPr/>
                      </w:p>
                    </w:tc>
                    <w:tc>
                      <w:tcPr>
                        <w:tcW w:w="497" w:type="dxa"/>
                        <w:vMerge w:val="restart"/>
                        <w:tcBorders>
                          <w:top w:val="single" w:sz="4" w:space="0" w:color="858585"/>
                        </w:tcBorders>
                      </w:tcPr>
                      <w:p>
                        <w:pPr/>
                      </w:p>
                    </w:tc>
                    <w:tc>
                      <w:tcPr>
                        <w:tcW w:w="333" w:type="dxa"/>
                        <w:shd w:val="clear" w:color="auto" w:fill="D9D9D9"/>
                      </w:tcPr>
                      <w:p>
                        <w:pPr/>
                      </w:p>
                    </w:tc>
                    <w:tc>
                      <w:tcPr>
                        <w:tcW w:w="249" w:type="dxa"/>
                        <w:vMerge w:val="restart"/>
                        <w:tcBorders>
                          <w:top w:val="single" w:sz="4" w:space="0" w:color="858585"/>
                        </w:tcBorders>
                      </w:tcPr>
                      <w:p>
                        <w:pPr/>
                      </w:p>
                    </w:tc>
                  </w:tr>
                  <w:tr>
                    <w:trPr>
                      <w:trHeight w:val="95" w:hRule="exact"/>
                    </w:trPr>
                    <w:tc>
                      <w:tcPr>
                        <w:tcW w:w="248" w:type="dxa"/>
                        <w:vMerge/>
                        <w:tcBorders>
                          <w:left w:val="single" w:sz="4" w:space="0" w:color="858585"/>
                          <w:bottom w:val="single" w:sz="4" w:space="0" w:color="858585"/>
                        </w:tcBorders>
                      </w:tcPr>
                      <w:p>
                        <w:pPr/>
                      </w:p>
                    </w:tc>
                    <w:tc>
                      <w:tcPr>
                        <w:tcW w:w="333" w:type="dxa"/>
                        <w:vMerge w:val="restart"/>
                        <w:shd w:val="clear" w:color="auto" w:fill="BEBEBE"/>
                      </w:tcPr>
                      <w:p>
                        <w:pPr/>
                      </w:p>
                    </w:tc>
                    <w:tc>
                      <w:tcPr>
                        <w:tcW w:w="497" w:type="dxa"/>
                        <w:vMerge/>
                        <w:tcBorders>
                          <w:bottom w:val="single" w:sz="4" w:space="0" w:color="858585"/>
                        </w:tcBorders>
                      </w:tcPr>
                      <w:p>
                        <w:pPr/>
                      </w:p>
                    </w:tc>
                    <w:tc>
                      <w:tcPr>
                        <w:tcW w:w="333" w:type="dxa"/>
                        <w:vMerge/>
                        <w:shd w:val="clear" w:color="auto" w:fill="BEBEBE"/>
                      </w:tcPr>
                      <w:p>
                        <w:pPr/>
                      </w:p>
                    </w:tc>
                    <w:tc>
                      <w:tcPr>
                        <w:tcW w:w="497" w:type="dxa"/>
                        <w:vMerge/>
                        <w:tcBorders>
                          <w:bottom w:val="single" w:sz="4" w:space="0" w:color="858585"/>
                        </w:tcBorders>
                      </w:tcPr>
                      <w:p>
                        <w:pPr/>
                      </w:p>
                    </w:tc>
                    <w:tc>
                      <w:tcPr>
                        <w:tcW w:w="333" w:type="dxa"/>
                        <w:vMerge/>
                        <w:shd w:val="clear" w:color="auto" w:fill="BEBEBE"/>
                      </w:tcPr>
                      <w:p>
                        <w:pPr/>
                      </w:p>
                    </w:tc>
                    <w:tc>
                      <w:tcPr>
                        <w:tcW w:w="497" w:type="dxa"/>
                        <w:vMerge/>
                        <w:tcBorders>
                          <w:bottom w:val="single" w:sz="4" w:space="0" w:color="858585"/>
                        </w:tcBorders>
                      </w:tcPr>
                      <w:p>
                        <w:pPr/>
                      </w:p>
                    </w:tc>
                    <w:tc>
                      <w:tcPr>
                        <w:tcW w:w="333" w:type="dxa"/>
                        <w:vMerge w:val="restart"/>
                        <w:shd w:val="clear" w:color="auto" w:fill="BEBEBE"/>
                      </w:tcPr>
                      <w:p>
                        <w:pPr/>
                      </w:p>
                    </w:tc>
                    <w:tc>
                      <w:tcPr>
                        <w:tcW w:w="249" w:type="dxa"/>
                        <w:vMerge/>
                        <w:tcBorders>
                          <w:bottom w:val="single" w:sz="4" w:space="0" w:color="858585"/>
                        </w:tcBorders>
                      </w:tcPr>
                      <w:p>
                        <w:pPr/>
                      </w:p>
                    </w:tc>
                  </w:tr>
                  <w:tr>
                    <w:trPr>
                      <w:trHeight w:val="304" w:hRule="exact"/>
                    </w:trPr>
                    <w:tc>
                      <w:tcPr>
                        <w:tcW w:w="248" w:type="dxa"/>
                        <w:tcBorders>
                          <w:top w:val="single" w:sz="4" w:space="0" w:color="858585"/>
                          <w:left w:val="single" w:sz="4" w:space="0" w:color="858585"/>
                          <w:bottom w:val="single" w:sz="4" w:space="0" w:color="858585"/>
                        </w:tcBorders>
                      </w:tcPr>
                      <w:p>
                        <w:pPr/>
                      </w:p>
                    </w:tc>
                    <w:tc>
                      <w:tcPr>
                        <w:tcW w:w="333" w:type="dxa"/>
                        <w:vMerge/>
                        <w:shd w:val="clear" w:color="auto" w:fill="BEBEBE"/>
                      </w:tcPr>
                      <w:p>
                        <w:pPr/>
                      </w:p>
                    </w:tc>
                    <w:tc>
                      <w:tcPr>
                        <w:tcW w:w="497" w:type="dxa"/>
                        <w:tcBorders>
                          <w:top w:val="single" w:sz="4" w:space="0" w:color="858585"/>
                          <w:bottom w:val="single" w:sz="4" w:space="0" w:color="858585"/>
                        </w:tcBorders>
                      </w:tcPr>
                      <w:p>
                        <w:pPr/>
                      </w:p>
                    </w:tc>
                    <w:tc>
                      <w:tcPr>
                        <w:tcW w:w="333" w:type="dxa"/>
                        <w:vMerge/>
                        <w:shd w:val="clear" w:color="auto" w:fill="BEBEBE"/>
                      </w:tcPr>
                      <w:p>
                        <w:pPr/>
                      </w:p>
                    </w:tc>
                    <w:tc>
                      <w:tcPr>
                        <w:tcW w:w="497" w:type="dxa"/>
                        <w:tcBorders>
                          <w:top w:val="single" w:sz="4" w:space="0" w:color="858585"/>
                          <w:bottom w:val="single" w:sz="4" w:space="0" w:color="858585"/>
                        </w:tcBorders>
                      </w:tcPr>
                      <w:p>
                        <w:pPr/>
                      </w:p>
                    </w:tc>
                    <w:tc>
                      <w:tcPr>
                        <w:tcW w:w="333" w:type="dxa"/>
                        <w:vMerge/>
                        <w:shd w:val="clear" w:color="auto" w:fill="BEBEBE"/>
                      </w:tcPr>
                      <w:p>
                        <w:pPr/>
                      </w:p>
                    </w:tc>
                    <w:tc>
                      <w:tcPr>
                        <w:tcW w:w="497" w:type="dxa"/>
                        <w:tcBorders>
                          <w:top w:val="single" w:sz="4" w:space="0" w:color="858585"/>
                          <w:bottom w:val="single" w:sz="4" w:space="0" w:color="858585"/>
                        </w:tcBorders>
                      </w:tcPr>
                      <w:p>
                        <w:pPr/>
                      </w:p>
                    </w:tc>
                    <w:tc>
                      <w:tcPr>
                        <w:tcW w:w="333" w:type="dxa"/>
                        <w:vMerge/>
                        <w:shd w:val="clear" w:color="auto" w:fill="BEBEBE"/>
                      </w:tcPr>
                      <w:p>
                        <w:pPr/>
                      </w:p>
                    </w:tc>
                    <w:tc>
                      <w:tcPr>
                        <w:tcW w:w="249" w:type="dxa"/>
                        <w:tcBorders>
                          <w:top w:val="single" w:sz="4" w:space="0" w:color="858585"/>
                          <w:bottom w:val="single" w:sz="4" w:space="0" w:color="858585"/>
                        </w:tcBorders>
                      </w:tcPr>
                      <w:p>
                        <w:pPr/>
                      </w:p>
                    </w:tc>
                  </w:tr>
                  <w:tr>
                    <w:trPr>
                      <w:trHeight w:val="304" w:hRule="exact"/>
                    </w:trPr>
                    <w:tc>
                      <w:tcPr>
                        <w:tcW w:w="248" w:type="dxa"/>
                        <w:tcBorders>
                          <w:top w:val="single" w:sz="4" w:space="0" w:color="858585"/>
                          <w:left w:val="single" w:sz="4" w:space="0" w:color="858585"/>
                          <w:bottom w:val="single" w:sz="4" w:space="0" w:color="858585"/>
                        </w:tcBorders>
                      </w:tcPr>
                      <w:p>
                        <w:pPr/>
                      </w:p>
                    </w:tc>
                    <w:tc>
                      <w:tcPr>
                        <w:tcW w:w="333" w:type="dxa"/>
                        <w:vMerge/>
                        <w:shd w:val="clear" w:color="auto" w:fill="BEBEBE"/>
                      </w:tcPr>
                      <w:p>
                        <w:pPr/>
                      </w:p>
                    </w:tc>
                    <w:tc>
                      <w:tcPr>
                        <w:tcW w:w="497" w:type="dxa"/>
                        <w:tcBorders>
                          <w:top w:val="single" w:sz="4" w:space="0" w:color="858585"/>
                          <w:bottom w:val="single" w:sz="4" w:space="0" w:color="858585"/>
                        </w:tcBorders>
                      </w:tcPr>
                      <w:p>
                        <w:pPr/>
                      </w:p>
                    </w:tc>
                    <w:tc>
                      <w:tcPr>
                        <w:tcW w:w="333" w:type="dxa"/>
                        <w:vMerge/>
                        <w:shd w:val="clear" w:color="auto" w:fill="BEBEBE"/>
                      </w:tcPr>
                      <w:p>
                        <w:pPr/>
                      </w:p>
                    </w:tc>
                    <w:tc>
                      <w:tcPr>
                        <w:tcW w:w="497" w:type="dxa"/>
                        <w:tcBorders>
                          <w:top w:val="single" w:sz="4" w:space="0" w:color="858585"/>
                          <w:bottom w:val="single" w:sz="4" w:space="0" w:color="858585"/>
                        </w:tcBorders>
                      </w:tcPr>
                      <w:p>
                        <w:pPr/>
                      </w:p>
                    </w:tc>
                    <w:tc>
                      <w:tcPr>
                        <w:tcW w:w="333" w:type="dxa"/>
                        <w:vMerge/>
                        <w:shd w:val="clear" w:color="auto" w:fill="BEBEBE"/>
                      </w:tcPr>
                      <w:p>
                        <w:pPr/>
                      </w:p>
                    </w:tc>
                    <w:tc>
                      <w:tcPr>
                        <w:tcW w:w="497" w:type="dxa"/>
                        <w:tcBorders>
                          <w:top w:val="single" w:sz="4" w:space="0" w:color="858585"/>
                          <w:bottom w:val="single" w:sz="4" w:space="0" w:color="858585"/>
                        </w:tcBorders>
                      </w:tcPr>
                      <w:p>
                        <w:pPr/>
                      </w:p>
                    </w:tc>
                    <w:tc>
                      <w:tcPr>
                        <w:tcW w:w="333" w:type="dxa"/>
                        <w:vMerge/>
                        <w:shd w:val="clear" w:color="auto" w:fill="BEBEBE"/>
                      </w:tcPr>
                      <w:p>
                        <w:pPr/>
                      </w:p>
                    </w:tc>
                    <w:tc>
                      <w:tcPr>
                        <w:tcW w:w="249" w:type="dxa"/>
                        <w:tcBorders>
                          <w:top w:val="single" w:sz="4" w:space="0" w:color="858585"/>
                          <w:bottom w:val="single" w:sz="4" w:space="0" w:color="858585"/>
                        </w:tcBorders>
                      </w:tcPr>
                      <w:p>
                        <w:pPr/>
                      </w:p>
                    </w:tc>
                  </w:tr>
                  <w:tr>
                    <w:trPr>
                      <w:trHeight w:val="126" w:hRule="exact"/>
                    </w:trPr>
                    <w:tc>
                      <w:tcPr>
                        <w:tcW w:w="248" w:type="dxa"/>
                        <w:vMerge w:val="restart"/>
                        <w:tcBorders>
                          <w:top w:val="single" w:sz="4" w:space="0" w:color="858585"/>
                          <w:left w:val="single" w:sz="4" w:space="0" w:color="858585"/>
                        </w:tcBorders>
                      </w:tcPr>
                      <w:p>
                        <w:pPr/>
                      </w:p>
                    </w:tc>
                    <w:tc>
                      <w:tcPr>
                        <w:tcW w:w="333" w:type="dxa"/>
                        <w:vMerge/>
                        <w:shd w:val="clear" w:color="auto" w:fill="BEBEBE"/>
                      </w:tcPr>
                      <w:p>
                        <w:pPr/>
                      </w:p>
                    </w:tc>
                    <w:tc>
                      <w:tcPr>
                        <w:tcW w:w="497" w:type="dxa"/>
                        <w:vMerge w:val="restart"/>
                        <w:tcBorders>
                          <w:top w:val="single" w:sz="4" w:space="0" w:color="858585"/>
                        </w:tcBorders>
                      </w:tcPr>
                      <w:p>
                        <w:pPr/>
                      </w:p>
                    </w:tc>
                    <w:tc>
                      <w:tcPr>
                        <w:tcW w:w="333" w:type="dxa"/>
                        <w:vMerge/>
                        <w:shd w:val="clear" w:color="auto" w:fill="BEBEBE"/>
                      </w:tcPr>
                      <w:p>
                        <w:pPr/>
                      </w:p>
                    </w:tc>
                    <w:tc>
                      <w:tcPr>
                        <w:tcW w:w="497" w:type="dxa"/>
                        <w:vMerge w:val="restart"/>
                        <w:tcBorders>
                          <w:top w:val="single" w:sz="4" w:space="0" w:color="858585"/>
                        </w:tcBorders>
                      </w:tcPr>
                      <w:p>
                        <w:pPr/>
                      </w:p>
                    </w:tc>
                    <w:tc>
                      <w:tcPr>
                        <w:tcW w:w="333" w:type="dxa"/>
                        <w:vMerge/>
                        <w:shd w:val="clear" w:color="auto" w:fill="BEBEBE"/>
                      </w:tcPr>
                      <w:p>
                        <w:pPr/>
                      </w:p>
                    </w:tc>
                    <w:tc>
                      <w:tcPr>
                        <w:tcW w:w="497" w:type="dxa"/>
                        <w:vMerge w:val="restart"/>
                        <w:tcBorders>
                          <w:top w:val="single" w:sz="4" w:space="0" w:color="858585"/>
                        </w:tcBorders>
                      </w:tcPr>
                      <w:p>
                        <w:pPr/>
                      </w:p>
                    </w:tc>
                    <w:tc>
                      <w:tcPr>
                        <w:tcW w:w="333" w:type="dxa"/>
                        <w:vMerge/>
                        <w:shd w:val="clear" w:color="auto" w:fill="BEBEBE"/>
                      </w:tcPr>
                      <w:p>
                        <w:pPr/>
                      </w:p>
                    </w:tc>
                    <w:tc>
                      <w:tcPr>
                        <w:tcW w:w="249" w:type="dxa"/>
                        <w:vMerge w:val="restart"/>
                        <w:tcBorders>
                          <w:top w:val="single" w:sz="4" w:space="0" w:color="858585"/>
                        </w:tcBorders>
                      </w:tcPr>
                      <w:p>
                        <w:pPr/>
                      </w:p>
                    </w:tc>
                  </w:tr>
                  <w:tr>
                    <w:trPr>
                      <w:trHeight w:val="165" w:hRule="exact"/>
                    </w:trPr>
                    <w:tc>
                      <w:tcPr>
                        <w:tcW w:w="248" w:type="dxa"/>
                        <w:vMerge/>
                        <w:tcBorders>
                          <w:left w:val="single" w:sz="4" w:space="0" w:color="858585"/>
                          <w:bottom w:val="single" w:sz="4" w:space="0" w:color="858585"/>
                        </w:tcBorders>
                      </w:tcPr>
                      <w:p>
                        <w:pPr/>
                      </w:p>
                    </w:tc>
                    <w:tc>
                      <w:tcPr>
                        <w:tcW w:w="333" w:type="dxa"/>
                        <w:vMerge w:val="restart"/>
                        <w:shd w:val="clear" w:color="auto" w:fill="A6A6A6"/>
                      </w:tcPr>
                      <w:p>
                        <w:pPr/>
                      </w:p>
                    </w:tc>
                    <w:tc>
                      <w:tcPr>
                        <w:tcW w:w="497" w:type="dxa"/>
                        <w:vMerge/>
                        <w:tcBorders>
                          <w:bottom w:val="single" w:sz="4" w:space="0" w:color="858585"/>
                        </w:tcBorders>
                      </w:tcPr>
                      <w:p>
                        <w:pPr/>
                      </w:p>
                    </w:tc>
                    <w:tc>
                      <w:tcPr>
                        <w:tcW w:w="333" w:type="dxa"/>
                        <w:vMerge/>
                        <w:shd w:val="clear" w:color="auto" w:fill="BEBEBE"/>
                      </w:tcPr>
                      <w:p>
                        <w:pPr/>
                      </w:p>
                    </w:tc>
                    <w:tc>
                      <w:tcPr>
                        <w:tcW w:w="497" w:type="dxa"/>
                        <w:vMerge/>
                        <w:tcBorders>
                          <w:bottom w:val="single" w:sz="4" w:space="0" w:color="858585"/>
                        </w:tcBorders>
                      </w:tcPr>
                      <w:p>
                        <w:pPr/>
                      </w:p>
                    </w:tc>
                    <w:tc>
                      <w:tcPr>
                        <w:tcW w:w="333" w:type="dxa"/>
                        <w:vMerge/>
                        <w:shd w:val="clear" w:color="auto" w:fill="BEBEBE"/>
                      </w:tcPr>
                      <w:p>
                        <w:pPr/>
                      </w:p>
                    </w:tc>
                    <w:tc>
                      <w:tcPr>
                        <w:tcW w:w="497" w:type="dxa"/>
                        <w:vMerge/>
                        <w:tcBorders>
                          <w:bottom w:val="single" w:sz="4" w:space="0" w:color="858585"/>
                        </w:tcBorders>
                      </w:tcPr>
                      <w:p>
                        <w:pPr/>
                      </w:p>
                    </w:tc>
                    <w:tc>
                      <w:tcPr>
                        <w:tcW w:w="333" w:type="dxa"/>
                        <w:vMerge w:val="restart"/>
                        <w:shd w:val="clear" w:color="auto" w:fill="A6A6A6"/>
                      </w:tcPr>
                      <w:p>
                        <w:pPr/>
                      </w:p>
                    </w:tc>
                    <w:tc>
                      <w:tcPr>
                        <w:tcW w:w="249" w:type="dxa"/>
                        <w:vMerge/>
                        <w:tcBorders>
                          <w:bottom w:val="single" w:sz="4" w:space="0" w:color="858585"/>
                        </w:tcBorders>
                      </w:tcPr>
                      <w:p>
                        <w:pPr/>
                      </w:p>
                    </w:tc>
                  </w:tr>
                  <w:tr>
                    <w:trPr>
                      <w:trHeight w:val="310" w:hRule="exact"/>
                    </w:trPr>
                    <w:tc>
                      <w:tcPr>
                        <w:tcW w:w="248" w:type="dxa"/>
                        <w:tcBorders>
                          <w:top w:val="single" w:sz="4" w:space="0" w:color="858585"/>
                          <w:left w:val="single" w:sz="4" w:space="0" w:color="858585"/>
                          <w:bottom w:val="single" w:sz="4" w:space="0" w:color="858585"/>
                        </w:tcBorders>
                      </w:tcPr>
                      <w:p>
                        <w:pPr/>
                      </w:p>
                    </w:tc>
                    <w:tc>
                      <w:tcPr>
                        <w:tcW w:w="333" w:type="dxa"/>
                        <w:vMerge/>
                        <w:tcBorders>
                          <w:bottom w:val="single" w:sz="4" w:space="0" w:color="858585"/>
                        </w:tcBorders>
                        <w:shd w:val="clear" w:color="auto" w:fill="A6A6A6"/>
                      </w:tcPr>
                      <w:p>
                        <w:pPr/>
                      </w:p>
                    </w:tc>
                    <w:tc>
                      <w:tcPr>
                        <w:tcW w:w="497" w:type="dxa"/>
                        <w:tcBorders>
                          <w:top w:val="single" w:sz="4" w:space="0" w:color="858585"/>
                          <w:bottom w:val="single" w:sz="18" w:space="0" w:color="858585"/>
                        </w:tcBorders>
                      </w:tcPr>
                      <w:p>
                        <w:pPr/>
                      </w:p>
                    </w:tc>
                    <w:tc>
                      <w:tcPr>
                        <w:tcW w:w="333" w:type="dxa"/>
                        <w:tcBorders>
                          <w:bottom w:val="single" w:sz="4" w:space="0" w:color="858585"/>
                        </w:tcBorders>
                        <w:shd w:val="clear" w:color="auto" w:fill="A6A6A6"/>
                      </w:tcPr>
                      <w:p>
                        <w:pPr/>
                      </w:p>
                    </w:tc>
                    <w:tc>
                      <w:tcPr>
                        <w:tcW w:w="497" w:type="dxa"/>
                        <w:tcBorders>
                          <w:top w:val="single" w:sz="4" w:space="0" w:color="858585"/>
                          <w:bottom w:val="single" w:sz="18" w:space="0" w:color="858585"/>
                        </w:tcBorders>
                      </w:tcPr>
                      <w:p>
                        <w:pPr/>
                      </w:p>
                    </w:tc>
                    <w:tc>
                      <w:tcPr>
                        <w:tcW w:w="333" w:type="dxa"/>
                        <w:tcBorders>
                          <w:bottom w:val="single" w:sz="4" w:space="0" w:color="858585"/>
                        </w:tcBorders>
                        <w:shd w:val="clear" w:color="auto" w:fill="A6A6A6"/>
                      </w:tcPr>
                      <w:p>
                        <w:pPr/>
                      </w:p>
                    </w:tc>
                    <w:tc>
                      <w:tcPr>
                        <w:tcW w:w="497" w:type="dxa"/>
                        <w:tcBorders>
                          <w:top w:val="single" w:sz="4" w:space="0" w:color="858585"/>
                          <w:bottom w:val="single" w:sz="18" w:space="0" w:color="858585"/>
                        </w:tcBorders>
                      </w:tcPr>
                      <w:p>
                        <w:pPr/>
                      </w:p>
                    </w:tc>
                    <w:tc>
                      <w:tcPr>
                        <w:tcW w:w="333" w:type="dxa"/>
                        <w:vMerge/>
                        <w:tcBorders>
                          <w:bottom w:val="single" w:sz="4" w:space="0" w:color="858585"/>
                        </w:tcBorders>
                        <w:shd w:val="clear" w:color="auto" w:fill="A6A6A6"/>
                      </w:tcPr>
                      <w:p>
                        <w:pPr/>
                      </w:p>
                    </w:tc>
                    <w:tc>
                      <w:tcPr>
                        <w:tcW w:w="249" w:type="dxa"/>
                        <w:tcBorders>
                          <w:top w:val="single" w:sz="4" w:space="0" w:color="858585"/>
                          <w:bottom w:val="single" w:sz="4" w:space="0" w:color="858585"/>
                        </w:tcBorders>
                      </w:tcPr>
                      <w:p>
                        <w:pPr/>
                      </w:p>
                    </w:tc>
                  </w:tr>
                </w:tbl>
                <w:p>
                  <w:pPr>
                    <w:pStyle w:val="BodyText"/>
                  </w:pPr>
                </w:p>
              </w:txbxContent>
            </v:textbox>
            <w10:wrap type="topAndBottom"/>
          </v:shape>
        </w:pict>
      </w:r>
      <w:r>
        <w:rPr/>
        <w:pict>
          <v:group style="position:absolute;margin-left:309.936768pt;margin-top:8.677352pt;width:203.85pt;height:136.050pt;mso-position-horizontal-relative:page;mso-position-vertical-relative:paragraph;z-index:4264;mso-wrap-distance-left:0;mso-wrap-distance-right:0" coordorigin="6199,174" coordsize="4077,2721">
            <v:line style="position:absolute" from="9498,2251" to="9719,2251" stroked="true" strokeweight=".477662pt" strokecolor="#858585"/>
            <v:line style="position:absolute" from="8762,2251" to="9203,2251" stroked="true" strokeweight=".477662pt" strokecolor="#858585"/>
            <v:line style="position:absolute" from="8025,2251" to="8468,2251" stroked="true" strokeweight=".477662pt" strokecolor="#858585"/>
            <v:line style="position:absolute" from="7290,2251" to="7731,2251" stroked="true" strokeweight=".477662pt" strokecolor="#858585"/>
            <v:line style="position:absolute" from="6774,2251" to="6995,2251" stroked="true" strokeweight=".477662pt" strokecolor="#858585"/>
            <v:line style="position:absolute" from="7290,1969" to="7731,1969" stroked="true" strokeweight=".477662pt" strokecolor="#858585"/>
            <v:line style="position:absolute" from="6774,1969" to="6995,1969" stroked="true" strokeweight=".477662pt" strokecolor="#858585"/>
            <v:line style="position:absolute" from="7290,1685" to="7731,1685" stroked="true" strokeweight=".477662pt" strokecolor="#858585"/>
            <v:line style="position:absolute" from="6774,1685" to="6995,1685" stroked="true" strokeweight=".477662pt" strokecolor="#858585"/>
            <v:line style="position:absolute" from="7290,1402" to="7731,1402" stroked="true" strokeweight=".477662pt" strokecolor="#858585"/>
            <v:line style="position:absolute" from="6774,1402" to="6995,1402" stroked="true" strokeweight=".477662pt" strokecolor="#858585"/>
            <v:line style="position:absolute" from="7290,1120" to="7731,1120" stroked="true" strokeweight=".477662pt" strokecolor="#858585"/>
            <v:line style="position:absolute" from="6774,1120" to="6995,1120" stroked="true" strokeweight=".477662pt" strokecolor="#858585"/>
            <v:line style="position:absolute" from="7290,837" to="9719,837" stroked="true" strokeweight=".477662pt" strokecolor="#858585"/>
            <v:line style="position:absolute" from="6774,837" to="6995,837" stroked="true" strokeweight=".477662pt" strokecolor="#858585"/>
            <v:rect style="position:absolute;left:6995;top:654;width:295;height:1880" filled="true" fillcolor="#bebebe" stroked="false">
              <v:fill type="solid"/>
            </v:rect>
            <v:line style="position:absolute" from="8025,1969" to="8468,1969" stroked="true" strokeweight=".477662pt" strokecolor="#858585"/>
            <v:line style="position:absolute" from="8025,1685" to="8568,1685" stroked="true" strokeweight=".477662pt" strokecolor="#858585"/>
            <v:line style="position:absolute" from="8025,1402" to="9203,1402" stroked="true" strokeweight=".477662pt" strokecolor="#858585"/>
            <v:line style="position:absolute" from="8025,1120" to="9203,1120" stroked="true" strokeweight=".477662pt" strokecolor="#858585"/>
            <v:rect style="position:absolute;left:7731;top:880;width:295;height:1654" filled="true" fillcolor="#bebebe" stroked="false">
              <v:fill type="solid"/>
            </v:rect>
            <v:line style="position:absolute" from="8762,1969" to="9203,1969" stroked="true" strokeweight=".477662pt" strokecolor="#858585"/>
            <v:rect style="position:absolute;left:8468;top:1829;width:295;height:705" filled="true" fillcolor="#bebebe" stroked="false">
              <v:fill type="solid"/>
            </v:rect>
            <v:line style="position:absolute" from="9498,1969" to="9719,1969" stroked="true" strokeweight=".477662pt" strokecolor="#858585"/>
            <v:line style="position:absolute" from="9498,1685" to="9719,1685" stroked="true" strokeweight=".477662pt" strokecolor="#858585"/>
            <v:line style="position:absolute" from="8661,1685" to="9203,1685" stroked="true" strokeweight=".477662pt" strokecolor="#858585"/>
            <v:line style="position:absolute" from="9498,1402" to="9719,1402" stroked="true" strokeweight=".477662pt" strokecolor="#858585"/>
            <v:line style="position:absolute" from="9498,1120" to="9719,1120" stroked="true" strokeweight=".477662pt" strokecolor="#858585"/>
            <v:rect style="position:absolute;left:9203;top:822;width:295;height:1712" filled="true" fillcolor="#bebebe" stroked="false">
              <v:fill type="solid"/>
            </v:rect>
            <v:line style="position:absolute" from="7188,555" to="9719,555" stroked="true" strokeweight=".477662pt" strokecolor="#858585"/>
            <v:line style="position:absolute" from="9719,2534" to="9719,555" stroked="true" strokeweight=".477662pt" strokecolor="#858585"/>
            <v:line style="position:absolute" from="9719,2534" to="9759,2534" stroked="true" strokeweight=".477662pt" strokecolor="#858585"/>
            <v:line style="position:absolute" from="9719,2337" to="9759,2337" stroked="true" strokeweight=".477662pt" strokecolor="#858585"/>
            <v:line style="position:absolute" from="9719,2137" to="9759,2137" stroked="true" strokeweight=".477662pt" strokecolor="#858585"/>
            <v:line style="position:absolute" from="9719,1940" to="9759,1940" stroked="true" strokeweight=".477662pt" strokecolor="#858585"/>
            <v:line style="position:absolute" from="9719,1743" to="9759,1743" stroked="true" strokeweight=".477662pt" strokecolor="#858585"/>
            <v:line style="position:absolute" from="9719,1544" to="9759,1544" stroked="true" strokeweight=".477662pt" strokecolor="#858585"/>
            <v:line style="position:absolute" from="9719,1346" to="9759,1346" stroked="true" strokeweight=".477662pt" strokecolor="#858585"/>
            <v:line style="position:absolute" from="9719,1149" to="9759,1149" stroked="true" strokeweight=".477662pt" strokecolor="#858585"/>
            <v:line style="position:absolute" from="9719,950" to="9759,950" stroked="true" strokeweight=".477662pt" strokecolor="#858585"/>
            <v:line style="position:absolute" from="9719,752" to="9759,752" stroked="true" strokeweight=".477662pt" strokecolor="#858585"/>
            <v:line style="position:absolute" from="9719,555" to="9759,555" stroked="true" strokeweight=".477662pt" strokecolor="#858585"/>
            <v:line style="position:absolute" from="6774,555" to="7095,555" stroked="true" strokeweight=".477662pt" strokecolor="#858585"/>
            <v:line style="position:absolute" from="6774,2534" to="6774,555" stroked="true" strokeweight=".477662pt" strokecolor="#858585"/>
            <v:line style="position:absolute" from="6734,2534" to="6774,2534" stroked="true" strokeweight=".477662pt" strokecolor="#858585"/>
            <v:line style="position:absolute" from="6734,2251" to="6774,2251" stroked="true" strokeweight=".477662pt" strokecolor="#858585"/>
            <v:line style="position:absolute" from="6734,1969" to="6774,1969" stroked="true" strokeweight=".477662pt" strokecolor="#858585"/>
            <v:line style="position:absolute" from="6734,1685" to="6774,1685" stroked="true" strokeweight=".477662pt" strokecolor="#858585"/>
            <v:line style="position:absolute" from="6734,1402" to="6774,1402" stroked="true" strokeweight=".477662pt" strokecolor="#858585"/>
            <v:line style="position:absolute" from="6734,1120" to="6774,1120" stroked="true" strokeweight=".477662pt" strokecolor="#858585"/>
            <v:line style="position:absolute" from="6734,837" to="6774,837" stroked="true" strokeweight=".477662pt" strokecolor="#858585"/>
            <v:line style="position:absolute" from="6734,555" to="6774,555" stroked="true" strokeweight=".477662pt" strokecolor="#858585"/>
            <v:line style="position:absolute" from="6774,2534" to="9719,2534" stroked="true" strokeweight=".477662pt" strokecolor="#858585"/>
            <v:line style="position:absolute" from="6774,2534" to="6774,2574" stroked="true" strokeweight=".477662pt" strokecolor="#858585"/>
            <v:line style="position:absolute" from="7509,2534" to="7509,2574" stroked="true" strokeweight=".477662pt" strokecolor="#858585"/>
            <v:line style="position:absolute" from="8247,2534" to="8247,2574" stroked="true" strokeweight=".477662pt" strokecolor="#858585"/>
            <v:line style="position:absolute" from="8982,2534" to="8982,2574" stroked="true" strokeweight=".477662pt" strokecolor="#858585"/>
            <v:line style="position:absolute" from="9719,2534" to="9719,2574" stroked="true" strokeweight=".477662pt" strokecolor="#858585"/>
            <v:shape style="position:absolute;left:7142;top:568;width:2210;height:1113" coordorigin="7142,568" coordsize="2210,1113" path="m7142,568l7879,889,8614,1681,9352,740e" filled="false" stroked="true" strokeweight="1.432987pt" strokecolor="#000000">
              <v:path arrowok="t"/>
            </v:shape>
            <v:line style="position:absolute" from="7142,520" to="7142,614" stroked="true" strokeweight="4.617403pt" strokecolor="#000000"/>
            <v:line style="position:absolute" from="7878,843" to="7878,935" stroked="true" strokeweight="4.697014pt" strokecolor="#000000"/>
            <v:line style="position:absolute" from="8614,1634" to="8614,1728" stroked="true" strokeweight="4.617403pt" strokecolor="#000000"/>
            <v:line style="position:absolute" from="9351,693" to="9351,786" stroked="true" strokeweight="4.697014pt" strokecolor="#000000"/>
            <v:shape style="position:absolute;left:7095;top:1399;width:114;height:392" type="#_x0000_t75" stroked="false">
              <v:imagedata r:id="rId174" o:title=""/>
            </v:shape>
            <v:shape style="position:absolute;left:7832;top:1511;width:114;height:394" type="#_x0000_t75" stroked="false">
              <v:imagedata r:id="rId175" o:title=""/>
            </v:shape>
            <v:shape style="position:absolute;left:8568;top:1986;width:114;height:383" type="#_x0000_t75" stroked="false">
              <v:imagedata r:id="rId176" o:title=""/>
            </v:shape>
            <v:shape style="position:absolute;left:9305;top:1483;width:114;height:392" type="#_x0000_t75" stroked="false">
              <v:imagedata r:id="rId177" o:title=""/>
            </v:shape>
            <v:shape style="position:absolute;left:7274;top:520;width:63;height:97" coordorigin="7274,520" coordsize="63,97" path="m7287,592l7276,593,7277,600,7280,606,7289,614,7295,616,7309,616,7316,614,7326,607,7326,607,7299,607,7295,606,7290,601,7288,597,7287,592xm7336,570l7325,570,7325,578,7324,582,7322,591,7320,595,7317,600,7315,603,7309,606,7306,607,7326,607,7330,601,7335,587,7336,578,7336,570xm7310,520l7295,520,7288,523,7277,534,7274,542,7274,561,7277,568,7288,580,7294,583,7307,583,7311,581,7319,577,7322,574,7323,572,7300,572,7295,570,7288,563,7286,558,7286,545,7288,540,7296,531,7300,529,7327,529,7326,528,7316,521,7310,520xm7327,529l7310,529,7315,531,7322,539,7323,544,7323,558,7322,563,7315,570,7310,572,7323,572,7325,570,7336,570,7336,554,7335,545,7330,533,7327,529xe" filled="true" fillcolor="#000000" stroked="false">
              <v:path arrowok="t"/>
              <v:fill type="solid"/>
            </v:shape>
            <v:shape style="position:absolute;left:7347;top:520;width:63;height:97" coordorigin="7347,520" coordsize="63,97" path="m7360,592l7349,593,7350,600,7353,606,7362,614,7368,616,7383,616,7389,614,7399,607,7399,607,7372,607,7368,606,7363,601,7361,597,7360,592xm7410,570l7398,570,7398,578,7397,582,7395,591,7394,595,7390,600,7388,603,7383,606,7380,607,7399,607,7403,601,7408,587,7410,578,7410,570xm7383,520l7369,520,7362,523,7350,534,7347,542,7347,561,7350,568,7361,580,7368,583,7380,583,7384,581,7392,577,7396,574,7397,572,7373,572,7368,570,7361,563,7359,558,7359,545,7361,540,7369,531,7373,529,7400,529,7399,528,7389,521,7383,520xm7400,529l7384,529,7388,531,7395,539,7397,544,7397,558,7395,563,7388,570,7384,572,7397,572,7398,570,7410,570,7410,554,7408,545,7403,533,7400,529xe" filled="true" fillcolor="#000000" stroked="false">
              <v:path arrowok="t"/>
              <v:fill type="solid"/>
            </v:shape>
            <v:shape style="position:absolute;left:7426;top:601;width:14;height:32" coordorigin="7426,601" coordsize="14,32" path="m7440,601l7427,601,7427,615,7433,615,7433,619,7433,622,7430,626,7429,627,7426,628,7429,633,7433,632,7436,629,7439,623,7440,620,7440,601xe" filled="true" fillcolor="#000000" stroked="false">
              <v:path arrowok="t"/>
              <v:fill type="solid"/>
            </v:shape>
            <v:shape style="position:absolute;left:7457;top:520;width:62;height:97" coordorigin="7457,520" coordsize="62,97" path="m7469,588l7457,590,7458,598,7461,604,7472,614,7479,616,7496,616,7504,613,7511,607,7483,607,7479,605,7472,599,7470,595,7469,588xm7512,569l7494,569,7498,570,7505,577,7507,582,7507,593,7505,597,7497,605,7493,607,7511,607,7516,602,7519,595,7519,581,7518,576,7512,569xm7509,529l7492,529,7495,531,7501,536,7503,540,7503,549,7501,553,7493,559,7488,560,7481,560,7480,570,7483,569,7486,569,7512,569,7511,567,7507,565,7501,563,7506,561,7508,560,7488,560,7481,560,7508,560,7509,559,7513,552,7514,548,7514,540,7513,536,7509,529xm7492,520l7479,520,7473,522,7463,530,7460,536,7458,544,7470,546,7471,541,7473,536,7479,531,7483,529,7509,529,7509,528,7505,525,7497,521,7492,520xe" filled="true" fillcolor="#000000" stroked="false">
              <v:path arrowok="t"/>
              <v:fill type="solid"/>
            </v:shape>
            <v:shape style="position:absolute;left:7530;top:521;width:63;height:95" coordorigin="7530,521" coordsize="63,95" path="m7543,589l7530,590,7531,598,7534,604,7545,614,7552,616,7571,616,7580,612,7584,607,7556,607,7552,605,7546,599,7543,595,7543,589xm7586,562l7567,562,7571,564,7579,572,7581,577,7581,591,7579,596,7571,605,7566,607,7584,607,7591,599,7593,591,7593,574,7590,566,7586,562xm7589,521l7542,521,7532,570,7543,571,7545,569,7547,566,7553,563,7557,562,7586,562,7582,558,7546,558,7551,532,7589,532,7589,521xm7572,552l7557,552,7551,554,7546,558,7582,558,7579,555,7572,552xe" filled="true" fillcolor="#000000" stroked="false">
              <v:path arrowok="t"/>
              <v:fill type="solid"/>
            </v:shape>
            <v:shape style="position:absolute;left:8010;top:842;width:318;height:114" type="#_x0000_t75" stroked="false">
              <v:imagedata r:id="rId178" o:title=""/>
            </v:shape>
            <v:shape style="position:absolute;left:8743;top:1634;width:322;height:114" type="#_x0000_t75" stroked="false">
              <v:imagedata r:id="rId179" o:title=""/>
            </v:shape>
            <v:shape style="position:absolute;left:9410;top:650;width:63;height:97" coordorigin="9410,650" coordsize="63,97" path="m9423,722l9412,723,9413,731,9416,736,9425,745,9431,747,9446,747,9452,745,9462,737,9462,737,9435,737,9431,736,9426,731,9424,727,9423,722xm9473,701l9461,701,9461,708,9461,712,9458,722,9457,725,9453,731,9451,733,9446,736,9443,737,9462,737,9466,732,9471,718,9473,708,9473,701xm9446,650l9432,650,9425,653,9413,665,9410,672,9410,691,9413,699,9424,710,9431,713,9443,713,9447,712,9456,707,9459,704,9460,703,9436,703,9431,701,9424,693,9422,688,9423,675,9424,670,9432,662,9436,660,9463,660,9462,658,9452,652,9446,650xm9463,660l9447,660,9451,662,9458,669,9460,675,9460,688,9458,693,9451,701,9447,703,9460,703,9461,701,9473,701,9473,684,9471,675,9466,663,9463,660xe" filled="true" fillcolor="#000000" stroked="false">
              <v:path arrowok="t"/>
              <v:fill type="solid"/>
            </v:shape>
            <v:shape style="position:absolute;left:9484;top:650;width:62;height:97" coordorigin="9484,650" coordsize="62,97" path="m9520,650l9508,650,9502,652,9493,659,9489,665,9485,678,9484,687,9484,716,9487,729,9498,743,9505,747,9521,747,9527,745,9536,737,9536,737,9509,737,9505,735,9497,724,9496,714,9496,683,9498,672,9502,666,9505,662,9509,660,9536,660,9535,658,9532,655,9524,651,9520,650xm9536,660l9520,660,9524,662,9532,672,9533,683,9533,714,9532,724,9524,735,9520,737,9536,737,9540,732,9544,718,9545,709,9545,689,9545,682,9542,670,9540,666,9536,660xe" filled="true" fillcolor="#000000" stroked="false">
              <v:path arrowok="t"/>
              <v:fill type="solid"/>
            </v:shape>
            <v:shape style="position:absolute;left:9562;top:732;width:14;height:32" coordorigin="9562,732" coordsize="14,32" path="m9576,732l9563,732,9563,745,9570,745,9570,749,9569,752,9567,756,9565,758,9562,759,9566,764,9569,762,9572,760,9576,754,9576,750,9576,732xe" filled="true" fillcolor="#000000" stroked="false">
              <v:path arrowok="t"/>
              <v:fill type="solid"/>
            </v:shape>
            <v:shape style="position:absolute;left:9593;top:650;width:63;height:97" coordorigin="9593,650" coordsize="63,97" path="m9634,650l9617,650,9609,654,9603,661,9599,668,9595,677,9594,688,9593,701,9593,717,9596,729,9608,743,9616,747,9631,747,9637,745,9645,740,9648,737,9622,737,9619,736,9613,732,9611,730,9607,722,9606,718,9606,708,9608,703,9615,696,9604,696,9605,687,9606,679,9610,669,9613,665,9619,661,9622,660,9649,660,9640,652,9634,650xm9649,694l9630,694,9635,696,9642,703,9643,708,9643,722,9642,727,9635,735,9630,737,9648,737,9649,736,9654,726,9655,720,9655,705,9653,698,9649,694xm9635,684l9623,684,9619,685,9611,689,9607,692,9604,696,9615,696,9615,696,9620,694,9649,694,9642,687,9635,684xm9649,660l9631,660,9635,661,9638,665,9640,667,9641,670,9642,675,9654,674,9653,666,9650,660,9649,660xe" filled="true" fillcolor="#000000" stroked="false">
              <v:path arrowok="t"/>
              <v:fill type="solid"/>
            </v:shape>
            <v:shape style="position:absolute;left:9663;top:650;width:66;height:95" coordorigin="9663,650" coordsize="66,95" path="m9716,722l9704,722,9704,745,9716,745,9716,722xm9716,650l9706,650,9663,712,9663,722,9728,722,9728,712,9674,712,9704,669,9716,669,9716,650xm9716,669l9704,669,9704,712,9716,712,9716,669xe" filled="true" fillcolor="#000000" stroked="false">
              <v:path arrowok="t"/>
              <v:fill type="solid"/>
            </v:shape>
            <v:shape style="position:absolute;left:9776;top:503;width:35;height:95" coordorigin="9776,503" coordsize="35,95" path="m9811,524l9800,524,9800,598,9811,598,9811,524xm9811,503l9804,503,9802,507,9798,511,9788,520,9783,524,9776,527,9776,538,9780,537,9784,535,9793,529,9797,527,9800,524,9811,524,9811,503xe" filled="true" fillcolor="#000000" stroked="false">
              <v:path arrowok="t"/>
              <v:fill type="solid"/>
            </v:shape>
            <v:shape style="position:absolute;left:9841;top:503;width:62;height:97" coordorigin="9841,503" coordsize="62,97" path="m9877,503l9865,503,9859,505,9850,512,9846,518,9842,531,9841,540,9841,569,9844,582,9855,596,9862,600,9878,600,9884,598,9893,590,9893,590,9866,590,9862,588,9854,577,9853,567,9853,536,9855,525,9859,519,9862,515,9866,513,9893,513,9892,511,9889,508,9881,504,9877,503xm9893,513l9877,513,9881,515,9889,526,9890,536,9890,567,9889,577,9881,588,9877,590,9893,590,9897,585,9901,571,9902,563,9902,542,9902,535,9899,524,9897,519,9893,513xe" filled="true" fillcolor="#000000" stroked="false">
              <v:path arrowok="t"/>
              <v:fill type="solid"/>
            </v:shape>
            <v:shape style="position:absolute;left:9914;top:503;width:62;height:97" coordorigin="9914,503" coordsize="62,97" path="m9950,503l9938,503,9932,505,9923,512,9920,518,9915,531,9914,540,9914,569,9917,582,9928,596,9936,600,9952,600,9957,598,9966,590,9967,590,9939,590,9935,588,9928,577,9926,567,9926,536,9928,525,9932,519,9935,515,9939,513,9966,513,9965,511,9962,508,9954,504,9950,503xm9966,513l9950,513,9955,515,9962,526,9964,536,9964,567,9962,577,9954,588,9950,590,9967,590,9970,585,9974,571,9976,563,9976,542,9975,535,9972,524,9970,519,9966,513xe" filled="true" fillcolor="#000000" stroked="false">
              <v:path arrowok="t"/>
              <v:fill type="solid"/>
            </v:shape>
            <v:shape style="position:absolute;left:7071;top:2644;width:71;height:95" coordorigin="7071,2644" coordsize="71,95" path="m7140,2644l7071,2644,7071,2739,7142,2739,7142,2728,7084,2728,7084,2695,7136,2695,7136,2684,7084,2684,7084,2655,7140,2655,7140,2644xe" filled="true" fillcolor="#000000" stroked="false">
              <v:path arrowok="t"/>
              <v:fill type="solid"/>
            </v:shape>
            <v:shape style="position:absolute;left:7163;top:2644;width:35;height:95" coordorigin="7163,2644" coordsize="35,95" path="m7198,2665l7186,2665,7186,2739,7198,2739,7198,2665xm7198,2644l7190,2644,7188,2648,7185,2652,7175,2661,7169,2664,7163,2667,7163,2679,7167,2677,7171,2675,7180,2670,7183,2667,7186,2665,7198,2665,7198,2644xe" filled="true" fillcolor="#000000" stroked="false">
              <v:path arrowok="t"/>
              <v:fill type="solid"/>
            </v:shape>
            <v:shape style="position:absolute;left:7808;top:2644;width:71;height:95" coordorigin="7808,2644" coordsize="71,95" path="m7876,2644l7808,2644,7808,2739,7879,2739,7879,2728,7821,2728,7821,2695,7873,2695,7873,2684,7821,2684,7821,2655,7876,2655,7876,2644xe" filled="true" fillcolor="#000000" stroked="false">
              <v:path arrowok="t"/>
              <v:fill type="solid"/>
            </v:shape>
            <v:shape style="position:absolute;left:7889;top:2644;width:63;height:95" coordorigin="7889,2644" coordsize="63,95" path="m7946,2653l7927,2653,7931,2655,7938,2661,7940,2665,7940,2674,7938,2679,7931,2689,7924,2695,7907,2709,7902,2714,7895,2722,7892,2726,7890,2731,7889,2733,7889,2736,7889,2739,7952,2739,7952,2728,7905,2728,7907,2725,7908,2723,7912,2719,7917,2715,7932,2702,7938,2697,7945,2689,7948,2685,7951,2677,7951,2674,7952,2663,7949,2656,7946,2653xm7931,2644l7913,2644,7906,2646,7895,2655,7892,2662,7891,2671,7903,2672,7903,2666,7905,2662,7912,2655,7916,2653,7946,2653,7938,2646,7931,2644xe" filled="true" fillcolor="#000000" stroked="false">
              <v:path arrowok="t"/>
              <v:fill type="solid"/>
            </v:shape>
            <v:shape style="position:absolute;left:8545;top:2644;width:71;height:95" coordorigin="8545,2644" coordsize="71,95" path="m8613,2644l8545,2644,8545,2739,8615,2739,8615,2728,8557,2728,8557,2695,8609,2695,8609,2684,8557,2684,8557,2655,8613,2655,8613,2644xe" filled="true" fillcolor="#000000" stroked="false">
              <v:path arrowok="t"/>
              <v:fill type="solid"/>
            </v:shape>
            <v:shape style="position:absolute;left:8627;top:2644;width:62;height:97" coordorigin="8627,2644" coordsize="62,97" path="m8639,2712l8627,2714,8628,2722,8631,2728,8642,2738,8649,2740,8666,2740,8674,2737,8681,2731,8653,2731,8649,2729,8642,2723,8640,2719,8639,2712xm8682,2693l8664,2693,8668,2694,8675,2701,8677,2706,8677,2717,8675,2721,8667,2729,8663,2731,8681,2731,8686,2726,8689,2719,8689,2705,8688,2700,8682,2693xm8679,2653l8662,2653,8665,2655,8671,2660,8673,2664,8673,2673,8671,2677,8663,2683,8658,2684,8651,2684,8650,2694,8653,2693,8656,2693,8682,2693,8681,2691,8677,2689,8671,2687,8676,2685,8678,2684,8658,2684,8651,2684,8678,2684,8679,2683,8683,2676,8684,2672,8684,2664,8683,2660,8679,2653xm8662,2644l8649,2644,8643,2646,8633,2654,8630,2660,8628,2668,8640,2670,8641,2665,8643,2660,8649,2655,8653,2653,8679,2653,8679,2652,8675,2649,8667,2645,8662,2644xe" filled="true" fillcolor="#000000" stroked="false">
              <v:path arrowok="t"/>
              <v:fill type="solid"/>
            </v:shape>
            <v:shape style="position:absolute;left:9079;top:2644;width:73;height:95" coordorigin="9079,2644" coordsize="73,95" path="m9121,2644l9079,2644,9079,2739,9091,2739,9091,2700,9129,2700,9138,2697,9146,2689,9091,2689,9091,2655,9146,2655,9146,2655,9143,2652,9137,2647,9133,2646,9129,2645,9125,2644,9121,2644xm9146,2655l9121,2655,9125,2656,9127,2656,9130,2657,9133,2659,9137,2664,9138,2668,9138,2677,9136,2682,9129,2688,9124,2689,9146,2689,9148,2686,9151,2679,9151,2667,9150,2662,9146,2655xe" filled="true" fillcolor="#000000" stroked="false">
              <v:path arrowok="t"/>
              <v:fill type="solid"/>
            </v:shape>
            <v:shape style="position:absolute;left:9165;top:2669;width:38;height:71" coordorigin="9165,2669" coordsize="38,71" path="m9175,2670l9165,2670,9165,2739,9176,2739,9176,2698,9177,2693,9179,2687,9180,2684,9184,2681,9187,2681,9199,2681,9199,2681,9175,2681,9175,2670xm9199,2681l9192,2681,9195,2681,9198,2683,9199,2681xm9194,2669l9187,2669,9185,2669,9180,2672,9178,2676,9175,2681,9199,2681,9202,2672,9198,2670,9194,2669xe" filled="true" fillcolor="#000000" stroked="false">
              <v:path arrowok="t"/>
              <v:fill type="solid"/>
            </v:shape>
            <v:shape style="position:absolute;left:9205;top:2669;width:65;height:72" coordorigin="9205,2669" coordsize="65,72" path="m9246,2669l9228,2669,9221,2671,9208,2682,9205,2692,9205,2716,9208,2725,9220,2737,9227,2740,9243,2740,9248,2739,9259,2733,9261,2731,9231,2731,9226,2728,9219,2720,9217,2713,9217,2696,9219,2689,9226,2680,9231,2678,9260,2678,9254,2672,9246,2669xm9260,2678l9243,2678,9247,2680,9255,2689,9257,2696,9257,2713,9255,2720,9247,2729,9243,2731,9261,2731,9262,2729,9268,2719,9269,2712,9269,2693,9266,2684,9260,2678xe" filled="true" fillcolor="#000000" stroked="false">
              <v:path arrowok="t"/>
              <v:fill type="solid"/>
            </v:shape>
            <v:shape style="position:absolute;left:9283;top:2669;width:93;height:71" coordorigin="9283,2669" coordsize="93,71" path="m9293,2670l9283,2670,9283,2739,9294,2739,9294,2697,9295,2692,9297,2685,9299,2683,9305,2680,9293,2680,9293,2670xm9332,2679l9315,2679,9319,2680,9322,2685,9323,2689,9323,2739,9335,2739,9335,2692,9337,2687,9343,2681,9333,2681,9332,2679xm9374,2679l9354,2679,9357,2679,9361,2682,9362,2683,9364,2688,9364,2691,9364,2739,9375,2739,9375,2683,9374,2679xm9361,2669l9346,2669,9339,2673,9333,2681,9343,2681,9343,2680,9347,2679,9374,2679,9374,2678,9366,2670,9361,2669xm9319,2669l9309,2669,9305,2670,9298,2674,9295,2676,9293,2680,9305,2680,9305,2680,9308,2679,9332,2679,9332,2677,9329,2674,9323,2670,9319,2669xe" filled="true" fillcolor="#000000" stroked="false">
              <v:path arrowok="t"/>
              <v:fill type="solid"/>
            </v:shape>
            <v:shape style="position:absolute;left:9391;top:2669;width:64;height:72" coordorigin="9391,2669" coordsize="64,72" path="m9433,2669l9414,2669,9406,2672,9394,2685,9391,2693,9391,2716,9394,2725,9406,2737,9414,2740,9432,2740,9439,2738,9449,2731,9418,2731,9414,2729,9406,2721,9404,2715,9403,2707,9455,2707,9455,2698,9404,2698,9404,2692,9406,2687,9414,2680,9418,2678,9446,2678,9440,2672,9433,2669xm9442,2717l9440,2722,9438,2725,9432,2730,9428,2731,9449,2731,9449,2731,9452,2725,9454,2718,9442,2717xm9446,2678l9429,2678,9434,2680,9440,2688,9442,2692,9442,2698,9455,2698,9455,2693,9452,2684,9446,2678xe" filled="true" fillcolor="#000000" stroked="false">
              <v:path arrowok="t"/>
              <v:fill type="solid"/>
            </v:shape>
            <v:shape style="position:absolute;left:9465;top:2644;width:60;height:97" coordorigin="9465,2644" coordsize="60,97" path="m9498,2669l9488,2669,9483,2670,9474,2676,9470,2680,9466,2691,9465,2698,9465,2711,9466,2718,9471,2729,9474,2733,9484,2739,9489,2740,9503,2740,9509,2737,9513,2731,9490,2731,9486,2729,9478,2720,9477,2713,9477,2695,9478,2689,9485,2680,9490,2678,9524,2678,9524,2678,9512,2678,9510,2675,9508,2673,9501,2669,9498,2669xm9524,2730l9513,2730,9513,2739,9524,2739,9524,2730xm9524,2678l9500,2678,9504,2680,9512,2689,9513,2696,9513,2714,9512,2720,9505,2729,9500,2731,9513,2731,9513,2730,9524,2730,9524,2678xm9524,2644l9512,2644,9512,2678,9524,2678,9524,2644xe" filled="true" fillcolor="#000000" stroked="false">
              <v:path arrowok="t"/>
              <v:fill type="solid"/>
            </v:shape>
            <v:shape style="position:absolute;left:9542;top:2644;width:12;height:95" coordorigin="9542,2644" coordsize="12,95" path="m9553,2644l9542,2644,9542,2657,9553,2657,9553,2644xm9553,2670l9542,2670,9542,2739,9553,2739,9553,2670xe" filled="true" fillcolor="#000000" stroked="false">
              <v:path arrowok="t"/>
              <v:fill type="solid"/>
            </v:shape>
            <v:shape style="position:absolute;left:9566;top:2669;width:65;height:72" coordorigin="9566,2669" coordsize="65,72" path="m9608,2669l9590,2669,9583,2671,9570,2682,9566,2692,9566,2716,9569,2725,9581,2737,9589,2740,9604,2740,9610,2739,9620,2733,9622,2731,9592,2731,9588,2728,9580,2720,9578,2713,9578,2696,9580,2689,9588,2680,9592,2678,9622,2678,9615,2672,9608,2669xm9622,2678l9604,2678,9609,2680,9616,2689,9618,2696,9618,2713,9616,2720,9609,2729,9604,2731,9622,2731,9624,2729,9629,2719,9630,2712,9630,2693,9627,2684,9622,2678xe" filled="true" fillcolor="#000000" stroked="false">
              <v:path arrowok="t"/>
              <v:fill type="solid"/>
            </v:shape>
            <v:shape style="position:absolute;left:8015;top:2747;width:469;height:96" type="#_x0000_t75" stroked="false">
              <v:imagedata r:id="rId180" o:title=""/>
            </v:shape>
            <v:shape style="position:absolute;left:7136;top:234;width:2176;height:294" type="#_x0000_t75" stroked="false">
              <v:imagedata r:id="rId181" o:title=""/>
            </v:shape>
            <v:shape style="position:absolute;left:9840;top:2483;width:62;height:97" coordorigin="9840,2483" coordsize="62,97" path="m9876,2483l9864,2483,9858,2485,9849,2493,9846,2498,9841,2511,9840,2520,9840,2549,9843,2562,9855,2577,9862,2580,9878,2580,9884,2578,9893,2571,9893,2570,9866,2570,9861,2568,9854,2557,9852,2547,9852,2516,9854,2505,9858,2500,9861,2495,9865,2493,9892,2493,9891,2491,9888,2488,9880,2484,9876,2483xm9892,2493l9876,2493,9881,2495,9888,2506,9890,2516,9890,2547,9888,2557,9881,2568,9876,2570,9893,2570,9896,2565,9901,2552,9902,2543,9902,2522,9901,2515,9898,2504,9896,2499,9892,2493xe" filled="true" fillcolor="#000000" stroked="false">
              <v:path arrowok="t"/>
              <v:fill type="solid"/>
            </v:shape>
            <v:shape style="position:absolute;left:9849;top:2285;width:35;height:95" coordorigin="9849,2285" coordsize="35,95" path="m9884,2306l9872,2306,9872,2380,9884,2380,9884,2306xm9884,2285l9876,2285,9874,2289,9871,2293,9861,2302,9856,2306,9849,2309,9849,2320,9853,2319,9857,2317,9866,2311,9869,2309,9872,2306,9884,2306,9884,2285xe" filled="true" fillcolor="#000000" stroked="false">
              <v:path arrowok="t"/>
              <v:fill type="solid"/>
            </v:shape>
            <v:shape style="position:absolute;left:9913;top:2285;width:62;height:97" coordorigin="9913,2285" coordsize="62,97" path="m9949,2285l9937,2285,9932,2287,9923,2294,9919,2300,9915,2313,9913,2322,9913,2351,9916,2364,9928,2379,9935,2382,9951,2382,9957,2380,9966,2372,9966,2372,9939,2372,9934,2370,9927,2359,9925,2349,9925,2318,9927,2307,9931,2302,9934,2297,9939,2295,9966,2295,9965,2293,9961,2290,9954,2286,9949,2285xm9966,2295l9949,2295,9954,2297,9961,2308,9963,2318,9963,2349,9961,2359,9954,2370,9950,2372,9966,2372,9969,2367,9974,2354,9975,2345,9975,2324,9974,2317,9971,2306,9970,2301,9966,2295xe" filled="true" fillcolor="#000000" stroked="false">
              <v:path arrowok="t"/>
              <v:fill type="solid"/>
            </v:shape>
            <v:shape style="position:absolute;left:9839;top:2087;width:63;height:95" coordorigin="9839,2087" coordsize="63,95" path="m9895,2097l9877,2097,9881,2098,9887,2105,9889,2108,9889,2117,9887,2122,9880,2132,9873,2139,9856,2153,9851,2157,9844,2166,9842,2170,9840,2174,9839,2177,9839,2179,9839,2182,9901,2182,9901,2171,9855,2171,9856,2169,9858,2167,9862,2163,9866,2159,9881,2146,9887,2140,9895,2132,9897,2128,9900,2121,9901,2117,9901,2106,9898,2100,9895,2097xm9881,2087l9863,2087,9855,2089,9845,2099,9842,2106,9841,2114,9853,2116,9853,2110,9855,2105,9861,2098,9866,2097,9895,2097,9888,2090,9881,2087xe" filled="true" fillcolor="#000000" stroked="false">
              <v:path arrowok="t"/>
              <v:fill type="solid"/>
            </v:shape>
            <v:shape style="position:absolute;left:9913;top:2087;width:62;height:97" coordorigin="9913,2087" coordsize="62,97" path="m9949,2087l9937,2087,9932,2089,9923,2096,9919,2102,9915,2115,9913,2124,9913,2153,9916,2166,9928,2180,9935,2184,9951,2184,9957,2182,9966,2174,9966,2174,9939,2174,9934,2172,9927,2161,9925,2151,9925,2120,9927,2109,9931,2103,9934,2099,9939,2097,9966,2097,9965,2095,9961,2092,9954,2088,9949,2087xm9966,2097l9949,2097,9954,2099,9961,2110,9963,2120,9963,2151,9961,2161,9954,2172,9950,2174,9966,2174,9969,2169,9974,2155,9975,2147,9975,2126,9974,2119,9971,2108,9970,2103,9966,2097xe" filled="true" fillcolor="#000000" stroked="false">
              <v:path arrowok="t"/>
              <v:fill type="solid"/>
            </v:shape>
            <v:shape style="position:absolute;left:9840;top:1889;width:62;height:97" coordorigin="9840,1889" coordsize="62,97" path="m9852,1958l9840,1959,9841,1967,9844,1974,9855,1984,9862,1986,9879,1986,9887,1983,9894,1976,9866,1976,9862,1975,9855,1969,9853,1964,9852,1958xm9895,1938l9877,1938,9881,1940,9888,1947,9890,1951,9890,1962,9888,1967,9880,1975,9876,1976,9894,1976,9899,1972,9902,1965,9902,1950,9901,1945,9895,1938xm9892,1899l9875,1899,9878,1900,9884,1906,9886,1909,9886,1919,9884,1923,9876,1928,9871,1930,9864,1930,9863,1940,9866,1939,9869,1938,9895,1938,9894,1937,9890,1934,9884,1933,9889,1931,9891,1930,9871,1930,9864,1929,9891,1929,9892,1928,9896,1922,9897,1918,9897,1909,9896,1906,9892,1899xm9875,1889l9862,1889,9856,1892,9846,1900,9843,1906,9841,1914,9853,1916,9854,1910,9856,1906,9862,1900,9866,1899,9892,1899,9892,1898,9888,1895,9880,1890,9875,1889xe" filled="true" fillcolor="#000000" stroked="false">
              <v:path arrowok="t"/>
              <v:fill type="solid"/>
            </v:shape>
            <v:shape style="position:absolute;left:9913;top:1889;width:62;height:97" coordorigin="9913,1889" coordsize="62,97" path="m9949,1889l9937,1889,9932,1891,9923,1899,9919,1904,9915,1918,9913,1927,9913,1955,9916,1968,9928,1983,9935,1986,9951,1986,9957,1984,9966,1977,9966,1976,9939,1976,9934,1974,9927,1964,9925,1953,9925,1922,9927,1912,9931,1906,9934,1901,9939,1899,9966,1899,9965,1897,9961,1894,9954,1890,9949,1889xm9966,1899l9949,1899,9954,1902,9961,1912,9963,1922,9963,1953,9961,1964,9954,1974,9950,1976,9966,1976,9969,1971,9974,1958,9975,1949,9975,1928,9974,1921,9971,1910,9970,1905,9966,1899xe" filled="true" fillcolor="#000000" stroked="false">
              <v:path arrowok="t"/>
              <v:fill type="solid"/>
            </v:shape>
            <v:shape style="position:absolute;left:9836;top:1692;width:66;height:95" coordorigin="9836,1692" coordsize="66,95" path="m9889,1764l9877,1764,9877,1786,9889,1786,9889,1764xm9889,1692l9879,1692,9836,1753,9836,1764,9902,1764,9902,1753,9848,1753,9877,1710,9889,1710,9889,1692xm9889,1710l9877,1710,9877,1753,9889,1753,9889,1710xe" filled="true" fillcolor="#000000" stroked="false">
              <v:path arrowok="t"/>
              <v:fill type="solid"/>
            </v:shape>
            <v:shape style="position:absolute;left:9913;top:1691;width:62;height:97" coordorigin="9913,1691" coordsize="62,97" path="m9949,1691l9937,1691,9932,1693,9923,1701,9919,1706,9915,1719,9913,1728,9913,1757,9916,1770,9928,1785,9935,1788,9951,1788,9957,1786,9966,1779,9966,1778,9939,1778,9934,1776,9927,1765,9925,1755,9925,1724,9927,1713,9931,1708,9934,1703,9939,1701,9966,1701,9965,1699,9961,1696,9954,1692,9949,1691xm9966,1701l9949,1701,9954,1703,9961,1714,9963,1724,9963,1755,9961,1765,9954,1776,9950,1778,9966,1778,9969,1773,9974,1760,9975,1751,9975,1730,9974,1723,9971,1712,9970,1707,9966,1701xe" filled="true" fillcolor="#000000" stroked="false">
              <v:path arrowok="t"/>
              <v:fill type="solid"/>
            </v:shape>
            <v:shape style="position:absolute;left:9840;top:1495;width:63;height:95" coordorigin="9840,1495" coordsize="63,95" path="m9852,1562l9840,1563,9841,1571,9844,1578,9855,1587,9862,1590,9881,1590,9889,1586,9894,1580,9866,1580,9862,1579,9855,1573,9853,1568,9852,1562xm9896,1536l9876,1536,9881,1538,9889,1545,9891,1551,9891,1564,9889,1570,9881,1578,9876,1580,9894,1580,9900,1572,9903,1565,9903,1547,9900,1540,9896,1536xm9898,1495l9851,1495,9842,1543,9853,1545,9855,1542,9857,1540,9863,1537,9867,1536,9896,1536,9892,1531,9856,1531,9861,1506,9898,1506,9898,1495xm9882,1525l9867,1525,9861,1527,9856,1531,9892,1531,9889,1528,9882,1525xe" filled="true" fillcolor="#000000" stroked="false">
              <v:path arrowok="t"/>
              <v:fill type="solid"/>
            </v:shape>
            <v:shape style="position:absolute;left:9913;top:1493;width:62;height:97" coordorigin="9913,1493" coordsize="62,97" path="m9949,1493l9937,1493,9932,1495,9923,1502,9919,1508,9915,1521,9913,1530,9913,1559,9916,1572,9928,1587,9935,1590,9951,1590,9957,1588,9966,1580,9966,1580,9939,1580,9934,1578,9927,1567,9925,1557,9925,1526,9927,1515,9931,1510,9934,1505,9939,1503,9966,1503,9965,1501,9961,1498,9954,1494,9949,1493xm9966,1503l9949,1503,9954,1505,9961,1516,9963,1526,9963,1557,9961,1567,9954,1578,9950,1580,9966,1580,9969,1575,9974,1562,9975,1553,9975,1532,9974,1525,9971,1514,9970,1509,9966,1503xe" filled="true" fillcolor="#000000" stroked="false">
              <v:path arrowok="t"/>
              <v:fill type="solid"/>
            </v:shape>
            <v:shape style="position:absolute;left:9840;top:1295;width:63;height:97" coordorigin="9840,1295" coordsize="63,97" path="m9881,1295l9864,1295,9856,1299,9850,1306,9845,1313,9842,1322,9840,1333,9840,1346,9840,1362,9843,1374,9855,1388,9863,1392,9878,1392,9883,1390,9892,1385,9895,1382,9869,1382,9866,1381,9860,1377,9857,1375,9854,1367,9853,1363,9853,1353,9855,1348,9862,1341,9851,1341,9851,1332,9852,1325,9857,1314,9859,1310,9866,1306,9869,1305,9896,1305,9887,1297,9881,1295xm9896,1339l9877,1339,9881,1341,9888,1348,9890,1353,9890,1367,9888,1372,9881,1380,9877,1382,9895,1382,9896,1381,9901,1371,9902,1365,9902,1350,9899,1343,9896,1339xm9882,1329l9870,1329,9865,1330,9857,1334,9854,1337,9851,1341,9862,1341,9862,1341,9867,1339,9896,1339,9888,1332,9882,1329xm9896,1305l9877,1305,9881,1306,9884,1310,9886,1312,9888,1315,9889,1320,9900,1319,9899,1311,9897,1306,9896,1305xe" filled="true" fillcolor="#000000" stroked="false">
              <v:path arrowok="t"/>
              <v:fill type="solid"/>
            </v:shape>
            <v:shape style="position:absolute;left:9913;top:1295;width:62;height:97" coordorigin="9913,1295" coordsize="62,97" path="m9949,1295l9937,1295,9932,1297,9923,1304,9919,1310,9915,1323,9913,1332,9913,1361,9916,1374,9928,1388,9935,1392,9951,1392,9957,1390,9966,1382,9966,1382,9939,1382,9934,1380,9927,1369,9925,1359,9925,1328,9927,1317,9931,1311,9934,1307,9939,1305,9966,1305,9965,1303,9961,1300,9954,1296,9949,1295xm9966,1305l9949,1305,9954,1307,9961,1318,9963,1328,9963,1359,9961,1369,9954,1380,9950,1382,9966,1382,9969,1377,9974,1363,9975,1355,9975,1334,9974,1327,9971,1316,9970,1311,9966,1305xe" filled="true" fillcolor="#000000" stroked="false">
              <v:path arrowok="t"/>
              <v:fill type="solid"/>
            </v:shape>
            <v:shape style="position:absolute;left:9841;top:1099;width:62;height:94" coordorigin="9841,1099" coordsize="62,94" path="m9902,1099l9841,1099,9841,1110,9887,1110,9881,1116,9856,1176,9854,1192,9866,1192,9867,1183,9868,1174,9871,1166,9874,1155,9878,1144,9890,1123,9896,1114,9902,1108,9902,1099xe" filled="true" fillcolor="#000000" stroked="false">
              <v:path arrowok="t"/>
              <v:fill type="solid"/>
            </v:shape>
            <v:shape style="position:absolute;left:9913;top:1097;width:62;height:97" coordorigin="9913,1097" coordsize="62,97" path="m9949,1097l9937,1097,9932,1099,9923,1106,9919,1112,9915,1125,9913,1134,9913,1163,9916,1176,9928,1190,9935,1194,9951,1194,9957,1192,9966,1184,9966,1184,9939,1184,9934,1181,9927,1171,9925,1161,9925,1130,9927,1119,9931,1113,9934,1109,9939,1107,9966,1107,9965,1105,9961,1102,9954,1098,9949,1097xm9966,1107l9949,1107,9954,1109,9961,1119,9963,1130,9963,1161,9961,1171,9954,1181,9950,1184,9966,1184,9969,1179,9974,1165,9975,1156,9975,1136,9974,1129,9971,1117,9970,1113,9966,1107xe" filled="true" fillcolor="#000000" stroked="false">
              <v:path arrowok="t"/>
              <v:fill type="solid"/>
            </v:shape>
            <v:shape style="position:absolute;left:9840;top:899;width:63;height:97" coordorigin="9840,899" coordsize="63,97" path="m9879,899l9863,899,9856,901,9846,911,9844,917,9844,928,9845,932,9850,938,9853,941,9858,943,9852,944,9848,947,9842,955,9840,961,9840,975,9843,982,9854,993,9862,996,9880,996,9888,993,9895,986,9868,986,9864,985,9858,982,9856,979,9853,973,9852,970,9852,961,9854,957,9861,950,9865,948,9895,948,9895,948,9890,945,9885,943,9889,941,9893,938,9893,938,9867,938,9863,937,9857,931,9856,928,9856,919,9857,916,9863,910,9867,909,9893,909,9886,901,9879,899xm9895,948l9876,948,9881,950,9889,957,9890,961,9890,973,9889,977,9881,984,9877,986,9895,986,9899,982,9902,975,9902,961,9901,956,9895,948xm9893,909l9875,909,9879,910,9885,916,9886,919,9886,928,9885,931,9879,937,9876,938,9893,938,9897,932,9898,928,9898,917,9896,911,9893,909xe" filled="true" fillcolor="#000000" stroked="false">
              <v:path arrowok="t"/>
              <v:fill type="solid"/>
            </v:shape>
            <v:shape style="position:absolute;left:9913;top:899;width:62;height:97" coordorigin="9913,899" coordsize="62,97" path="m9949,899l9937,899,9932,901,9923,908,9919,914,9915,927,9913,936,9913,965,9916,978,9928,992,9935,996,9951,996,9957,994,9966,986,9966,986,9939,986,9934,984,9927,973,9925,963,9925,932,9927,921,9931,915,9934,911,9939,909,9966,909,9965,907,9961,904,9954,900,9949,899xm9966,909l9949,909,9954,911,9961,921,9963,932,9963,963,9961,973,9954,984,9950,986,9966,986,9969,981,9974,967,9975,958,9975,938,9974,931,9971,919,9970,915,9966,909xe" filled="true" fillcolor="#000000" stroked="false">
              <v:path arrowok="t"/>
              <v:fill type="solid"/>
            </v:shape>
            <v:shape style="position:absolute;left:9840;top:701;width:63;height:97" coordorigin="9840,701" coordsize="63,97" path="m9853,773l9842,774,9843,781,9846,787,9855,795,9861,798,9875,798,9881,796,9892,788,9892,788,9865,788,9861,787,9856,782,9854,778,9853,773xm9902,751l9891,751,9891,759,9890,763,9888,773,9886,776,9883,782,9881,784,9875,787,9872,788,9892,788,9896,783,9901,768,9902,759,9902,751xm9876,701l9861,701,9854,704,9843,716,9840,723,9840,742,9843,750,9854,761,9860,764,9873,764,9877,763,9885,758,9888,755,9889,754,9866,754,9861,752,9854,744,9852,739,9852,726,9854,721,9862,713,9866,711,9893,711,9892,709,9882,703,9876,701xm9893,711l9876,711,9881,713,9888,720,9889,726,9889,739,9888,744,9881,752,9876,754,9889,754,9891,751,9902,751,9902,735,9901,726,9896,714,9893,711xe" filled="true" fillcolor="#000000" stroked="false">
              <v:path arrowok="t"/>
              <v:fill type="solid"/>
            </v:shape>
            <v:shape style="position:absolute;left:9913;top:701;width:62;height:97" coordorigin="9913,701" coordsize="62,97" path="m9949,701l9937,701,9932,703,9923,710,9919,715,9915,729,9913,738,9913,767,9916,780,9928,794,9935,798,9951,798,9957,796,9966,788,9966,788,9939,788,9934,785,9927,775,9925,765,9925,734,9927,723,9931,717,9934,713,9939,711,9966,711,9965,709,9961,706,9954,702,9949,701xm9966,711l9949,711,9954,713,9961,723,9963,734,9963,765,9961,775,9954,785,9950,788,9966,788,9969,783,9974,769,9975,760,9975,740,9974,732,9971,721,9970,717,9966,711xe" filled="true" fillcolor="#000000" stroked="false">
              <v:path arrowok="t"/>
              <v:fill type="solid"/>
            </v:shape>
            <v:shape style="position:absolute;left:6592;top:2483;width:62;height:97" coordorigin="6592,2483" coordsize="62,97" path="m6628,2483l6616,2483,6610,2485,6601,2493,6597,2498,6593,2511,6592,2520,6592,2549,6595,2562,6606,2577,6613,2580,6629,2580,6635,2578,6644,2571,6644,2570,6617,2570,6613,2568,6605,2557,6604,2547,6604,2516,6606,2505,6610,2500,6613,2495,6617,2493,6644,2493,6643,2491,6640,2488,6632,2484,6628,2483xm6644,2493l6628,2493,6632,2495,6640,2506,6641,2516,6641,2547,6640,2557,6632,2568,6628,2570,6644,2570,6648,2565,6652,2552,6653,2543,6653,2522,6653,2515,6650,2504,6648,2499,6644,2493xe" filled="true" fillcolor="#000000" stroked="false">
              <v:path arrowok="t"/>
              <v:fill type="solid"/>
            </v:shape>
            <v:shape style="position:absolute;left:6518;top:2202;width:63;height:95" coordorigin="6518,2202" coordsize="63,95" path="m6530,2270l6518,2271,6519,2279,6522,2285,6533,2295,6540,2297,6559,2297,6567,2293,6572,2287,6544,2287,6540,2286,6533,2280,6531,2276,6530,2270xm6574,2243l6554,2243,6559,2245,6567,2252,6569,2258,6569,2271,6567,2277,6559,2285,6554,2287,6572,2287,6578,2279,6581,2272,6581,2254,6578,2247,6574,2243xm6576,2202l6529,2202,6520,2251,6531,2252,6533,2249,6535,2247,6541,2244,6545,2243,6574,2243,6570,2239,6534,2239,6539,2213,6576,2213,6576,2202xm6560,2233l6545,2233,6539,2235,6534,2239,6570,2239,6567,2236,6560,2233xe" filled="true" fillcolor="#000000" stroked="false">
              <v:path arrowok="t"/>
              <v:fill type="solid"/>
            </v:shape>
            <v:shape style="position:absolute;left:6591;top:2200;width:62;height:97" coordorigin="6591,2200" coordsize="62,97" path="m6627,2200l6615,2200,6610,2202,6601,2210,6597,2215,6593,2229,6591,2238,6591,2267,6594,2279,6606,2294,6613,2297,6629,2297,6635,2295,6644,2288,6644,2287,6617,2287,6612,2285,6605,2275,6603,2264,6603,2233,6605,2223,6609,2217,6612,2212,6617,2210,6644,2210,6643,2208,6639,2206,6632,2201,6627,2200xm6644,2210l6627,2210,6632,2213,6639,2223,6641,2233,6641,2264,6639,2275,6632,2285,6628,2287,6644,2287,6647,2282,6652,2269,6653,2260,6653,2239,6652,2232,6649,2221,6648,2216,6644,2210xe" filled="true" fillcolor="#000000" stroked="false">
              <v:path arrowok="t"/>
              <v:fill type="solid"/>
            </v:shape>
            <v:shape style="position:absolute;left:6454;top:1917;width:35;height:95" coordorigin="6454,1917" coordsize="35,95" path="m6488,1938l6477,1938,6477,2012,6488,2012,6488,1938xm6488,1917l6481,1917,6479,1921,6475,1926,6466,1934,6460,1938,6454,1941,6454,1952,6457,1951,6461,1949,6470,1944,6474,1941,6477,1938,6488,1938,6488,1917xe" filled="true" fillcolor="#000000" stroked="false">
              <v:path arrowok="t"/>
              <v:fill type="solid"/>
            </v:shape>
            <v:shape style="position:absolute;left:6518;top:1917;width:62;height:97" coordorigin="6518,1917" coordsize="62,97" path="m6554,1917l6542,1917,6536,1919,6527,1927,6524,1932,6519,1946,6518,1955,6518,1983,6521,1996,6532,2011,6540,2014,6556,2014,6561,2012,6570,2005,6571,2004,6543,2004,6539,2002,6532,1992,6530,1981,6530,1950,6532,1940,6536,1934,6539,1929,6543,1927,6570,1927,6569,1925,6566,1922,6558,1918,6554,1917xm6570,1927l6554,1927,6559,1930,6566,1940,6568,1950,6568,1981,6566,1992,6558,2002,6554,2004,6571,2004,6574,1999,6578,1986,6580,1977,6580,1956,6579,1949,6576,1938,6574,1933,6570,1927xe" filled="true" fillcolor="#000000" stroked="false">
              <v:path arrowok="t"/>
              <v:fill type="solid"/>
            </v:shape>
            <v:shape style="position:absolute;left:6591;top:1917;width:62;height:97" coordorigin="6591,1917" coordsize="62,97" path="m6627,1917l6615,1917,6609,1919,6600,1927,6597,1932,6592,1946,6591,1955,6591,1983,6594,1996,6606,2011,6613,2014,6629,2014,6635,2012,6644,2005,6644,2004,6617,2004,6612,2002,6605,1992,6603,1981,6603,1950,6605,1940,6609,1934,6612,1929,6616,1927,6643,1927,6642,1925,6639,1922,6631,1918,6627,1917xm6643,1927l6627,1927,6632,1930,6639,1940,6641,1950,6641,1981,6639,1992,6632,2002,6627,2004,6644,2004,6647,1999,6652,1986,6653,1977,6653,1956,6652,1949,6649,1938,6647,1933,6643,1927xe" filled="true" fillcolor="#000000" stroked="false">
              <v:path arrowok="t"/>
              <v:fill type="solid"/>
            </v:shape>
            <v:shape style="position:absolute;left:6454;top:1635;width:35;height:95" coordorigin="6454,1635" coordsize="35,95" path="m6488,1656l6477,1656,6477,1730,6488,1730,6488,1656xm6488,1635l6481,1635,6479,1639,6475,1643,6466,1652,6460,1655,6454,1658,6454,1670,6457,1668,6461,1666,6470,1661,6474,1658,6477,1656,6488,1656,6488,1635xe" filled="true" fillcolor="#000000" stroked="false">
              <v:path arrowok="t"/>
              <v:fill type="solid"/>
            </v:shape>
            <v:shape style="position:absolute;left:6518;top:1636;width:63;height:95" coordorigin="6518,1636" coordsize="63,95" path="m6530,1704l6518,1705,6519,1713,6522,1719,6533,1729,6540,1731,6559,1731,6567,1727,6572,1722,6544,1722,6540,1720,6533,1714,6531,1710,6530,1704xm6574,1677l6554,1677,6559,1679,6566,1687,6568,1692,6568,1706,6566,1711,6559,1720,6554,1722,6572,1722,6578,1714,6581,1706,6581,1689,6578,1681,6574,1677xm6576,1636l6529,1636,6520,1685,6531,1686,6533,1684,6535,1681,6541,1678,6544,1677,6574,1677,6569,1673,6533,1673,6538,1647,6576,1647,6576,1636xm6559,1667l6545,1667,6539,1669,6533,1673,6569,1673,6566,1670,6559,1667xe" filled="true" fillcolor="#000000" stroked="false">
              <v:path arrowok="t"/>
              <v:fill type="solid"/>
            </v:shape>
            <v:shape style="position:absolute;left:6591;top:1635;width:62;height:97" coordorigin="6591,1635" coordsize="62,97" path="m6627,1635l6615,1635,6609,1636,6600,1644,6597,1649,6592,1663,6591,1672,6591,1701,6594,1714,6606,1728,6613,1731,6629,1731,6635,1729,6644,1722,6644,1722,6617,1722,6612,1719,6605,1709,6603,1698,6603,1667,6605,1657,6609,1651,6612,1647,6616,1644,6643,1644,6642,1643,6639,1640,6631,1636,6627,1635xm6643,1644l6627,1644,6632,1647,6639,1657,6641,1667,6641,1698,6639,1709,6632,1719,6627,1722,6644,1722,6647,1717,6652,1703,6653,1694,6653,1674,6652,1666,6649,1655,6647,1650,6643,1644xe" filled="true" fillcolor="#000000" stroked="false">
              <v:path arrowok="t"/>
              <v:fill type="solid"/>
            </v:shape>
            <v:shape style="position:absolute;left:6443;top:1352;width:63;height:95" coordorigin="6443,1352" coordsize="63,95" path="m6500,1361l6481,1361,6485,1363,6492,1369,6494,1373,6494,1382,6492,1387,6485,1397,6478,1403,6461,1417,6456,1422,6449,1430,6446,1434,6444,1439,6443,1441,6443,1444,6443,1447,6506,1447,6506,1436,6459,1436,6461,1433,6462,1431,6466,1427,6471,1423,6486,1410,6492,1405,6499,1397,6502,1393,6505,1386,6505,1382,6506,1371,6503,1364,6500,1361xm6485,1352l6467,1352,6460,1354,6449,1363,6446,1370,6445,1379,6457,1380,6457,1374,6459,1370,6466,1363,6470,1361,6500,1361,6492,1354,6485,1352xe" filled="true" fillcolor="#000000" stroked="false">
              <v:path arrowok="t"/>
              <v:fill type="solid"/>
            </v:shape>
            <v:shape style="position:absolute;left:6518;top:1352;width:62;height:97" coordorigin="6518,1352" coordsize="62,97" path="m6554,1352l6542,1352,6536,1354,6527,1361,6524,1366,6519,1380,6518,1389,6518,1418,6521,1431,6532,1445,6540,1448,6556,1448,6561,1446,6570,1439,6571,1439,6543,1439,6539,1436,6532,1426,6530,1416,6530,1385,6532,1374,6536,1368,6539,1364,6543,1361,6570,1361,6569,1360,6566,1357,6558,1353,6554,1352xm6570,1361l6554,1361,6559,1364,6566,1374,6568,1385,6568,1416,6566,1426,6558,1436,6554,1439,6571,1439,6574,1434,6578,1420,6580,1411,6580,1391,6579,1383,6576,1372,6574,1368,6570,1361xe" filled="true" fillcolor="#000000" stroked="false">
              <v:path arrowok="t"/>
              <v:fill type="solid"/>
            </v:shape>
            <v:shape style="position:absolute;left:6591;top:1352;width:62;height:97" coordorigin="6591,1352" coordsize="62,97" path="m6627,1352l6615,1352,6609,1354,6600,1361,6597,1366,6592,1380,6591,1389,6591,1418,6594,1431,6606,1445,6613,1448,6629,1448,6635,1446,6644,1439,6644,1439,6617,1439,6612,1436,6605,1426,6603,1416,6603,1385,6605,1374,6609,1368,6612,1364,6616,1361,6643,1361,6642,1360,6639,1357,6631,1353,6627,1352xm6643,1361l6627,1361,6632,1364,6639,1374,6641,1385,6641,1416,6639,1426,6632,1436,6627,1439,6644,1439,6647,1434,6652,1420,6653,1411,6653,1391,6652,1383,6649,1372,6647,1368,6643,1361xe" filled="true" fillcolor="#000000" stroked="false">
              <v:path arrowok="t"/>
              <v:fill type="solid"/>
            </v:shape>
            <v:shape style="position:absolute;left:6443;top:1069;width:63;height:95" coordorigin="6443,1069" coordsize="63,95" path="m6500,1078l6481,1078,6485,1080,6492,1086,6494,1090,6494,1099,6492,1104,6485,1114,6478,1120,6461,1134,6456,1139,6449,1147,6446,1151,6444,1156,6443,1158,6443,1161,6443,1164,6506,1164,6506,1153,6459,1153,6461,1150,6462,1148,6466,1144,6471,1140,6486,1127,6492,1122,6499,1114,6502,1110,6505,1103,6505,1099,6506,1088,6503,1081,6500,1078xm6485,1069l6467,1069,6460,1071,6449,1080,6446,1087,6445,1096,6457,1097,6457,1091,6459,1087,6466,1080,6470,1078,6500,1078,6492,1071,6485,1069xe" filled="true" fillcolor="#000000" stroked="false">
              <v:path arrowok="t"/>
              <v:fill type="solid"/>
            </v:shape>
            <v:shape style="position:absolute;left:6518;top:1070;width:63;height:95" coordorigin="6518,1070" coordsize="63,95" path="m6530,1138l6518,1139,6519,1147,6522,1153,6533,1163,6540,1165,6559,1165,6567,1162,6572,1156,6544,1156,6540,1154,6533,1148,6531,1144,6530,1138xm6574,1111l6554,1111,6559,1113,6566,1121,6568,1126,6568,1140,6566,1145,6559,1154,6554,1156,6572,1156,6578,1148,6581,1140,6581,1123,6578,1115,6574,1111xm6576,1070l6529,1070,6520,1119,6531,1120,6533,1118,6535,1116,6541,1112,6544,1111,6574,1111,6569,1107,6533,1107,6538,1082,6576,1082,6576,1070xm6559,1101l6545,1101,6539,1103,6533,1107,6569,1107,6566,1104,6559,1101xe" filled="true" fillcolor="#000000" stroked="false">
              <v:path arrowok="t"/>
              <v:fill type="solid"/>
            </v:shape>
            <v:shape style="position:absolute;left:6591;top:1069;width:62;height:97" coordorigin="6591,1069" coordsize="62,97" path="m6627,1069l6615,1069,6609,1071,6600,1078,6597,1083,6592,1097,6591,1106,6591,1135,6594,1148,6606,1162,6613,1165,6629,1165,6635,1163,6644,1156,6644,1156,6617,1156,6612,1153,6605,1143,6603,1133,6603,1101,6605,1091,6609,1085,6612,1081,6616,1078,6643,1078,6642,1077,6639,1074,6631,1070,6627,1069xm6643,1078l6627,1078,6632,1081,6639,1091,6641,1101,6641,1133,6639,1143,6632,1153,6627,1156,6644,1156,6647,1151,6652,1137,6653,1128,6653,1108,6652,1100,6649,1089,6647,1084,6643,1078xe" filled="true" fillcolor="#000000" stroked="false">
              <v:path arrowok="t"/>
              <v:fill type="solid"/>
            </v:shape>
            <v:shape style="position:absolute;left:6280;top:1049;width:98;height:1355" type="#_x0000_t75" stroked="false">
              <v:imagedata r:id="rId182" o:title=""/>
            </v:shape>
            <v:shape style="position:absolute;left:6445;top:786;width:62;height:97" coordorigin="6445,786" coordsize="62,97" path="m6456,854l6445,856,6445,864,6449,870,6460,880,6466,883,6484,883,6492,880,6499,873,6470,873,6466,872,6460,866,6458,861,6456,854xm6500,835l6481,835,6486,837,6493,844,6494,848,6494,859,6492,864,6485,871,6480,873,6499,873,6504,868,6507,861,6507,847,6505,842,6500,835xm6497,796l6479,796,6483,797,6489,803,6490,806,6490,816,6488,820,6480,825,6476,826,6469,826,6468,836,6471,835,6474,835,6500,835,6499,834,6495,831,6489,830,6493,828,6495,826,6476,826,6469,826,6495,826,6496,825,6501,818,6502,815,6502,806,6501,802,6497,796xm6479,786l6467,786,6461,788,6450,797,6447,803,6446,811,6457,813,6458,807,6460,803,6466,797,6470,796,6497,796,6496,795,6493,792,6484,787,6479,786xe" filled="true" fillcolor="#000000" stroked="false">
              <v:path arrowok="t"/>
              <v:fill type="solid"/>
            </v:shape>
            <v:shape style="position:absolute;left:6518;top:786;width:62;height:97" coordorigin="6518,786" coordsize="62,97" path="m6554,786l6542,786,6536,788,6527,795,6524,800,6519,814,6518,823,6518,852,6521,865,6532,879,6540,883,6556,883,6561,881,6570,873,6571,873,6543,873,6539,870,6532,860,6530,850,6530,819,6532,808,6536,802,6539,798,6543,796,6570,796,6569,794,6566,791,6558,787,6554,786xm6570,796l6554,796,6559,798,6566,808,6568,819,6568,850,6566,860,6558,870,6554,873,6571,873,6574,868,6578,854,6580,845,6580,825,6579,817,6576,806,6574,802,6570,796xe" filled="true" fillcolor="#000000" stroked="false">
              <v:path arrowok="t"/>
              <v:fill type="solid"/>
            </v:shape>
            <v:shape style="position:absolute;left:6591;top:786;width:62;height:97" coordorigin="6591,786" coordsize="62,97" path="m6627,786l6615,786,6609,788,6600,795,6597,800,6592,814,6591,823,6591,852,6594,865,6606,879,6613,883,6629,883,6635,881,6644,873,6644,873,6617,873,6612,870,6605,860,6603,850,6603,819,6605,808,6609,802,6612,798,6616,796,6643,796,6642,794,6639,791,6631,787,6627,786xm6643,796l6627,796,6632,798,6639,808,6641,819,6641,850,6639,860,6632,870,6627,873,6644,873,6647,868,6652,854,6653,845,6653,825,6652,817,6649,806,6647,802,6643,796xe" filled="true" fillcolor="#000000" stroked="false">
              <v:path arrowok="t"/>
              <v:fill type="solid"/>
            </v:shape>
            <v:shape style="position:absolute;left:6273;top:848;width:131;height:149" type="#_x0000_t75" stroked="false">
              <v:imagedata r:id="rId183" o:title=""/>
            </v:shape>
            <v:shape style="position:absolute;left:6445;top:503;width:62;height:97" coordorigin="6445,503" coordsize="62,97" path="m6456,572l6445,573,6445,581,6449,587,6460,597,6466,600,6484,600,6492,597,6499,590,6470,590,6466,589,6460,583,6458,578,6456,572xm6500,552l6481,552,6486,554,6493,561,6494,565,6494,576,6492,581,6485,588,6480,590,6499,590,6504,585,6507,578,6507,564,6505,559,6500,552xm6497,513l6479,513,6483,514,6489,520,6490,523,6490,533,6488,537,6480,542,6476,543,6469,543,6468,553,6471,552,6474,552,6500,552,6499,551,6495,548,6489,547,6493,545,6495,543,6476,543,6469,543,6495,543,6496,542,6501,536,6502,532,6502,523,6501,519,6497,513xm6479,503l6467,503,6461,505,6450,514,6447,520,6446,528,6457,530,6458,524,6460,520,6466,514,6470,513,6497,513,6496,512,6493,509,6484,504,6479,503xe" filled="true" fillcolor="#000000" stroked="false">
              <v:path arrowok="t"/>
              <v:fill type="solid"/>
            </v:shape>
            <v:shape style="position:absolute;left:6518;top:505;width:63;height:95" coordorigin="6518,505" coordsize="63,95" path="m6530,572l6518,573,6519,581,6522,588,6533,597,6540,600,6559,600,6567,596,6572,590,6544,590,6540,589,6533,583,6531,578,6530,572xm6574,546l6554,546,6559,548,6566,555,6568,560,6568,574,6566,580,6559,588,6554,590,6572,590,6578,582,6581,575,6581,557,6578,550,6574,546xm6576,505l6529,505,6520,553,6531,555,6533,552,6535,550,6541,546,6544,546,6574,546,6569,541,6533,541,6538,516,6576,516,6576,505xm6559,535l6545,535,6539,537,6533,541,6569,541,6566,538,6559,535xe" filled="true" fillcolor="#000000" stroked="false">
              <v:path arrowok="t"/>
              <v:fill type="solid"/>
            </v:shape>
            <v:shape style="position:absolute;left:6591;top:503;width:62;height:97" coordorigin="6591,503" coordsize="62,97" path="m6627,503l6615,503,6609,505,6600,512,6597,518,6592,531,6591,540,6591,569,6594,582,6606,596,6613,600,6629,600,6635,598,6644,590,6644,590,6617,590,6612,588,6605,577,6603,567,6603,536,6605,525,6609,519,6612,515,6616,513,6643,513,6642,511,6639,508,6631,504,6627,503xm6643,513l6627,513,6632,515,6639,526,6641,536,6641,567,6639,577,6632,588,6627,590,6644,590,6647,585,6652,571,6653,563,6653,542,6652,535,6649,524,6647,519,6643,513xe" filled="true" fillcolor="#000000" stroked="false">
              <v:path arrowok="t"/>
              <v:fill type="solid"/>
            </v:shape>
            <v:shape style="position:absolute;left:10125;top:995;width:122;height:1095" type="#_x0000_t75" stroked="false">
              <v:imagedata r:id="rId184" o:title=""/>
            </v:shape>
            <v:rect style="position:absolute;left:6204;top:179;width:4066;height:2711" filled="false" stroked="true" strokeweight=".497565pt" strokecolor="#858585"/>
            <w10:wrap type="topAndBottom"/>
          </v:group>
        </w:pict>
      </w:r>
    </w:p>
    <w:p>
      <w:pPr>
        <w:tabs>
          <w:tab w:pos="6483" w:val="left" w:leader="none"/>
        </w:tabs>
        <w:spacing w:before="128"/>
        <w:ind w:left="1778" w:right="0" w:firstLine="0"/>
        <w:jc w:val="left"/>
        <w:rPr>
          <w:sz w:val="18"/>
        </w:rPr>
      </w:pPr>
      <w:r>
        <w:rPr>
          <w:color w:val="231F20"/>
          <w:sz w:val="18"/>
        </w:rPr>
        <w:t>Figura 4.   Estructura de los costos </w:t>
      </w:r>
      <w:r>
        <w:rPr>
          <w:color w:val="231F20"/>
          <w:spacing w:val="24"/>
          <w:sz w:val="18"/>
        </w:rPr>
        <w:t> </w:t>
      </w:r>
      <w:r>
        <w:rPr>
          <w:color w:val="231F20"/>
          <w:sz w:val="18"/>
        </w:rPr>
        <w:t>de</w:t>
      </w:r>
      <w:r>
        <w:rPr>
          <w:color w:val="231F20"/>
          <w:spacing w:val="15"/>
          <w:sz w:val="18"/>
        </w:rPr>
        <w:t> </w:t>
      </w:r>
      <w:r>
        <w:rPr>
          <w:color w:val="231F20"/>
          <w:sz w:val="18"/>
        </w:rPr>
        <w:t>producción.</w:t>
        <w:tab/>
        <w:t>Figura 5.   Utilización y costos de </w:t>
      </w:r>
      <w:r>
        <w:rPr>
          <w:color w:val="231F20"/>
          <w:spacing w:val="36"/>
          <w:sz w:val="18"/>
        </w:rPr>
        <w:t> </w:t>
      </w:r>
      <w:r>
        <w:rPr>
          <w:color w:val="231F20"/>
          <w:sz w:val="18"/>
        </w:rPr>
        <w:t>concentrados.</w:t>
      </w:r>
    </w:p>
    <w:p>
      <w:pPr>
        <w:pStyle w:val="BodyText"/>
      </w:pPr>
    </w:p>
    <w:p>
      <w:pPr>
        <w:pStyle w:val="BodyText"/>
        <w:spacing w:before="2"/>
        <w:rPr>
          <w:sz w:val="16"/>
        </w:rPr>
      </w:pPr>
    </w:p>
    <w:p>
      <w:pPr>
        <w:spacing w:after="0"/>
        <w:rPr>
          <w:sz w:val="16"/>
        </w:rPr>
        <w:sectPr>
          <w:pgSz w:w="11900" w:h="14450"/>
          <w:pgMar w:header="0" w:footer="222" w:top="420" w:bottom="420" w:left="0" w:right="0"/>
        </w:sectPr>
      </w:pPr>
    </w:p>
    <w:p>
      <w:pPr>
        <w:pStyle w:val="BodyText"/>
        <w:spacing w:line="254" w:lineRule="auto" w:before="68"/>
        <w:ind w:left="1553"/>
        <w:jc w:val="both"/>
      </w:pPr>
      <w:r>
        <w:rPr>
          <w:color w:val="231F20"/>
        </w:rPr>
        <w:t>que representa el </w:t>
      </w:r>
      <w:r>
        <w:rPr>
          <w:color w:val="231F20"/>
          <w:spacing w:val="-3"/>
        </w:rPr>
        <w:t>55,5% </w:t>
      </w:r>
      <w:r>
        <w:rPr>
          <w:color w:val="231F20"/>
        </w:rPr>
        <w:t>del costo total (Fig. 4), se- guida</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mano</w:t>
      </w:r>
      <w:r>
        <w:rPr>
          <w:color w:val="231F20"/>
          <w:spacing w:val="-4"/>
        </w:rPr>
        <w:t> </w:t>
      </w:r>
      <w:r>
        <w:rPr>
          <w:color w:val="231F20"/>
        </w:rPr>
        <w:t>de</w:t>
      </w:r>
      <w:r>
        <w:rPr>
          <w:color w:val="231F20"/>
          <w:spacing w:val="-4"/>
        </w:rPr>
        <w:t> </w:t>
      </w:r>
      <w:r>
        <w:rPr>
          <w:color w:val="231F20"/>
        </w:rPr>
        <w:t>obra</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compra</w:t>
      </w:r>
      <w:r>
        <w:rPr>
          <w:color w:val="231F20"/>
          <w:spacing w:val="-4"/>
        </w:rPr>
        <w:t> </w:t>
      </w:r>
      <w:r>
        <w:rPr>
          <w:color w:val="231F20"/>
        </w:rPr>
        <w:t>de</w:t>
      </w:r>
      <w:r>
        <w:rPr>
          <w:color w:val="231F20"/>
          <w:spacing w:val="-4"/>
        </w:rPr>
        <w:t> </w:t>
      </w:r>
      <w:r>
        <w:rPr>
          <w:color w:val="231F20"/>
        </w:rPr>
        <w:t>animales. Otros gastos representan en conjunto el </w:t>
      </w:r>
      <w:r>
        <w:rPr>
          <w:color w:val="231F20"/>
          <w:spacing w:val="-4"/>
        </w:rPr>
        <w:t>11,23%. </w:t>
      </w:r>
      <w:r>
        <w:rPr>
          <w:color w:val="231F20"/>
        </w:rPr>
        <w:t>La presentación de los costos y su tendencia guardan una relación estrecha con el tamaño de la </w:t>
      </w:r>
      <w:r>
        <w:rPr>
          <w:color w:val="231F20"/>
          <w:spacing w:val="-2"/>
        </w:rPr>
        <w:t>unidad </w:t>
      </w:r>
      <w:r>
        <w:rPr>
          <w:color w:val="231F20"/>
        </w:rPr>
        <w:t>de producción. En este caso, el estrato E3 presenta los mayores costos de alimentación, aunque el su- ministro de concentrado sea </w:t>
      </w:r>
      <w:r>
        <w:rPr>
          <w:color w:val="231F20"/>
          <w:spacing w:val="-4"/>
        </w:rPr>
        <w:t>menor. </w:t>
      </w:r>
      <w:r>
        <w:rPr>
          <w:color w:val="231F20"/>
        </w:rPr>
        <w:t>En la mayoría de los sistemas ganaderos, las erogaciones</w:t>
      </w:r>
      <w:r>
        <w:rPr>
          <w:color w:val="231F20"/>
          <w:spacing w:val="1"/>
        </w:rPr>
        <w:t> </w:t>
      </w:r>
      <w:r>
        <w:rPr>
          <w:color w:val="231F20"/>
        </w:rPr>
        <w:t>en efec-</w:t>
      </w:r>
      <w:r>
        <w:rPr>
          <w:color w:val="231F20"/>
          <w:w w:val="95"/>
        </w:rPr>
        <w:t> </w:t>
      </w:r>
      <w:r>
        <w:rPr>
          <w:color w:val="231F20"/>
        </w:rPr>
        <w:t>tivo por la compra de concentrados comerciales</w:t>
      </w:r>
      <w:r>
        <w:rPr>
          <w:color w:val="231F20"/>
          <w:spacing w:val="-29"/>
        </w:rPr>
        <w:t> </w:t>
      </w:r>
      <w:r>
        <w:rPr>
          <w:color w:val="231F20"/>
        </w:rPr>
        <w:t>su- ponen un alto costo por vaca, que además puede incrementarse considerablemente en función </w:t>
      </w:r>
      <w:r>
        <w:rPr>
          <w:color w:val="231F20"/>
          <w:spacing w:val="-2"/>
        </w:rPr>
        <w:t>del </w:t>
      </w:r>
      <w:r>
        <w:rPr>
          <w:color w:val="231F20"/>
        </w:rPr>
        <w:t>número de animales en la unidad de </w:t>
      </w:r>
      <w:r>
        <w:rPr>
          <w:color w:val="231F20"/>
          <w:spacing w:val="12"/>
        </w:rPr>
        <w:t> </w:t>
      </w:r>
      <w:r>
        <w:rPr>
          <w:color w:val="231F20"/>
        </w:rPr>
        <w:t>producción.</w:t>
      </w:r>
    </w:p>
    <w:p>
      <w:pPr>
        <w:pStyle w:val="BodyText"/>
        <w:spacing w:line="254" w:lineRule="auto" w:before="114"/>
        <w:ind w:left="1553"/>
        <w:jc w:val="both"/>
      </w:pPr>
      <w:r>
        <w:rPr>
          <w:color w:val="231F20"/>
        </w:rPr>
        <w:t>Para el caso de Amatepec, el consumo de concen- trado comercial y el costo por vaca son relativa- mente bajos porque, como ya se ha mencionado en párrafos anteriores, la alimentación se basa principalmente en pastos, tanto introducidos</w:t>
      </w:r>
      <w:r>
        <w:rPr>
          <w:color w:val="231F20"/>
          <w:spacing w:val="3"/>
        </w:rPr>
        <w:t> </w:t>
      </w:r>
      <w:r>
        <w:rPr>
          <w:color w:val="231F20"/>
        </w:rPr>
        <w:t>como</w:t>
      </w:r>
    </w:p>
    <w:p>
      <w:pPr>
        <w:pStyle w:val="BodyText"/>
        <w:spacing w:line="259" w:lineRule="auto" w:before="68"/>
        <w:ind w:left="413" w:right="1551"/>
        <w:jc w:val="both"/>
      </w:pPr>
      <w:r>
        <w:rPr/>
        <w:br w:type="column"/>
      </w:r>
      <w:r>
        <w:rPr>
          <w:color w:val="231F20"/>
        </w:rPr>
        <w:t>de pastizales naturales (Cuadro </w:t>
      </w:r>
      <w:r>
        <w:rPr>
          <w:color w:val="231F20"/>
          <w:spacing w:val="-3"/>
        </w:rPr>
        <w:t>13). </w:t>
      </w:r>
      <w:r>
        <w:rPr>
          <w:color w:val="231F20"/>
        </w:rPr>
        <w:t>Sin embargo, el mayor uso se realiza en el estrato de menor ta- maño  (Fig.</w:t>
      </w:r>
      <w:r>
        <w:rPr>
          <w:color w:val="231F20"/>
          <w:spacing w:val="29"/>
        </w:rPr>
        <w:t> </w:t>
      </w:r>
      <w:r>
        <w:rPr>
          <w:color w:val="231F20"/>
        </w:rPr>
        <w:t>5).</w:t>
      </w:r>
    </w:p>
    <w:p>
      <w:pPr>
        <w:pStyle w:val="BodyText"/>
        <w:spacing w:before="10"/>
        <w:rPr>
          <w:sz w:val="26"/>
        </w:rPr>
      </w:pPr>
    </w:p>
    <w:p>
      <w:pPr>
        <w:spacing w:before="0"/>
        <w:ind w:left="413" w:right="0" w:firstLine="0"/>
        <w:jc w:val="both"/>
        <w:rPr>
          <w:rFonts w:ascii="Cambria"/>
          <w:i/>
          <w:sz w:val="20"/>
        </w:rPr>
      </w:pPr>
      <w:r>
        <w:rPr>
          <w:rFonts w:ascii="Cambria"/>
          <w:i/>
          <w:color w:val="231F20"/>
          <w:w w:val="105"/>
          <w:sz w:val="20"/>
        </w:rPr>
        <w:t>Principales ingresos</w:t>
      </w:r>
    </w:p>
    <w:p>
      <w:pPr>
        <w:spacing w:before="30"/>
        <w:ind w:left="413" w:right="0" w:firstLine="0"/>
        <w:jc w:val="both"/>
        <w:rPr>
          <w:rFonts w:ascii="Cambria" w:hAnsi="Cambria"/>
          <w:i/>
          <w:sz w:val="20"/>
        </w:rPr>
      </w:pPr>
      <w:r>
        <w:rPr>
          <w:rFonts w:ascii="Cambria" w:hAnsi="Cambria"/>
          <w:i/>
          <w:color w:val="231F20"/>
          <w:w w:val="110"/>
          <w:sz w:val="20"/>
        </w:rPr>
        <w:t>en las unidades de producción</w:t>
      </w:r>
    </w:p>
    <w:p>
      <w:pPr>
        <w:pStyle w:val="BodyText"/>
        <w:spacing w:line="259" w:lineRule="auto" w:before="143"/>
        <w:ind w:left="413" w:right="1551"/>
        <w:jc w:val="both"/>
      </w:pPr>
      <w:r>
        <w:rPr>
          <w:color w:val="231F20"/>
        </w:rPr>
        <w:t>Los ingresos generados dependen principalmente del tamaño del hato, por lo que el estrato E3 es el que  mayores  ingresos  percibe  (Cuadro  </w:t>
      </w:r>
      <w:r>
        <w:rPr>
          <w:color w:val="231F20"/>
          <w:spacing w:val="-3"/>
        </w:rPr>
        <w:t>14).  </w:t>
      </w:r>
      <w:r>
        <w:rPr>
          <w:color w:val="231F20"/>
        </w:rPr>
        <w:t>En   el desglose de las principales fuentes de ingresos destaca la venta de becerros destetados, ya que representa más de $72406,27 al año. Otra fuente importante es la venta de animales engordados,  en la que destaca el estrato </w:t>
      </w:r>
      <w:r>
        <w:rPr>
          <w:color w:val="231F20"/>
          <w:spacing w:val="40"/>
        </w:rPr>
        <w:t> </w:t>
      </w:r>
      <w:r>
        <w:rPr>
          <w:color w:val="231F20"/>
        </w:rPr>
        <w:t>E2.</w:t>
      </w:r>
    </w:p>
    <w:p>
      <w:pPr>
        <w:pStyle w:val="BodyText"/>
        <w:spacing w:line="259" w:lineRule="auto" w:before="114"/>
        <w:ind w:left="413" w:right="1551"/>
        <w:jc w:val="both"/>
      </w:pPr>
      <w:r>
        <w:rPr>
          <w:color w:val="231F20"/>
        </w:rPr>
        <w:t>Se hace notar que estas unidades de producción presentan unas condiciones favorables para la producción de carne, bajo un sistema de manejo</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rPr>
          <w:sz w:val="22"/>
        </w:rPr>
      </w:pPr>
    </w:p>
    <w:p>
      <w:pPr>
        <w:spacing w:before="72"/>
        <w:ind w:left="1553" w:right="2503" w:firstLine="0"/>
        <w:jc w:val="left"/>
        <w:rPr>
          <w:sz w:val="18"/>
        </w:rPr>
      </w:pPr>
      <w:r>
        <w:rPr>
          <w:color w:val="231F20"/>
          <w:sz w:val="18"/>
        </w:rPr>
        <w:t>Cuadro 13.         Uso y costos ($) por concepto de concentrados comerciales.</w:t>
      </w:r>
    </w:p>
    <w:p>
      <w:pPr>
        <w:pStyle w:val="BodyText"/>
        <w:spacing w:before="10"/>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544"/>
        <w:gridCol w:w="1304"/>
        <w:gridCol w:w="1304"/>
        <w:gridCol w:w="1304"/>
        <w:gridCol w:w="1304"/>
      </w:tblGrid>
      <w:tr>
        <w:trPr>
          <w:trHeight w:val="369" w:hRule="exact"/>
        </w:trPr>
        <w:tc>
          <w:tcPr>
            <w:tcW w:w="3544" w:type="dxa"/>
            <w:tcBorders>
              <w:left w:val="nil"/>
            </w:tcBorders>
          </w:tcPr>
          <w:p>
            <w:pPr/>
          </w:p>
        </w:tc>
        <w:tc>
          <w:tcPr>
            <w:tcW w:w="1304" w:type="dxa"/>
          </w:tcPr>
          <w:p>
            <w:pPr>
              <w:pStyle w:val="TableParagraph"/>
              <w:spacing w:before="79"/>
              <w:ind w:left="104" w:right="104"/>
              <w:jc w:val="center"/>
              <w:rPr>
                <w:rFonts w:ascii="Cambria"/>
                <w:i/>
                <w:sz w:val="18"/>
              </w:rPr>
            </w:pPr>
            <w:r>
              <w:rPr>
                <w:rFonts w:ascii="Cambria"/>
                <w:i/>
                <w:color w:val="231F20"/>
                <w:sz w:val="18"/>
              </w:rPr>
              <w:t>E1</w:t>
            </w:r>
          </w:p>
        </w:tc>
        <w:tc>
          <w:tcPr>
            <w:tcW w:w="1304" w:type="dxa"/>
          </w:tcPr>
          <w:p>
            <w:pPr>
              <w:pStyle w:val="TableParagraph"/>
              <w:spacing w:before="79"/>
              <w:ind w:left="104" w:right="104"/>
              <w:jc w:val="center"/>
              <w:rPr>
                <w:rFonts w:ascii="Cambria"/>
                <w:i/>
                <w:sz w:val="18"/>
              </w:rPr>
            </w:pPr>
            <w:r>
              <w:rPr>
                <w:rFonts w:ascii="Cambria"/>
                <w:i/>
                <w:color w:val="231F20"/>
                <w:sz w:val="18"/>
              </w:rPr>
              <w:t>E2</w:t>
            </w:r>
          </w:p>
        </w:tc>
        <w:tc>
          <w:tcPr>
            <w:tcW w:w="1304" w:type="dxa"/>
          </w:tcPr>
          <w:p>
            <w:pPr>
              <w:pStyle w:val="TableParagraph"/>
              <w:spacing w:before="79"/>
              <w:ind w:left="104" w:right="104"/>
              <w:jc w:val="center"/>
              <w:rPr>
                <w:rFonts w:ascii="Cambria"/>
                <w:i/>
                <w:sz w:val="18"/>
              </w:rPr>
            </w:pPr>
            <w:r>
              <w:rPr>
                <w:rFonts w:ascii="Cambria"/>
                <w:i/>
                <w:color w:val="231F20"/>
                <w:sz w:val="18"/>
              </w:rPr>
              <w:t>E3</w:t>
            </w:r>
          </w:p>
        </w:tc>
        <w:tc>
          <w:tcPr>
            <w:tcW w:w="1304" w:type="dxa"/>
            <w:tcBorders>
              <w:right w:val="nil"/>
            </w:tcBorders>
          </w:tcPr>
          <w:p>
            <w:pPr>
              <w:pStyle w:val="TableParagraph"/>
              <w:spacing w:before="79"/>
              <w:ind w:left="247" w:right="250"/>
              <w:jc w:val="center"/>
              <w:rPr>
                <w:rFonts w:ascii="Cambria"/>
                <w:i/>
                <w:sz w:val="18"/>
              </w:rPr>
            </w:pPr>
            <w:r>
              <w:rPr>
                <w:rFonts w:ascii="Cambria"/>
                <w:i/>
                <w:color w:val="231F20"/>
                <w:w w:val="105"/>
                <w:sz w:val="18"/>
              </w:rPr>
              <w:t>Promedio</w:t>
            </w:r>
          </w:p>
        </w:tc>
      </w:tr>
      <w:tr>
        <w:trPr>
          <w:trHeight w:val="354" w:hRule="exact"/>
        </w:trPr>
        <w:tc>
          <w:tcPr>
            <w:tcW w:w="3544" w:type="dxa"/>
            <w:tcBorders>
              <w:left w:val="nil"/>
            </w:tcBorders>
          </w:tcPr>
          <w:p>
            <w:pPr>
              <w:pStyle w:val="TableParagraph"/>
              <w:ind w:left="113"/>
              <w:rPr>
                <w:sz w:val="17"/>
              </w:rPr>
            </w:pPr>
            <w:r>
              <w:rPr>
                <w:color w:val="231F20"/>
                <w:sz w:val="17"/>
              </w:rPr>
              <w:t>Costo de concentrado por vaca y   año</w:t>
            </w:r>
          </w:p>
        </w:tc>
        <w:tc>
          <w:tcPr>
            <w:tcW w:w="1304" w:type="dxa"/>
          </w:tcPr>
          <w:p>
            <w:pPr>
              <w:pStyle w:val="TableParagraph"/>
              <w:ind w:left="103" w:right="104"/>
              <w:jc w:val="center"/>
              <w:rPr>
                <w:sz w:val="17"/>
              </w:rPr>
            </w:pPr>
            <w:r>
              <w:rPr>
                <w:color w:val="231F20"/>
                <w:w w:val="110"/>
                <w:sz w:val="17"/>
              </w:rPr>
              <w:t>332,29</w:t>
            </w:r>
          </w:p>
        </w:tc>
        <w:tc>
          <w:tcPr>
            <w:tcW w:w="1304" w:type="dxa"/>
          </w:tcPr>
          <w:p>
            <w:pPr>
              <w:pStyle w:val="TableParagraph"/>
              <w:ind w:left="104" w:right="104"/>
              <w:jc w:val="center"/>
              <w:rPr>
                <w:sz w:val="17"/>
              </w:rPr>
            </w:pPr>
            <w:r>
              <w:rPr>
                <w:color w:val="231F20"/>
                <w:w w:val="110"/>
                <w:sz w:val="17"/>
              </w:rPr>
              <w:t>292,35</w:t>
            </w:r>
          </w:p>
        </w:tc>
        <w:tc>
          <w:tcPr>
            <w:tcW w:w="1304" w:type="dxa"/>
          </w:tcPr>
          <w:p>
            <w:pPr>
              <w:pStyle w:val="TableParagraph"/>
              <w:ind w:right="389"/>
              <w:jc w:val="right"/>
              <w:rPr>
                <w:sz w:val="17"/>
              </w:rPr>
            </w:pPr>
            <w:r>
              <w:rPr>
                <w:color w:val="231F20"/>
                <w:w w:val="110"/>
                <w:sz w:val="17"/>
              </w:rPr>
              <w:t>124,59</w:t>
            </w:r>
          </w:p>
        </w:tc>
        <w:tc>
          <w:tcPr>
            <w:tcW w:w="1304" w:type="dxa"/>
            <w:tcBorders>
              <w:right w:val="nil"/>
            </w:tcBorders>
          </w:tcPr>
          <w:p>
            <w:pPr>
              <w:pStyle w:val="TableParagraph"/>
              <w:ind w:left="247" w:right="250"/>
              <w:jc w:val="center"/>
              <w:rPr>
                <w:sz w:val="17"/>
              </w:rPr>
            </w:pPr>
            <w:r>
              <w:rPr>
                <w:color w:val="231F20"/>
                <w:w w:val="110"/>
                <w:sz w:val="17"/>
              </w:rPr>
              <w:t>302,58</w:t>
            </w:r>
          </w:p>
        </w:tc>
      </w:tr>
      <w:tr>
        <w:trPr>
          <w:trHeight w:val="354" w:hRule="exact"/>
        </w:trPr>
        <w:tc>
          <w:tcPr>
            <w:tcW w:w="3544" w:type="dxa"/>
            <w:tcBorders>
              <w:left w:val="nil"/>
            </w:tcBorders>
          </w:tcPr>
          <w:p>
            <w:pPr>
              <w:pStyle w:val="TableParagraph"/>
              <w:ind w:left="113"/>
              <w:rPr>
                <w:sz w:val="17"/>
              </w:rPr>
            </w:pPr>
            <w:r>
              <w:rPr>
                <w:color w:val="231F20"/>
                <w:sz w:val="17"/>
              </w:rPr>
              <w:t>Costo de concentrado por UGB y   año</w:t>
            </w:r>
          </w:p>
        </w:tc>
        <w:tc>
          <w:tcPr>
            <w:tcW w:w="1304" w:type="dxa"/>
          </w:tcPr>
          <w:p>
            <w:pPr>
              <w:pStyle w:val="TableParagraph"/>
              <w:ind w:left="104" w:right="104"/>
              <w:jc w:val="center"/>
              <w:rPr>
                <w:sz w:val="17"/>
              </w:rPr>
            </w:pPr>
            <w:r>
              <w:rPr>
                <w:color w:val="231F20"/>
                <w:w w:val="110"/>
                <w:sz w:val="17"/>
              </w:rPr>
              <w:t>209,16</w:t>
            </w:r>
          </w:p>
        </w:tc>
        <w:tc>
          <w:tcPr>
            <w:tcW w:w="1304" w:type="dxa"/>
          </w:tcPr>
          <w:p>
            <w:pPr>
              <w:pStyle w:val="TableParagraph"/>
              <w:ind w:left="104" w:right="104"/>
              <w:jc w:val="center"/>
              <w:rPr>
                <w:sz w:val="17"/>
              </w:rPr>
            </w:pPr>
            <w:r>
              <w:rPr>
                <w:color w:val="231F20"/>
                <w:w w:val="110"/>
                <w:sz w:val="17"/>
              </w:rPr>
              <w:t>206,50</w:t>
            </w:r>
          </w:p>
        </w:tc>
        <w:tc>
          <w:tcPr>
            <w:tcW w:w="1304" w:type="dxa"/>
          </w:tcPr>
          <w:p>
            <w:pPr>
              <w:pStyle w:val="TableParagraph"/>
              <w:ind w:right="390"/>
              <w:jc w:val="right"/>
              <w:rPr>
                <w:sz w:val="17"/>
              </w:rPr>
            </w:pPr>
            <w:r>
              <w:rPr>
                <w:color w:val="231F20"/>
                <w:w w:val="110"/>
                <w:sz w:val="17"/>
              </w:rPr>
              <w:t>78,88</w:t>
            </w:r>
          </w:p>
        </w:tc>
        <w:tc>
          <w:tcPr>
            <w:tcW w:w="1304" w:type="dxa"/>
            <w:tcBorders>
              <w:right w:val="nil"/>
            </w:tcBorders>
          </w:tcPr>
          <w:p>
            <w:pPr>
              <w:pStyle w:val="TableParagraph"/>
              <w:ind w:left="247" w:right="249"/>
              <w:jc w:val="center"/>
              <w:rPr>
                <w:sz w:val="17"/>
              </w:rPr>
            </w:pPr>
            <w:r>
              <w:rPr>
                <w:color w:val="231F20"/>
                <w:w w:val="110"/>
                <w:sz w:val="17"/>
              </w:rPr>
              <w:t>193,21</w:t>
            </w:r>
          </w:p>
        </w:tc>
      </w:tr>
      <w:tr>
        <w:trPr>
          <w:trHeight w:val="354" w:hRule="exact"/>
        </w:trPr>
        <w:tc>
          <w:tcPr>
            <w:tcW w:w="3544" w:type="dxa"/>
            <w:tcBorders>
              <w:left w:val="nil"/>
            </w:tcBorders>
          </w:tcPr>
          <w:p>
            <w:pPr>
              <w:pStyle w:val="TableParagraph"/>
              <w:ind w:left="113"/>
              <w:rPr>
                <w:sz w:val="17"/>
              </w:rPr>
            </w:pPr>
            <w:r>
              <w:rPr>
                <w:color w:val="231F20"/>
                <w:sz w:val="17"/>
              </w:rPr>
              <w:t>Kg de concentrado por vaca y   año</w:t>
            </w:r>
          </w:p>
        </w:tc>
        <w:tc>
          <w:tcPr>
            <w:tcW w:w="1304" w:type="dxa"/>
          </w:tcPr>
          <w:p>
            <w:pPr>
              <w:pStyle w:val="TableParagraph"/>
              <w:ind w:left="104" w:right="20"/>
              <w:jc w:val="center"/>
              <w:rPr>
                <w:sz w:val="17"/>
              </w:rPr>
            </w:pPr>
            <w:r>
              <w:rPr>
                <w:color w:val="231F20"/>
                <w:w w:val="110"/>
                <w:sz w:val="17"/>
              </w:rPr>
              <w:t>99,35</w:t>
            </w:r>
          </w:p>
        </w:tc>
        <w:tc>
          <w:tcPr>
            <w:tcW w:w="1304" w:type="dxa"/>
          </w:tcPr>
          <w:p>
            <w:pPr>
              <w:pStyle w:val="TableParagraph"/>
              <w:ind w:left="104" w:right="19"/>
              <w:jc w:val="center"/>
              <w:rPr>
                <w:sz w:val="17"/>
              </w:rPr>
            </w:pPr>
            <w:r>
              <w:rPr>
                <w:color w:val="231F20"/>
                <w:w w:val="110"/>
                <w:sz w:val="17"/>
              </w:rPr>
              <w:t>83,07</w:t>
            </w:r>
          </w:p>
        </w:tc>
        <w:tc>
          <w:tcPr>
            <w:tcW w:w="1304" w:type="dxa"/>
          </w:tcPr>
          <w:p>
            <w:pPr>
              <w:pStyle w:val="TableParagraph"/>
              <w:ind w:right="390"/>
              <w:jc w:val="right"/>
              <w:rPr>
                <w:sz w:val="17"/>
              </w:rPr>
            </w:pPr>
            <w:r>
              <w:rPr>
                <w:color w:val="231F20"/>
                <w:w w:val="110"/>
                <w:sz w:val="17"/>
              </w:rPr>
              <w:t>43,07</w:t>
            </w:r>
          </w:p>
        </w:tc>
        <w:tc>
          <w:tcPr>
            <w:tcW w:w="1304" w:type="dxa"/>
            <w:tcBorders>
              <w:right w:val="nil"/>
            </w:tcBorders>
          </w:tcPr>
          <w:p>
            <w:pPr>
              <w:pStyle w:val="TableParagraph"/>
              <w:ind w:left="247" w:right="167"/>
              <w:jc w:val="center"/>
              <w:rPr>
                <w:sz w:val="17"/>
              </w:rPr>
            </w:pPr>
            <w:r>
              <w:rPr>
                <w:color w:val="231F20"/>
                <w:w w:val="110"/>
                <w:sz w:val="17"/>
              </w:rPr>
              <w:t>90,64</w:t>
            </w:r>
          </w:p>
        </w:tc>
      </w:tr>
    </w:tbl>
    <w:p>
      <w:pPr>
        <w:spacing w:before="90"/>
        <w:ind w:left="1553" w:right="2503" w:firstLine="0"/>
        <w:jc w:val="left"/>
        <w:rPr>
          <w:sz w:val="15"/>
        </w:rPr>
      </w:pPr>
      <w:r>
        <w:rPr>
          <w:color w:val="231F20"/>
          <w:w w:val="105"/>
          <w:sz w:val="15"/>
        </w:rPr>
        <w:t>UGB: unidades de ganado bovino.</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8.     </w:t>
      </w:r>
      <w:r>
        <w:rPr>
          <w:color w:val="231F20"/>
          <w:spacing w:val="25"/>
          <w:sz w:val="18"/>
        </w:rPr>
        <w:t> </w:t>
      </w:r>
      <w:r>
        <w:rPr>
          <w:color w:val="231F20"/>
          <w:sz w:val="18"/>
        </w:rPr>
        <w:t>La producción de bovinos para carne y su importancia en el desarrollo</w:t>
      </w:r>
      <w:r>
        <w:rPr>
          <w:color w:val="231F20"/>
          <w:spacing w:val="13"/>
          <w:sz w:val="18"/>
        </w:rPr>
        <w:t> </w:t>
      </w:r>
      <w:r>
        <w:rPr>
          <w:color w:val="231F20"/>
          <w:sz w:val="18"/>
        </w:rPr>
        <w:t>rural…</w:t>
      </w:r>
      <w:r>
        <w:rPr>
          <w:color w:val="231F20"/>
          <w:sz w:val="22"/>
        </w:rPr>
        <w:tab/>
      </w:r>
      <w:r>
        <w:rPr>
          <w:color w:val="231F20"/>
          <w:spacing w:val="-5"/>
          <w:sz w:val="22"/>
        </w:rPr>
        <w:t>131</w:t>
      </w:r>
    </w:p>
    <w:p>
      <w:pPr>
        <w:spacing w:before="349"/>
        <w:ind w:left="1568" w:right="2503" w:firstLine="0"/>
        <w:jc w:val="left"/>
        <w:rPr>
          <w:sz w:val="18"/>
        </w:rPr>
      </w:pPr>
      <w:r>
        <w:rPr/>
        <w:pict>
          <v:shape style="position:absolute;margin-left:78.1968pt;margin-top:35.688633pt;width:440.15pt;height:142.85pt;mso-position-horizontal-relative:page;mso-position-vertical-relative:paragraph;z-index:436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65"/>
                    <w:gridCol w:w="1531"/>
                    <w:gridCol w:w="1531"/>
                    <w:gridCol w:w="1531"/>
                    <w:gridCol w:w="1531"/>
                  </w:tblGrid>
                  <w:tr>
                    <w:trPr>
                      <w:trHeight w:val="369" w:hRule="exact"/>
                    </w:trPr>
                    <w:tc>
                      <w:tcPr>
                        <w:tcW w:w="2665" w:type="dxa"/>
                        <w:tcBorders>
                          <w:left w:val="nil"/>
                        </w:tcBorders>
                      </w:tcPr>
                      <w:p>
                        <w:pPr/>
                      </w:p>
                    </w:tc>
                    <w:tc>
                      <w:tcPr>
                        <w:tcW w:w="1531" w:type="dxa"/>
                      </w:tcPr>
                      <w:p>
                        <w:pPr>
                          <w:pStyle w:val="TableParagraph"/>
                          <w:spacing w:before="79"/>
                          <w:ind w:left="641" w:right="641"/>
                          <w:jc w:val="center"/>
                          <w:rPr>
                            <w:rFonts w:ascii="Cambria"/>
                            <w:i/>
                            <w:sz w:val="18"/>
                          </w:rPr>
                        </w:pPr>
                        <w:r>
                          <w:rPr>
                            <w:rFonts w:ascii="Cambria"/>
                            <w:i/>
                            <w:color w:val="231F20"/>
                            <w:sz w:val="18"/>
                          </w:rPr>
                          <w:t>E1</w:t>
                        </w:r>
                      </w:p>
                    </w:tc>
                    <w:tc>
                      <w:tcPr>
                        <w:tcW w:w="1531" w:type="dxa"/>
                      </w:tcPr>
                      <w:p>
                        <w:pPr>
                          <w:pStyle w:val="TableParagraph"/>
                          <w:spacing w:before="79"/>
                          <w:ind w:left="641" w:right="641"/>
                          <w:jc w:val="center"/>
                          <w:rPr>
                            <w:rFonts w:ascii="Cambria"/>
                            <w:i/>
                            <w:sz w:val="18"/>
                          </w:rPr>
                        </w:pPr>
                        <w:r>
                          <w:rPr>
                            <w:rFonts w:ascii="Cambria"/>
                            <w:i/>
                            <w:color w:val="231F20"/>
                            <w:sz w:val="18"/>
                          </w:rPr>
                          <w:t>E2</w:t>
                        </w:r>
                      </w:p>
                    </w:tc>
                    <w:tc>
                      <w:tcPr>
                        <w:tcW w:w="1531" w:type="dxa"/>
                      </w:tcPr>
                      <w:p>
                        <w:pPr>
                          <w:pStyle w:val="TableParagraph"/>
                          <w:spacing w:before="79"/>
                          <w:ind w:left="641" w:right="641"/>
                          <w:jc w:val="center"/>
                          <w:rPr>
                            <w:rFonts w:ascii="Cambria"/>
                            <w:i/>
                            <w:sz w:val="18"/>
                          </w:rPr>
                        </w:pPr>
                        <w:r>
                          <w:rPr>
                            <w:rFonts w:ascii="Cambria"/>
                            <w:i/>
                            <w:color w:val="231F20"/>
                            <w:sz w:val="18"/>
                          </w:rPr>
                          <w:t>E3</w:t>
                        </w:r>
                      </w:p>
                    </w:tc>
                    <w:tc>
                      <w:tcPr>
                        <w:tcW w:w="1531" w:type="dxa"/>
                        <w:tcBorders>
                          <w:right w:val="nil"/>
                        </w:tcBorders>
                      </w:tcPr>
                      <w:p>
                        <w:pPr>
                          <w:pStyle w:val="TableParagraph"/>
                          <w:spacing w:before="79"/>
                          <w:ind w:right="377"/>
                          <w:jc w:val="right"/>
                          <w:rPr>
                            <w:rFonts w:ascii="Cambria"/>
                            <w:i/>
                            <w:sz w:val="18"/>
                          </w:rPr>
                        </w:pPr>
                        <w:r>
                          <w:rPr>
                            <w:rFonts w:ascii="Cambria"/>
                            <w:i/>
                            <w:color w:val="231F20"/>
                            <w:w w:val="105"/>
                            <w:sz w:val="18"/>
                          </w:rPr>
                          <w:t>Promedio</w:t>
                        </w:r>
                      </w:p>
                    </w:tc>
                  </w:tr>
                  <w:tr>
                    <w:trPr>
                      <w:trHeight w:val="354" w:hRule="exact"/>
                    </w:trPr>
                    <w:tc>
                      <w:tcPr>
                        <w:tcW w:w="2665" w:type="dxa"/>
                        <w:tcBorders>
                          <w:left w:val="nil"/>
                        </w:tcBorders>
                      </w:tcPr>
                      <w:p>
                        <w:pPr>
                          <w:pStyle w:val="TableParagraph"/>
                          <w:ind w:left="113"/>
                          <w:rPr>
                            <w:sz w:val="17"/>
                          </w:rPr>
                        </w:pPr>
                        <w:r>
                          <w:rPr>
                            <w:color w:val="231F20"/>
                            <w:sz w:val="17"/>
                          </w:rPr>
                          <w:t>Becerros/as  destetados/as</w:t>
                        </w:r>
                      </w:p>
                    </w:tc>
                    <w:tc>
                      <w:tcPr>
                        <w:tcW w:w="1531" w:type="dxa"/>
                      </w:tcPr>
                      <w:p>
                        <w:pPr>
                          <w:pStyle w:val="TableParagraph"/>
                          <w:ind w:right="389"/>
                          <w:jc w:val="right"/>
                          <w:rPr>
                            <w:sz w:val="17"/>
                          </w:rPr>
                        </w:pPr>
                        <w:r>
                          <w:rPr>
                            <w:color w:val="231F20"/>
                            <w:w w:val="110"/>
                            <w:sz w:val="17"/>
                          </w:rPr>
                          <w:t>53022,07</w:t>
                        </w:r>
                      </w:p>
                    </w:tc>
                    <w:tc>
                      <w:tcPr>
                        <w:tcW w:w="1531" w:type="dxa"/>
                      </w:tcPr>
                      <w:p>
                        <w:pPr>
                          <w:pStyle w:val="TableParagraph"/>
                          <w:ind w:right="389"/>
                          <w:jc w:val="right"/>
                          <w:rPr>
                            <w:sz w:val="17"/>
                          </w:rPr>
                        </w:pPr>
                        <w:r>
                          <w:rPr>
                            <w:color w:val="231F20"/>
                            <w:w w:val="115"/>
                            <w:sz w:val="17"/>
                          </w:rPr>
                          <w:t>83 621,31</w:t>
                        </w:r>
                      </w:p>
                    </w:tc>
                    <w:tc>
                      <w:tcPr>
                        <w:tcW w:w="1531" w:type="dxa"/>
                      </w:tcPr>
                      <w:p>
                        <w:pPr>
                          <w:pStyle w:val="TableParagraph"/>
                          <w:ind w:right="389"/>
                          <w:jc w:val="right"/>
                          <w:rPr>
                            <w:sz w:val="17"/>
                          </w:rPr>
                        </w:pPr>
                        <w:r>
                          <w:rPr>
                            <w:color w:val="231F20"/>
                            <w:w w:val="110"/>
                            <w:sz w:val="17"/>
                          </w:rPr>
                          <w:t>183957,87</w:t>
                        </w:r>
                      </w:p>
                    </w:tc>
                    <w:tc>
                      <w:tcPr>
                        <w:tcW w:w="1531" w:type="dxa"/>
                        <w:tcBorders>
                          <w:right w:val="nil"/>
                        </w:tcBorders>
                      </w:tcPr>
                      <w:p>
                        <w:pPr>
                          <w:pStyle w:val="TableParagraph"/>
                          <w:ind w:right="394"/>
                          <w:jc w:val="right"/>
                          <w:rPr>
                            <w:sz w:val="17"/>
                          </w:rPr>
                        </w:pPr>
                        <w:r>
                          <w:rPr>
                            <w:color w:val="231F20"/>
                            <w:w w:val="110"/>
                            <w:sz w:val="17"/>
                          </w:rPr>
                          <w:t>72406,27</w:t>
                        </w:r>
                      </w:p>
                    </w:tc>
                  </w:tr>
                  <w:tr>
                    <w:trPr>
                      <w:trHeight w:val="354" w:hRule="exact"/>
                    </w:trPr>
                    <w:tc>
                      <w:tcPr>
                        <w:tcW w:w="2665" w:type="dxa"/>
                        <w:tcBorders>
                          <w:left w:val="nil"/>
                        </w:tcBorders>
                      </w:tcPr>
                      <w:p>
                        <w:pPr>
                          <w:pStyle w:val="TableParagraph"/>
                          <w:ind w:left="113"/>
                          <w:rPr>
                            <w:sz w:val="17"/>
                          </w:rPr>
                        </w:pPr>
                        <w:r>
                          <w:rPr>
                            <w:color w:val="231F20"/>
                            <w:sz w:val="17"/>
                          </w:rPr>
                          <w:t>Machos engordados</w:t>
                        </w:r>
                      </w:p>
                    </w:tc>
                    <w:tc>
                      <w:tcPr>
                        <w:tcW w:w="1531" w:type="dxa"/>
                      </w:tcPr>
                      <w:p>
                        <w:pPr>
                          <w:pStyle w:val="TableParagraph"/>
                          <w:ind w:right="396"/>
                          <w:jc w:val="right"/>
                          <w:rPr>
                            <w:sz w:val="17"/>
                          </w:rPr>
                        </w:pPr>
                        <w:r>
                          <w:rPr>
                            <w:color w:val="231F20"/>
                            <w:w w:val="115"/>
                            <w:sz w:val="17"/>
                          </w:rPr>
                          <w:t>12 303,79</w:t>
                        </w:r>
                      </w:p>
                    </w:tc>
                    <w:tc>
                      <w:tcPr>
                        <w:tcW w:w="1531" w:type="dxa"/>
                      </w:tcPr>
                      <w:p>
                        <w:pPr>
                          <w:pStyle w:val="TableParagraph"/>
                          <w:ind w:right="389"/>
                          <w:jc w:val="right"/>
                          <w:rPr>
                            <w:sz w:val="17"/>
                          </w:rPr>
                        </w:pPr>
                        <w:r>
                          <w:rPr>
                            <w:color w:val="231F20"/>
                            <w:w w:val="110"/>
                            <w:sz w:val="17"/>
                          </w:rPr>
                          <w:t>30492,00</w:t>
                        </w:r>
                      </w:p>
                    </w:tc>
                    <w:tc>
                      <w:tcPr>
                        <w:tcW w:w="1531" w:type="dxa"/>
                      </w:tcPr>
                      <w:p>
                        <w:pPr>
                          <w:pStyle w:val="TableParagraph"/>
                          <w:ind w:right="389"/>
                          <w:jc w:val="right"/>
                          <w:rPr>
                            <w:sz w:val="17"/>
                          </w:rPr>
                        </w:pPr>
                        <w:r>
                          <w:rPr>
                            <w:color w:val="231F20"/>
                            <w:w w:val="115"/>
                            <w:sz w:val="17"/>
                          </w:rPr>
                          <w:t>16940,00</w:t>
                        </w:r>
                      </w:p>
                    </w:tc>
                    <w:tc>
                      <w:tcPr>
                        <w:tcW w:w="1531" w:type="dxa"/>
                        <w:tcBorders>
                          <w:right w:val="nil"/>
                        </w:tcBorders>
                      </w:tcPr>
                      <w:p>
                        <w:pPr>
                          <w:pStyle w:val="TableParagraph"/>
                          <w:ind w:right="394"/>
                          <w:jc w:val="right"/>
                          <w:rPr>
                            <w:sz w:val="17"/>
                          </w:rPr>
                        </w:pPr>
                        <w:r>
                          <w:rPr>
                            <w:color w:val="231F20"/>
                            <w:w w:val="110"/>
                            <w:sz w:val="17"/>
                          </w:rPr>
                          <w:t>15042,72</w:t>
                        </w:r>
                      </w:p>
                    </w:tc>
                  </w:tr>
                  <w:tr>
                    <w:trPr>
                      <w:trHeight w:val="354" w:hRule="exact"/>
                    </w:trPr>
                    <w:tc>
                      <w:tcPr>
                        <w:tcW w:w="2665" w:type="dxa"/>
                        <w:tcBorders>
                          <w:left w:val="nil"/>
                        </w:tcBorders>
                      </w:tcPr>
                      <w:p>
                        <w:pPr>
                          <w:pStyle w:val="TableParagraph"/>
                          <w:ind w:left="113"/>
                          <w:rPr>
                            <w:sz w:val="17"/>
                          </w:rPr>
                        </w:pPr>
                        <w:r>
                          <w:rPr>
                            <w:color w:val="231F20"/>
                            <w:sz w:val="17"/>
                          </w:rPr>
                          <w:t>Otros bovinos</w:t>
                        </w:r>
                      </w:p>
                    </w:tc>
                    <w:tc>
                      <w:tcPr>
                        <w:tcW w:w="1531" w:type="dxa"/>
                      </w:tcPr>
                      <w:p>
                        <w:pPr>
                          <w:pStyle w:val="TableParagraph"/>
                          <w:ind w:right="389"/>
                          <w:jc w:val="right"/>
                          <w:rPr>
                            <w:sz w:val="17"/>
                          </w:rPr>
                        </w:pPr>
                        <w:r>
                          <w:rPr>
                            <w:color w:val="231F20"/>
                            <w:w w:val="110"/>
                            <w:sz w:val="17"/>
                          </w:rPr>
                          <w:t>11071,05</w:t>
                        </w:r>
                      </w:p>
                    </w:tc>
                    <w:tc>
                      <w:tcPr>
                        <w:tcW w:w="1531" w:type="dxa"/>
                      </w:tcPr>
                      <w:p>
                        <w:pPr>
                          <w:pStyle w:val="TableParagraph"/>
                          <w:ind w:right="389"/>
                          <w:jc w:val="right"/>
                          <w:rPr>
                            <w:sz w:val="17"/>
                          </w:rPr>
                        </w:pPr>
                        <w:r>
                          <w:rPr>
                            <w:color w:val="231F20"/>
                            <w:w w:val="110"/>
                            <w:sz w:val="17"/>
                          </w:rPr>
                          <w:t>3000,00</w:t>
                        </w:r>
                      </w:p>
                    </w:tc>
                    <w:tc>
                      <w:tcPr>
                        <w:tcW w:w="1531" w:type="dxa"/>
                      </w:tcPr>
                      <w:p>
                        <w:pPr>
                          <w:pStyle w:val="TableParagraph"/>
                          <w:ind w:right="389"/>
                          <w:jc w:val="right"/>
                          <w:rPr>
                            <w:sz w:val="17"/>
                          </w:rPr>
                        </w:pPr>
                        <w:r>
                          <w:rPr>
                            <w:color w:val="231F20"/>
                            <w:w w:val="110"/>
                            <w:sz w:val="17"/>
                          </w:rPr>
                          <w:t>48000,00</w:t>
                        </w:r>
                      </w:p>
                    </w:tc>
                    <w:tc>
                      <w:tcPr>
                        <w:tcW w:w="1531" w:type="dxa"/>
                        <w:tcBorders>
                          <w:right w:val="nil"/>
                        </w:tcBorders>
                      </w:tcPr>
                      <w:p>
                        <w:pPr>
                          <w:pStyle w:val="TableParagraph"/>
                          <w:ind w:right="394"/>
                          <w:jc w:val="right"/>
                          <w:rPr>
                            <w:sz w:val="17"/>
                          </w:rPr>
                        </w:pPr>
                        <w:r>
                          <w:rPr>
                            <w:color w:val="231F20"/>
                            <w:w w:val="110"/>
                            <w:sz w:val="17"/>
                          </w:rPr>
                          <w:t>14534,00</w:t>
                        </w:r>
                      </w:p>
                    </w:tc>
                  </w:tr>
                  <w:tr>
                    <w:trPr>
                      <w:trHeight w:val="354" w:hRule="exact"/>
                    </w:trPr>
                    <w:tc>
                      <w:tcPr>
                        <w:tcW w:w="2665" w:type="dxa"/>
                        <w:tcBorders>
                          <w:left w:val="nil"/>
                        </w:tcBorders>
                      </w:tcPr>
                      <w:p>
                        <w:pPr>
                          <w:pStyle w:val="TableParagraph"/>
                          <w:ind w:left="113"/>
                          <w:rPr>
                            <w:sz w:val="17"/>
                          </w:rPr>
                        </w:pPr>
                        <w:r>
                          <w:rPr>
                            <w:color w:val="231F20"/>
                            <w:sz w:val="17"/>
                          </w:rPr>
                          <w:t>Corderos</w:t>
                        </w:r>
                      </w:p>
                    </w:tc>
                    <w:tc>
                      <w:tcPr>
                        <w:tcW w:w="1531" w:type="dxa"/>
                      </w:tcPr>
                      <w:p>
                        <w:pPr>
                          <w:pStyle w:val="TableParagraph"/>
                          <w:ind w:right="389"/>
                          <w:jc w:val="right"/>
                          <w:rPr>
                            <w:sz w:val="17"/>
                          </w:rPr>
                        </w:pPr>
                        <w:r>
                          <w:rPr>
                            <w:color w:val="231F20"/>
                            <w:w w:val="110"/>
                            <w:sz w:val="17"/>
                          </w:rPr>
                          <w:t>880,53</w:t>
                        </w:r>
                      </w:p>
                    </w:tc>
                    <w:tc>
                      <w:tcPr>
                        <w:tcW w:w="1531" w:type="dxa"/>
                      </w:tcPr>
                      <w:p>
                        <w:pPr>
                          <w:pStyle w:val="TableParagraph"/>
                          <w:ind w:right="389"/>
                          <w:jc w:val="right"/>
                          <w:rPr>
                            <w:sz w:val="17"/>
                          </w:rPr>
                        </w:pPr>
                        <w:r>
                          <w:rPr>
                            <w:color w:val="231F20"/>
                            <w:w w:val="110"/>
                            <w:sz w:val="17"/>
                          </w:rPr>
                          <w:t>0,00</w:t>
                        </w:r>
                      </w:p>
                    </w:tc>
                    <w:tc>
                      <w:tcPr>
                        <w:tcW w:w="1531" w:type="dxa"/>
                      </w:tcPr>
                      <w:p>
                        <w:pPr>
                          <w:pStyle w:val="TableParagraph"/>
                          <w:ind w:right="389"/>
                          <w:jc w:val="right"/>
                          <w:rPr>
                            <w:sz w:val="17"/>
                          </w:rPr>
                        </w:pPr>
                        <w:r>
                          <w:rPr>
                            <w:color w:val="231F20"/>
                            <w:w w:val="110"/>
                            <w:sz w:val="17"/>
                          </w:rPr>
                          <w:t>833,33</w:t>
                        </w:r>
                      </w:p>
                    </w:tc>
                    <w:tc>
                      <w:tcPr>
                        <w:tcW w:w="1531" w:type="dxa"/>
                        <w:tcBorders>
                          <w:right w:val="nil"/>
                        </w:tcBorders>
                      </w:tcPr>
                      <w:p>
                        <w:pPr>
                          <w:pStyle w:val="TableParagraph"/>
                          <w:ind w:right="394"/>
                          <w:jc w:val="right"/>
                          <w:rPr>
                            <w:sz w:val="17"/>
                          </w:rPr>
                        </w:pPr>
                        <w:r>
                          <w:rPr>
                            <w:color w:val="231F20"/>
                            <w:w w:val="110"/>
                            <w:sz w:val="17"/>
                          </w:rPr>
                          <w:t>769,20</w:t>
                        </w:r>
                      </w:p>
                    </w:tc>
                  </w:tr>
                  <w:tr>
                    <w:trPr>
                      <w:trHeight w:val="354" w:hRule="exact"/>
                    </w:trPr>
                    <w:tc>
                      <w:tcPr>
                        <w:tcW w:w="2665" w:type="dxa"/>
                        <w:tcBorders>
                          <w:left w:val="nil"/>
                        </w:tcBorders>
                      </w:tcPr>
                      <w:p>
                        <w:pPr>
                          <w:pStyle w:val="TableParagraph"/>
                          <w:ind w:left="113"/>
                          <w:rPr>
                            <w:sz w:val="17"/>
                          </w:rPr>
                        </w:pPr>
                        <w:r>
                          <w:rPr>
                            <w:color w:val="231F20"/>
                            <w:w w:val="105"/>
                            <w:sz w:val="17"/>
                          </w:rPr>
                          <w:t>Leche y quesos</w:t>
                        </w:r>
                      </w:p>
                    </w:tc>
                    <w:tc>
                      <w:tcPr>
                        <w:tcW w:w="1531" w:type="dxa"/>
                      </w:tcPr>
                      <w:p>
                        <w:pPr>
                          <w:pStyle w:val="TableParagraph"/>
                          <w:ind w:right="389"/>
                          <w:jc w:val="right"/>
                          <w:rPr>
                            <w:sz w:val="17"/>
                          </w:rPr>
                        </w:pPr>
                        <w:r>
                          <w:rPr>
                            <w:color w:val="231F20"/>
                            <w:w w:val="110"/>
                            <w:sz w:val="17"/>
                          </w:rPr>
                          <w:t>5880,53</w:t>
                        </w:r>
                      </w:p>
                    </w:tc>
                    <w:tc>
                      <w:tcPr>
                        <w:tcW w:w="1531" w:type="dxa"/>
                      </w:tcPr>
                      <w:p>
                        <w:pPr>
                          <w:pStyle w:val="TableParagraph"/>
                          <w:ind w:right="389"/>
                          <w:jc w:val="right"/>
                          <w:rPr>
                            <w:sz w:val="17"/>
                          </w:rPr>
                        </w:pPr>
                        <w:r>
                          <w:rPr>
                            <w:color w:val="231F20"/>
                            <w:w w:val="110"/>
                            <w:sz w:val="17"/>
                          </w:rPr>
                          <w:t>15483,33</w:t>
                        </w:r>
                      </w:p>
                    </w:tc>
                    <w:tc>
                      <w:tcPr>
                        <w:tcW w:w="1531" w:type="dxa"/>
                      </w:tcPr>
                      <w:p>
                        <w:pPr>
                          <w:pStyle w:val="TableParagraph"/>
                          <w:ind w:right="389"/>
                          <w:jc w:val="right"/>
                          <w:rPr>
                            <w:sz w:val="17"/>
                          </w:rPr>
                        </w:pPr>
                        <w:r>
                          <w:rPr>
                            <w:color w:val="231F20"/>
                            <w:w w:val="110"/>
                            <w:sz w:val="17"/>
                          </w:rPr>
                          <w:t>0,00</w:t>
                        </w:r>
                      </w:p>
                    </w:tc>
                    <w:tc>
                      <w:tcPr>
                        <w:tcW w:w="1531" w:type="dxa"/>
                        <w:tcBorders>
                          <w:right w:val="nil"/>
                        </w:tcBorders>
                      </w:tcPr>
                      <w:p>
                        <w:pPr>
                          <w:pStyle w:val="TableParagraph"/>
                          <w:ind w:right="398"/>
                          <w:jc w:val="right"/>
                          <w:rPr>
                            <w:sz w:val="17"/>
                          </w:rPr>
                        </w:pPr>
                        <w:r>
                          <w:rPr>
                            <w:color w:val="231F20"/>
                            <w:w w:val="110"/>
                            <w:sz w:val="17"/>
                          </w:rPr>
                          <w:t>6327,20</w:t>
                        </w:r>
                      </w:p>
                    </w:tc>
                  </w:tr>
                  <w:tr>
                    <w:trPr>
                      <w:trHeight w:val="354" w:hRule="exact"/>
                    </w:trPr>
                    <w:tc>
                      <w:tcPr>
                        <w:tcW w:w="2665" w:type="dxa"/>
                        <w:tcBorders>
                          <w:left w:val="nil"/>
                        </w:tcBorders>
                      </w:tcPr>
                      <w:p>
                        <w:pPr>
                          <w:pStyle w:val="TableParagraph"/>
                          <w:ind w:left="113"/>
                          <w:rPr>
                            <w:sz w:val="17"/>
                          </w:rPr>
                        </w:pPr>
                        <w:r>
                          <w:rPr>
                            <w:color w:val="231F20"/>
                            <w:sz w:val="17"/>
                          </w:rPr>
                          <w:t>Otros ingresos</w:t>
                        </w:r>
                      </w:p>
                    </w:tc>
                    <w:tc>
                      <w:tcPr>
                        <w:tcW w:w="1531" w:type="dxa"/>
                      </w:tcPr>
                      <w:p>
                        <w:pPr>
                          <w:pStyle w:val="TableParagraph"/>
                          <w:ind w:right="396"/>
                          <w:jc w:val="right"/>
                          <w:rPr>
                            <w:sz w:val="17"/>
                          </w:rPr>
                        </w:pPr>
                        <w:r>
                          <w:rPr>
                            <w:color w:val="231F20"/>
                            <w:w w:val="110"/>
                            <w:sz w:val="17"/>
                          </w:rPr>
                          <w:t>13,16</w:t>
                        </w:r>
                      </w:p>
                    </w:tc>
                    <w:tc>
                      <w:tcPr>
                        <w:tcW w:w="1531" w:type="dxa"/>
                      </w:tcPr>
                      <w:p>
                        <w:pPr>
                          <w:pStyle w:val="TableParagraph"/>
                          <w:ind w:right="389"/>
                          <w:jc w:val="right"/>
                          <w:rPr>
                            <w:sz w:val="17"/>
                          </w:rPr>
                        </w:pPr>
                        <w:r>
                          <w:rPr>
                            <w:color w:val="231F20"/>
                            <w:w w:val="110"/>
                            <w:sz w:val="17"/>
                          </w:rPr>
                          <w:t>0,00</w:t>
                        </w:r>
                      </w:p>
                    </w:tc>
                    <w:tc>
                      <w:tcPr>
                        <w:tcW w:w="1531" w:type="dxa"/>
                      </w:tcPr>
                      <w:p>
                        <w:pPr>
                          <w:pStyle w:val="TableParagraph"/>
                          <w:ind w:right="389"/>
                          <w:jc w:val="right"/>
                          <w:rPr>
                            <w:sz w:val="17"/>
                          </w:rPr>
                        </w:pPr>
                        <w:r>
                          <w:rPr>
                            <w:color w:val="231F20"/>
                            <w:w w:val="110"/>
                            <w:sz w:val="17"/>
                          </w:rPr>
                          <w:t>0,00</w:t>
                        </w:r>
                      </w:p>
                    </w:tc>
                    <w:tc>
                      <w:tcPr>
                        <w:tcW w:w="1531" w:type="dxa"/>
                        <w:tcBorders>
                          <w:right w:val="nil"/>
                        </w:tcBorders>
                      </w:tcPr>
                      <w:p>
                        <w:pPr>
                          <w:pStyle w:val="TableParagraph"/>
                          <w:ind w:right="394"/>
                          <w:jc w:val="right"/>
                          <w:rPr>
                            <w:sz w:val="17"/>
                          </w:rPr>
                        </w:pPr>
                        <w:r>
                          <w:rPr>
                            <w:color w:val="231F20"/>
                            <w:w w:val="110"/>
                            <w:sz w:val="17"/>
                          </w:rPr>
                          <w:t>10,00</w:t>
                        </w:r>
                      </w:p>
                    </w:tc>
                  </w:tr>
                  <w:tr>
                    <w:trPr>
                      <w:trHeight w:val="354" w:hRule="exact"/>
                    </w:trPr>
                    <w:tc>
                      <w:tcPr>
                        <w:tcW w:w="2665" w:type="dxa"/>
                        <w:tcBorders>
                          <w:left w:val="nil"/>
                        </w:tcBorders>
                      </w:tcPr>
                      <w:p>
                        <w:pPr>
                          <w:pStyle w:val="TableParagraph"/>
                          <w:ind w:left="113"/>
                          <w:rPr>
                            <w:sz w:val="17"/>
                          </w:rPr>
                        </w:pPr>
                        <w:r>
                          <w:rPr>
                            <w:color w:val="231F20"/>
                            <w:sz w:val="17"/>
                          </w:rPr>
                          <w:t>Ingreso total</w:t>
                        </w:r>
                      </w:p>
                    </w:tc>
                    <w:tc>
                      <w:tcPr>
                        <w:tcW w:w="1531" w:type="dxa"/>
                      </w:tcPr>
                      <w:p>
                        <w:pPr>
                          <w:pStyle w:val="TableParagraph"/>
                          <w:ind w:right="389"/>
                          <w:jc w:val="right"/>
                          <w:rPr>
                            <w:sz w:val="17"/>
                          </w:rPr>
                        </w:pPr>
                        <w:r>
                          <w:rPr>
                            <w:color w:val="231F20"/>
                            <w:w w:val="110"/>
                            <w:sz w:val="17"/>
                          </w:rPr>
                          <w:t>89051,65</w:t>
                        </w:r>
                      </w:p>
                    </w:tc>
                    <w:tc>
                      <w:tcPr>
                        <w:tcW w:w="1531" w:type="dxa"/>
                      </w:tcPr>
                      <w:p>
                        <w:pPr>
                          <w:pStyle w:val="TableParagraph"/>
                          <w:ind w:right="389"/>
                          <w:jc w:val="right"/>
                          <w:rPr>
                            <w:sz w:val="17"/>
                          </w:rPr>
                        </w:pPr>
                        <w:r>
                          <w:rPr>
                            <w:color w:val="231F20"/>
                            <w:w w:val="110"/>
                            <w:sz w:val="17"/>
                          </w:rPr>
                          <w:t>148079,98</w:t>
                        </w:r>
                      </w:p>
                    </w:tc>
                    <w:tc>
                      <w:tcPr>
                        <w:tcW w:w="1531" w:type="dxa"/>
                      </w:tcPr>
                      <w:p>
                        <w:pPr>
                          <w:pStyle w:val="TableParagraph"/>
                          <w:ind w:right="389"/>
                          <w:jc w:val="right"/>
                          <w:rPr>
                            <w:sz w:val="17"/>
                          </w:rPr>
                        </w:pPr>
                        <w:r>
                          <w:rPr>
                            <w:color w:val="231F20"/>
                            <w:w w:val="110"/>
                            <w:sz w:val="17"/>
                          </w:rPr>
                          <w:t>249731,20</w:t>
                        </w:r>
                      </w:p>
                    </w:tc>
                    <w:tc>
                      <w:tcPr>
                        <w:tcW w:w="1531" w:type="dxa"/>
                        <w:tcBorders>
                          <w:right w:val="nil"/>
                        </w:tcBorders>
                      </w:tcPr>
                      <w:p>
                        <w:pPr>
                          <w:pStyle w:val="TableParagraph"/>
                          <w:ind w:right="395"/>
                          <w:jc w:val="right"/>
                          <w:rPr>
                            <w:sz w:val="17"/>
                          </w:rPr>
                        </w:pPr>
                        <w:r>
                          <w:rPr>
                            <w:color w:val="231F20"/>
                            <w:w w:val="110"/>
                            <w:sz w:val="17"/>
                          </w:rPr>
                          <w:t>115 416,59</w:t>
                        </w:r>
                      </w:p>
                    </w:tc>
                  </w:tr>
                </w:tbl>
                <w:p>
                  <w:pPr>
                    <w:pStyle w:val="BodyText"/>
                  </w:pPr>
                </w:p>
              </w:txbxContent>
            </v:textbox>
            <w10:wrap type="none"/>
          </v:shape>
        </w:pict>
      </w:r>
      <w:r>
        <w:rPr>
          <w:color w:val="231F20"/>
          <w:sz w:val="18"/>
        </w:rPr>
        <w:t>Cuadro 14.         Ingresos ($) en las unidades de producción analizadas.</w:t>
      </w:r>
    </w:p>
    <w:p>
      <w:pPr>
        <w:spacing w:after="0"/>
        <w:jc w:val="left"/>
        <w:rPr>
          <w:sz w:val="18"/>
        </w:rPr>
        <w:sectPr>
          <w:pgSz w:w="11900" w:h="14450"/>
          <w:pgMar w:header="0" w:footer="222"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268" w:lineRule="auto" w:before="124"/>
        <w:ind w:left="1553"/>
        <w:jc w:val="both"/>
      </w:pPr>
      <w:r>
        <w:rPr>
          <w:color w:val="231F20"/>
        </w:rPr>
        <w:t>extensivo, dada la gran disponibilidad de super- ficies para el pastoreo, aunque la producción de leche es importante en E2 y   E1.</w:t>
      </w:r>
    </w:p>
    <w:p>
      <w:pPr>
        <w:pStyle w:val="BodyText"/>
        <w:spacing w:line="268" w:lineRule="auto" w:before="114"/>
        <w:ind w:left="1553"/>
        <w:jc w:val="both"/>
      </w:pPr>
      <w:r>
        <w:rPr>
          <w:color w:val="231F20"/>
        </w:rPr>
        <w:t>En la Figura 6 se muestra la importancia de los</w:t>
      </w:r>
      <w:r>
        <w:rPr>
          <w:color w:val="231F20"/>
          <w:w w:val="101"/>
        </w:rPr>
        <w:t> </w:t>
      </w:r>
      <w:r>
        <w:rPr>
          <w:color w:val="231F20"/>
        </w:rPr>
        <w:t>principales ingresos en las unidades de produc- ción. Los ingresos percibidos por la venta de ga- nado bovino representan casi el 95% del total; la venta de ovinos, caprinos y otros representa un 3,7%, y la leche supone un bajo    porcentaje.</w:t>
      </w:r>
    </w:p>
    <w:p>
      <w:pPr>
        <w:pStyle w:val="BodyText"/>
        <w:spacing w:line="268" w:lineRule="auto" w:before="114"/>
        <w:ind w:left="1553"/>
        <w:jc w:val="both"/>
      </w:pPr>
      <w:r>
        <w:rPr>
          <w:color w:val="231F20"/>
        </w:rPr>
        <w:t>De los ingresos que se perciben por la venta de ganado bovino se observó que el mayor porcenta- je deriva de la venta de terneros destetados, que</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9"/>
        </w:rPr>
      </w:pPr>
    </w:p>
    <w:p>
      <w:pPr>
        <w:pStyle w:val="BodyText"/>
        <w:spacing w:line="261" w:lineRule="auto"/>
        <w:ind w:left="413" w:right="1551"/>
        <w:jc w:val="both"/>
      </w:pPr>
      <w:r>
        <w:rPr>
          <w:color w:val="231F20"/>
          <w:w w:val="105"/>
        </w:rPr>
        <w:t>es</w:t>
      </w:r>
      <w:r>
        <w:rPr>
          <w:color w:val="231F20"/>
          <w:spacing w:val="-14"/>
          <w:w w:val="105"/>
        </w:rPr>
        <w:t> </w:t>
      </w:r>
      <w:r>
        <w:rPr>
          <w:color w:val="231F20"/>
          <w:w w:val="105"/>
        </w:rPr>
        <w:t>mayor</w:t>
      </w:r>
      <w:r>
        <w:rPr>
          <w:color w:val="231F20"/>
          <w:spacing w:val="-14"/>
          <w:w w:val="105"/>
        </w:rPr>
        <w:t> </w:t>
      </w:r>
      <w:r>
        <w:rPr>
          <w:color w:val="231F20"/>
          <w:w w:val="105"/>
        </w:rPr>
        <w:t>en</w:t>
      </w:r>
      <w:r>
        <w:rPr>
          <w:color w:val="231F20"/>
          <w:spacing w:val="-14"/>
          <w:w w:val="105"/>
        </w:rPr>
        <w:t> </w:t>
      </w:r>
      <w:r>
        <w:rPr>
          <w:color w:val="231F20"/>
          <w:w w:val="105"/>
        </w:rPr>
        <w:t>E2.</w:t>
      </w:r>
      <w:r>
        <w:rPr>
          <w:color w:val="231F20"/>
          <w:spacing w:val="-14"/>
          <w:w w:val="105"/>
        </w:rPr>
        <w:t> </w:t>
      </w:r>
      <w:r>
        <w:rPr>
          <w:color w:val="231F20"/>
          <w:w w:val="105"/>
        </w:rPr>
        <w:t>Otro</w:t>
      </w:r>
      <w:r>
        <w:rPr>
          <w:color w:val="231F20"/>
          <w:spacing w:val="-14"/>
          <w:w w:val="105"/>
        </w:rPr>
        <w:t> </w:t>
      </w:r>
      <w:r>
        <w:rPr>
          <w:color w:val="231F20"/>
          <w:w w:val="105"/>
        </w:rPr>
        <w:t>rubro</w:t>
      </w:r>
      <w:r>
        <w:rPr>
          <w:color w:val="231F20"/>
          <w:spacing w:val="-14"/>
          <w:w w:val="105"/>
        </w:rPr>
        <w:t> </w:t>
      </w:r>
      <w:r>
        <w:rPr>
          <w:color w:val="231F20"/>
          <w:w w:val="105"/>
        </w:rPr>
        <w:t>importante</w:t>
      </w:r>
      <w:r>
        <w:rPr>
          <w:color w:val="231F20"/>
          <w:spacing w:val="-14"/>
          <w:w w:val="105"/>
        </w:rPr>
        <w:t> </w:t>
      </w:r>
      <w:r>
        <w:rPr>
          <w:color w:val="231F20"/>
          <w:w w:val="105"/>
        </w:rPr>
        <w:t>es</w:t>
      </w:r>
      <w:r>
        <w:rPr>
          <w:color w:val="231F20"/>
          <w:spacing w:val="-14"/>
          <w:w w:val="105"/>
        </w:rPr>
        <w:t> </w:t>
      </w:r>
      <w:r>
        <w:rPr>
          <w:color w:val="231F20"/>
          <w:w w:val="105"/>
        </w:rPr>
        <w:t>la</w:t>
      </w:r>
      <w:r>
        <w:rPr>
          <w:color w:val="231F20"/>
          <w:spacing w:val="-14"/>
          <w:w w:val="105"/>
        </w:rPr>
        <w:t> </w:t>
      </w:r>
      <w:r>
        <w:rPr>
          <w:color w:val="231F20"/>
          <w:w w:val="105"/>
        </w:rPr>
        <w:t>venta de animales de desecho en E2 y la engorda en  E1 (Fig.</w:t>
      </w:r>
      <w:r>
        <w:rPr>
          <w:color w:val="231F20"/>
          <w:spacing w:val="37"/>
          <w:w w:val="105"/>
        </w:rPr>
        <w:t> </w:t>
      </w:r>
      <w:r>
        <w:rPr>
          <w:color w:val="231F20"/>
          <w:w w:val="105"/>
        </w:rPr>
        <w:t>7).</w:t>
      </w:r>
    </w:p>
    <w:p>
      <w:pPr>
        <w:pStyle w:val="BodyText"/>
        <w:spacing w:before="6"/>
        <w:rPr>
          <w:sz w:val="18"/>
        </w:rPr>
      </w:pPr>
    </w:p>
    <w:p>
      <w:pPr>
        <w:spacing w:before="1"/>
        <w:ind w:left="413" w:right="0" w:firstLine="0"/>
        <w:jc w:val="both"/>
        <w:rPr>
          <w:rFonts w:ascii="Cambria" w:hAnsi="Cambria"/>
          <w:i/>
          <w:sz w:val="20"/>
        </w:rPr>
      </w:pPr>
      <w:r>
        <w:rPr>
          <w:rFonts w:ascii="Cambria" w:hAnsi="Cambria"/>
          <w:i/>
          <w:color w:val="231F20"/>
          <w:w w:val="105"/>
          <w:sz w:val="20"/>
        </w:rPr>
        <w:t>Indicadores  económicos</w:t>
      </w:r>
    </w:p>
    <w:p>
      <w:pPr>
        <w:pStyle w:val="BodyText"/>
        <w:spacing w:line="261" w:lineRule="auto" w:before="144"/>
        <w:ind w:left="413" w:right="1551"/>
        <w:jc w:val="both"/>
      </w:pPr>
      <w:r>
        <w:rPr>
          <w:color w:val="231F20"/>
        </w:rPr>
        <w:t>La sustentabilidad de un sistema está condicionada por los resultados económicos, y su competitividad depende en gran medida de la productividad de los factores de producción, fundamentalmente de la mano de obra. En el Cuadro </w:t>
      </w:r>
      <w:r>
        <w:rPr>
          <w:color w:val="231F20"/>
          <w:spacing w:val="-5"/>
        </w:rPr>
        <w:t>15 </w:t>
      </w:r>
      <w:r>
        <w:rPr>
          <w:color w:val="231F20"/>
        </w:rPr>
        <w:t>se observa que el margen neto (diferencia entre los ingresos totales  y los costos y gastos incurridos en la operación de la  actividad)  representa  $71786,24  en </w:t>
      </w:r>
      <w:r>
        <w:rPr>
          <w:color w:val="231F20"/>
          <w:spacing w:val="21"/>
        </w:rPr>
        <w:t> </w:t>
      </w:r>
      <w:r>
        <w:rPr>
          <w:color w:val="231F20"/>
        </w:rPr>
        <w:t>promedio</w:t>
      </w:r>
    </w:p>
    <w:p>
      <w:pPr>
        <w:spacing w:after="0" w:line="261" w:lineRule="auto"/>
        <w:jc w:val="both"/>
        <w:sectPr>
          <w:type w:val="continuous"/>
          <w:pgSz w:w="11900" w:h="14450"/>
          <w:pgMar w:top="420" w:bottom="420" w:left="0" w:right="0"/>
          <w:cols w:num="2" w:equalWidth="0">
            <w:col w:w="5721" w:space="40"/>
            <w:col w:w="6139"/>
          </w:cols>
        </w:sectPr>
      </w:pPr>
    </w:p>
    <w:p>
      <w:pPr>
        <w:pStyle w:val="BodyText"/>
      </w:pPr>
    </w:p>
    <w:p>
      <w:pPr>
        <w:pStyle w:val="BodyText"/>
      </w:pPr>
    </w:p>
    <w:p>
      <w:pPr>
        <w:pStyle w:val="BodyText"/>
        <w:spacing w:before="10"/>
        <w:rPr>
          <w:sz w:val="21"/>
        </w:rPr>
      </w:pPr>
    </w:p>
    <w:p>
      <w:pPr>
        <w:pStyle w:val="BodyText"/>
        <w:tabs>
          <w:tab w:pos="6742" w:val="left" w:leader="none"/>
        </w:tabs>
        <w:ind w:left="2204"/>
      </w:pPr>
      <w:r>
        <w:rPr/>
        <w:pict>
          <v:shape style="width:167.95pt;height:99.1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1"/>
                    <w:gridCol w:w="334"/>
                    <w:gridCol w:w="501"/>
                    <w:gridCol w:w="335"/>
                    <w:gridCol w:w="501"/>
                    <w:gridCol w:w="335"/>
                    <w:gridCol w:w="501"/>
                    <w:gridCol w:w="334"/>
                    <w:gridCol w:w="251"/>
                  </w:tblGrid>
                  <w:tr>
                    <w:trPr>
                      <w:trHeight w:val="390" w:hRule="exact"/>
                    </w:trPr>
                    <w:tc>
                      <w:tcPr>
                        <w:tcW w:w="251" w:type="dxa"/>
                        <w:tcBorders>
                          <w:top w:val="single" w:sz="4" w:space="0" w:color="858585"/>
                          <w:left w:val="single" w:sz="4" w:space="0" w:color="858585"/>
                          <w:bottom w:val="single" w:sz="4" w:space="0" w:color="858585"/>
                        </w:tcBorders>
                      </w:tcPr>
                      <w:p>
                        <w:pPr/>
                      </w:p>
                    </w:tc>
                    <w:tc>
                      <w:tcPr>
                        <w:tcW w:w="334" w:type="dxa"/>
                        <w:vMerge w:val="restart"/>
                        <w:tcBorders>
                          <w:top w:val="single" w:sz="4" w:space="0" w:color="858585"/>
                        </w:tcBorders>
                        <w:shd w:val="clear" w:color="auto" w:fill="BEBEBE"/>
                      </w:tcPr>
                      <w:p>
                        <w:pPr/>
                      </w:p>
                    </w:tc>
                    <w:tc>
                      <w:tcPr>
                        <w:tcW w:w="501" w:type="dxa"/>
                        <w:tcBorders>
                          <w:top w:val="single" w:sz="4" w:space="0" w:color="858585"/>
                          <w:bottom w:val="single" w:sz="4" w:space="0" w:color="858585"/>
                        </w:tcBorders>
                      </w:tcPr>
                      <w:p>
                        <w:pPr/>
                      </w:p>
                    </w:tc>
                    <w:tc>
                      <w:tcPr>
                        <w:tcW w:w="335" w:type="dxa"/>
                        <w:vMerge w:val="restart"/>
                        <w:tcBorders>
                          <w:top w:val="single" w:sz="4" w:space="0" w:color="858585"/>
                        </w:tcBorders>
                        <w:shd w:val="clear" w:color="auto" w:fill="BEBEBE"/>
                      </w:tcPr>
                      <w:p>
                        <w:pPr/>
                      </w:p>
                    </w:tc>
                    <w:tc>
                      <w:tcPr>
                        <w:tcW w:w="501" w:type="dxa"/>
                        <w:tcBorders>
                          <w:top w:val="single" w:sz="4" w:space="0" w:color="858585"/>
                          <w:bottom w:val="single" w:sz="4" w:space="0" w:color="858585"/>
                        </w:tcBorders>
                      </w:tcPr>
                      <w:p>
                        <w:pPr/>
                      </w:p>
                    </w:tc>
                    <w:tc>
                      <w:tcPr>
                        <w:tcW w:w="335" w:type="dxa"/>
                        <w:vMerge w:val="restart"/>
                        <w:tcBorders>
                          <w:top w:val="single" w:sz="20" w:space="0" w:color="D9D9D9"/>
                        </w:tcBorders>
                        <w:shd w:val="clear" w:color="auto" w:fill="A6A6A6"/>
                      </w:tcPr>
                      <w:p>
                        <w:pPr/>
                      </w:p>
                    </w:tc>
                    <w:tc>
                      <w:tcPr>
                        <w:tcW w:w="501" w:type="dxa"/>
                        <w:tcBorders>
                          <w:top w:val="single" w:sz="4" w:space="0" w:color="858585"/>
                          <w:bottom w:val="single" w:sz="4" w:space="0" w:color="858585"/>
                        </w:tcBorders>
                      </w:tcPr>
                      <w:p>
                        <w:pPr/>
                      </w:p>
                    </w:tc>
                    <w:tc>
                      <w:tcPr>
                        <w:tcW w:w="334" w:type="dxa"/>
                        <w:vMerge w:val="restart"/>
                        <w:tcBorders>
                          <w:top w:val="single" w:sz="4" w:space="0" w:color="858585"/>
                        </w:tcBorders>
                        <w:shd w:val="clear" w:color="auto" w:fill="BEBEBE"/>
                      </w:tcPr>
                      <w:p>
                        <w:pPr/>
                      </w:p>
                    </w:tc>
                    <w:tc>
                      <w:tcPr>
                        <w:tcW w:w="251" w:type="dxa"/>
                        <w:tcBorders>
                          <w:top w:val="single" w:sz="4" w:space="0" w:color="858585"/>
                          <w:bottom w:val="single" w:sz="4" w:space="0" w:color="858585"/>
                        </w:tcBorders>
                      </w:tcPr>
                      <w:p>
                        <w:pPr/>
                      </w:p>
                    </w:tc>
                  </w:tr>
                  <w:tr>
                    <w:trPr>
                      <w:trHeight w:val="386" w:hRule="exact"/>
                    </w:trPr>
                    <w:tc>
                      <w:tcPr>
                        <w:tcW w:w="251" w:type="dxa"/>
                        <w:tcBorders>
                          <w:top w:val="single" w:sz="4" w:space="0" w:color="858585"/>
                          <w:left w:val="single" w:sz="4" w:space="0" w:color="858585"/>
                          <w:bottom w:val="single" w:sz="4" w:space="0" w:color="858585"/>
                        </w:tcBorders>
                      </w:tcPr>
                      <w:p>
                        <w:pPr/>
                      </w:p>
                    </w:tc>
                    <w:tc>
                      <w:tcPr>
                        <w:tcW w:w="334" w:type="dxa"/>
                        <w:vMerge/>
                        <w:shd w:val="clear" w:color="auto" w:fill="BEBEBE"/>
                      </w:tcPr>
                      <w:p>
                        <w:pPr/>
                      </w:p>
                    </w:tc>
                    <w:tc>
                      <w:tcPr>
                        <w:tcW w:w="501" w:type="dxa"/>
                        <w:tcBorders>
                          <w:top w:val="single" w:sz="4" w:space="0" w:color="858585"/>
                          <w:bottom w:val="single" w:sz="4" w:space="0" w:color="858585"/>
                        </w:tcBorders>
                      </w:tcPr>
                      <w:p>
                        <w:pPr/>
                      </w:p>
                    </w:tc>
                    <w:tc>
                      <w:tcPr>
                        <w:tcW w:w="335" w:type="dxa"/>
                        <w:vMerge/>
                        <w:shd w:val="clear" w:color="auto" w:fill="BEBEBE"/>
                      </w:tcPr>
                      <w:p>
                        <w:pPr/>
                      </w:p>
                    </w:tc>
                    <w:tc>
                      <w:tcPr>
                        <w:tcW w:w="501" w:type="dxa"/>
                        <w:tcBorders>
                          <w:top w:val="single" w:sz="4" w:space="0" w:color="858585"/>
                          <w:bottom w:val="single" w:sz="4" w:space="0" w:color="858585"/>
                        </w:tcBorders>
                      </w:tcPr>
                      <w:p>
                        <w:pPr/>
                      </w:p>
                    </w:tc>
                    <w:tc>
                      <w:tcPr>
                        <w:tcW w:w="335" w:type="dxa"/>
                        <w:vMerge/>
                        <w:shd w:val="clear" w:color="auto" w:fill="A6A6A6"/>
                      </w:tcPr>
                      <w:p>
                        <w:pPr/>
                      </w:p>
                    </w:tc>
                    <w:tc>
                      <w:tcPr>
                        <w:tcW w:w="501" w:type="dxa"/>
                        <w:tcBorders>
                          <w:top w:val="single" w:sz="4" w:space="0" w:color="858585"/>
                          <w:bottom w:val="single" w:sz="4" w:space="0" w:color="858585"/>
                        </w:tcBorders>
                      </w:tcPr>
                      <w:p>
                        <w:pPr/>
                      </w:p>
                    </w:tc>
                    <w:tc>
                      <w:tcPr>
                        <w:tcW w:w="334" w:type="dxa"/>
                        <w:vMerge/>
                        <w:shd w:val="clear" w:color="auto" w:fill="BEBEBE"/>
                      </w:tcPr>
                      <w:p>
                        <w:pPr/>
                      </w:p>
                    </w:tc>
                    <w:tc>
                      <w:tcPr>
                        <w:tcW w:w="251" w:type="dxa"/>
                        <w:tcBorders>
                          <w:top w:val="single" w:sz="4" w:space="0" w:color="858585"/>
                          <w:bottom w:val="single" w:sz="4" w:space="0" w:color="858585"/>
                        </w:tcBorders>
                      </w:tcPr>
                      <w:p>
                        <w:pPr/>
                      </w:p>
                    </w:tc>
                  </w:tr>
                  <w:tr>
                    <w:trPr>
                      <w:trHeight w:val="226" w:hRule="exact"/>
                    </w:trPr>
                    <w:tc>
                      <w:tcPr>
                        <w:tcW w:w="251" w:type="dxa"/>
                        <w:vMerge w:val="restart"/>
                        <w:tcBorders>
                          <w:top w:val="single" w:sz="4" w:space="0" w:color="858585"/>
                          <w:left w:val="single" w:sz="4" w:space="0" w:color="858585"/>
                        </w:tcBorders>
                      </w:tcPr>
                      <w:p>
                        <w:pPr/>
                      </w:p>
                    </w:tc>
                    <w:tc>
                      <w:tcPr>
                        <w:tcW w:w="334" w:type="dxa"/>
                        <w:vMerge w:val="restart"/>
                        <w:shd w:val="clear" w:color="auto" w:fill="D9D9D9"/>
                      </w:tcPr>
                      <w:p>
                        <w:pPr/>
                      </w:p>
                    </w:tc>
                    <w:tc>
                      <w:tcPr>
                        <w:tcW w:w="501" w:type="dxa"/>
                        <w:vMerge w:val="restart"/>
                        <w:tcBorders>
                          <w:top w:val="single" w:sz="4" w:space="0" w:color="858585"/>
                        </w:tcBorders>
                      </w:tcPr>
                      <w:p>
                        <w:pPr/>
                      </w:p>
                    </w:tc>
                    <w:tc>
                      <w:tcPr>
                        <w:tcW w:w="335" w:type="dxa"/>
                        <w:vMerge w:val="restart"/>
                        <w:shd w:val="clear" w:color="auto" w:fill="A6A6A6"/>
                      </w:tcPr>
                      <w:p>
                        <w:pPr/>
                      </w:p>
                    </w:tc>
                    <w:tc>
                      <w:tcPr>
                        <w:tcW w:w="501" w:type="dxa"/>
                        <w:vMerge w:val="restart"/>
                        <w:tcBorders>
                          <w:top w:val="single" w:sz="4" w:space="0" w:color="858585"/>
                        </w:tcBorders>
                      </w:tcPr>
                      <w:p>
                        <w:pPr/>
                      </w:p>
                    </w:tc>
                    <w:tc>
                      <w:tcPr>
                        <w:tcW w:w="335" w:type="dxa"/>
                        <w:vMerge/>
                        <w:shd w:val="clear" w:color="auto" w:fill="A6A6A6"/>
                      </w:tcPr>
                      <w:p>
                        <w:pPr/>
                      </w:p>
                    </w:tc>
                    <w:tc>
                      <w:tcPr>
                        <w:tcW w:w="501" w:type="dxa"/>
                        <w:vMerge w:val="restart"/>
                        <w:tcBorders>
                          <w:top w:val="single" w:sz="4" w:space="0" w:color="858585"/>
                        </w:tcBorders>
                      </w:tcPr>
                      <w:p>
                        <w:pPr/>
                      </w:p>
                    </w:tc>
                    <w:tc>
                      <w:tcPr>
                        <w:tcW w:w="334" w:type="dxa"/>
                        <w:shd w:val="clear" w:color="auto" w:fill="D9D9D9"/>
                      </w:tcPr>
                      <w:p>
                        <w:pPr/>
                      </w:p>
                    </w:tc>
                    <w:tc>
                      <w:tcPr>
                        <w:tcW w:w="251" w:type="dxa"/>
                        <w:vMerge w:val="restart"/>
                        <w:tcBorders>
                          <w:top w:val="single" w:sz="4" w:space="0" w:color="858585"/>
                        </w:tcBorders>
                      </w:tcPr>
                      <w:p>
                        <w:pPr/>
                      </w:p>
                    </w:tc>
                  </w:tr>
                  <w:tr>
                    <w:trPr>
                      <w:trHeight w:val="168" w:hRule="exact"/>
                    </w:trPr>
                    <w:tc>
                      <w:tcPr>
                        <w:tcW w:w="251" w:type="dxa"/>
                        <w:vMerge/>
                        <w:tcBorders>
                          <w:left w:val="single" w:sz="4" w:space="0" w:color="858585"/>
                          <w:bottom w:val="single" w:sz="4" w:space="0" w:color="858585"/>
                        </w:tcBorders>
                      </w:tcPr>
                      <w:p>
                        <w:pPr/>
                      </w:p>
                    </w:tc>
                    <w:tc>
                      <w:tcPr>
                        <w:tcW w:w="334" w:type="dxa"/>
                        <w:vMerge/>
                        <w:tcBorders>
                          <w:bottom w:val="single" w:sz="4" w:space="0" w:color="858585"/>
                        </w:tcBorders>
                        <w:shd w:val="clear" w:color="auto" w:fill="D9D9D9"/>
                      </w:tcPr>
                      <w:p>
                        <w:pPr/>
                      </w:p>
                    </w:tc>
                    <w:tc>
                      <w:tcPr>
                        <w:tcW w:w="501" w:type="dxa"/>
                        <w:vMerge/>
                        <w:tcBorders>
                          <w:bottom w:val="single" w:sz="4" w:space="0" w:color="858585"/>
                        </w:tcBorders>
                      </w:tcPr>
                      <w:p>
                        <w:pPr/>
                      </w:p>
                    </w:tc>
                    <w:tc>
                      <w:tcPr>
                        <w:tcW w:w="335" w:type="dxa"/>
                        <w:vMerge/>
                        <w:shd w:val="clear" w:color="auto" w:fill="A6A6A6"/>
                      </w:tcPr>
                      <w:p>
                        <w:pPr/>
                      </w:p>
                    </w:tc>
                    <w:tc>
                      <w:tcPr>
                        <w:tcW w:w="501" w:type="dxa"/>
                        <w:vMerge/>
                        <w:tcBorders>
                          <w:bottom w:val="single" w:sz="4" w:space="0" w:color="858585"/>
                        </w:tcBorders>
                      </w:tcPr>
                      <w:p>
                        <w:pPr/>
                      </w:p>
                    </w:tc>
                    <w:tc>
                      <w:tcPr>
                        <w:tcW w:w="335" w:type="dxa"/>
                        <w:vMerge/>
                        <w:shd w:val="clear" w:color="auto" w:fill="A6A6A6"/>
                      </w:tcPr>
                      <w:p>
                        <w:pPr/>
                      </w:p>
                    </w:tc>
                    <w:tc>
                      <w:tcPr>
                        <w:tcW w:w="501" w:type="dxa"/>
                        <w:vMerge/>
                        <w:tcBorders>
                          <w:bottom w:val="single" w:sz="4" w:space="0" w:color="858585"/>
                        </w:tcBorders>
                      </w:tcPr>
                      <w:p>
                        <w:pPr/>
                      </w:p>
                    </w:tc>
                    <w:tc>
                      <w:tcPr>
                        <w:tcW w:w="334" w:type="dxa"/>
                        <w:vMerge w:val="restart"/>
                        <w:shd w:val="clear" w:color="auto" w:fill="A6A6A6"/>
                      </w:tcPr>
                      <w:p>
                        <w:pPr/>
                      </w:p>
                    </w:tc>
                    <w:tc>
                      <w:tcPr>
                        <w:tcW w:w="251" w:type="dxa"/>
                        <w:vMerge/>
                        <w:tcBorders>
                          <w:bottom w:val="single" w:sz="4" w:space="0" w:color="858585"/>
                        </w:tcBorders>
                      </w:tcPr>
                      <w:p>
                        <w:pPr/>
                      </w:p>
                    </w:tc>
                  </w:tr>
                  <w:tr>
                    <w:trPr>
                      <w:trHeight w:val="392" w:hRule="exact"/>
                    </w:trPr>
                    <w:tc>
                      <w:tcPr>
                        <w:tcW w:w="251" w:type="dxa"/>
                        <w:tcBorders>
                          <w:top w:val="single" w:sz="4" w:space="0" w:color="858585"/>
                          <w:left w:val="single" w:sz="4" w:space="0" w:color="858585"/>
                          <w:bottom w:val="single" w:sz="4" w:space="0" w:color="858585"/>
                        </w:tcBorders>
                      </w:tcPr>
                      <w:p>
                        <w:pPr/>
                      </w:p>
                    </w:tc>
                    <w:tc>
                      <w:tcPr>
                        <w:tcW w:w="334" w:type="dxa"/>
                        <w:vMerge w:val="restart"/>
                        <w:tcBorders>
                          <w:top w:val="single" w:sz="4" w:space="0" w:color="858585"/>
                        </w:tcBorders>
                        <w:shd w:val="clear" w:color="auto" w:fill="A6A6A6"/>
                      </w:tcPr>
                      <w:p>
                        <w:pPr/>
                      </w:p>
                    </w:tc>
                    <w:tc>
                      <w:tcPr>
                        <w:tcW w:w="501" w:type="dxa"/>
                        <w:tcBorders>
                          <w:top w:val="single" w:sz="4" w:space="0" w:color="858585"/>
                          <w:bottom w:val="single" w:sz="4" w:space="0" w:color="858585"/>
                        </w:tcBorders>
                      </w:tcPr>
                      <w:p>
                        <w:pPr/>
                      </w:p>
                    </w:tc>
                    <w:tc>
                      <w:tcPr>
                        <w:tcW w:w="335" w:type="dxa"/>
                        <w:vMerge/>
                        <w:shd w:val="clear" w:color="auto" w:fill="A6A6A6"/>
                      </w:tcPr>
                      <w:p>
                        <w:pPr/>
                      </w:p>
                    </w:tc>
                    <w:tc>
                      <w:tcPr>
                        <w:tcW w:w="501" w:type="dxa"/>
                        <w:tcBorders>
                          <w:top w:val="single" w:sz="4" w:space="0" w:color="858585"/>
                          <w:bottom w:val="single" w:sz="4" w:space="0" w:color="858585"/>
                        </w:tcBorders>
                      </w:tcPr>
                      <w:p>
                        <w:pPr/>
                      </w:p>
                    </w:tc>
                    <w:tc>
                      <w:tcPr>
                        <w:tcW w:w="335" w:type="dxa"/>
                        <w:vMerge/>
                        <w:shd w:val="clear" w:color="auto" w:fill="A6A6A6"/>
                      </w:tcPr>
                      <w:p>
                        <w:pPr/>
                      </w:p>
                    </w:tc>
                    <w:tc>
                      <w:tcPr>
                        <w:tcW w:w="501" w:type="dxa"/>
                        <w:tcBorders>
                          <w:top w:val="single" w:sz="4" w:space="0" w:color="858585"/>
                          <w:bottom w:val="single" w:sz="4" w:space="0" w:color="858585"/>
                        </w:tcBorders>
                      </w:tcPr>
                      <w:p>
                        <w:pPr/>
                      </w:p>
                    </w:tc>
                    <w:tc>
                      <w:tcPr>
                        <w:tcW w:w="334" w:type="dxa"/>
                        <w:vMerge/>
                        <w:shd w:val="clear" w:color="auto" w:fill="A6A6A6"/>
                      </w:tcPr>
                      <w:p>
                        <w:pPr/>
                      </w:p>
                    </w:tc>
                    <w:tc>
                      <w:tcPr>
                        <w:tcW w:w="251" w:type="dxa"/>
                        <w:tcBorders>
                          <w:top w:val="single" w:sz="4" w:space="0" w:color="858585"/>
                          <w:bottom w:val="single" w:sz="4" w:space="0" w:color="858585"/>
                        </w:tcBorders>
                      </w:tcPr>
                      <w:p>
                        <w:pPr/>
                      </w:p>
                    </w:tc>
                  </w:tr>
                  <w:tr>
                    <w:trPr>
                      <w:trHeight w:val="390" w:hRule="exact"/>
                    </w:trPr>
                    <w:tc>
                      <w:tcPr>
                        <w:tcW w:w="251" w:type="dxa"/>
                        <w:tcBorders>
                          <w:top w:val="single" w:sz="4" w:space="0" w:color="858585"/>
                          <w:left w:val="single" w:sz="4" w:space="0" w:color="858585"/>
                          <w:bottom w:val="single" w:sz="4" w:space="0" w:color="858585"/>
                        </w:tcBorders>
                      </w:tcPr>
                      <w:p>
                        <w:pPr/>
                      </w:p>
                    </w:tc>
                    <w:tc>
                      <w:tcPr>
                        <w:tcW w:w="334" w:type="dxa"/>
                        <w:vMerge/>
                        <w:tcBorders>
                          <w:bottom w:val="single" w:sz="4" w:space="0" w:color="858585"/>
                        </w:tcBorders>
                        <w:shd w:val="clear" w:color="auto" w:fill="A6A6A6"/>
                      </w:tcPr>
                      <w:p>
                        <w:pPr/>
                      </w:p>
                    </w:tc>
                    <w:tc>
                      <w:tcPr>
                        <w:tcW w:w="501" w:type="dxa"/>
                        <w:tcBorders>
                          <w:top w:val="single" w:sz="4" w:space="0" w:color="858585"/>
                          <w:bottom w:val="single" w:sz="4" w:space="0" w:color="858585"/>
                        </w:tcBorders>
                      </w:tcPr>
                      <w:p>
                        <w:pPr/>
                      </w:p>
                    </w:tc>
                    <w:tc>
                      <w:tcPr>
                        <w:tcW w:w="335" w:type="dxa"/>
                        <w:vMerge/>
                        <w:tcBorders>
                          <w:bottom w:val="single" w:sz="4" w:space="0" w:color="858585"/>
                        </w:tcBorders>
                        <w:shd w:val="clear" w:color="auto" w:fill="A6A6A6"/>
                      </w:tcPr>
                      <w:p>
                        <w:pPr/>
                      </w:p>
                    </w:tc>
                    <w:tc>
                      <w:tcPr>
                        <w:tcW w:w="501" w:type="dxa"/>
                        <w:tcBorders>
                          <w:top w:val="single" w:sz="4" w:space="0" w:color="858585"/>
                          <w:bottom w:val="single" w:sz="4" w:space="0" w:color="858585"/>
                        </w:tcBorders>
                      </w:tcPr>
                      <w:p>
                        <w:pPr/>
                      </w:p>
                    </w:tc>
                    <w:tc>
                      <w:tcPr>
                        <w:tcW w:w="335" w:type="dxa"/>
                        <w:vMerge/>
                        <w:tcBorders>
                          <w:bottom w:val="single" w:sz="4" w:space="0" w:color="858585"/>
                        </w:tcBorders>
                        <w:shd w:val="clear" w:color="auto" w:fill="A6A6A6"/>
                      </w:tcPr>
                      <w:p>
                        <w:pPr/>
                      </w:p>
                    </w:tc>
                    <w:tc>
                      <w:tcPr>
                        <w:tcW w:w="501" w:type="dxa"/>
                        <w:tcBorders>
                          <w:top w:val="single" w:sz="4" w:space="0" w:color="858585"/>
                          <w:bottom w:val="single" w:sz="4" w:space="0" w:color="858585"/>
                        </w:tcBorders>
                      </w:tcPr>
                      <w:p>
                        <w:pPr/>
                      </w:p>
                    </w:tc>
                    <w:tc>
                      <w:tcPr>
                        <w:tcW w:w="334" w:type="dxa"/>
                        <w:vMerge/>
                        <w:tcBorders>
                          <w:bottom w:val="single" w:sz="4" w:space="0" w:color="858585"/>
                        </w:tcBorders>
                        <w:shd w:val="clear" w:color="auto" w:fill="A6A6A6"/>
                      </w:tcPr>
                      <w:p>
                        <w:pPr/>
                      </w:p>
                    </w:tc>
                    <w:tc>
                      <w:tcPr>
                        <w:tcW w:w="251" w:type="dxa"/>
                        <w:tcBorders>
                          <w:top w:val="single" w:sz="4" w:space="0" w:color="858585"/>
                          <w:bottom w:val="single" w:sz="4" w:space="0" w:color="858585"/>
                        </w:tcBorders>
                      </w:tcPr>
                      <w:p>
                        <w:pPr/>
                      </w:p>
                    </w:tc>
                  </w:tr>
                </w:tbl>
                <w:p>
                  <w:pPr>
                    <w:pStyle w:val="BodyText"/>
                  </w:pPr>
                </w:p>
              </w:txbxContent>
            </v:textbox>
          </v:shape>
        </w:pict>
      </w:r>
      <w:r>
        <w:rPr/>
      </w:r>
      <w:r>
        <w:rPr/>
        <w:tab/>
      </w:r>
      <w:r>
        <w:rPr>
          <w:position w:val="4"/>
        </w:rPr>
        <w:pict>
          <v:shape style="width:171.4pt;height:91.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5"/>
                    <w:gridCol w:w="342"/>
                    <w:gridCol w:w="512"/>
                    <w:gridCol w:w="342"/>
                    <w:gridCol w:w="511"/>
                    <w:gridCol w:w="342"/>
                    <w:gridCol w:w="512"/>
                    <w:gridCol w:w="342"/>
                    <w:gridCol w:w="255"/>
                  </w:tblGrid>
                  <w:tr>
                    <w:trPr>
                      <w:trHeight w:val="240" w:hRule="exact"/>
                    </w:trPr>
                    <w:tc>
                      <w:tcPr>
                        <w:tcW w:w="255" w:type="dxa"/>
                        <w:tcBorders>
                          <w:top w:val="single" w:sz="4" w:space="0" w:color="858585"/>
                          <w:left w:val="single" w:sz="4" w:space="0" w:color="858585"/>
                          <w:bottom w:val="single" w:sz="4" w:space="0" w:color="858585"/>
                        </w:tcBorders>
                      </w:tcPr>
                      <w:p>
                        <w:pPr/>
                      </w:p>
                    </w:tc>
                    <w:tc>
                      <w:tcPr>
                        <w:tcW w:w="342" w:type="dxa"/>
                        <w:tcBorders>
                          <w:top w:val="single" w:sz="4" w:space="0" w:color="858585"/>
                        </w:tcBorders>
                        <w:shd w:val="clear" w:color="auto" w:fill="E5E5E5"/>
                      </w:tcPr>
                      <w:p>
                        <w:pPr/>
                      </w:p>
                    </w:tc>
                    <w:tc>
                      <w:tcPr>
                        <w:tcW w:w="512" w:type="dxa"/>
                        <w:tcBorders>
                          <w:top w:val="single" w:sz="4" w:space="0" w:color="858585"/>
                          <w:bottom w:val="single" w:sz="4" w:space="0" w:color="858585"/>
                        </w:tcBorders>
                      </w:tcPr>
                      <w:p>
                        <w:pPr/>
                      </w:p>
                    </w:tc>
                    <w:tc>
                      <w:tcPr>
                        <w:tcW w:w="342" w:type="dxa"/>
                        <w:tcBorders>
                          <w:top w:val="single" w:sz="4" w:space="0" w:color="858585"/>
                        </w:tcBorders>
                        <w:shd w:val="clear" w:color="auto" w:fill="E5E5E5"/>
                      </w:tcPr>
                      <w:p>
                        <w:pPr/>
                      </w:p>
                    </w:tc>
                    <w:tc>
                      <w:tcPr>
                        <w:tcW w:w="511" w:type="dxa"/>
                        <w:tcBorders>
                          <w:top w:val="single" w:sz="4" w:space="0" w:color="858585"/>
                          <w:bottom w:val="single" w:sz="4" w:space="0" w:color="858585"/>
                        </w:tcBorders>
                      </w:tcPr>
                      <w:p>
                        <w:pPr/>
                      </w:p>
                    </w:tc>
                    <w:tc>
                      <w:tcPr>
                        <w:tcW w:w="342" w:type="dxa"/>
                        <w:vMerge w:val="restart"/>
                        <w:tcBorders>
                          <w:top w:val="single" w:sz="4" w:space="0" w:color="858585"/>
                        </w:tcBorders>
                        <w:shd w:val="clear" w:color="auto" w:fill="BEBEBE"/>
                      </w:tcPr>
                      <w:p>
                        <w:pPr/>
                      </w:p>
                    </w:tc>
                    <w:tc>
                      <w:tcPr>
                        <w:tcW w:w="512" w:type="dxa"/>
                        <w:tcBorders>
                          <w:top w:val="single" w:sz="4" w:space="0" w:color="858585"/>
                          <w:bottom w:val="single" w:sz="4" w:space="0" w:color="858585"/>
                        </w:tcBorders>
                      </w:tcPr>
                      <w:p>
                        <w:pPr/>
                      </w:p>
                    </w:tc>
                    <w:tc>
                      <w:tcPr>
                        <w:tcW w:w="342" w:type="dxa"/>
                        <w:tcBorders>
                          <w:top w:val="single" w:sz="4" w:space="0" w:color="858585"/>
                        </w:tcBorders>
                        <w:shd w:val="clear" w:color="auto" w:fill="E5E5E5"/>
                      </w:tcPr>
                      <w:p>
                        <w:pPr/>
                      </w:p>
                    </w:tc>
                    <w:tc>
                      <w:tcPr>
                        <w:tcW w:w="255" w:type="dxa"/>
                        <w:tcBorders>
                          <w:top w:val="single" w:sz="4" w:space="0" w:color="858585"/>
                          <w:bottom w:val="single" w:sz="4" w:space="0" w:color="858585"/>
                        </w:tcBorders>
                      </w:tcPr>
                      <w:p>
                        <w:pPr/>
                      </w:p>
                    </w:tc>
                  </w:tr>
                  <w:tr>
                    <w:trPr>
                      <w:trHeight w:val="210" w:hRule="exact"/>
                    </w:trPr>
                    <w:tc>
                      <w:tcPr>
                        <w:tcW w:w="255" w:type="dxa"/>
                        <w:tcBorders>
                          <w:top w:val="single" w:sz="4" w:space="0" w:color="858585"/>
                          <w:left w:val="single" w:sz="4" w:space="0" w:color="858585"/>
                          <w:bottom w:val="single" w:sz="4" w:space="0" w:color="858585"/>
                        </w:tcBorders>
                      </w:tcPr>
                      <w:p>
                        <w:pPr/>
                      </w:p>
                    </w:tc>
                    <w:tc>
                      <w:tcPr>
                        <w:tcW w:w="342" w:type="dxa"/>
                        <w:vMerge w:val="restart"/>
                        <w:shd w:val="clear" w:color="auto" w:fill="BEBEBE"/>
                      </w:tcPr>
                      <w:p>
                        <w:pPr/>
                      </w:p>
                    </w:tc>
                    <w:tc>
                      <w:tcPr>
                        <w:tcW w:w="512" w:type="dxa"/>
                        <w:tcBorders>
                          <w:top w:val="single" w:sz="4" w:space="0" w:color="858585"/>
                          <w:bottom w:val="single" w:sz="4" w:space="0" w:color="858585"/>
                        </w:tcBorders>
                      </w:tcPr>
                      <w:p>
                        <w:pPr/>
                      </w:p>
                    </w:tc>
                    <w:tc>
                      <w:tcPr>
                        <w:tcW w:w="342" w:type="dxa"/>
                        <w:shd w:val="clear" w:color="auto" w:fill="BEBEBE"/>
                      </w:tcPr>
                      <w:p>
                        <w:pPr/>
                      </w:p>
                    </w:tc>
                    <w:tc>
                      <w:tcPr>
                        <w:tcW w:w="511" w:type="dxa"/>
                        <w:tcBorders>
                          <w:top w:val="single" w:sz="4" w:space="0" w:color="858585"/>
                          <w:bottom w:val="single" w:sz="4" w:space="0" w:color="858585"/>
                        </w:tcBorders>
                      </w:tcPr>
                      <w:p>
                        <w:pPr/>
                      </w:p>
                    </w:tc>
                    <w:tc>
                      <w:tcPr>
                        <w:tcW w:w="342" w:type="dxa"/>
                        <w:vMerge/>
                        <w:shd w:val="clear" w:color="auto" w:fill="BEBEBE"/>
                      </w:tcPr>
                      <w:p>
                        <w:pPr/>
                      </w:p>
                    </w:tc>
                    <w:tc>
                      <w:tcPr>
                        <w:tcW w:w="512" w:type="dxa"/>
                        <w:tcBorders>
                          <w:top w:val="single" w:sz="4" w:space="0" w:color="858585"/>
                          <w:bottom w:val="single" w:sz="4" w:space="0" w:color="858585"/>
                        </w:tcBorders>
                      </w:tcPr>
                      <w:p>
                        <w:pPr/>
                      </w:p>
                    </w:tc>
                    <w:tc>
                      <w:tcPr>
                        <w:tcW w:w="342" w:type="dxa"/>
                        <w:vMerge w:val="restart"/>
                        <w:shd w:val="clear" w:color="auto" w:fill="BEBEBE"/>
                      </w:tcPr>
                      <w:p>
                        <w:pPr/>
                      </w:p>
                    </w:tc>
                    <w:tc>
                      <w:tcPr>
                        <w:tcW w:w="255" w:type="dxa"/>
                        <w:tcBorders>
                          <w:top w:val="single" w:sz="4" w:space="0" w:color="858585"/>
                          <w:bottom w:val="single" w:sz="4" w:space="0" w:color="858585"/>
                        </w:tcBorders>
                      </w:tcPr>
                      <w:p>
                        <w:pPr/>
                      </w:p>
                    </w:tc>
                  </w:tr>
                  <w:tr>
                    <w:trPr>
                      <w:trHeight w:val="108" w:hRule="exact"/>
                    </w:trPr>
                    <w:tc>
                      <w:tcPr>
                        <w:tcW w:w="255" w:type="dxa"/>
                        <w:vMerge w:val="restart"/>
                        <w:tcBorders>
                          <w:top w:val="single" w:sz="4" w:space="0" w:color="858585"/>
                          <w:left w:val="single" w:sz="4" w:space="0" w:color="858585"/>
                        </w:tcBorders>
                      </w:tcPr>
                      <w:p>
                        <w:pPr/>
                      </w:p>
                    </w:tc>
                    <w:tc>
                      <w:tcPr>
                        <w:tcW w:w="342" w:type="dxa"/>
                        <w:vMerge/>
                        <w:shd w:val="clear" w:color="auto" w:fill="BEBEBE"/>
                      </w:tcPr>
                      <w:p>
                        <w:pPr/>
                      </w:p>
                    </w:tc>
                    <w:tc>
                      <w:tcPr>
                        <w:tcW w:w="512" w:type="dxa"/>
                        <w:vMerge w:val="restart"/>
                        <w:tcBorders>
                          <w:top w:val="single" w:sz="4" w:space="0" w:color="858585"/>
                        </w:tcBorders>
                      </w:tcPr>
                      <w:p>
                        <w:pPr/>
                      </w:p>
                    </w:tc>
                    <w:tc>
                      <w:tcPr>
                        <w:tcW w:w="342" w:type="dxa"/>
                        <w:shd w:val="clear" w:color="auto" w:fill="A6A6A6"/>
                      </w:tcPr>
                      <w:p>
                        <w:pPr/>
                      </w:p>
                    </w:tc>
                    <w:tc>
                      <w:tcPr>
                        <w:tcW w:w="511" w:type="dxa"/>
                        <w:vMerge w:val="restart"/>
                        <w:tcBorders>
                          <w:top w:val="single" w:sz="4" w:space="0" w:color="858585"/>
                        </w:tcBorders>
                      </w:tcPr>
                      <w:p>
                        <w:pPr/>
                      </w:p>
                    </w:tc>
                    <w:tc>
                      <w:tcPr>
                        <w:tcW w:w="342" w:type="dxa"/>
                        <w:vMerge/>
                        <w:shd w:val="clear" w:color="auto" w:fill="BEBEBE"/>
                      </w:tcPr>
                      <w:p>
                        <w:pPr/>
                      </w:p>
                    </w:tc>
                    <w:tc>
                      <w:tcPr>
                        <w:tcW w:w="512" w:type="dxa"/>
                        <w:vMerge w:val="restart"/>
                        <w:tcBorders>
                          <w:top w:val="single" w:sz="4" w:space="0" w:color="858585"/>
                        </w:tcBorders>
                      </w:tcPr>
                      <w:p>
                        <w:pPr/>
                      </w:p>
                    </w:tc>
                    <w:tc>
                      <w:tcPr>
                        <w:tcW w:w="342" w:type="dxa"/>
                        <w:vMerge/>
                        <w:shd w:val="clear" w:color="auto" w:fill="BEBEBE"/>
                      </w:tcPr>
                      <w:p>
                        <w:pPr/>
                      </w:p>
                    </w:tc>
                    <w:tc>
                      <w:tcPr>
                        <w:tcW w:w="255" w:type="dxa"/>
                        <w:vMerge w:val="restart"/>
                        <w:tcBorders>
                          <w:top w:val="single" w:sz="4" w:space="0" w:color="858585"/>
                        </w:tcBorders>
                      </w:tcPr>
                      <w:p>
                        <w:pPr/>
                      </w:p>
                    </w:tc>
                  </w:tr>
                  <w:tr>
                    <w:trPr>
                      <w:trHeight w:val="120" w:hRule="exact"/>
                    </w:trPr>
                    <w:tc>
                      <w:tcPr>
                        <w:tcW w:w="255" w:type="dxa"/>
                        <w:vMerge/>
                        <w:tcBorders>
                          <w:left w:val="single" w:sz="4" w:space="0" w:color="858585"/>
                          <w:bottom w:val="single" w:sz="4" w:space="0" w:color="858585"/>
                        </w:tcBorders>
                      </w:tcPr>
                      <w:p>
                        <w:pPr/>
                      </w:p>
                    </w:tc>
                    <w:tc>
                      <w:tcPr>
                        <w:tcW w:w="342" w:type="dxa"/>
                        <w:vMerge/>
                        <w:shd w:val="clear" w:color="auto" w:fill="BEBEBE"/>
                      </w:tcPr>
                      <w:p>
                        <w:pPr/>
                      </w:p>
                    </w:tc>
                    <w:tc>
                      <w:tcPr>
                        <w:tcW w:w="512" w:type="dxa"/>
                        <w:vMerge/>
                        <w:tcBorders>
                          <w:bottom w:val="single" w:sz="4" w:space="0" w:color="858585"/>
                        </w:tcBorders>
                      </w:tcPr>
                      <w:p>
                        <w:pPr/>
                      </w:p>
                    </w:tc>
                    <w:tc>
                      <w:tcPr>
                        <w:tcW w:w="342" w:type="dxa"/>
                        <w:vMerge w:val="restart"/>
                        <w:shd w:val="clear" w:color="auto" w:fill="666666"/>
                      </w:tcPr>
                      <w:p>
                        <w:pPr/>
                      </w:p>
                    </w:tc>
                    <w:tc>
                      <w:tcPr>
                        <w:tcW w:w="511" w:type="dxa"/>
                        <w:vMerge/>
                        <w:tcBorders>
                          <w:bottom w:val="single" w:sz="4" w:space="0" w:color="858585"/>
                        </w:tcBorders>
                      </w:tcPr>
                      <w:p>
                        <w:pPr/>
                      </w:p>
                    </w:tc>
                    <w:tc>
                      <w:tcPr>
                        <w:tcW w:w="342" w:type="dxa"/>
                        <w:vMerge/>
                        <w:shd w:val="clear" w:color="auto" w:fill="BEBEBE"/>
                      </w:tcPr>
                      <w:p>
                        <w:pPr/>
                      </w:p>
                    </w:tc>
                    <w:tc>
                      <w:tcPr>
                        <w:tcW w:w="512" w:type="dxa"/>
                        <w:vMerge/>
                        <w:tcBorders>
                          <w:bottom w:val="single" w:sz="4" w:space="0" w:color="858585"/>
                        </w:tcBorders>
                      </w:tcPr>
                      <w:p>
                        <w:pPr/>
                      </w:p>
                    </w:tc>
                    <w:tc>
                      <w:tcPr>
                        <w:tcW w:w="342" w:type="dxa"/>
                        <w:vMerge/>
                        <w:shd w:val="clear" w:color="auto" w:fill="BEBEBE"/>
                      </w:tcPr>
                      <w:p>
                        <w:pPr/>
                      </w:p>
                    </w:tc>
                    <w:tc>
                      <w:tcPr>
                        <w:tcW w:w="255" w:type="dxa"/>
                        <w:vMerge/>
                        <w:tcBorders>
                          <w:bottom w:val="single" w:sz="4" w:space="0" w:color="858585"/>
                        </w:tcBorders>
                      </w:tcPr>
                      <w:p>
                        <w:pPr/>
                      </w:p>
                    </w:tc>
                  </w:tr>
                  <w:tr>
                    <w:trPr>
                      <w:trHeight w:val="245" w:hRule="exact"/>
                    </w:trPr>
                    <w:tc>
                      <w:tcPr>
                        <w:tcW w:w="255" w:type="dxa"/>
                        <w:tcBorders>
                          <w:top w:val="single" w:sz="4" w:space="0" w:color="858585"/>
                          <w:left w:val="single" w:sz="4" w:space="0" w:color="858585"/>
                          <w:bottom w:val="single" w:sz="4" w:space="0" w:color="858585"/>
                        </w:tcBorders>
                      </w:tcPr>
                      <w:p>
                        <w:pPr/>
                      </w:p>
                    </w:tc>
                    <w:tc>
                      <w:tcPr>
                        <w:tcW w:w="342" w:type="dxa"/>
                        <w:vMerge/>
                        <w:shd w:val="clear" w:color="auto" w:fill="BEBEBE"/>
                      </w:tcPr>
                      <w:p>
                        <w:pPr/>
                      </w:p>
                    </w:tc>
                    <w:tc>
                      <w:tcPr>
                        <w:tcW w:w="512" w:type="dxa"/>
                        <w:tcBorders>
                          <w:top w:val="single" w:sz="4" w:space="0" w:color="858585"/>
                          <w:bottom w:val="single" w:sz="4" w:space="0" w:color="858585"/>
                        </w:tcBorders>
                      </w:tcPr>
                      <w:p>
                        <w:pPr/>
                      </w:p>
                    </w:tc>
                    <w:tc>
                      <w:tcPr>
                        <w:tcW w:w="342" w:type="dxa"/>
                        <w:vMerge/>
                        <w:shd w:val="clear" w:color="auto" w:fill="666666"/>
                      </w:tcPr>
                      <w:p>
                        <w:pPr/>
                      </w:p>
                    </w:tc>
                    <w:tc>
                      <w:tcPr>
                        <w:tcW w:w="511" w:type="dxa"/>
                        <w:tcBorders>
                          <w:top w:val="single" w:sz="4" w:space="0" w:color="858585"/>
                          <w:bottom w:val="single" w:sz="4" w:space="0" w:color="858585"/>
                        </w:tcBorders>
                      </w:tcPr>
                      <w:p>
                        <w:pPr/>
                      </w:p>
                    </w:tc>
                    <w:tc>
                      <w:tcPr>
                        <w:tcW w:w="342" w:type="dxa"/>
                        <w:vMerge/>
                        <w:shd w:val="clear" w:color="auto" w:fill="BEBEBE"/>
                      </w:tcPr>
                      <w:p>
                        <w:pPr/>
                      </w:p>
                    </w:tc>
                    <w:tc>
                      <w:tcPr>
                        <w:tcW w:w="512" w:type="dxa"/>
                        <w:tcBorders>
                          <w:top w:val="single" w:sz="4" w:space="0" w:color="858585"/>
                          <w:bottom w:val="single" w:sz="4" w:space="0" w:color="858585"/>
                        </w:tcBorders>
                      </w:tcPr>
                      <w:p>
                        <w:pPr/>
                      </w:p>
                    </w:tc>
                    <w:tc>
                      <w:tcPr>
                        <w:tcW w:w="342" w:type="dxa"/>
                        <w:vMerge/>
                        <w:tcBorders>
                          <w:bottom w:val="single" w:sz="4" w:space="0" w:color="858585"/>
                        </w:tcBorders>
                        <w:shd w:val="clear" w:color="auto" w:fill="BEBEBE"/>
                      </w:tcPr>
                      <w:p>
                        <w:pPr/>
                      </w:p>
                    </w:tc>
                    <w:tc>
                      <w:tcPr>
                        <w:tcW w:w="255" w:type="dxa"/>
                        <w:tcBorders>
                          <w:top w:val="single" w:sz="4" w:space="0" w:color="858585"/>
                          <w:bottom w:val="single" w:sz="4" w:space="0" w:color="858585"/>
                        </w:tcBorders>
                      </w:tcPr>
                      <w:p>
                        <w:pPr/>
                      </w:p>
                    </w:tc>
                  </w:tr>
                  <w:tr>
                    <w:trPr>
                      <w:trHeight w:val="169" w:hRule="exact"/>
                    </w:trPr>
                    <w:tc>
                      <w:tcPr>
                        <w:tcW w:w="255" w:type="dxa"/>
                        <w:tcBorders>
                          <w:top w:val="single" w:sz="4" w:space="0" w:color="858585"/>
                          <w:left w:val="single" w:sz="4" w:space="0" w:color="858585"/>
                          <w:bottom w:val="single" w:sz="4" w:space="0" w:color="858585"/>
                        </w:tcBorders>
                      </w:tcPr>
                      <w:p>
                        <w:pPr/>
                      </w:p>
                    </w:tc>
                    <w:tc>
                      <w:tcPr>
                        <w:tcW w:w="342" w:type="dxa"/>
                        <w:vMerge w:val="restart"/>
                        <w:shd w:val="clear" w:color="auto" w:fill="A6A6A6"/>
                      </w:tcPr>
                      <w:p>
                        <w:pPr/>
                      </w:p>
                    </w:tc>
                    <w:tc>
                      <w:tcPr>
                        <w:tcW w:w="512" w:type="dxa"/>
                        <w:tcBorders>
                          <w:top w:val="single" w:sz="4" w:space="0" w:color="858585"/>
                          <w:bottom w:val="single" w:sz="4" w:space="0" w:color="858585"/>
                        </w:tcBorders>
                      </w:tcPr>
                      <w:p>
                        <w:pPr/>
                      </w:p>
                    </w:tc>
                    <w:tc>
                      <w:tcPr>
                        <w:tcW w:w="342" w:type="dxa"/>
                        <w:vMerge/>
                        <w:shd w:val="clear" w:color="auto" w:fill="666666"/>
                      </w:tcPr>
                      <w:p>
                        <w:pPr/>
                      </w:p>
                    </w:tc>
                    <w:tc>
                      <w:tcPr>
                        <w:tcW w:w="511" w:type="dxa"/>
                        <w:tcBorders>
                          <w:top w:val="single" w:sz="4" w:space="0" w:color="858585"/>
                          <w:bottom w:val="single" w:sz="4" w:space="0" w:color="858585"/>
                        </w:tcBorders>
                      </w:tcPr>
                      <w:p>
                        <w:pPr/>
                      </w:p>
                    </w:tc>
                    <w:tc>
                      <w:tcPr>
                        <w:tcW w:w="342" w:type="dxa"/>
                        <w:vMerge/>
                        <w:shd w:val="clear" w:color="auto" w:fill="BEBEBE"/>
                      </w:tcPr>
                      <w:p>
                        <w:pPr/>
                      </w:p>
                    </w:tc>
                    <w:tc>
                      <w:tcPr>
                        <w:tcW w:w="512" w:type="dxa"/>
                        <w:tcBorders>
                          <w:top w:val="single" w:sz="4" w:space="0" w:color="858585"/>
                          <w:bottom w:val="single" w:sz="4" w:space="0" w:color="858585"/>
                        </w:tcBorders>
                      </w:tcPr>
                      <w:p>
                        <w:pPr/>
                      </w:p>
                    </w:tc>
                    <w:tc>
                      <w:tcPr>
                        <w:tcW w:w="342" w:type="dxa"/>
                        <w:vMerge w:val="restart"/>
                        <w:tcBorders>
                          <w:top w:val="single" w:sz="4" w:space="0" w:color="858585"/>
                        </w:tcBorders>
                        <w:shd w:val="clear" w:color="auto" w:fill="A6A6A6"/>
                      </w:tcPr>
                      <w:p>
                        <w:pPr/>
                      </w:p>
                    </w:tc>
                    <w:tc>
                      <w:tcPr>
                        <w:tcW w:w="255" w:type="dxa"/>
                        <w:tcBorders>
                          <w:top w:val="single" w:sz="4" w:space="0" w:color="858585"/>
                          <w:bottom w:val="single" w:sz="4" w:space="0" w:color="858585"/>
                        </w:tcBorders>
                      </w:tcPr>
                      <w:p>
                        <w:pPr/>
                      </w:p>
                    </w:tc>
                  </w:tr>
                  <w:tr>
                    <w:trPr>
                      <w:trHeight w:val="217" w:hRule="exact"/>
                    </w:trPr>
                    <w:tc>
                      <w:tcPr>
                        <w:tcW w:w="255" w:type="dxa"/>
                        <w:tcBorders>
                          <w:top w:val="single" w:sz="4" w:space="0" w:color="858585"/>
                          <w:left w:val="single" w:sz="4" w:space="0" w:color="858585"/>
                          <w:bottom w:val="single" w:sz="4" w:space="0" w:color="858585"/>
                        </w:tcBorders>
                      </w:tcPr>
                      <w:p>
                        <w:pPr/>
                      </w:p>
                    </w:tc>
                    <w:tc>
                      <w:tcPr>
                        <w:tcW w:w="342" w:type="dxa"/>
                        <w:vMerge/>
                        <w:tcBorders>
                          <w:bottom w:val="single" w:sz="4" w:space="0" w:color="858585"/>
                        </w:tcBorders>
                        <w:shd w:val="clear" w:color="auto" w:fill="A6A6A6"/>
                      </w:tcPr>
                      <w:p>
                        <w:pPr/>
                      </w:p>
                    </w:tc>
                    <w:tc>
                      <w:tcPr>
                        <w:tcW w:w="512" w:type="dxa"/>
                        <w:tcBorders>
                          <w:top w:val="single" w:sz="4" w:space="0" w:color="858585"/>
                          <w:bottom w:val="single" w:sz="4" w:space="0" w:color="858585"/>
                        </w:tcBorders>
                      </w:tcPr>
                      <w:p>
                        <w:pPr/>
                      </w:p>
                    </w:tc>
                    <w:tc>
                      <w:tcPr>
                        <w:tcW w:w="342" w:type="dxa"/>
                        <w:vMerge/>
                        <w:shd w:val="clear" w:color="auto" w:fill="666666"/>
                      </w:tcPr>
                      <w:p>
                        <w:pPr/>
                      </w:p>
                    </w:tc>
                    <w:tc>
                      <w:tcPr>
                        <w:tcW w:w="511" w:type="dxa"/>
                        <w:tcBorders>
                          <w:top w:val="single" w:sz="4" w:space="0" w:color="858585"/>
                          <w:bottom w:val="single" w:sz="4" w:space="0" w:color="858585"/>
                        </w:tcBorders>
                      </w:tcPr>
                      <w:p>
                        <w:pPr/>
                      </w:p>
                    </w:tc>
                    <w:tc>
                      <w:tcPr>
                        <w:tcW w:w="342" w:type="dxa"/>
                        <w:shd w:val="clear" w:color="auto" w:fill="A6A6A6"/>
                      </w:tcPr>
                      <w:p>
                        <w:pPr/>
                      </w:p>
                    </w:tc>
                    <w:tc>
                      <w:tcPr>
                        <w:tcW w:w="512" w:type="dxa"/>
                        <w:tcBorders>
                          <w:top w:val="single" w:sz="4" w:space="0" w:color="858585"/>
                          <w:bottom w:val="single" w:sz="4" w:space="0" w:color="858585"/>
                        </w:tcBorders>
                      </w:tcPr>
                      <w:p>
                        <w:pPr/>
                      </w:p>
                    </w:tc>
                    <w:tc>
                      <w:tcPr>
                        <w:tcW w:w="342" w:type="dxa"/>
                        <w:vMerge/>
                        <w:shd w:val="clear" w:color="auto" w:fill="A6A6A6"/>
                      </w:tcPr>
                      <w:p>
                        <w:pPr/>
                      </w:p>
                    </w:tc>
                    <w:tc>
                      <w:tcPr>
                        <w:tcW w:w="255" w:type="dxa"/>
                        <w:tcBorders>
                          <w:top w:val="single" w:sz="4" w:space="0" w:color="858585"/>
                          <w:bottom w:val="single" w:sz="4" w:space="0" w:color="858585"/>
                        </w:tcBorders>
                      </w:tcPr>
                      <w:p>
                        <w:pPr/>
                      </w:p>
                    </w:tc>
                  </w:tr>
                  <w:tr>
                    <w:trPr>
                      <w:trHeight w:val="241" w:hRule="exact"/>
                    </w:trPr>
                    <w:tc>
                      <w:tcPr>
                        <w:tcW w:w="255" w:type="dxa"/>
                        <w:tcBorders>
                          <w:top w:val="single" w:sz="4" w:space="0" w:color="858585"/>
                          <w:left w:val="single" w:sz="4" w:space="0" w:color="858585"/>
                          <w:bottom w:val="single" w:sz="4" w:space="0" w:color="858585"/>
                        </w:tcBorders>
                      </w:tcPr>
                      <w:p>
                        <w:pPr/>
                      </w:p>
                    </w:tc>
                    <w:tc>
                      <w:tcPr>
                        <w:tcW w:w="342" w:type="dxa"/>
                        <w:vMerge w:val="restart"/>
                        <w:tcBorders>
                          <w:top w:val="single" w:sz="4" w:space="0" w:color="858585"/>
                        </w:tcBorders>
                        <w:shd w:val="clear" w:color="auto" w:fill="666666"/>
                      </w:tcPr>
                      <w:p>
                        <w:pPr/>
                      </w:p>
                    </w:tc>
                    <w:tc>
                      <w:tcPr>
                        <w:tcW w:w="512" w:type="dxa"/>
                        <w:tcBorders>
                          <w:top w:val="single" w:sz="4" w:space="0" w:color="858585"/>
                          <w:bottom w:val="single" w:sz="4" w:space="0" w:color="858585"/>
                        </w:tcBorders>
                      </w:tcPr>
                      <w:p>
                        <w:pPr/>
                      </w:p>
                    </w:tc>
                    <w:tc>
                      <w:tcPr>
                        <w:tcW w:w="342" w:type="dxa"/>
                        <w:vMerge/>
                        <w:shd w:val="clear" w:color="auto" w:fill="666666"/>
                      </w:tcPr>
                      <w:p>
                        <w:pPr/>
                      </w:p>
                    </w:tc>
                    <w:tc>
                      <w:tcPr>
                        <w:tcW w:w="511" w:type="dxa"/>
                        <w:tcBorders>
                          <w:top w:val="single" w:sz="4" w:space="0" w:color="858585"/>
                          <w:bottom w:val="single" w:sz="4" w:space="0" w:color="858585"/>
                        </w:tcBorders>
                      </w:tcPr>
                      <w:p>
                        <w:pPr/>
                      </w:p>
                    </w:tc>
                    <w:tc>
                      <w:tcPr>
                        <w:tcW w:w="342" w:type="dxa"/>
                        <w:vMerge w:val="restart"/>
                        <w:shd w:val="clear" w:color="auto" w:fill="666666"/>
                      </w:tcPr>
                      <w:p>
                        <w:pPr/>
                      </w:p>
                    </w:tc>
                    <w:tc>
                      <w:tcPr>
                        <w:tcW w:w="512" w:type="dxa"/>
                        <w:tcBorders>
                          <w:top w:val="single" w:sz="4" w:space="0" w:color="858585"/>
                          <w:bottom w:val="single" w:sz="4" w:space="0" w:color="858585"/>
                        </w:tcBorders>
                      </w:tcPr>
                      <w:p>
                        <w:pPr/>
                      </w:p>
                    </w:tc>
                    <w:tc>
                      <w:tcPr>
                        <w:tcW w:w="342" w:type="dxa"/>
                        <w:vMerge w:val="restart"/>
                        <w:shd w:val="clear" w:color="auto" w:fill="666666"/>
                      </w:tcPr>
                      <w:p>
                        <w:pPr/>
                      </w:p>
                    </w:tc>
                    <w:tc>
                      <w:tcPr>
                        <w:tcW w:w="255" w:type="dxa"/>
                        <w:tcBorders>
                          <w:top w:val="single" w:sz="4" w:space="0" w:color="858585"/>
                          <w:bottom w:val="single" w:sz="4" w:space="0" w:color="858585"/>
                        </w:tcBorders>
                      </w:tcPr>
                      <w:p>
                        <w:pPr/>
                      </w:p>
                    </w:tc>
                  </w:tr>
                  <w:tr>
                    <w:trPr>
                      <w:trHeight w:val="227" w:hRule="exact"/>
                    </w:trPr>
                    <w:tc>
                      <w:tcPr>
                        <w:tcW w:w="255" w:type="dxa"/>
                        <w:tcBorders>
                          <w:top w:val="single" w:sz="4" w:space="0" w:color="858585"/>
                          <w:left w:val="single" w:sz="4" w:space="0" w:color="858585"/>
                          <w:bottom w:val="single" w:sz="4" w:space="0" w:color="858585"/>
                        </w:tcBorders>
                      </w:tcPr>
                      <w:p>
                        <w:pPr/>
                      </w:p>
                    </w:tc>
                    <w:tc>
                      <w:tcPr>
                        <w:tcW w:w="342" w:type="dxa"/>
                        <w:vMerge/>
                        <w:tcBorders>
                          <w:bottom w:val="single" w:sz="4" w:space="0" w:color="858585"/>
                        </w:tcBorders>
                        <w:shd w:val="clear" w:color="auto" w:fill="666666"/>
                      </w:tcPr>
                      <w:p>
                        <w:pPr/>
                      </w:p>
                    </w:tc>
                    <w:tc>
                      <w:tcPr>
                        <w:tcW w:w="512" w:type="dxa"/>
                        <w:tcBorders>
                          <w:top w:val="single" w:sz="4" w:space="0" w:color="858585"/>
                          <w:bottom w:val="single" w:sz="4" w:space="0" w:color="858585"/>
                        </w:tcBorders>
                      </w:tcPr>
                      <w:p>
                        <w:pPr/>
                      </w:p>
                    </w:tc>
                    <w:tc>
                      <w:tcPr>
                        <w:tcW w:w="342" w:type="dxa"/>
                        <w:vMerge/>
                        <w:tcBorders>
                          <w:bottom w:val="single" w:sz="4" w:space="0" w:color="858585"/>
                        </w:tcBorders>
                        <w:shd w:val="clear" w:color="auto" w:fill="666666"/>
                      </w:tcPr>
                      <w:p>
                        <w:pPr/>
                      </w:p>
                    </w:tc>
                    <w:tc>
                      <w:tcPr>
                        <w:tcW w:w="511" w:type="dxa"/>
                        <w:tcBorders>
                          <w:top w:val="single" w:sz="4" w:space="0" w:color="858585"/>
                          <w:bottom w:val="single" w:sz="4" w:space="0" w:color="858585"/>
                        </w:tcBorders>
                      </w:tcPr>
                      <w:p>
                        <w:pPr/>
                      </w:p>
                    </w:tc>
                    <w:tc>
                      <w:tcPr>
                        <w:tcW w:w="342" w:type="dxa"/>
                        <w:vMerge/>
                        <w:tcBorders>
                          <w:bottom w:val="single" w:sz="4" w:space="0" w:color="858585"/>
                        </w:tcBorders>
                        <w:shd w:val="clear" w:color="auto" w:fill="666666"/>
                      </w:tcPr>
                      <w:p>
                        <w:pPr/>
                      </w:p>
                    </w:tc>
                    <w:tc>
                      <w:tcPr>
                        <w:tcW w:w="512" w:type="dxa"/>
                        <w:tcBorders>
                          <w:top w:val="single" w:sz="4" w:space="0" w:color="858585"/>
                          <w:bottom w:val="single" w:sz="4" w:space="0" w:color="858585"/>
                        </w:tcBorders>
                      </w:tcPr>
                      <w:p>
                        <w:pPr/>
                      </w:p>
                    </w:tc>
                    <w:tc>
                      <w:tcPr>
                        <w:tcW w:w="342" w:type="dxa"/>
                        <w:vMerge/>
                        <w:tcBorders>
                          <w:bottom w:val="single" w:sz="4" w:space="0" w:color="858585"/>
                        </w:tcBorders>
                        <w:shd w:val="clear" w:color="auto" w:fill="666666"/>
                      </w:tcPr>
                      <w:p>
                        <w:pPr/>
                      </w:p>
                    </w:tc>
                    <w:tc>
                      <w:tcPr>
                        <w:tcW w:w="255" w:type="dxa"/>
                        <w:tcBorders>
                          <w:top w:val="single" w:sz="4" w:space="0" w:color="858585"/>
                          <w:bottom w:val="single" w:sz="4" w:space="0" w:color="858585"/>
                        </w:tcBorders>
                      </w:tcPr>
                      <w:p>
                        <w:pPr/>
                      </w:p>
                    </w:tc>
                  </w:tr>
                </w:tbl>
                <w:p>
                  <w:pPr>
                    <w:pStyle w:val="BodyText"/>
                  </w:pPr>
                </w:p>
              </w:txbxContent>
            </v:textbox>
          </v:shape>
        </w:pict>
      </w:r>
      <w:r>
        <w:rPr>
          <w:position w:val="4"/>
        </w:rPr>
      </w:r>
    </w:p>
    <w:p>
      <w:pPr>
        <w:pStyle w:val="BodyText"/>
      </w:pPr>
    </w:p>
    <w:p>
      <w:pPr>
        <w:pStyle w:val="BodyText"/>
        <w:spacing w:before="7"/>
        <w:rPr>
          <w:sz w:val="24"/>
        </w:rPr>
      </w:pPr>
    </w:p>
    <w:p>
      <w:pPr>
        <w:spacing w:after="0"/>
        <w:rPr>
          <w:sz w:val="24"/>
        </w:rPr>
        <w:sectPr>
          <w:type w:val="continuous"/>
          <w:pgSz w:w="11900" w:h="14450"/>
          <w:pgMar w:top="420" w:bottom="420" w:left="0" w:right="0"/>
        </w:sectPr>
      </w:pPr>
    </w:p>
    <w:p>
      <w:pPr>
        <w:spacing w:line="283" w:lineRule="auto" w:before="71"/>
        <w:ind w:left="1568" w:right="0" w:firstLine="0"/>
        <w:jc w:val="left"/>
        <w:rPr>
          <w:sz w:val="18"/>
        </w:rPr>
      </w:pPr>
      <w:r>
        <w:rPr/>
        <w:pict>
          <v:group style="position:absolute;margin-left:78.228264pt;margin-top:-145.009048pt;width:208.4pt;height:141.6pt;mso-position-horizontal-relative:page;mso-position-vertical-relative:paragraph;z-index:-492592" coordorigin="1565,-2900" coordsize="4168,2832">
            <v:shape style="position:absolute;left:2574;top:-1112;width:126;height:353" type="#_x0000_t75" stroked="false">
              <v:imagedata r:id="rId185" o:title=""/>
            </v:shape>
            <v:shape style="position:absolute;left:3410;top:-1287;width:126;height:352" type="#_x0000_t75" stroked="false">
              <v:imagedata r:id="rId186" o:title=""/>
            </v:shape>
            <v:shape style="position:absolute;left:4246;top:-1675;width:126;height:353" type="#_x0000_t75" stroked="false">
              <v:imagedata r:id="rId187" o:title=""/>
            </v:shape>
            <v:shape style="position:absolute;left:5082;top:-1200;width:126;height:352" type="#_x0000_t75" stroked="false">
              <v:imagedata r:id="rId188" o:title=""/>
            </v:shape>
            <v:shape style="position:absolute;left:2574;top:-1635;width:126;height:261" type="#_x0000_t75" stroked="false">
              <v:imagedata r:id="rId189" o:title=""/>
            </v:shape>
            <v:shape style="position:absolute;left:4227;top:-2609;width:126;height:271" type="#_x0000_t75" stroked="false">
              <v:imagedata r:id="rId190" o:title=""/>
            </v:shape>
            <v:shape style="position:absolute;left:3953;top:-2766;width:1241;height:137" type="#_x0000_t75" stroked="false">
              <v:imagedata r:id="rId191" o:title=""/>
            </v:shape>
            <v:shape style="position:absolute;left:5241;top:-2762;width:315;height:104" type="#_x0000_t75" stroked="false">
              <v:imagedata r:id="rId192" o:title=""/>
            </v:shape>
            <v:shape style="position:absolute;left:5082;top:-1773;width:126;height:262" type="#_x0000_t75" stroked="false">
              <v:imagedata r:id="rId193" o:title=""/>
            </v:shape>
            <v:shape style="position:absolute;left:2574;top:-2205;width:126;height:255" type="#_x0000_t75" stroked="false">
              <v:imagedata r:id="rId194" o:title=""/>
            </v:shape>
            <v:shape style="position:absolute;left:3410;top:-2222;width:126;height:275" type="#_x0000_t75" stroked="false">
              <v:imagedata r:id="rId195" o:title=""/>
            </v:shape>
            <v:shape style="position:absolute;left:5082;top:-2274;width:126;height:271" type="#_x0000_t75" stroked="false">
              <v:imagedata r:id="rId196" o:title=""/>
            </v:shape>
            <v:shape style="position:absolute;left:1924;top:-606;width:150;height:107" type="#_x0000_t75" stroked="false">
              <v:imagedata r:id="rId160" o:title=""/>
            </v:shape>
            <v:shape style="position:absolute;left:1924;top:-996;width:149;height:107" type="#_x0000_t75" stroked="false">
              <v:imagedata r:id="rId197" o:title=""/>
            </v:shape>
            <v:shape style="position:absolute;left:1924;top:-1386;width:150;height:107" type="#_x0000_t75" stroked="false">
              <v:imagedata r:id="rId198" o:title=""/>
            </v:shape>
            <v:shape style="position:absolute;left:1924;top:-1777;width:150;height:107" type="#_x0000_t75" stroked="false">
              <v:imagedata r:id="rId199" o:title=""/>
            </v:shape>
            <v:shape style="position:absolute;left:1924;top:-2167;width:150;height:107" type="#_x0000_t75" stroked="false">
              <v:imagedata r:id="rId200" o:title=""/>
            </v:shape>
            <v:shape style="position:absolute;left:1852;top:-2557;width:221;height:107" type="#_x0000_t75" stroked="false">
              <v:imagedata r:id="rId201" o:title=""/>
            </v:shape>
            <v:shape style="position:absolute;left:2548;top:-428;width:140;height:105" type="#_x0000_t75" stroked="false">
              <v:imagedata r:id="rId202" o:title=""/>
            </v:shape>
            <v:shape style="position:absolute;left:3384;top:-428;width:159;height:105" type="#_x0000_t75" stroked="false">
              <v:imagedata r:id="rId203" o:title=""/>
            </v:shape>
            <v:shape style="position:absolute;left:4221;top:-428;width:160;height:107" type="#_x0000_t75" stroked="false">
              <v:imagedata r:id="rId204" o:title=""/>
            </v:shape>
            <v:shape style="position:absolute;left:4830;top:-428;width:612;height:107" type="#_x0000_t75" stroked="false">
              <v:imagedata r:id="rId205" o:title=""/>
            </v:shape>
            <v:shape style="position:absolute;left:1655;top:-1869;width:136;height:683" type="#_x0000_t75" stroked="false">
              <v:imagedata r:id="rId206" o:title=""/>
            </v:shape>
            <v:shape style="position:absolute;left:3659;top:-231;width:448;height:107" type="#_x0000_t75" stroked="false">
              <v:imagedata r:id="rId207" o:title=""/>
            </v:shape>
            <v:shape style="position:absolute;left:2043;top:-2764;width:655;height:107" type="#_x0000_t75" stroked="false">
              <v:imagedata r:id="rId208" o:title=""/>
            </v:shape>
            <v:shape style="position:absolute;left:2781;top:-2764;width:536;height:107" type="#_x0000_t75" stroked="false">
              <v:imagedata r:id="rId209" o:title=""/>
            </v:shape>
            <v:shape style="position:absolute;left:3365;top:-2735;width:70;height:107" coordorigin="3365,-2735" coordsize="70,107" path="m3371,-2642l3372,-2630,3375,-2629,3378,-2628,3384,-2628,3388,-2629,3394,-2633,3397,-2637,3399,-2641,3376,-2641,3373,-2641,3371,-2642xm3379,-2735l3365,-2735,3394,-2659,3394,-2658,3391,-2651,3390,-2648,3388,-2645,3387,-2643,3383,-2641,3381,-2641,3399,-2641,3401,-2644,3403,-2650,3412,-2674,3401,-2674,3399,-2680,3397,-2686,3395,-2691,3379,-2735xm3435,-2735l3422,-2735,3404,-2685,3402,-2680,3401,-2674,3412,-2674,3435,-2735xe" filled="true" fillcolor="#000000" stroked="false">
              <v:path arrowok="t"/>
              <v:fill type="solid"/>
            </v:shape>
            <v:shape style="position:absolute;left:3483;top:-2737;width:388;height:107" type="#_x0000_t75" stroked="false">
              <v:imagedata r:id="rId210" o:title=""/>
            </v:shape>
            <v:rect style="position:absolute;left:1571;top:-2894;width:4156;height:2820" filled="false" stroked="true" strokeweight=".551305pt" strokecolor="#858585"/>
            <w10:wrap type="none"/>
          </v:group>
        </w:pict>
      </w:r>
      <w:r>
        <w:rPr/>
        <w:pict>
          <v:group style="position:absolute;margin-left:301.546875pt;margin-top:-144.341187pt;width:209.25pt;height:141.6pt;mso-position-horizontal-relative:page;mso-position-vertical-relative:paragraph;z-index:-492568" coordorigin="6031,-2887" coordsize="4185,2832">
            <v:shape style="position:absolute;left:7125;top:-998;width:116;height:369" type="#_x0000_t75" stroked="false">
              <v:imagedata r:id="rId211" o:title=""/>
            </v:shape>
            <v:shape style="position:absolute;left:7978;top:-1401;width:116;height:367" type="#_x0000_t75" stroked="false">
              <v:imagedata r:id="rId212" o:title=""/>
            </v:shape>
            <v:shape style="position:absolute;left:8831;top:-796;width:98;height:135" coordorigin="8831,-796" coordsize="98,135" path="m8928,-690l8919,-691,8910,-693,8890,-699,8879,-705,8863,-715,8857,-718,8849,-725,8842,-732,8833,-732,8833,-661,8844,-661,8844,-715,8851,-708,8860,-702,8880,-690,8890,-685,8911,-678,8921,-677,8928,-677,8928,-690m8928,-796l8831,-796,8831,-787,8835,-785,8840,-781,8849,-770,8852,-763,8855,-756,8867,-756,8866,-760,8864,-764,8858,-775,8855,-779,8853,-782,8928,-782,8928,-796e" filled="true" fillcolor="#000000" stroked="false">
              <v:path arrowok="t"/>
              <v:fill type="solid"/>
            </v:shape>
            <v:shape style="position:absolute;left:8831;top:-1008;width:116;height:171" type="#_x0000_t75" stroked="false">
              <v:imagedata r:id="rId213" o:title=""/>
            </v:shape>
            <v:shape style="position:absolute;left:9684;top:-945;width:116;height:262" type="#_x0000_t75" stroked="false">
              <v:imagedata r:id="rId214" o:title=""/>
            </v:shape>
            <v:shape style="position:absolute;left:9684;top:-1051;width:99;height:73" coordorigin="9684,-1051" coordsize="99,73" path="m9739,-1000l9729,-1000,9730,-993,9733,-988,9742,-981,9747,-979,9762,-979,9769,-982,9778,-993,9748,-993,9743,-995,9739,-1000xm9714,-1047l9703,-1047,9697,-1044,9687,-1032,9684,-1025,9684,-1005,9687,-998,9696,-986,9702,-983,9714,-983,9718,-985,9725,-990,9727,-994,9728,-997,9705,-997,9701,-999,9696,-1006,9694,-1010,9694,-1020,9696,-1024,9701,-1031,9705,-1033,9728,-1033,9727,-1036,9725,-1040,9718,-1045,9714,-1047xm9778,-1037l9759,-1037,9764,-1035,9771,-1027,9773,-1022,9773,-1011,9772,-1007,9769,-1000,9766,-997,9760,-994,9757,-993,9778,-993,9780,-996,9783,-1004,9783,-1026,9780,-1035,9778,-1037xm9728,-1033l9714,-1033,9717,-1031,9723,-1025,9724,-1020,9724,-1010,9723,-1005,9717,-999,9713,-997,9728,-997,9729,-1000,9739,-1000,9736,-1003,9734,-1008,9734,-1021,9736,-1027,9739,-1030,9729,-1030,9728,-1033xm9762,-1051l9748,-1051,9743,-1049,9734,-1042,9731,-1037,9729,-1030,9739,-1030,9743,-1035,9748,-1037,9778,-1037,9769,-1048,9762,-1051xe" filled="true" fillcolor="#000000" stroked="false">
              <v:path arrowok="t"/>
              <v:fill type="solid"/>
            </v:shape>
            <v:shape style="position:absolute;left:7125;top:-1370;width:116;height:284" type="#_x0000_t75" stroked="false">
              <v:imagedata r:id="rId215" o:title=""/>
            </v:shape>
            <v:shape style="position:absolute;left:8059;top:-2055;width:116;height:282" type="#_x0000_t75" stroked="false">
              <v:imagedata r:id="rId216" o:title=""/>
            </v:shape>
            <v:shape style="position:absolute;left:7897;top:-2209;width:116;height:284" type="#_x0000_t75" stroked="false">
              <v:imagedata r:id="rId217" o:title=""/>
            </v:shape>
            <v:shape style="position:absolute;left:8059;top:-2422;width:116;height:284" type="#_x0000_t75" stroked="false">
              <v:imagedata r:id="rId218" o:title=""/>
            </v:shape>
            <v:shape style="position:absolute;left:8831;top:-1367;width:116;height:284" type="#_x0000_t75" stroked="false">
              <v:imagedata r:id="rId219" o:title=""/>
            </v:shape>
            <v:shape style="position:absolute;left:9684;top:-1451;width:116;height:282" type="#_x0000_t75" stroked="false">
              <v:imagedata r:id="rId220" o:title=""/>
            </v:shape>
            <v:shape style="position:absolute;left:7125;top:-1948;width:116;height:359" type="#_x0000_t75" stroked="false">
              <v:imagedata r:id="rId221" o:title=""/>
            </v:shape>
            <v:shape style="position:absolute;left:8831;top:-2065;width:116;height:371" type="#_x0000_t75" stroked="false">
              <v:imagedata r:id="rId222" o:title=""/>
            </v:shape>
            <v:shape style="position:absolute;left:9684;top:-1997;width:116;height:357" type="#_x0000_t75" stroked="false">
              <v:imagedata r:id="rId223" o:title=""/>
            </v:shape>
            <v:shape style="position:absolute;left:7125;top:-2402;width:116;height:284" type="#_x0000_t75" stroked="false">
              <v:imagedata r:id="rId224" o:title=""/>
            </v:shape>
            <v:shape style="position:absolute;left:8831;top:-2551;width:116;height:283" type="#_x0000_t75" stroked="false">
              <v:imagedata r:id="rId225" o:title=""/>
            </v:shape>
            <v:shape style="position:absolute;left:9684;top:-2423;width:116;height:284" type="#_x0000_t75" stroked="false">
              <v:imagedata r:id="rId226" o:title=""/>
            </v:shape>
            <v:shape style="position:absolute;left:6296;top:-648;width:325;height:132" type="#_x0000_t75" stroked="false">
              <v:imagedata r:id="rId227" o:title=""/>
            </v:shape>
            <v:shape style="position:absolute;left:6296;top:-876;width:325;height:132" type="#_x0000_t75" stroked="false">
              <v:imagedata r:id="rId228" o:title=""/>
            </v:shape>
            <v:shape style="position:absolute;left:6297;top:-1103;width:324;height:132" type="#_x0000_t75" stroked="false">
              <v:imagedata r:id="rId229" o:title=""/>
            </v:shape>
            <v:shape style="position:absolute;left:6297;top:-1331;width:324;height:132" type="#_x0000_t75" stroked="false">
              <v:imagedata r:id="rId230" o:title=""/>
            </v:shape>
            <v:shape style="position:absolute;left:6296;top:-1558;width:325;height:132" type="#_x0000_t75" stroked="false">
              <v:imagedata r:id="rId231" o:title=""/>
            </v:shape>
            <v:shape style="position:absolute;left:6296;top:-1786;width:325;height:132" type="#_x0000_t75" stroked="false">
              <v:imagedata r:id="rId232" o:title=""/>
            </v:shape>
            <v:shape style="position:absolute;left:6296;top:-2013;width:325;height:132" type="#_x0000_t75" stroked="false">
              <v:imagedata r:id="rId233" o:title=""/>
            </v:shape>
            <v:shape style="position:absolute;left:6296;top:-2241;width:325;height:132" type="#_x0000_t75" stroked="false">
              <v:imagedata r:id="rId234" o:title=""/>
            </v:shape>
            <v:shape style="position:absolute;left:6231;top:-2468;width:390;height:132" type="#_x0000_t75" stroked="false">
              <v:imagedata r:id="rId235" o:title=""/>
            </v:shape>
            <v:shape style="position:absolute;left:7100;top:-463;width:129;height:110" type="#_x0000_t75" stroked="false">
              <v:imagedata r:id="rId236" o:title=""/>
            </v:shape>
            <v:shape style="position:absolute;left:7954;top:-463;width:147;height:110" type="#_x0000_t75" stroked="false">
              <v:imagedata r:id="rId237" o:title=""/>
            </v:shape>
            <v:shape style="position:absolute;left:8807;top:-463;width:148;height:112" type="#_x0000_t75" stroked="false">
              <v:imagedata r:id="rId238" o:title=""/>
            </v:shape>
            <v:shape style="position:absolute;left:9453;top:-462;width:564;height:111" type="#_x0000_t75" stroked="false">
              <v:imagedata r:id="rId239" o:title=""/>
            </v:shape>
            <v:shape style="position:absolute;left:6088;top:-1743;width:125;height:765" type="#_x0000_t75" stroked="false">
              <v:imagedata r:id="rId240" o:title=""/>
            </v:shape>
            <v:shape style="position:absolute;left:6086;top:-2021;width:127;height:221" type="#_x0000_t75" stroked="false">
              <v:imagedata r:id="rId241" o:title=""/>
            </v:shape>
            <v:shape style="position:absolute;left:8230;top:-239;width:450;height:111" type="#_x0000_t75" stroked="false">
              <v:imagedata r:id="rId242" o:title=""/>
            </v:shape>
            <v:shape style="position:absolute;left:6532;top:-2845;width:498;height:111" type="#_x0000_t75" stroked="false">
              <v:imagedata r:id="rId243" o:title=""/>
            </v:shape>
            <v:shape style="position:absolute;left:7075;top:-2817;width:466;height:114" coordorigin="7075,-2817" coordsize="466,114" path="m7139,-2815l7127,-2815,7110,-2763,7108,-2757,7107,-2751,7106,-2757,7104,-2763,7102,-2769,7087,-2815,7075,-2815,7101,-2736,7101,-2734,7098,-2727,7097,-2724,7096,-2721,7094,-2719,7091,-2717,7089,-2717,7084,-2717,7082,-2717,7080,-2718,7081,-2705,7084,-2704,7086,-2704,7092,-2704,7096,-2705,7101,-2709,7103,-2712,7106,-2717,7107,-2720,7109,-2726,7118,-2751,7139,-2815m7243,-2815l7233,-2815,7233,-2805,7233,-2785,7233,-2765,7231,-2757,7223,-2748,7219,-2745,7209,-2745,7204,-2748,7197,-2758,7195,-2766,7195,-2786,7197,-2794,7204,-2804,7208,-2806,7218,-2806,7223,-2804,7231,-2793,7233,-2785,7233,-2805,7232,-2806,7228,-2813,7221,-2817,7207,-2817,7202,-2815,7192,-2809,7189,-2804,7184,-2791,7183,-2784,7183,-2763,7186,-2753,7198,-2738,7205,-2734,7217,-2734,7220,-2735,7227,-2739,7230,-2741,7231,-2744,7231,-2706,7243,-2706,7243,-2744,7243,-2745,7243,-2805,7243,-2815m7318,-2815l7306,-2815,7306,-2766,7306,-2761,7303,-2754,7301,-2751,7295,-2747,7291,-2746,7284,-2746,7281,-2747,7276,-2751,7275,-2754,7274,-2757,7274,-2760,7273,-2764,7273,-2815,7262,-2815,7262,-2760,7262,-2756,7263,-2750,7264,-2746,7268,-2741,7270,-2739,7278,-2735,7281,-2734,7295,-2734,7302,-2739,7307,-2746,7308,-2748,7308,-2736,7318,-2736,7318,-2748,7318,-2815m7397,-2789l7394,-2799,7388,-2806,7384,-2811,7384,-2783,7345,-2783,7346,-2790,7348,-2796,7355,-2804,7360,-2806,7371,-2806,7376,-2803,7382,-2795,7384,-2790,7384,-2783,7384,-2811,7382,-2813,7374,-2817,7355,-2817,7348,-2813,7335,-2799,7332,-2788,7332,-2762,7335,-2752,7347,-2738,7356,-2734,7374,-2734,7381,-2736,7391,-2745,7391,-2745,7395,-2752,7397,-2760,7384,-2761,7382,-2756,7380,-2752,7374,-2746,7370,-2745,7360,-2745,7355,-2748,7347,-2757,7345,-2763,7345,-2772,7397,-2772,7397,-2783,7397,-2789m7465,-2764l7464,-2768,7460,-2774,7457,-2776,7451,-2779,7445,-2781,7431,-2786,7427,-2787,7426,-2787,7424,-2788,7423,-2790,7421,-2792,7420,-2794,7420,-2798,7421,-2801,7426,-2805,7430,-2806,7440,-2806,7443,-2805,7449,-2800,7450,-2797,7451,-2793,7462,-2795,7461,-2800,7460,-2804,7459,-2806,7456,-2810,7453,-2813,7445,-2816,7440,-2817,7431,-2817,7427,-2817,7421,-2814,7418,-2813,7417,-2812,7414,-2810,7412,-2807,7409,-2801,7409,-2798,7409,-2790,7410,-2787,7413,-2780,7416,-2778,7422,-2774,7428,-2772,7444,-2768,7447,-2766,7451,-2763,7453,-2761,7453,-2754,7451,-2751,7446,-2746,7442,-2745,7431,-2745,7427,-2747,7421,-2752,7419,-2756,7418,-2762,7407,-2760,7408,-2751,7411,-2745,7421,-2736,7427,-2734,7442,-2734,7447,-2735,7456,-2740,7459,-2743,7461,-2745,7464,-2751,7465,-2754,7465,-2764m7540,-2789l7537,-2799,7532,-2806,7528,-2810,7528,-2786,7528,-2765,7526,-2758,7518,-2748,7514,-2745,7502,-2745,7497,-2748,7489,-2758,7487,-2765,7487,-2786,7489,-2793,7497,-2803,7502,-2806,7514,-2806,7518,-2803,7526,-2793,7528,-2786,7528,-2810,7525,-2813,7517,-2817,7499,-2817,7492,-2814,7478,-2801,7475,-2790,7475,-2762,7478,-2752,7490,-2738,7498,-2734,7514,-2734,7519,-2736,7530,-2742,7532,-2745,7534,-2747,7539,-2758,7540,-2766,7540,-2789e" filled="true" fillcolor="#000000" stroked="false">
              <v:path arrowok="t"/>
              <v:fill type="solid"/>
            </v:shape>
            <v:shape style="position:absolute;left:6532;top:-2692;width:603;height:111" type="#_x0000_t75" stroked="false">
              <v:imagedata r:id="rId244" o:title=""/>
            </v:shape>
            <v:shape style="position:absolute;left:7183;top:-2692;width:701;height:142" type="#_x0000_t75" stroked="false">
              <v:imagedata r:id="rId245" o:title=""/>
            </v:shape>
            <v:shape style="position:absolute;left:8349;top:-2852;width:664;height:111" type="#_x0000_t75" stroked="false">
              <v:imagedata r:id="rId246" o:title=""/>
            </v:shape>
            <v:line style="position:absolute" from="8388,-2643" to="8458,-2643" stroked="true" strokeweight="3.962055pt" strokecolor="#666666"/>
            <v:rect style="position:absolute;left:6037;top:-2881;width:4172;height:2819" filled="false" stroked="true" strokeweight=".554669pt" strokecolor="#858585"/>
            <v:shape style="position:absolute;left:8494;top:-2697;width:705;height:113" type="#_x0000_t75" stroked="false">
              <v:imagedata r:id="rId247" o:title=""/>
            </v:shape>
            <v:shape style="position:absolute;left:9246;top:-2697;width:831;height:113" type="#_x0000_t75" stroked="false">
              <v:imagedata r:id="rId248" o:title=""/>
            </v:shape>
            <w10:wrap type="none"/>
          </v:group>
        </w:pict>
      </w:r>
      <w:r>
        <w:rPr>
          <w:color w:val="231F20"/>
          <w:sz w:val="18"/>
        </w:rPr>
        <w:t>Figura 6. Distribución de los principales ingresos en las unidades  de  producción analizadas.</w:t>
      </w:r>
    </w:p>
    <w:p>
      <w:pPr>
        <w:spacing w:line="283" w:lineRule="auto" w:before="71"/>
        <w:ind w:left="413" w:right="1577" w:firstLine="0"/>
        <w:jc w:val="left"/>
        <w:rPr>
          <w:sz w:val="18"/>
        </w:rPr>
      </w:pPr>
      <w:r>
        <w:rPr/>
        <w:br w:type="column"/>
      </w:r>
      <w:r>
        <w:rPr>
          <w:color w:val="231F20"/>
          <w:sz w:val="18"/>
        </w:rPr>
        <w:t>Figura </w:t>
      </w:r>
      <w:r>
        <w:rPr>
          <w:color w:val="231F20"/>
          <w:spacing w:val="-12"/>
          <w:sz w:val="18"/>
        </w:rPr>
        <w:t>7. </w:t>
      </w:r>
      <w:r>
        <w:rPr>
          <w:color w:val="231F20"/>
          <w:sz w:val="18"/>
        </w:rPr>
        <w:t>Porcentaje de ingresos provenientes de  la  venta de</w:t>
      </w:r>
      <w:r>
        <w:rPr>
          <w:color w:val="231F20"/>
          <w:spacing w:val="24"/>
          <w:sz w:val="18"/>
        </w:rPr>
        <w:t> </w:t>
      </w:r>
      <w:r>
        <w:rPr>
          <w:color w:val="231F20"/>
          <w:sz w:val="18"/>
        </w:rPr>
        <w:t>bovinos.</w:t>
      </w:r>
    </w:p>
    <w:p>
      <w:pPr>
        <w:spacing w:after="0" w:line="283" w:lineRule="auto"/>
        <w:jc w:val="left"/>
        <w:rPr>
          <w:sz w:val="18"/>
        </w:rPr>
        <w:sectPr>
          <w:type w:val="continuous"/>
          <w:pgSz w:w="11900" w:h="14450"/>
          <w:pgMar w:top="420" w:bottom="420" w:left="0" w:right="0"/>
          <w:cols w:num="2" w:equalWidth="0">
            <w:col w:w="5721" w:space="40"/>
            <w:col w:w="6139"/>
          </w:cols>
        </w:sectPr>
      </w:pPr>
    </w:p>
    <w:p>
      <w:pPr>
        <w:pStyle w:val="BodyText"/>
      </w:pPr>
    </w:p>
    <w:p>
      <w:pPr>
        <w:pStyle w:val="BodyText"/>
      </w:pPr>
    </w:p>
    <w:p>
      <w:pPr>
        <w:pStyle w:val="BodyText"/>
        <w:rPr>
          <w:sz w:val="17"/>
        </w:rPr>
      </w:pPr>
    </w:p>
    <w:p>
      <w:pPr>
        <w:tabs>
          <w:tab w:pos="6320" w:val="left" w:leader="none"/>
        </w:tabs>
        <w:spacing w:before="64"/>
        <w:ind w:left="1551" w:right="0" w:firstLine="0"/>
        <w:jc w:val="left"/>
        <w:rPr>
          <w:sz w:val="12"/>
        </w:rPr>
      </w:pPr>
      <w:r>
        <w:rPr>
          <w:color w:val="231F20"/>
          <w:spacing w:val="-5"/>
          <w:w w:val="120"/>
          <w:sz w:val="22"/>
        </w:rPr>
        <w:t>132</w:t>
        <w:tab/>
      </w:r>
      <w:r>
        <w:rPr>
          <w:color w:val="231F20"/>
          <w:w w:val="120"/>
          <w:sz w:val="18"/>
        </w:rPr>
        <w:t>SECCIÓN 2.  C. S</w:t>
      </w:r>
      <w:r>
        <w:rPr>
          <w:color w:val="231F20"/>
          <w:w w:val="120"/>
          <w:sz w:val="12"/>
        </w:rPr>
        <w:t>iStemaS  de  bovinoS  produCtoreS  de</w:t>
      </w:r>
      <w:r>
        <w:rPr>
          <w:color w:val="231F20"/>
          <w:spacing w:val="-2"/>
          <w:w w:val="120"/>
          <w:sz w:val="12"/>
        </w:rPr>
        <w:t> </w:t>
      </w:r>
      <w:r>
        <w:rPr>
          <w:color w:val="231F20"/>
          <w:w w:val="120"/>
          <w:sz w:val="12"/>
        </w:rPr>
        <w:t>Carne</w:t>
      </w:r>
    </w:p>
    <w:p>
      <w:pPr>
        <w:pStyle w:val="BodyText"/>
        <w:spacing w:before="11"/>
        <w:rPr>
          <w:sz w:val="23"/>
        </w:rPr>
      </w:pPr>
    </w:p>
    <w:p>
      <w:pPr>
        <w:spacing w:before="71"/>
        <w:ind w:left="1553" w:right="2503" w:firstLine="0"/>
        <w:jc w:val="left"/>
        <w:rPr>
          <w:sz w:val="18"/>
        </w:rPr>
      </w:pPr>
      <w:r>
        <w:rPr>
          <w:color w:val="231F20"/>
          <w:w w:val="105"/>
          <w:sz w:val="18"/>
        </w:rPr>
        <w:t>Cuadro 15.  Indicadores económicos ($) de las unidades de producción.</w:t>
      </w:r>
    </w:p>
    <w:p>
      <w:pPr>
        <w:pStyle w:val="BodyText"/>
        <w:spacing w:before="10"/>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793"/>
        <w:gridCol w:w="1247"/>
        <w:gridCol w:w="1247"/>
        <w:gridCol w:w="1247"/>
        <w:gridCol w:w="1247"/>
      </w:tblGrid>
      <w:tr>
        <w:trPr>
          <w:trHeight w:val="380" w:hRule="exact"/>
        </w:trPr>
        <w:tc>
          <w:tcPr>
            <w:tcW w:w="3793" w:type="dxa"/>
            <w:tcBorders>
              <w:left w:val="nil"/>
            </w:tcBorders>
          </w:tcPr>
          <w:p>
            <w:pPr/>
          </w:p>
        </w:tc>
        <w:tc>
          <w:tcPr>
            <w:tcW w:w="1247" w:type="dxa"/>
          </w:tcPr>
          <w:p>
            <w:pPr>
              <w:pStyle w:val="TableParagraph"/>
              <w:spacing w:before="85"/>
              <w:ind w:left="53" w:right="53"/>
              <w:jc w:val="center"/>
              <w:rPr>
                <w:rFonts w:ascii="Cambria"/>
                <w:i/>
                <w:sz w:val="18"/>
              </w:rPr>
            </w:pPr>
            <w:r>
              <w:rPr>
                <w:rFonts w:ascii="Cambria"/>
                <w:i/>
                <w:color w:val="231F20"/>
                <w:sz w:val="18"/>
              </w:rPr>
              <w:t>E1</w:t>
            </w:r>
          </w:p>
        </w:tc>
        <w:tc>
          <w:tcPr>
            <w:tcW w:w="1247" w:type="dxa"/>
          </w:tcPr>
          <w:p>
            <w:pPr>
              <w:pStyle w:val="TableParagraph"/>
              <w:spacing w:before="85"/>
              <w:ind w:left="53" w:right="53"/>
              <w:jc w:val="center"/>
              <w:rPr>
                <w:rFonts w:ascii="Cambria"/>
                <w:i/>
                <w:sz w:val="18"/>
              </w:rPr>
            </w:pPr>
            <w:r>
              <w:rPr>
                <w:rFonts w:ascii="Cambria"/>
                <w:i/>
                <w:color w:val="231F20"/>
                <w:sz w:val="18"/>
              </w:rPr>
              <w:t>E2</w:t>
            </w:r>
          </w:p>
        </w:tc>
        <w:tc>
          <w:tcPr>
            <w:tcW w:w="1247" w:type="dxa"/>
          </w:tcPr>
          <w:p>
            <w:pPr>
              <w:pStyle w:val="TableParagraph"/>
              <w:spacing w:before="85"/>
              <w:ind w:left="53" w:right="53"/>
              <w:jc w:val="center"/>
              <w:rPr>
                <w:rFonts w:ascii="Cambria"/>
                <w:i/>
                <w:sz w:val="18"/>
              </w:rPr>
            </w:pPr>
            <w:r>
              <w:rPr>
                <w:rFonts w:ascii="Cambria"/>
                <w:i/>
                <w:color w:val="231F20"/>
                <w:sz w:val="18"/>
              </w:rPr>
              <w:t>E3</w:t>
            </w:r>
          </w:p>
        </w:tc>
        <w:tc>
          <w:tcPr>
            <w:tcW w:w="1247" w:type="dxa"/>
            <w:tcBorders>
              <w:right w:val="nil"/>
            </w:tcBorders>
          </w:tcPr>
          <w:p>
            <w:pPr>
              <w:pStyle w:val="TableParagraph"/>
              <w:spacing w:before="85"/>
              <w:ind w:right="235"/>
              <w:jc w:val="right"/>
              <w:rPr>
                <w:rFonts w:ascii="Cambria"/>
                <w:i/>
                <w:sz w:val="18"/>
              </w:rPr>
            </w:pPr>
            <w:r>
              <w:rPr>
                <w:rFonts w:ascii="Cambria"/>
                <w:i/>
                <w:color w:val="231F20"/>
                <w:w w:val="105"/>
                <w:sz w:val="18"/>
              </w:rPr>
              <w:t>Promedio</w:t>
            </w:r>
          </w:p>
        </w:tc>
      </w:tr>
      <w:tr>
        <w:trPr>
          <w:trHeight w:val="354" w:hRule="exact"/>
        </w:trPr>
        <w:tc>
          <w:tcPr>
            <w:tcW w:w="3793" w:type="dxa"/>
            <w:tcBorders>
              <w:left w:val="nil"/>
            </w:tcBorders>
          </w:tcPr>
          <w:p>
            <w:pPr>
              <w:pStyle w:val="TableParagraph"/>
              <w:ind w:left="113"/>
              <w:rPr>
                <w:sz w:val="17"/>
              </w:rPr>
            </w:pPr>
            <w:r>
              <w:rPr>
                <w:color w:val="231F20"/>
                <w:sz w:val="17"/>
              </w:rPr>
              <w:t>Margen neto</w:t>
            </w:r>
          </w:p>
        </w:tc>
        <w:tc>
          <w:tcPr>
            <w:tcW w:w="1247" w:type="dxa"/>
          </w:tcPr>
          <w:p>
            <w:pPr>
              <w:pStyle w:val="TableParagraph"/>
              <w:ind w:right="219"/>
              <w:jc w:val="right"/>
              <w:rPr>
                <w:sz w:val="17"/>
              </w:rPr>
            </w:pPr>
            <w:r>
              <w:rPr>
                <w:color w:val="231F20"/>
                <w:w w:val="110"/>
                <w:sz w:val="17"/>
              </w:rPr>
              <w:t>52507,60</w:t>
            </w:r>
          </w:p>
        </w:tc>
        <w:tc>
          <w:tcPr>
            <w:tcW w:w="1247" w:type="dxa"/>
          </w:tcPr>
          <w:p>
            <w:pPr>
              <w:pStyle w:val="TableParagraph"/>
              <w:ind w:right="219"/>
              <w:jc w:val="right"/>
              <w:rPr>
                <w:sz w:val="17"/>
              </w:rPr>
            </w:pPr>
            <w:r>
              <w:rPr>
                <w:color w:val="231F20"/>
                <w:w w:val="110"/>
                <w:sz w:val="17"/>
              </w:rPr>
              <w:t>91161,00</w:t>
            </w:r>
          </w:p>
        </w:tc>
        <w:tc>
          <w:tcPr>
            <w:tcW w:w="1247" w:type="dxa"/>
          </w:tcPr>
          <w:p>
            <w:pPr>
              <w:pStyle w:val="TableParagraph"/>
              <w:ind w:right="219"/>
              <w:jc w:val="right"/>
              <w:rPr>
                <w:sz w:val="17"/>
              </w:rPr>
            </w:pPr>
            <w:r>
              <w:rPr>
                <w:color w:val="231F20"/>
                <w:w w:val="110"/>
                <w:sz w:val="17"/>
              </w:rPr>
              <w:t>174509,55</w:t>
            </w:r>
          </w:p>
        </w:tc>
        <w:tc>
          <w:tcPr>
            <w:tcW w:w="1247" w:type="dxa"/>
            <w:tcBorders>
              <w:right w:val="nil"/>
            </w:tcBorders>
          </w:tcPr>
          <w:p>
            <w:pPr>
              <w:pStyle w:val="TableParagraph"/>
              <w:ind w:right="224"/>
              <w:jc w:val="right"/>
              <w:rPr>
                <w:sz w:val="17"/>
              </w:rPr>
            </w:pPr>
            <w:r>
              <w:rPr>
                <w:color w:val="231F20"/>
                <w:w w:val="110"/>
                <w:sz w:val="17"/>
              </w:rPr>
              <w:t>71786,24</w:t>
            </w:r>
          </w:p>
        </w:tc>
      </w:tr>
      <w:tr>
        <w:trPr>
          <w:trHeight w:val="354" w:hRule="exact"/>
        </w:trPr>
        <w:tc>
          <w:tcPr>
            <w:tcW w:w="3793" w:type="dxa"/>
            <w:tcBorders>
              <w:left w:val="nil"/>
            </w:tcBorders>
          </w:tcPr>
          <w:p>
            <w:pPr>
              <w:pStyle w:val="TableParagraph"/>
              <w:ind w:left="113"/>
              <w:rPr>
                <w:sz w:val="17"/>
              </w:rPr>
            </w:pPr>
            <w:r>
              <w:rPr>
                <w:color w:val="231F20"/>
                <w:sz w:val="17"/>
              </w:rPr>
              <w:t>Margen neto/UGB y  año</w:t>
            </w:r>
          </w:p>
        </w:tc>
        <w:tc>
          <w:tcPr>
            <w:tcW w:w="1247" w:type="dxa"/>
          </w:tcPr>
          <w:p>
            <w:pPr>
              <w:pStyle w:val="TableParagraph"/>
              <w:ind w:right="223"/>
              <w:jc w:val="right"/>
              <w:rPr>
                <w:sz w:val="17"/>
              </w:rPr>
            </w:pPr>
            <w:r>
              <w:rPr>
                <w:color w:val="231F20"/>
                <w:w w:val="110"/>
                <w:sz w:val="17"/>
              </w:rPr>
              <w:t>2299,53</w:t>
            </w:r>
          </w:p>
        </w:tc>
        <w:tc>
          <w:tcPr>
            <w:tcW w:w="1247" w:type="dxa"/>
          </w:tcPr>
          <w:p>
            <w:pPr>
              <w:pStyle w:val="TableParagraph"/>
              <w:ind w:right="219"/>
              <w:jc w:val="right"/>
              <w:rPr>
                <w:sz w:val="17"/>
              </w:rPr>
            </w:pPr>
            <w:r>
              <w:rPr>
                <w:color w:val="231F20"/>
                <w:w w:val="110"/>
                <w:sz w:val="17"/>
              </w:rPr>
              <w:t>1900,38</w:t>
            </w:r>
          </w:p>
        </w:tc>
        <w:tc>
          <w:tcPr>
            <w:tcW w:w="1247" w:type="dxa"/>
          </w:tcPr>
          <w:p>
            <w:pPr>
              <w:pStyle w:val="TableParagraph"/>
              <w:ind w:right="219"/>
              <w:jc w:val="right"/>
              <w:rPr>
                <w:sz w:val="17"/>
              </w:rPr>
            </w:pPr>
            <w:r>
              <w:rPr>
                <w:color w:val="231F20"/>
                <w:w w:val="110"/>
                <w:sz w:val="17"/>
              </w:rPr>
              <w:t>2390,40</w:t>
            </w:r>
          </w:p>
        </w:tc>
        <w:tc>
          <w:tcPr>
            <w:tcW w:w="1247" w:type="dxa"/>
            <w:tcBorders>
              <w:right w:val="nil"/>
            </w:tcBorders>
          </w:tcPr>
          <w:p>
            <w:pPr>
              <w:pStyle w:val="TableParagraph"/>
              <w:ind w:right="228"/>
              <w:jc w:val="right"/>
              <w:rPr>
                <w:sz w:val="17"/>
              </w:rPr>
            </w:pPr>
            <w:r>
              <w:rPr>
                <w:color w:val="231F20"/>
                <w:w w:val="110"/>
                <w:sz w:val="17"/>
              </w:rPr>
              <w:t>2262,54</w:t>
            </w:r>
          </w:p>
        </w:tc>
      </w:tr>
      <w:tr>
        <w:trPr>
          <w:trHeight w:val="354" w:hRule="exact"/>
        </w:trPr>
        <w:tc>
          <w:tcPr>
            <w:tcW w:w="3793" w:type="dxa"/>
            <w:tcBorders>
              <w:left w:val="nil"/>
            </w:tcBorders>
          </w:tcPr>
          <w:p>
            <w:pPr>
              <w:pStyle w:val="TableParagraph"/>
              <w:ind w:left="113"/>
              <w:rPr>
                <w:sz w:val="17"/>
              </w:rPr>
            </w:pPr>
            <w:r>
              <w:rPr>
                <w:color w:val="231F20"/>
                <w:sz w:val="17"/>
              </w:rPr>
              <w:t>Margen neto/ha de superficie agrícola útil y  año</w:t>
            </w:r>
          </w:p>
        </w:tc>
        <w:tc>
          <w:tcPr>
            <w:tcW w:w="1247" w:type="dxa"/>
          </w:tcPr>
          <w:p>
            <w:pPr>
              <w:pStyle w:val="TableParagraph"/>
              <w:ind w:right="219"/>
              <w:jc w:val="right"/>
              <w:rPr>
                <w:sz w:val="17"/>
              </w:rPr>
            </w:pPr>
            <w:r>
              <w:rPr>
                <w:color w:val="231F20"/>
                <w:w w:val="110"/>
                <w:sz w:val="17"/>
              </w:rPr>
              <w:t>1708,38</w:t>
            </w:r>
          </w:p>
        </w:tc>
        <w:tc>
          <w:tcPr>
            <w:tcW w:w="1247" w:type="dxa"/>
          </w:tcPr>
          <w:p>
            <w:pPr>
              <w:pStyle w:val="TableParagraph"/>
              <w:ind w:right="219"/>
              <w:jc w:val="right"/>
              <w:rPr>
                <w:sz w:val="17"/>
              </w:rPr>
            </w:pPr>
            <w:r>
              <w:rPr>
                <w:color w:val="231F20"/>
                <w:w w:val="110"/>
                <w:sz w:val="17"/>
              </w:rPr>
              <w:t>1305,01</w:t>
            </w:r>
          </w:p>
        </w:tc>
        <w:tc>
          <w:tcPr>
            <w:tcW w:w="1247" w:type="dxa"/>
          </w:tcPr>
          <w:p>
            <w:pPr>
              <w:pStyle w:val="TableParagraph"/>
              <w:ind w:right="226"/>
              <w:jc w:val="right"/>
              <w:rPr>
                <w:sz w:val="17"/>
              </w:rPr>
            </w:pPr>
            <w:r>
              <w:rPr>
                <w:color w:val="231F20"/>
                <w:w w:val="110"/>
                <w:sz w:val="17"/>
              </w:rPr>
              <w:t>1345,71</w:t>
            </w:r>
          </w:p>
        </w:tc>
        <w:tc>
          <w:tcPr>
            <w:tcW w:w="1247" w:type="dxa"/>
            <w:tcBorders>
              <w:right w:val="nil"/>
            </w:tcBorders>
          </w:tcPr>
          <w:p>
            <w:pPr>
              <w:pStyle w:val="TableParagraph"/>
              <w:ind w:right="224"/>
              <w:jc w:val="right"/>
              <w:rPr>
                <w:sz w:val="17"/>
              </w:rPr>
            </w:pPr>
            <w:r>
              <w:rPr>
                <w:color w:val="231F20"/>
                <w:w w:val="110"/>
                <w:sz w:val="17"/>
              </w:rPr>
              <w:t>1616,46</w:t>
            </w:r>
          </w:p>
        </w:tc>
      </w:tr>
      <w:tr>
        <w:trPr>
          <w:trHeight w:val="354" w:hRule="exact"/>
        </w:trPr>
        <w:tc>
          <w:tcPr>
            <w:tcW w:w="3793" w:type="dxa"/>
            <w:tcBorders>
              <w:left w:val="nil"/>
            </w:tcBorders>
          </w:tcPr>
          <w:p>
            <w:pPr>
              <w:pStyle w:val="TableParagraph"/>
              <w:ind w:left="113"/>
              <w:rPr>
                <w:sz w:val="17"/>
              </w:rPr>
            </w:pPr>
            <w:r>
              <w:rPr>
                <w:color w:val="231F20"/>
                <w:w w:val="105"/>
                <w:sz w:val="17"/>
              </w:rPr>
              <w:t>Coste total UGB/año</w:t>
            </w:r>
          </w:p>
        </w:tc>
        <w:tc>
          <w:tcPr>
            <w:tcW w:w="1247" w:type="dxa"/>
          </w:tcPr>
          <w:p>
            <w:pPr>
              <w:pStyle w:val="TableParagraph"/>
              <w:ind w:right="219"/>
              <w:jc w:val="right"/>
              <w:rPr>
                <w:sz w:val="17"/>
              </w:rPr>
            </w:pPr>
            <w:r>
              <w:rPr>
                <w:color w:val="231F20"/>
                <w:w w:val="110"/>
                <w:sz w:val="17"/>
              </w:rPr>
              <w:t>2048,93</w:t>
            </w:r>
          </w:p>
        </w:tc>
        <w:tc>
          <w:tcPr>
            <w:tcW w:w="1247" w:type="dxa"/>
          </w:tcPr>
          <w:p>
            <w:pPr>
              <w:pStyle w:val="TableParagraph"/>
              <w:ind w:right="219"/>
              <w:jc w:val="right"/>
              <w:rPr>
                <w:sz w:val="17"/>
              </w:rPr>
            </w:pPr>
            <w:r>
              <w:rPr>
                <w:color w:val="231F20"/>
                <w:w w:val="110"/>
                <w:sz w:val="17"/>
              </w:rPr>
              <w:t>1341,92</w:t>
            </w:r>
          </w:p>
        </w:tc>
        <w:tc>
          <w:tcPr>
            <w:tcW w:w="1247" w:type="dxa"/>
          </w:tcPr>
          <w:p>
            <w:pPr>
              <w:pStyle w:val="TableParagraph"/>
              <w:ind w:right="219"/>
              <w:jc w:val="right"/>
              <w:rPr>
                <w:sz w:val="17"/>
              </w:rPr>
            </w:pPr>
            <w:r>
              <w:rPr>
                <w:color w:val="231F20"/>
                <w:w w:val="110"/>
                <w:sz w:val="17"/>
              </w:rPr>
              <w:t>1032,45</w:t>
            </w:r>
          </w:p>
        </w:tc>
        <w:tc>
          <w:tcPr>
            <w:tcW w:w="1247" w:type="dxa"/>
            <w:tcBorders>
              <w:right w:val="nil"/>
            </w:tcBorders>
          </w:tcPr>
          <w:p>
            <w:pPr>
              <w:pStyle w:val="TableParagraph"/>
              <w:ind w:right="224"/>
              <w:jc w:val="right"/>
              <w:rPr>
                <w:sz w:val="17"/>
              </w:rPr>
            </w:pPr>
            <w:r>
              <w:rPr>
                <w:color w:val="231F20"/>
                <w:w w:val="110"/>
                <w:sz w:val="17"/>
              </w:rPr>
              <w:t>1842,11</w:t>
            </w:r>
          </w:p>
        </w:tc>
      </w:tr>
      <w:tr>
        <w:trPr>
          <w:trHeight w:val="354" w:hRule="exact"/>
        </w:trPr>
        <w:tc>
          <w:tcPr>
            <w:tcW w:w="3793" w:type="dxa"/>
            <w:tcBorders>
              <w:left w:val="nil"/>
            </w:tcBorders>
          </w:tcPr>
          <w:p>
            <w:pPr>
              <w:pStyle w:val="TableParagraph"/>
              <w:ind w:left="113"/>
              <w:rPr>
                <w:sz w:val="17"/>
              </w:rPr>
            </w:pPr>
            <w:r>
              <w:rPr>
                <w:color w:val="231F20"/>
                <w:sz w:val="17"/>
              </w:rPr>
              <w:t>Coste total/ha de superficie agrícola útil y  año</w:t>
            </w:r>
          </w:p>
        </w:tc>
        <w:tc>
          <w:tcPr>
            <w:tcW w:w="1247" w:type="dxa"/>
          </w:tcPr>
          <w:p>
            <w:pPr>
              <w:pStyle w:val="TableParagraph"/>
              <w:ind w:right="219"/>
              <w:jc w:val="right"/>
              <w:rPr>
                <w:sz w:val="17"/>
              </w:rPr>
            </w:pPr>
            <w:r>
              <w:rPr>
                <w:color w:val="231F20"/>
                <w:w w:val="110"/>
                <w:sz w:val="17"/>
              </w:rPr>
              <w:t>1213,83</w:t>
            </w:r>
          </w:p>
        </w:tc>
        <w:tc>
          <w:tcPr>
            <w:tcW w:w="1247" w:type="dxa"/>
          </w:tcPr>
          <w:p>
            <w:pPr>
              <w:pStyle w:val="TableParagraph"/>
              <w:ind w:right="219"/>
              <w:jc w:val="right"/>
              <w:rPr>
                <w:sz w:val="17"/>
              </w:rPr>
            </w:pPr>
            <w:r>
              <w:rPr>
                <w:color w:val="231F20"/>
                <w:w w:val="110"/>
                <w:sz w:val="17"/>
              </w:rPr>
              <w:t>1566,82</w:t>
            </w:r>
          </w:p>
        </w:tc>
        <w:tc>
          <w:tcPr>
            <w:tcW w:w="1247" w:type="dxa"/>
          </w:tcPr>
          <w:p>
            <w:pPr>
              <w:pStyle w:val="TableParagraph"/>
              <w:ind w:right="219"/>
              <w:jc w:val="right"/>
              <w:rPr>
                <w:sz w:val="17"/>
              </w:rPr>
            </w:pPr>
            <w:r>
              <w:rPr>
                <w:color w:val="231F20"/>
                <w:w w:val="110"/>
                <w:sz w:val="17"/>
              </w:rPr>
              <w:t>662,38</w:t>
            </w:r>
          </w:p>
        </w:tc>
        <w:tc>
          <w:tcPr>
            <w:tcW w:w="1247" w:type="dxa"/>
            <w:tcBorders>
              <w:right w:val="nil"/>
            </w:tcBorders>
          </w:tcPr>
          <w:p>
            <w:pPr>
              <w:pStyle w:val="TableParagraph"/>
              <w:ind w:right="231"/>
              <w:jc w:val="right"/>
              <w:rPr>
                <w:sz w:val="17"/>
              </w:rPr>
            </w:pPr>
            <w:r>
              <w:rPr>
                <w:color w:val="231F20"/>
                <w:w w:val="110"/>
                <w:sz w:val="17"/>
              </w:rPr>
              <w:t>1190,01</w:t>
            </w:r>
          </w:p>
        </w:tc>
      </w:tr>
    </w:tbl>
    <w:p>
      <w:pPr>
        <w:spacing w:before="90"/>
        <w:ind w:left="1553" w:right="2503" w:firstLine="0"/>
        <w:jc w:val="left"/>
        <w:rPr>
          <w:sz w:val="15"/>
        </w:rPr>
      </w:pPr>
      <w:r>
        <w:rPr>
          <w:color w:val="231F20"/>
          <w:sz w:val="15"/>
        </w:rPr>
        <w:t>UGB: unidad de ganado   bovino.</w:t>
      </w:r>
    </w:p>
    <w:p>
      <w:pPr>
        <w:pStyle w:val="BodyText"/>
      </w:pPr>
    </w:p>
    <w:p>
      <w:pPr>
        <w:pStyle w:val="BodyText"/>
        <w:spacing w:before="5"/>
        <w:rPr>
          <w:sz w:val="15"/>
        </w:rPr>
      </w:pPr>
    </w:p>
    <w:p>
      <w:pPr>
        <w:spacing w:after="0"/>
        <w:rPr>
          <w:sz w:val="15"/>
        </w:rPr>
        <w:sectPr>
          <w:pgSz w:w="11900" w:h="14450"/>
          <w:pgMar w:header="0" w:footer="222" w:top="420" w:bottom="420" w:left="0" w:right="0"/>
        </w:sectPr>
      </w:pPr>
    </w:p>
    <w:p>
      <w:pPr>
        <w:pStyle w:val="BodyText"/>
        <w:spacing w:line="266" w:lineRule="auto" w:before="68"/>
        <w:ind w:left="1553"/>
        <w:jc w:val="both"/>
      </w:pPr>
      <w:r>
        <w:rPr>
          <w:color w:val="231F20"/>
        </w:rPr>
        <w:t>en el total de los estratos, aunque en E3 es mayor que en los otros. El margen neto por unidad ga- nadera bovina y año es menor en E2, y el margen neto por hectárea de superficie agrícola útil y año es mayor en E1. Sin embargo, E1 es el estrato donde el coste total por unidad ganadera bovina y año es mayor, debido entre otros factores al</w:t>
      </w:r>
      <w:r>
        <w:rPr>
          <w:color w:val="231F20"/>
          <w:spacing w:val="-9"/>
        </w:rPr>
        <w:t> </w:t>
      </w:r>
      <w:r>
        <w:rPr>
          <w:color w:val="231F20"/>
        </w:rPr>
        <w:t>mayor uso de concentrados. En E3 el coste por hectárea de superficie agrícola útil y año es reducido, lo que sugiere una mayor extensificación de la tierra. Sin embargo, se observa más eficiencia en el manejo del ganado y de la tierra en las unidades de pro- ducción con mayor número de  </w:t>
      </w:r>
      <w:r>
        <w:rPr>
          <w:color w:val="231F20"/>
          <w:spacing w:val="26"/>
        </w:rPr>
        <w:t> </w:t>
      </w:r>
      <w:r>
        <w:rPr>
          <w:color w:val="231F20"/>
        </w:rPr>
        <w:t>animales.</w:t>
      </w:r>
    </w:p>
    <w:p>
      <w:pPr>
        <w:pStyle w:val="BodyText"/>
        <w:spacing w:line="266" w:lineRule="auto" w:before="112"/>
        <w:ind w:left="1553"/>
        <w:jc w:val="both"/>
      </w:pPr>
      <w:r>
        <w:rPr>
          <w:color w:val="231F20"/>
        </w:rPr>
        <w:t>El margen neto por UTA es mayor en E3, lo que indica una intensificación de la mano de obra, a</w:t>
      </w:r>
    </w:p>
    <w:p>
      <w:pPr>
        <w:pStyle w:val="BodyText"/>
        <w:spacing w:line="285" w:lineRule="auto" w:before="68"/>
        <w:ind w:left="412" w:right="1551"/>
        <w:jc w:val="both"/>
      </w:pPr>
      <w:r>
        <w:rPr/>
        <w:br w:type="column"/>
      </w:r>
      <w:r>
        <w:rPr>
          <w:color w:val="231F20"/>
        </w:rPr>
        <w:t>diferencia, por ejemplo, de E2 (Fig. 8). En la Figu-  ra 9 destaca el margen neto por vaca y año en E3, debido a que es el estrato de mayor tamaño. Con respecto al margen neto por hectárea de superfi- cie forrajera destaca E1 (Fig.  </w:t>
      </w:r>
      <w:r>
        <w:rPr>
          <w:color w:val="231F20"/>
          <w:spacing w:val="13"/>
        </w:rPr>
        <w:t> </w:t>
      </w:r>
      <w:r>
        <w:rPr>
          <w:color w:val="231F20"/>
          <w:spacing w:val="-3"/>
        </w:rPr>
        <w:t>10).</w:t>
      </w:r>
    </w:p>
    <w:p>
      <w:pPr>
        <w:pStyle w:val="BodyText"/>
        <w:spacing w:line="285" w:lineRule="auto" w:before="113"/>
        <w:ind w:left="412" w:right="1551"/>
        <w:jc w:val="both"/>
      </w:pPr>
      <w:r>
        <w:rPr>
          <w:color w:val="231F20"/>
        </w:rPr>
        <w:t>En relación a otros indicadores de costos que se presentan dentro de las unidades de producción, en la Figura </w:t>
      </w:r>
      <w:r>
        <w:rPr>
          <w:color w:val="231F20"/>
          <w:spacing w:val="-5"/>
        </w:rPr>
        <w:t>11 </w:t>
      </w:r>
      <w:r>
        <w:rPr>
          <w:color w:val="231F20"/>
        </w:rPr>
        <w:t>se muestra el costo por vaca y año, que es mayor en E1 debido, entre otros factores,   al uso de concentrado comercial, y menor en E3 por la mayor disponibilidad de tierra. Finalmente, en la Figura </w:t>
      </w:r>
      <w:r>
        <w:rPr>
          <w:color w:val="231F20"/>
          <w:spacing w:val="-5"/>
        </w:rPr>
        <w:t>12  </w:t>
      </w:r>
      <w:r>
        <w:rPr>
          <w:color w:val="231F20"/>
        </w:rPr>
        <w:t>se muestra el costo por hectárea  de superficie forrajera y año, y se observa que es mayor en E1 y E2 que en   </w:t>
      </w:r>
      <w:r>
        <w:rPr>
          <w:color w:val="231F20"/>
          <w:spacing w:val="35"/>
        </w:rPr>
        <w:t> </w:t>
      </w:r>
      <w:r>
        <w:rPr>
          <w:color w:val="231F20"/>
        </w:rPr>
        <w:t>E3.</w:t>
      </w:r>
    </w:p>
    <w:p>
      <w:pPr>
        <w:spacing w:after="0" w:line="285"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3" w:after="1"/>
        <w:rPr>
          <w:sz w:val="28"/>
        </w:rPr>
      </w:pPr>
    </w:p>
    <w:p>
      <w:pPr>
        <w:pStyle w:val="BodyText"/>
        <w:tabs>
          <w:tab w:pos="6195" w:val="left" w:leader="none"/>
        </w:tabs>
        <w:ind w:left="1571"/>
      </w:pPr>
      <w:r>
        <w:rPr/>
        <w:pict>
          <v:group style="width:208.2pt;height:124.65pt;mso-position-horizontal-relative:char;mso-position-vertical-relative:line" coordorigin="0,0" coordsize="4164,2493">
            <v:line style="position:absolute" from="3740,1785" to="3976,1785" stroked="true" strokeweight=".487094pt" strokecolor="#858585"/>
            <v:line style="position:absolute" from="2955,1785" to="3427,1785" stroked="true" strokeweight=".487094pt" strokecolor="#858585"/>
            <v:line style="position:absolute" from="2168,1785" to="2641,1785" stroked="true" strokeweight=".487094pt" strokecolor="#858585"/>
            <v:line style="position:absolute" from="1383,1785" to="1854,1785" stroked="true" strokeweight=".487094pt" strokecolor="#858585"/>
            <v:line style="position:absolute" from="833,1785" to="1069,1785" stroked="true" strokeweight=".487094pt" strokecolor="#858585"/>
            <v:line style="position:absolute" from="1383,1392" to="2641,1392" stroked="true" strokeweight=".487094pt" strokecolor="#858585"/>
            <v:line style="position:absolute" from="833,1392" to="1069,1392" stroked="true" strokeweight=".487094pt" strokecolor="#858585"/>
            <v:line style="position:absolute" from="1383,999" to="2641,999" stroked="true" strokeweight=".487094pt" strokecolor="#858585"/>
            <v:line style="position:absolute" from="833,999" to="1069,999" stroked="true" strokeweight=".487094pt" strokecolor="#858585"/>
            <v:rect style="position:absolute;left:1069;top:972;width:314;height:1206" filled="true" fillcolor="#bebebe" stroked="false">
              <v:fill type="solid"/>
            </v:rect>
            <v:rect style="position:absolute;left:1854;top:1738;width:314;height:440" filled="true" fillcolor="#bebebe" stroked="false">
              <v:fill type="solid"/>
            </v:rect>
            <v:line style="position:absolute" from="2955,1392" to="3427,1392" stroked="true" strokeweight=".487094pt" strokecolor="#858585"/>
            <v:line style="position:absolute" from="2955,999" to="3976,999" stroked="true" strokeweight=".487094pt" strokecolor="#858585"/>
            <v:line style="position:absolute" from="2955,606" to="3976,606" stroked="true" strokeweight=".487094pt" strokecolor="#858585"/>
            <v:line style="position:absolute" from="833,606" to="2641,606" stroked="true" strokeweight=".487094pt" strokecolor="#858585"/>
            <v:rect style="position:absolute;left:2641;top:360;width:314;height:1818" filled="true" fillcolor="#bebebe" stroked="false">
              <v:fill type="solid"/>
            </v:rect>
            <v:line style="position:absolute" from="3740,1392" to="3976,1392" stroked="true" strokeweight=".487094pt" strokecolor="#858585"/>
            <v:rect style="position:absolute;left:3427;top:990;width:314;height:1189" filled="true" fillcolor="#bebebe" stroked="false">
              <v:fill type="solid"/>
            </v:rect>
            <v:line style="position:absolute" from="833,213" to="3976,213" stroked="true" strokeweight=".487094pt" strokecolor="#858585"/>
            <v:line style="position:absolute" from="833,2178" to="833,213" stroked="true" strokeweight=".487814pt" strokecolor="#858585"/>
            <v:line style="position:absolute" from="792,2178" to="833,2178" stroked="true" strokeweight=".487094pt" strokecolor="#858585"/>
            <v:line style="position:absolute" from="792,1785" to="833,1785" stroked="true" strokeweight=".487094pt" strokecolor="#858585"/>
            <v:line style="position:absolute" from="792,1392" to="833,1392" stroked="true" strokeweight=".487094pt" strokecolor="#858585"/>
            <v:line style="position:absolute" from="792,999" to="833,999" stroked="true" strokeweight=".487094pt" strokecolor="#858585"/>
            <v:line style="position:absolute" from="792,606" to="833,606" stroked="true" strokeweight=".487094pt" strokecolor="#858585"/>
            <v:line style="position:absolute" from="792,213" to="833,213" stroked="true" strokeweight=".487094pt" strokecolor="#858585"/>
            <v:line style="position:absolute" from="833,2178" to="3976,2178" stroked="true" strokeweight=".487094pt" strokecolor="#858585"/>
            <v:line style="position:absolute" from="833,2178" to="833,2219" stroked="true" strokeweight=".487814pt" strokecolor="#858585"/>
            <v:line style="position:absolute" from="1618,2178" to="1618,2219" stroked="true" strokeweight=".487814pt" strokecolor="#858585"/>
            <v:line style="position:absolute" from="2404,2178" to="2404,2219" stroked="true" strokeweight=".487814pt" strokecolor="#858585"/>
            <v:line style="position:absolute" from="3191,2178" to="3191,2219" stroked="true" strokeweight=".487814pt" strokecolor="#858585"/>
            <v:line style="position:absolute" from="3976,2178" to="3976,2219" stroked="true" strokeweight=".487814pt" strokecolor="#858585"/>
            <v:shape style="position:absolute;left:1178;top:1805;width:99;height:64" coordorigin="1178,1805" coordsize="99,64" path="m1202,1807l1195,1808,1189,1811,1180,1820,1178,1826,1178,1844,1182,1852,1189,1858,1197,1863,1206,1866,1217,1868,1230,1869,1247,1869,1259,1866,1269,1857,1225,1857,1216,1857,1208,1856,1198,1851,1194,1848,1189,1842,1188,1839,1188,1830,1190,1826,1193,1823,1195,1821,1199,1820,1203,1819,1202,1807xm1250,1805l1235,1805,1227,1808,1216,1819,1213,1826,1213,1838,1214,1842,1218,1851,1221,1854,1225,1857,1269,1857,1271,1855,1238,1855,1233,1853,1225,1846,1223,1841,1223,1830,1225,1826,1233,1819,1238,1817,1271,1817,1270,1815,1266,1812,1256,1806,1250,1805xm1271,1817l1252,1817,1257,1819,1265,1826,1267,1830,1267,1839,1266,1842,1262,1848,1259,1851,1252,1854,1248,1855,1271,1855,1273,1853,1277,1845,1277,1829,1276,1824,1271,1817xe" filled="true" fillcolor="#000000" stroked="false">
              <v:path arrowok="t"/>
              <v:fill type="solid"/>
            </v:shape>
            <v:shape style="position:absolute;left:1178;top:1749;width:97;height:36" coordorigin="1178,1749" coordsize="97,36" path="m1275,1749l1178,1749,1178,1757,1182,1759,1187,1762,1196,1772,1199,1778,1203,1784,1214,1784,1200,1761,1275,1761,1275,1749xe" filled="true" fillcolor="#000000" stroked="false">
              <v:path arrowok="t"/>
              <v:fill type="solid"/>
            </v:shape>
            <v:shape style="position:absolute;left:1178;top:1282;width:116;height:403" type="#_x0000_t75" stroked="false">
              <v:imagedata r:id="rId249" o:title=""/>
            </v:shape>
            <v:shape style="position:absolute;left:1964;top:2027;width:97;height:64" coordorigin="1964,2027" coordsize="97,64" path="m2017,2040l1995,2040,2000,2042,2010,2049,2017,2056,2031,2073,2036,2078,2044,2086,2049,2088,2056,2091,2059,2091,2061,2091,2061,2075,2050,2075,2048,2073,2046,2072,2041,2068,2037,2063,2031,2056,2024,2048,2018,2041,2017,2040xm1995,2028l1984,2028,1977,2030,1967,2041,1964,2048,1964,2067,1967,2074,1976,2085,1983,2088,1992,2089,1994,2077,1987,2077,1983,2075,1976,2068,1974,2064,1974,2052,1976,2048,1982,2041,1986,2040,2017,2040,2010,2034,2006,2032,1999,2028,1995,2028xm2061,2027l2050,2027,2050,2075,2061,2075,2061,2027xe" filled="true" fillcolor="#000000" stroked="false">
              <v:path arrowok="t"/>
              <v:fill type="solid"/>
            </v:shape>
            <v:shape style="position:absolute;left:1964;top:1953;width:97;height:64" coordorigin="1964,1953" coordsize="97,64" path="m2017,1965l1995,1965,2000,1967,2010,1974,2017,1981,2031,1999,2036,2004,2044,2011,2049,2013,2056,2016,2059,2017,2061,2017,2061,2000,2050,2000,2048,1999,2046,1997,2041,1993,2037,1988,2031,1981,2024,1973,2018,1967,2017,1965xm1995,1953l1984,1953,1977,1956,1967,1966,1964,1973,1964,1992,1967,1999,1976,2010,1983,2013,1992,2014,1994,2002,1987,2002,1983,2000,1976,1993,1974,1989,1974,1978,1976,1973,1982,1967,1986,1965,2017,1965,2010,1959,2006,1957,1999,1954,1995,1953xm2061,1953l2050,1953,2050,2000,2061,2000,2061,1953xe" filled="true" fillcolor="#000000" stroked="false">
              <v:path arrowok="t"/>
              <v:fill type="solid"/>
            </v:shape>
            <v:shape style="position:absolute;left:1964;top:1504;width:116;height:399" type="#_x0000_t75" stroked="false">
              <v:imagedata r:id="rId250" o:title=""/>
            </v:shape>
            <v:shape style="position:absolute;left:2751;top:1499;width:99;height:64" coordorigin="2751,1499" coordsize="99,64" path="m2810,1499l2786,1499,2776,1500,2764,1506,2759,1510,2752,1520,2751,1525,2751,1541,2754,1548,2766,1559,2774,1562,2793,1562,2800,1559,2810,1550,2777,1550,2771,1548,2763,1540,2761,1536,2761,1525,2763,1521,2771,1514,2776,1512,2804,1512,2802,1511,2841,1511,2840,1509,2834,1506,2820,1500,2810,1499xm2841,1511l2810,1511,2814,1511,2824,1514,2828,1515,2833,1519,2835,1521,2839,1526,2840,1529,2840,1537,2838,1541,2834,1546,2830,1548,2824,1549,2825,1560,2833,1560,2839,1557,2847,1547,2849,1541,2849,1526,2847,1520,2841,1511xm2804,1512l2790,1512,2795,1514,2803,1521,2804,1525,2804,1536,2803,1541,2795,1548,2790,1550,2810,1550,2812,1548,2815,1542,2815,1529,2814,1524,2809,1516,2806,1513,2804,1512xe" filled="true" fillcolor="#000000" stroked="false">
              <v:path arrowok="t"/>
              <v:fill type="solid"/>
            </v:shape>
            <v:shape style="position:absolute;left:2751;top:1425;width:97;height:64" coordorigin="2751,1425" coordsize="97,64" path="m2803,1438l2782,1438,2786,1439,2797,1447,2803,1454,2818,1471,2822,1476,2831,1483,2835,1486,2842,1489,2845,1489,2848,1489,2848,1473,2836,1473,2834,1471,2832,1470,2828,1466,2824,1461,2818,1454,2811,1445,2805,1439,2803,1438xm2781,1425l2770,1425,2764,1428,2753,1439,2751,1446,2751,1465,2753,1472,2763,1483,2770,1486,2779,1487,2780,1475,2774,1475,2769,1473,2762,1466,2761,1461,2761,1450,2762,1446,2769,1439,2773,1438,2803,1438,2797,1432,2793,1429,2785,1426,2781,1425xm2848,1425l2836,1425,2836,1473,2848,1473,2848,1425xe" filled="true" fillcolor="#000000" stroked="false">
              <v:path arrowok="t"/>
              <v:fill type="solid"/>
            </v:shape>
            <v:shape style="position:absolute;left:2751;top:976;width:116;height:399" type="#_x0000_t75" stroked="false">
              <v:imagedata r:id="rId251" o:title=""/>
            </v:shape>
            <v:shape style="position:absolute;left:3537;top:1814;width:99;height:64" coordorigin="3537,1814" coordsize="99,64" path="m3561,1816l3553,1817,3547,1820,3539,1830,3537,1836,3537,1854,3540,1862,3548,1868,3555,1872,3564,1876,3575,1878,3589,1878,3605,1878,3617,1875,3627,1866,3584,1866,3574,1866,3567,1865,3556,1861,3552,1858,3548,1851,3547,1848,3547,1840,3548,1836,3552,1832,3554,1831,3557,1829,3562,1828,3561,1816xm3608,1814l3593,1814,3586,1817,3574,1828,3571,1835,3571,1847,3572,1852,3576,1860,3580,1864,3584,1866,3627,1866,3629,1865,3596,1865,3591,1863,3583,1855,3582,1851,3582,1840,3583,1835,3591,1828,3596,1827,3630,1827,3628,1825,3624,1821,3614,1816,3608,1814xm3630,1827l3610,1827,3616,1828,3624,1836,3626,1840,3626,1848,3625,1852,3621,1858,3618,1860,3610,1864,3607,1865,3629,1865,3632,1863,3635,1855,3635,1839,3634,1834,3630,1827xe" filled="true" fillcolor="#000000" stroked="false">
              <v:path arrowok="t"/>
              <v:fill type="solid"/>
            </v:shape>
            <v:shape style="position:absolute;left:3537;top:1740;width:99;height:63" coordorigin="3537,1740" coordsize="99,63" path="m3597,1740l3577,1740,3569,1741,3558,1744,3553,1746,3545,1751,3542,1754,3538,1762,3537,1766,3537,1779,3539,1784,3546,1794,3552,1797,3565,1802,3575,1803,3586,1803,3599,1802,3610,1801,3618,1798,3625,1793,3629,1791,3570,1791,3559,1789,3553,1785,3549,1781,3547,1777,3547,1766,3549,1762,3560,1754,3570,1752,3628,1752,3626,1749,3621,1746,3607,1741,3597,1740xm3628,1752l3602,1752,3612,1754,3623,1762,3626,1766,3626,1777,3623,1782,3613,1789,3602,1791,3629,1791,3632,1788,3635,1781,3635,1764,3634,1759,3628,1752xe" filled="true" fillcolor="#000000" stroked="false">
              <v:path arrowok="t"/>
              <v:fill type="solid"/>
            </v:shape>
            <v:shape style="position:absolute;left:3537;top:1292;width:116;height:403" type="#_x0000_t75" stroked="false">
              <v:imagedata r:id="rId252" o:title=""/>
            </v:shape>
            <v:shape style="position:absolute;left:1155;top:2291;width:73;height:97" coordorigin="1155,2291" coordsize="73,97" path="m1224,2291l1155,2291,1155,2387,1227,2387,1227,2376,1167,2376,1167,2343,1221,2343,1221,2332,1167,2332,1167,2302,1224,2302,1224,2291xe" filled="true" fillcolor="#000000" stroked="false">
              <v:path arrowok="t"/>
              <v:fill type="solid"/>
            </v:shape>
            <v:shape style="position:absolute;left:1248;top:2290;width:36;height:97" coordorigin="1248,2290" coordsize="36,97" path="m1284,2312l1272,2312,1272,2387,1284,2387,1284,2312xm1284,2290l1276,2290,1274,2295,1270,2299,1260,2308,1255,2311,1248,2315,1248,2326,1252,2325,1256,2323,1265,2317,1269,2315,1272,2312,1284,2312,1284,2290xe" filled="true" fillcolor="#000000" stroked="false">
              <v:path arrowok="t"/>
              <v:fill type="solid"/>
            </v:shape>
            <v:shape style="position:absolute;left:1941;top:2290;width:934;height:150" type="#_x0000_t75" stroked="false">
              <v:imagedata r:id="rId253" o:title=""/>
            </v:shape>
            <v:shape style="position:absolute;left:3305;top:2291;width:74;height:97" coordorigin="3305,2291" coordsize="74,97" path="m3347,2291l3305,2291,3305,2387,3317,2387,3317,2348,3356,2348,3365,2345,3373,2337,3317,2337,3317,2302,3374,2302,3373,2302,3371,2298,3364,2294,3360,2293,3356,2292,3352,2291,3347,2291xm3374,2302l3348,2302,3352,2302,3354,2303,3357,2304,3360,2306,3364,2312,3365,2315,3365,2325,3363,2329,3356,2335,3351,2337,3373,2337,3376,2334,3378,2327,3378,2314,3377,2310,3374,2302xe" filled="true" fillcolor="#000000" stroked="false">
              <v:path arrowok="t"/>
              <v:fill type="solid"/>
            </v:shape>
            <v:shape style="position:absolute;left:3392;top:2316;width:39;height:72" coordorigin="3392,2316" coordsize="39,72" path="m3403,2317l3392,2317,3392,2387,3404,2387,3404,2346,3405,2341,3407,2334,3409,2332,3413,2329,3415,2328,3427,2328,3427,2328,3403,2328,3403,2317xm3427,2328l3421,2328,3423,2329,3426,2331,3427,2328xm3422,2316l3415,2316,3413,2317,3408,2320,3406,2323,3403,2328,3427,2328,3430,2320,3426,2317,3422,2316xe" filled="true" fillcolor="#000000" stroked="false">
              <v:path arrowok="t"/>
              <v:fill type="solid"/>
            </v:shape>
            <v:shape style="position:absolute;left:3433;top:2316;width:66;height:74" coordorigin="3433,2316" coordsize="66,74" path="m3476,2316l3458,2316,3450,2318,3437,2330,3433,2339,3433,2364,3437,2373,3449,2386,3457,2389,3472,2389,3478,2387,3488,2382,3491,2379,3460,2379,3455,2377,3448,2368,3446,2361,3446,2343,3448,2337,3455,2328,3460,2326,3490,2326,3484,2319,3476,2316xm3490,2326l3472,2326,3477,2328,3485,2337,3487,2343,3487,2361,3485,2368,3477,2377,3472,2379,3491,2379,3492,2378,3498,2367,3499,2360,3499,2340,3496,2332,3490,2326xe" filled="true" fillcolor="#000000" stroked="false">
              <v:path arrowok="t"/>
              <v:fill type="solid"/>
            </v:shape>
            <v:shape style="position:absolute;left:3513;top:2316;width:95;height:72" coordorigin="3513,2316" coordsize="95,72" path="m3524,2317l3513,2317,3513,2387,3525,2387,3525,2345,3525,2340,3528,2333,3530,2330,3535,2327,3524,2327,3524,2317xm3564,2326l3547,2326,3550,2327,3554,2333,3555,2337,3555,2387,3566,2387,3566,2339,3568,2334,3574,2328,3565,2328,3564,2326xm3606,2326l3586,2326,3589,2327,3593,2329,3594,2331,3596,2335,3596,2338,3596,2387,3608,2387,3608,2331,3606,2326xm3593,2316l3577,2316,3570,2320,3565,2328,3574,2328,3575,2328,3579,2326,3606,2326,3606,2325,3598,2318,3593,2316xm3550,2316l3540,2316,3536,2317,3529,2321,3526,2324,3524,2327,3535,2327,3536,2327,3539,2326,3564,2326,3563,2324,3561,2321,3554,2317,3550,2316xe" filled="true" fillcolor="#000000" stroked="false">
              <v:path arrowok="t"/>
              <v:fill type="solid"/>
            </v:shape>
            <v:shape style="position:absolute;left:3624;top:2316;width:65;height:74" coordorigin="3624,2316" coordsize="65,74" path="m3666,2316l3647,2316,3639,2319,3627,2332,3624,2341,3624,2364,3627,2373,3639,2386,3647,2389,3666,2389,3672,2387,3683,2379,3652,2379,3647,2377,3639,2369,3637,2363,3636,2355,3689,2355,3689,2346,3637,2346,3637,2340,3639,2335,3647,2327,3651,2326,3680,2326,3674,2319,3666,2316xm3676,2365l3674,2370,3672,2373,3666,2378,3662,2379,3683,2379,3683,2379,3686,2373,3688,2366,3676,2365xm3680,2326l3663,2326,3668,2328,3674,2335,3676,2340,3676,2346,3689,2346,3689,2341,3686,2332,3680,2326xe" filled="true" fillcolor="#000000" stroked="false">
              <v:path arrowok="t"/>
              <v:fill type="solid"/>
            </v:shape>
            <v:shape style="position:absolute;left:3699;top:2291;width:61;height:99" coordorigin="3699,2291" coordsize="61,99" path="m3733,2316l3723,2316,3717,2317,3708,2323,3705,2328,3700,2339,3699,2345,3699,2360,3700,2366,3705,2377,3709,2381,3718,2387,3723,2389,3738,2389,3744,2385,3748,2379,3725,2379,3720,2377,3713,2368,3711,2361,3711,2343,3713,2336,3720,2328,3724,2326,3760,2326,3760,2325,3748,2325,3746,2323,3743,2320,3736,2317,3733,2316xm3760,2378l3749,2378,3749,2387,3760,2387,3760,2378xm3760,2326l3735,2326,3739,2328,3747,2337,3749,2344,3749,2362,3747,2369,3740,2377,3735,2379,3748,2379,3749,2378,3760,2378,3760,2326xm3760,2291l3748,2291,3748,2325,3760,2325,3760,2291xe" filled="true" fillcolor="#000000" stroked="false">
              <v:path arrowok="t"/>
              <v:fill type="solid"/>
            </v:shape>
            <v:shape style="position:absolute;left:3778;top:2291;width:12;height:97" coordorigin="3778,2291" coordsize="12,97" path="m3790,2291l3778,2291,3778,2304,3790,2304,3790,2291xm3790,2317l3778,2317,3778,2387,3790,2387,3790,2317xe" filled="true" fillcolor="#000000" stroked="false">
              <v:path arrowok="t"/>
              <v:fill type="solid"/>
            </v:shape>
            <v:shape style="position:absolute;left:3802;top:2316;width:66;height:74" coordorigin="3802,2316" coordsize="66,74" path="m3845,2316l3827,2316,3819,2318,3806,2330,3802,2339,3802,2364,3805,2373,3818,2386,3825,2389,3841,2389,3847,2387,3857,2382,3860,2379,3829,2379,3824,2377,3817,2368,3815,2361,3815,2343,3817,2337,3824,2328,3829,2326,3859,2326,3853,2319,3845,2316xm3859,2326l3841,2326,3846,2328,3854,2337,3856,2343,3856,2361,3854,2368,3846,2377,3841,2379,3860,2379,3861,2378,3867,2367,3868,2360,3868,2340,3865,2332,3859,2326xe" filled="true" fillcolor="#000000" stroked="false">
              <v:path arrowok="t"/>
              <v:fill type="solid"/>
            </v:shape>
            <v:shape style="position:absolute;left:647;top:2127;width:63;height:99" coordorigin="647,2127" coordsize="63,99" path="m683,2127l671,2127,665,2129,656,2136,653,2142,648,2156,647,2165,647,2176,647,2189,649,2200,652,2208,656,2215,662,2222,669,2225,685,2225,691,2224,700,2216,701,2216,673,2216,668,2213,661,2203,659,2192,659,2160,661,2150,665,2144,668,2139,673,2137,700,2137,699,2135,696,2132,688,2128,683,2127xm700,2137l684,2137,688,2139,696,2150,698,2160,698,2192,696,2203,688,2213,684,2216,701,2216,704,2211,709,2197,710,2188,710,2167,709,2159,706,2148,704,2143,700,2137xe" filled="true" fillcolor="#000000" stroked="false">
              <v:path arrowok="t"/>
              <v:fill type="solid"/>
            </v:shape>
            <v:shape style="position:absolute;left:307;top:1734;width:64;height:97" coordorigin="307,1734" coordsize="64,97" path="m365,1744l345,1744,350,1745,357,1752,358,1756,358,1765,356,1769,349,1780,342,1786,325,1800,320,1805,312,1814,310,1818,308,1822,307,1825,307,1828,307,1831,371,1831,371,1819,323,1819,325,1817,326,1815,330,1811,335,1807,350,1793,357,1788,364,1780,367,1776,370,1768,370,1765,370,1753,368,1747,365,1744xm350,1734l331,1734,324,1736,313,1746,310,1753,309,1762,321,1763,321,1757,323,1752,330,1745,334,1744,365,1744,357,1736,350,1734xe" filled="true" fillcolor="#000000" stroked="false">
              <v:path arrowok="t"/>
              <v:fill type="solid"/>
            </v:shape>
            <v:shape style="position:absolute;left:383;top:1734;width:63;height:99" coordorigin="383,1734" coordsize="63,99" path="m420,1734l408,1734,402,1736,392,1743,389,1749,384,1762,383,1772,383,1783,384,1796,385,1806,388,1815,393,1822,398,1829,405,1832,422,1832,427,1830,437,1823,437,1823,409,1823,405,1820,397,1809,395,1799,395,1767,397,1756,401,1750,405,1746,409,1744,436,1744,435,1742,432,1739,424,1735,420,1734xm436,1744l420,1744,425,1746,432,1757,434,1767,434,1799,432,1809,425,1820,420,1823,437,1823,440,1817,445,1803,446,1794,446,1773,445,1766,442,1755,440,1750,436,1744xe" filled="true" fillcolor="#000000" stroked="false">
              <v:path arrowok="t"/>
              <v:fill type="solid"/>
            </v:shape>
            <v:shape style="position:absolute;left:495;top:1734;width:63;height:99" coordorigin="495,1734" coordsize="63,99" path="m532,1734l520,1734,514,1736,505,1743,501,1749,496,1762,495,1772,495,1783,496,1796,498,1806,501,1815,505,1822,510,1829,517,1832,534,1832,540,1830,549,1823,549,1823,521,1823,517,1820,509,1809,507,1799,507,1767,509,1756,513,1750,517,1746,521,1744,548,1744,547,1742,544,1739,536,1735,532,1734xm548,1744l532,1744,537,1746,544,1757,546,1767,546,1799,544,1809,537,1820,532,1823,549,1823,552,1817,557,1803,558,1794,558,1773,557,1766,555,1755,553,1750,548,1744xe" filled="true" fillcolor="#000000" stroked="false">
              <v:path arrowok="t"/>
              <v:fill type="solid"/>
            </v:shape>
            <v:shape style="position:absolute;left:570;top:1734;width:63;height:99" coordorigin="570,1734" coordsize="63,99" path="m607,1734l594,1734,589,1736,579,1743,576,1749,571,1762,570,1772,570,1783,571,1796,572,1806,575,1815,579,1822,585,1829,592,1832,609,1832,614,1830,624,1823,624,1823,596,1823,591,1820,584,1809,582,1799,582,1767,584,1756,588,1750,592,1746,596,1744,623,1744,622,1742,619,1739,611,1735,607,1734xm623,1744l607,1744,611,1746,619,1757,621,1767,621,1799,619,1809,611,1820,607,1823,624,1823,627,1817,632,1803,633,1794,633,1773,632,1766,629,1755,627,1750,623,1744xe" filled="true" fillcolor="#000000" stroked="false">
              <v:path arrowok="t"/>
              <v:fill type="solid"/>
            </v:shape>
            <v:shape style="position:absolute;left:645;top:1734;width:63;height:99" coordorigin="645,1734" coordsize="63,99" path="m681,1734l669,1734,663,1736,654,1743,651,1749,646,1762,645,1772,645,1783,645,1796,647,1806,650,1815,654,1822,660,1829,667,1832,683,1832,689,1830,698,1823,699,1823,671,1823,666,1820,659,1809,657,1799,657,1767,659,1756,663,1750,666,1746,671,1744,698,1744,697,1742,694,1739,686,1735,681,1734xm698,1744l682,1744,686,1746,694,1757,696,1767,696,1799,694,1809,686,1820,682,1823,699,1823,702,1817,707,1803,708,1794,708,1773,707,1766,704,1755,702,1750,698,1744xe" filled="true" fillcolor="#000000" stroked="false">
              <v:path arrowok="t"/>
              <v:fill type="solid"/>
            </v:shape>
            <v:shape style="position:absolute;left:304;top:1341;width:67;height:97" coordorigin="304,1341" coordsize="67,97" path="m358,1415l346,1415,346,1438,358,1438,358,1415xm358,1341l348,1341,304,1404,304,1415,371,1415,371,1404,316,1404,346,1360,358,1360,358,1341xm358,1360l346,1360,346,1404,358,1404,358,1360xe" filled="true" fillcolor="#000000" stroked="false">
              <v:path arrowok="t"/>
              <v:fill type="solid"/>
            </v:shape>
            <v:shape style="position:absolute;left:383;top:1341;width:63;height:99" coordorigin="383,1341" coordsize="63,99" path="m420,1341l408,1341,402,1343,392,1350,389,1356,384,1370,383,1379,383,1390,384,1403,385,1414,388,1422,393,1429,398,1436,405,1439,422,1439,427,1437,437,1430,437,1430,409,1430,405,1427,397,1416,395,1406,395,1374,397,1363,401,1358,405,1353,409,1351,436,1351,435,1349,432,1346,424,1342,420,1341xm436,1351l420,1351,425,1353,432,1364,434,1374,434,1406,432,1416,425,1427,420,1430,437,1430,440,1424,445,1411,446,1401,446,1381,445,1373,442,1362,440,1357,436,1351xe" filled="true" fillcolor="#000000" stroked="false">
              <v:path arrowok="t"/>
              <v:fill type="solid"/>
            </v:shape>
            <v:shape style="position:absolute;left:495;top:1341;width:63;height:99" coordorigin="495,1341" coordsize="63,99" path="m532,1341l520,1341,514,1343,505,1350,501,1356,496,1370,495,1379,495,1390,496,1403,498,1414,501,1422,505,1429,510,1436,517,1439,534,1439,540,1437,549,1430,549,1430,521,1430,517,1427,509,1416,507,1406,507,1374,509,1363,513,1358,517,1353,521,1351,548,1351,547,1349,544,1346,536,1342,532,1341xm548,1351l532,1351,537,1353,544,1364,546,1374,546,1406,544,1416,537,1427,532,1430,549,1430,552,1424,557,1411,558,1401,558,1381,557,1373,555,1362,553,1357,548,1351xe" filled="true" fillcolor="#000000" stroked="false">
              <v:path arrowok="t"/>
              <v:fill type="solid"/>
            </v:shape>
            <v:shape style="position:absolute;left:570;top:1341;width:63;height:99" coordorigin="570,1341" coordsize="63,99" path="m607,1341l594,1341,589,1343,579,1350,576,1356,571,1370,570,1379,570,1390,571,1403,572,1414,575,1422,579,1429,585,1436,592,1439,609,1439,614,1437,624,1430,624,1430,596,1430,591,1427,584,1416,582,1406,582,1374,584,1363,588,1358,592,1353,596,1351,623,1351,622,1349,619,1346,611,1342,607,1341xm623,1351l607,1351,611,1353,619,1364,621,1374,621,1406,619,1416,611,1427,607,1430,624,1430,627,1424,632,1411,633,1401,633,1381,632,1373,629,1362,627,1357,623,1351xe" filled="true" fillcolor="#000000" stroked="false">
              <v:path arrowok="t"/>
              <v:fill type="solid"/>
            </v:shape>
            <v:shape style="position:absolute;left:645;top:1341;width:63;height:99" coordorigin="645,1341" coordsize="63,99" path="m681,1341l669,1341,663,1343,654,1350,651,1356,646,1370,645,1379,645,1390,645,1403,647,1414,650,1422,654,1429,660,1436,667,1439,683,1439,689,1437,698,1430,699,1430,671,1430,666,1427,659,1416,657,1406,657,1374,659,1363,663,1358,666,1353,671,1351,698,1351,697,1349,694,1346,686,1342,681,1341xm698,1351l682,1351,686,1353,694,1364,696,1374,696,1406,694,1416,686,1427,682,1430,699,1430,702,1424,707,1411,708,1401,708,1381,707,1373,704,1362,702,1357,698,1351xe" filled="true" fillcolor="#000000" stroked="false">
              <v:path arrowok="t"/>
              <v:fill type="solid"/>
            </v:shape>
            <v:shape style="position:absolute;left:308;top:948;width:64;height:99" coordorigin="308,948" coordsize="64,99" path="m350,948l332,948,324,952,318,959,314,966,310,975,308,987,308,1000,308,1016,311,1028,323,1043,331,1046,347,1046,352,1045,361,1040,364,1037,338,1037,334,1036,328,1032,326,1029,322,1021,321,1018,321,1007,323,1002,330,995,320,995,320,985,321,978,325,967,328,964,335,959,338,958,365,958,356,950,350,948xm365,993l346,993,351,995,358,1002,359,1007,359,1021,358,1027,350,1035,346,1037,364,1037,365,1036,370,1025,372,1020,372,1004,369,997,365,993xm351,982l338,982,334,983,326,987,322,991,320,995,330,995,331,995,335,993,365,993,358,985,351,982xm365,958l346,958,350,959,354,963,355,965,357,968,358,973,370,972,369,964,366,959,365,958xe" filled="true" fillcolor="#000000" stroked="false">
              <v:path arrowok="t"/>
              <v:fill type="solid"/>
            </v:shape>
            <v:shape style="position:absolute;left:383;top:948;width:63;height:99" coordorigin="383,948" coordsize="63,99" path="m420,948l408,948,402,950,392,957,389,963,384,977,383,986,383,997,384,1010,385,1021,388,1029,393,1036,398,1043,405,1046,422,1046,427,1045,437,1037,437,1037,409,1037,405,1034,397,1024,395,1013,395,981,397,971,401,965,405,960,409,958,436,958,435,956,432,953,424,949,420,948xm436,958l420,958,425,960,432,971,434,981,434,1013,432,1024,425,1034,420,1037,437,1037,440,1032,445,1018,446,1009,446,988,445,980,442,969,440,964,436,958xe" filled="true" fillcolor="#000000" stroked="false">
              <v:path arrowok="t"/>
              <v:fill type="solid"/>
            </v:shape>
            <v:shape style="position:absolute;left:495;top:948;width:63;height:99" coordorigin="495,948" coordsize="63,99" path="m532,948l520,948,514,950,505,957,501,963,496,977,495,986,495,997,496,1010,498,1021,501,1029,505,1036,510,1043,517,1046,534,1046,540,1045,549,1037,549,1037,521,1037,517,1034,509,1024,507,1013,507,981,509,971,513,965,517,960,521,958,548,958,547,956,544,953,536,949,532,948xm548,958l532,958,537,960,544,971,546,981,546,1013,544,1024,537,1034,532,1037,549,1037,552,1032,557,1018,558,1009,558,988,557,980,555,969,553,964,548,958xe" filled="true" fillcolor="#000000" stroked="false">
              <v:path arrowok="t"/>
              <v:fill type="solid"/>
            </v:shape>
            <v:shape style="position:absolute;left:570;top:948;width:63;height:99" coordorigin="570,948" coordsize="63,99" path="m607,948l594,948,589,950,579,957,576,963,571,977,570,986,570,997,571,1010,572,1021,575,1029,579,1036,585,1043,592,1046,609,1046,614,1045,624,1037,624,1037,596,1037,591,1034,584,1024,582,1013,582,981,584,971,588,965,592,960,596,958,623,958,622,956,619,953,611,949,607,948xm623,958l607,958,611,960,619,971,621,981,621,1013,619,1024,611,1034,607,1037,624,1037,627,1032,632,1018,633,1009,633,988,632,980,629,969,627,964,623,958xe" filled="true" fillcolor="#000000" stroked="false">
              <v:path arrowok="t"/>
              <v:fill type="solid"/>
            </v:shape>
            <v:shape style="position:absolute;left:645;top:948;width:63;height:99" coordorigin="645,948" coordsize="63,99" path="m681,948l669,948,663,950,654,957,651,963,646,977,645,986,645,997,645,1010,647,1021,650,1029,654,1036,660,1043,667,1046,683,1046,689,1045,698,1037,699,1037,671,1037,666,1034,659,1024,657,1013,657,981,659,971,663,965,666,960,671,958,698,958,697,956,694,953,686,949,681,948xm698,958l682,958,686,960,694,971,696,981,696,1013,694,1024,686,1034,682,1037,699,1037,702,1032,707,1018,708,1009,708,988,707,980,704,969,702,964,698,958xe" filled="true" fillcolor="#000000" stroked="false">
              <v:path arrowok="t"/>
              <v:fill type="solid"/>
            </v:shape>
            <v:shape style="position:absolute;left:308;top:555;width:64;height:99" coordorigin="308,555" coordsize="64,99" path="m348,555l331,555,325,557,315,567,312,573,312,585,313,589,318,595,322,598,327,600,321,601,316,604,310,612,308,618,308,633,311,639,323,651,330,653,349,653,357,651,364,644,336,644,333,643,327,639,324,637,321,631,320,627,320,618,322,614,329,607,334,605,364,605,364,605,360,601,354,600,358,598,362,595,362,595,335,595,332,594,326,588,324,584,324,575,326,572,332,566,335,565,363,565,355,557,348,555xm364,605l345,605,350,607,358,614,360,618,360,630,358,635,350,642,346,644,364,644,369,639,372,633,372,618,370,613,364,605xm363,565l344,565,348,566,354,572,355,575,356,585,354,588,348,594,345,595,362,595,367,589,368,585,368,573,365,567,363,565xe" filled="true" fillcolor="#000000" stroked="false">
              <v:path arrowok="t"/>
              <v:fill type="solid"/>
            </v:shape>
            <v:shape style="position:absolute;left:383;top:555;width:63;height:99" coordorigin="383,555" coordsize="63,99" path="m420,555l408,555,402,557,392,564,389,570,384,584,383,593,383,604,384,617,385,628,388,637,393,643,398,650,405,653,422,653,427,652,437,644,437,644,409,644,405,641,397,631,395,620,395,588,397,578,401,572,405,567,409,565,436,565,435,563,432,560,424,556,420,555xm436,565l420,565,425,567,432,578,434,588,434,620,432,631,425,641,420,644,437,644,440,639,445,625,446,616,446,595,445,587,442,576,440,571,436,565xe" filled="true" fillcolor="#000000" stroked="false">
              <v:path arrowok="t"/>
              <v:fill type="solid"/>
            </v:shape>
            <v:shape style="position:absolute;left:495;top:555;width:63;height:99" coordorigin="495,555" coordsize="63,99" path="m532,555l520,555,514,557,505,564,501,570,496,584,495,593,495,604,496,617,498,628,501,637,505,643,510,650,517,653,534,653,540,652,549,644,549,644,521,644,517,641,509,631,507,620,507,588,509,578,513,572,517,567,521,565,548,565,547,563,544,560,536,556,532,555xm548,565l532,565,537,567,544,578,546,588,546,620,544,631,537,641,532,644,549,644,552,639,557,625,558,616,558,595,557,587,555,576,553,571,548,565xe" filled="true" fillcolor="#000000" stroked="false">
              <v:path arrowok="t"/>
              <v:fill type="solid"/>
            </v:shape>
            <v:shape style="position:absolute;left:570;top:555;width:63;height:99" coordorigin="570,555" coordsize="63,99" path="m607,555l594,555,589,557,579,564,576,570,571,584,570,593,570,604,571,617,572,628,575,637,579,643,585,650,592,653,609,653,614,652,624,644,624,644,596,644,591,641,584,631,582,620,582,588,584,578,588,572,592,567,596,565,623,565,622,563,619,560,611,556,607,555xm623,565l607,565,611,567,619,578,621,588,621,620,619,631,611,641,607,644,624,644,627,639,632,625,633,616,633,595,632,587,629,576,627,571,623,565xe" filled="true" fillcolor="#000000" stroked="false">
              <v:path arrowok="t"/>
              <v:fill type="solid"/>
            </v:shape>
            <v:shape style="position:absolute;left:645;top:555;width:63;height:99" coordorigin="645,555" coordsize="63,99" path="m681,555l669,555,663,557,654,564,651,570,646,584,645,593,645,604,645,617,647,628,650,637,654,643,660,650,667,653,683,653,689,652,698,644,699,644,671,644,666,641,659,631,657,620,657,588,659,578,663,572,666,567,671,565,698,565,697,563,694,560,686,556,681,555xm698,565l682,565,686,567,694,578,696,588,696,620,694,631,686,641,682,644,699,644,702,639,707,625,708,616,708,595,707,587,704,576,702,571,698,565xe" filled="true" fillcolor="#000000" stroked="false">
              <v:path arrowok="t"/>
              <v:fill type="solid"/>
            </v:shape>
            <v:shape style="position:absolute;left:242;top:162;width:36;height:97" coordorigin="242,162" coordsize="36,97" path="m278,183l266,183,266,259,278,259,278,183xm278,162l270,162,268,166,265,171,255,179,249,183,242,186,242,198,246,196,250,194,259,189,263,186,266,183,278,183,278,162xe" filled="true" fillcolor="#000000" stroked="false">
              <v:path arrowok="t"/>
              <v:fill type="solid"/>
            </v:shape>
            <v:shape style="position:absolute;left:308;top:162;width:63;height:99" coordorigin="308,162" coordsize="63,99" path="m345,162l332,162,326,164,317,171,314,177,309,191,308,200,308,211,308,224,310,235,313,244,317,251,323,257,330,261,346,261,352,259,362,251,362,251,334,251,329,248,322,238,320,227,320,195,322,185,326,179,329,174,334,172,361,172,360,170,357,167,349,163,345,162xm361,172l345,172,349,174,357,185,359,195,359,227,357,238,349,248,345,251,362,251,365,246,370,232,371,223,371,202,370,194,367,183,365,178,361,172xe" filled="true" fillcolor="#000000" stroked="false">
              <v:path arrowok="t"/>
              <v:fill type="solid"/>
            </v:shape>
            <v:shape style="position:absolute;left:383;top:162;width:63;height:99" coordorigin="383,162" coordsize="63,99" path="m419,162l407,162,401,164,392,171,389,177,384,191,383,200,383,211,383,224,385,235,388,244,392,251,398,257,405,261,421,261,427,259,436,251,437,251,409,251,404,248,397,238,395,227,395,195,397,185,401,179,404,174,409,172,436,172,435,170,432,167,424,163,419,162xm436,172l420,172,424,174,432,185,433,195,433,227,432,238,424,248,420,251,437,251,440,246,444,232,446,223,446,202,445,194,442,183,440,178,436,172xe" filled="true" fillcolor="#000000" stroked="false">
              <v:path arrowok="t"/>
              <v:fill type="solid"/>
            </v:shape>
            <v:shape style="position:absolute;left:495;top:162;width:63;height:99" coordorigin="495,162" coordsize="63,99" path="m531,162l519,162,513,164,504,171,501,177,496,191,495,200,495,211,495,224,497,235,500,244,504,251,510,257,517,261,533,261,539,259,548,251,549,251,521,251,516,248,509,238,507,227,507,195,509,185,513,179,516,174,521,172,548,172,547,170,544,167,536,163,531,162xm548,172l532,172,536,174,544,185,546,195,546,227,544,238,536,248,532,251,549,251,552,246,557,232,558,223,558,202,557,194,554,183,552,178,548,172xe" filled="true" fillcolor="#000000" stroked="false">
              <v:path arrowok="t"/>
              <v:fill type="solid"/>
            </v:shape>
            <v:shape style="position:absolute;left:570;top:162;width:63;height:99" coordorigin="570,162" coordsize="63,99" path="m606,162l594,162,588,164,579,171,575,177,571,191,570,200,570,211,570,224,572,235,575,244,579,251,584,257,592,261,608,261,614,259,623,251,623,251,596,251,591,248,584,238,582,227,582,195,584,185,588,179,591,174,595,172,623,172,622,170,619,167,611,163,606,162xm623,172l606,172,611,174,618,185,620,195,620,227,618,238,611,248,606,251,623,251,627,246,631,232,633,223,633,202,632,194,629,183,627,178,623,172xe" filled="true" fillcolor="#000000" stroked="false">
              <v:path arrowok="t"/>
              <v:fill type="solid"/>
            </v:shape>
            <v:shape style="position:absolute;left:644;top:162;width:63;height:99" coordorigin="644,162" coordsize="63,99" path="m681,162l669,162,663,164,654,171,650,177,645,191,644,200,644,211,645,224,647,235,650,244,654,251,659,257,667,261,683,261,689,259,698,251,698,251,670,251,666,248,658,238,657,227,657,195,659,185,663,179,666,174,670,172,698,172,697,170,693,167,686,163,681,162xm698,172l681,172,686,174,693,185,695,195,695,227,693,238,686,248,681,251,698,251,702,246,706,232,707,223,707,202,707,194,704,183,702,178,698,172xe" filled="true" fillcolor="#000000" stroked="false">
              <v:path arrowok="t"/>
              <v:fill type="solid"/>
            </v:shape>
            <v:shape style="position:absolute;left:60;top:1299;width:97;height:74" coordorigin="60,1299" coordsize="97,74" path="m96,1299l83,1299,79,1300,71,1304,68,1307,63,1313,62,1317,61,1322,61,1325,60,1330,60,1373,157,1373,157,1360,72,1360,72,1330,72,1326,73,1320,75,1318,81,1314,85,1313,115,1313,115,1312,103,1302,96,1299xm115,1313l94,1313,98,1314,105,1321,106,1327,106,1360,118,1360,118,1322,115,1313xm157,1360l118,1360,157,1360,157,1360xe" filled="true" fillcolor="#000000" stroked="false">
              <v:path arrowok="t"/>
              <v:fill type="solid"/>
            </v:shape>
            <v:shape style="position:absolute;left:85;top:1225;width:74;height:65" coordorigin="85,1225" coordsize="74,65" path="m110,1225l101,1228,88,1240,85,1247,85,1266,89,1274,102,1286,111,1289,134,1289,143,1286,152,1277,125,1277,125,1276,115,1276,109,1276,104,1274,97,1266,95,1262,95,1250,97,1245,105,1239,109,1238,115,1237,125,1237,125,1225,110,1225xm136,1225l134,1237,139,1239,143,1242,148,1248,149,1251,149,1262,147,1266,138,1274,133,1276,125,1277,152,1277,155,1274,158,1266,158,1248,156,1241,149,1231,143,1227,136,1225xm125,1237l115,1237,115,1276,125,1276,125,1237xe" filled="true" fillcolor="#000000" stroked="false">
              <v:path arrowok="t"/>
              <v:fill type="solid"/>
            </v:shape>
            <v:shape style="position:absolute;left:85;top:1157;width:74;height:59" coordorigin="85,1157" coordsize="74,59" path="m155,1169l141,1169,143,1170,148,1176,149,1180,149,1191,147,1195,142,1201,139,1203,134,1203,136,1215,143,1214,149,1211,157,1201,158,1194,158,1180,157,1175,155,1169xm105,1160l100,1160,97,1162,91,1166,89,1169,86,1177,85,1182,85,1192,86,1194,88,1201,89,1203,90,1205,92,1208,94,1209,99,1212,102,1213,109,1213,112,1212,118,1209,120,1206,122,1202,102,1202,100,1200,96,1196,95,1192,95,1182,96,1178,100,1173,103,1172,107,1171,105,1160xm140,1157l132,1157,129,1158,123,1162,121,1164,118,1171,117,1177,114,1185,113,1191,112,1194,111,1196,111,1198,109,1199,107,1201,106,1202,122,1202,123,1199,125,1193,129,1178,130,1174,133,1170,135,1169,155,1169,154,1166,151,1163,144,1158,140,1157xe" filled="true" fillcolor="#000000" stroked="false">
              <v:path arrowok="t"/>
              <v:fill type="solid"/>
            </v:shape>
            <v:shape style="position:absolute;left:85;top:1081;width:74;height:66" coordorigin="85,1081" coordsize="74,66" path="m130,1081l110,1081,101,1084,88,1097,85,1105,85,1123,88,1130,99,1143,109,1147,134,1147,143,1144,152,1135,113,1135,106,1133,97,1125,95,1120,95,1108,97,1103,106,1096,113,1094,152,1094,151,1092,147,1088,137,1083,130,1081xm152,1094l131,1094,137,1096,146,1103,149,1108,149,1120,146,1125,138,1133,131,1135,152,1135,155,1132,158,1124,158,1108,157,1102,152,1094xe" filled="true" fillcolor="#000000" stroked="false">
              <v:path arrowok="t"/>
              <v:fill type="solid"/>
            </v:shape>
            <v:shape style="position:absolute;left:85;top:1014;width:74;height:59" coordorigin="85,1014" coordsize="74,59" path="m155,1026l141,1026,143,1028,148,1033,149,1037,149,1048,147,1052,142,1058,139,1060,134,1061,136,1072,143,1071,149,1068,157,1058,158,1052,158,1037,157,1032,155,1026xm105,1017l100,1018,97,1019,91,1023,89,1026,86,1034,85,1039,85,1049,86,1052,88,1058,89,1061,90,1062,92,1065,94,1067,99,1070,102,1070,109,1070,112,1069,118,1066,120,1063,122,1059,102,1059,100,1058,96,1053,95,1049,95,1039,96,1036,100,1031,103,1029,107,1028,105,1017xm140,1014l132,1014,129,1015,123,1019,121,1022,118,1028,117,1034,114,1042,113,1048,112,1052,111,1053,111,1055,109,1056,107,1058,106,1059,122,1059,123,1057,125,1051,129,1036,130,1032,133,1028,135,1026,155,1026,154,1023,151,1020,144,1015,140,1014xe" filled="true" fillcolor="#000000" stroked="false">
              <v:path arrowok="t"/>
              <v:fill type="solid"/>
            </v:shape>
            <v:rect style="position:absolute;left:6;top:6;width:4153;height:2481" filled="false" stroked="true" strokeweight=".507587pt" strokecolor="#858585"/>
          </v:group>
        </w:pict>
      </w:r>
      <w:r>
        <w:rPr/>
      </w:r>
      <w:r>
        <w:rPr/>
        <w:tab/>
      </w:r>
      <w:r>
        <w:rPr/>
        <w:pict>
          <v:group style="width:208.4pt;height:124.65pt;mso-position-horizontal-relative:char;mso-position-vertical-relative:line" coordorigin="0,0" coordsize="4168,2493">
            <v:line style="position:absolute" from="3734,1698" to="3980,1698" stroked="true" strokeweight=".487094pt" strokecolor="#858585"/>
            <v:line style="position:absolute" from="2914,1698" to="3405,1698" stroked="true" strokeweight=".487094pt" strokecolor="#858585"/>
            <v:line style="position:absolute" from="1272,1698" to="2585,1698" stroked="true" strokeweight=".487094pt" strokecolor="#858585"/>
            <v:line style="position:absolute" from="697,1698" to="943,1698" stroked="true" strokeweight=".487094pt" strokecolor="#858585"/>
            <v:line style="position:absolute" from="1272,1207" to="2585,1207" stroked="true" strokeweight=".487094pt" strokecolor="#858585"/>
            <v:line style="position:absolute" from="697,1207" to="943,1207" stroked="true" strokeweight=".487094pt" strokecolor="#858585"/>
            <v:rect style="position:absolute;left:943;top:798;width:329;height:1391" filled="true" fillcolor="#bebebe" stroked="false">
              <v:fill type="solid"/>
            </v:rect>
            <v:rect style="position:absolute;left:1765;top:1776;width:327;height:414" filled="true" fillcolor="#bebebe" stroked="false">
              <v:fill type="solid"/>
            </v:rect>
            <v:line style="position:absolute" from="2914,1207" to="3405,1207" stroked="true" strokeweight=".487094pt" strokecolor="#858585"/>
            <v:line style="position:absolute" from="2914,715" to="3980,715" stroked="true" strokeweight=".487094pt" strokecolor="#858585"/>
            <v:line style="position:absolute" from="697,715" to="2585,715" stroked="true" strokeweight=".487094pt" strokecolor="#858585"/>
            <v:rect style="position:absolute;left:2585;top:589;width:329;height:1601" filled="true" fillcolor="#bebebe" stroked="false">
              <v:fill type="solid"/>
            </v:rect>
            <v:line style="position:absolute" from="3734,1207" to="3980,1207" stroked="true" strokeweight=".487094pt" strokecolor="#858585"/>
            <v:rect style="position:absolute;left:3405;top:891;width:329;height:1299" filled="true" fillcolor="#bebebe" stroked="false">
              <v:fill type="solid"/>
            </v:rect>
            <v:line style="position:absolute" from="697,225" to="3980,225" stroked="true" strokeweight=".487094pt" strokecolor="#858585"/>
            <v:line style="position:absolute" from="697,2190" to="697,225" stroked="true" strokeweight=".488261pt" strokecolor="#858585"/>
            <v:line style="position:absolute" from="656,2190" to="697,2190" stroked="true" strokeweight=".487094pt" strokecolor="#858585"/>
            <v:line style="position:absolute" from="656,1698" to="697,1698" stroked="true" strokeweight=".487094pt" strokecolor="#858585"/>
            <v:line style="position:absolute" from="656,1207" to="697,1207" stroked="true" strokeweight=".487094pt" strokecolor="#858585"/>
            <v:line style="position:absolute" from="656,715" to="697,715" stroked="true" strokeweight=".487094pt" strokecolor="#858585"/>
            <v:line style="position:absolute" from="656,225" to="697,225" stroked="true" strokeweight=".487094pt" strokecolor="#858585"/>
            <v:line style="position:absolute" from="697,2190" to="3980,2190" stroked="true" strokeweight=".487094pt" strokecolor="#858585"/>
            <v:line style="position:absolute" from="697,2190" to="697,2230" stroked="true" strokeweight=".488261pt" strokecolor="#858585"/>
            <v:line style="position:absolute" from="1517,2190" to="1517,2230" stroked="true" strokeweight=".488261pt" strokecolor="#858585"/>
            <v:line style="position:absolute" from="2339,2190" to="2339,2230" stroked="true" strokeweight=".488261pt" strokecolor="#858585"/>
            <v:line style="position:absolute" from="3160,2190" to="3160,2230" stroked="true" strokeweight=".488261pt" strokecolor="#858585"/>
            <v:line style="position:absolute" from="3980,2190" to="3980,2230" stroked="true" strokeweight=".488261pt" strokecolor="#858585"/>
            <v:shape style="position:absolute;left:1060;top:1276;width:116;height:474" type="#_x0000_t75" stroked="false">
              <v:imagedata r:id="rId254" o:title=""/>
            </v:shape>
            <v:shape style="position:absolute;left:1881;top:1626;width:116;height:465" type="#_x0000_t75" stroked="false">
              <v:imagedata r:id="rId255" o:title=""/>
            </v:shape>
            <v:shape style="position:absolute;left:2702;top:1171;width:116;height:477" type="#_x0000_t75" stroked="false">
              <v:imagedata r:id="rId256" o:title=""/>
            </v:shape>
            <v:shape style="position:absolute;left:3523;top:1322;width:116;height:474" type="#_x0000_t75" stroked="false">
              <v:imagedata r:id="rId257" o:title=""/>
            </v:shape>
            <v:shape style="position:absolute;left:1036;top:2301;width:73;height:97" coordorigin="1036,2301" coordsize="73,97" path="m1106,2301l1036,2301,1036,2398,1108,2398,1108,2386,1049,2386,1049,2353,1102,2353,1102,2342,1049,2342,1049,2313,1106,2313,1106,2301xe" filled="true" fillcolor="#000000" stroked="false">
              <v:path arrowok="t"/>
              <v:fill type="solid"/>
            </v:shape>
            <v:shape style="position:absolute;left:1129;top:2301;width:36;height:97" coordorigin="1129,2301" coordsize="36,97" path="m1165,2322l1153,2322,1153,2398,1165,2398,1165,2322xm1165,2301l1157,2301,1155,2305,1152,2309,1142,2318,1136,2322,1129,2325,1129,2336,1133,2335,1137,2333,1147,2328,1150,2325,1153,2322,1165,2322,1165,2301xe" filled="true" fillcolor="#000000" stroked="false">
              <v:path arrowok="t"/>
              <v:fill type="solid"/>
            </v:shape>
            <v:shape style="position:absolute;left:1857;top:2301;width:968;height:139" type="#_x0000_t75" stroked="false">
              <v:imagedata r:id="rId258" o:title=""/>
            </v:shape>
            <v:shape style="position:absolute;left:3291;top:2301;width:74;height:97" coordorigin="3291,2301" coordsize="74,97" path="m3334,2301l3291,2301,3291,2398,3304,2398,3304,2358,3343,2358,3352,2356,3360,2347,3304,2347,3304,2313,3361,2313,3360,2312,3358,2309,3351,2304,3347,2303,3343,2302,3339,2302,3334,2301xm3361,2313l3335,2313,3339,2313,3341,2313,3344,2314,3347,2316,3351,2322,3352,2325,3352,2335,3350,2339,3343,2346,3337,2347,3360,2347,3363,2344,3365,2337,3365,2324,3364,2320,3361,2313xe" filled="true" fillcolor="#000000" stroked="false">
              <v:path arrowok="t"/>
              <v:fill type="solid"/>
            </v:shape>
            <v:shape style="position:absolute;left:3379;top:2326;width:39;height:72" coordorigin="3379,2326" coordsize="39,72" path="m3390,2328l3379,2328,3379,2398,3391,2398,3391,2356,3392,2351,3394,2345,3395,2342,3400,2339,3402,2338,3414,2338,3414,2338,3390,2338,3390,2328xm3414,2338l3407,2338,3410,2339,3413,2341,3414,2338xm3409,2326l3402,2326,3400,2327,3395,2330,3393,2333,3390,2338,3414,2338,3417,2330,3413,2327,3409,2326xe" filled="true" fillcolor="#000000" stroked="false">
              <v:path arrowok="t"/>
              <v:fill type="solid"/>
            </v:shape>
            <v:shape style="position:absolute;left:3420;top:2326;width:66;height:74" coordorigin="3420,2326" coordsize="66,74" path="m3463,2326l3445,2326,3437,2329,3424,2340,3420,2350,3420,2375,3423,2384,3435,2396,3443,2399,3459,2399,3465,2398,3475,2392,3478,2390,3447,2390,3442,2387,3435,2378,3433,2372,3433,2354,3435,2347,3442,2338,3447,2336,3477,2336,3471,2329,3463,2326xm3477,2336l3459,2336,3464,2338,3472,2347,3474,2354,3474,2372,3472,2378,3464,2387,3459,2390,3478,2390,3479,2388,3485,2378,3486,2371,3486,2351,3483,2342,3477,2336xe" filled="true" fillcolor="#000000" stroked="false">
              <v:path arrowok="t"/>
              <v:fill type="solid"/>
            </v:shape>
            <v:shape style="position:absolute;left:3500;top:2326;width:95;height:72" coordorigin="3500,2326" coordsize="95,72" path="m3510,2328l3500,2328,3500,2398,3512,2398,3512,2355,3512,2350,3515,2343,3517,2341,3522,2338,3510,2338,3510,2328xm3551,2336l3533,2336,3537,2338,3541,2343,3541,2347,3541,2398,3553,2398,3553,2350,3555,2345,3561,2338,3552,2338,3551,2336xm3593,2336l3573,2336,3576,2337,3580,2340,3581,2341,3583,2346,3583,2349,3583,2398,3595,2398,3595,2341,3593,2336xm3580,2326l3564,2326,3557,2330,3552,2338,3561,2338,3562,2338,3566,2336,3593,2336,3593,2336,3585,2328,3580,2326xm3537,2326l3527,2326,3523,2327,3516,2331,3513,2334,3510,2338,3522,2338,3523,2337,3526,2336,3551,2336,3550,2335,3548,2332,3541,2327,3537,2326xe" filled="true" fillcolor="#000000" stroked="false">
              <v:path arrowok="t"/>
              <v:fill type="solid"/>
            </v:shape>
            <v:shape style="position:absolute;left:3611;top:2326;width:65;height:74" coordorigin="3611,2326" coordsize="65,74" path="m3653,2326l3634,2326,3626,2329,3614,2342,3611,2352,3611,2375,3614,2384,3626,2396,3634,2399,3653,2399,3659,2397,3670,2390,3639,2390,3634,2387,3626,2379,3624,2373,3623,2366,3676,2366,3676,2356,3624,2356,3624,2350,3627,2345,3634,2338,3639,2336,3667,2336,3661,2329,3653,2326xm3663,2375l3661,2380,3659,2384,3653,2388,3649,2390,3670,2390,3670,2389,3673,2384,3675,2377,3663,2375xm3667,2336l3650,2336,3655,2338,3661,2346,3663,2350,3663,2356,3676,2356,3676,2351,3673,2342,3667,2336xe" filled="true" fillcolor="#000000" stroked="false">
              <v:path arrowok="t"/>
              <v:fill type="solid"/>
            </v:shape>
            <v:shape style="position:absolute;left:3686;top:2301;width:61;height:99" coordorigin="3686,2301" coordsize="61,99" path="m3720,2326l3710,2326,3705,2328,3695,2334,3692,2338,3687,2349,3686,2356,3686,2370,3687,2376,3692,2387,3696,2392,3705,2398,3710,2399,3725,2399,3731,2396,3735,2390,3712,2390,3708,2387,3700,2378,3698,2372,3698,2354,3700,2347,3707,2338,3711,2336,3747,2336,3747,2336,3735,2336,3733,2333,3730,2331,3724,2327,3720,2326xm3747,2389l3736,2389,3736,2398,3747,2398,3747,2389xm3747,2336l3722,2336,3727,2338,3734,2347,3736,2354,3736,2372,3734,2379,3727,2387,3722,2390,3735,2390,3736,2389,3747,2389,3747,2336xm3747,2301l3735,2301,3735,2336,3747,2336,3747,2301xe" filled="true" fillcolor="#000000" stroked="false">
              <v:path arrowok="t"/>
              <v:fill type="solid"/>
            </v:shape>
            <v:shape style="position:absolute;left:3765;top:2301;width:12;height:97" coordorigin="3765,2301" coordsize="12,97" path="m3777,2301l3765,2301,3765,2315,3777,2315,3777,2301xm3777,2328l3765,2328,3765,2398,3777,2398,3777,2328xe" filled="true" fillcolor="#000000" stroked="false">
              <v:path arrowok="t"/>
              <v:fill type="solid"/>
            </v:shape>
            <v:shape style="position:absolute;left:3790;top:2326;width:66;height:74" coordorigin="3790,2326" coordsize="66,74" path="m3832,2326l3814,2326,3807,2329,3793,2340,3790,2350,3790,2375,3793,2384,3805,2396,3813,2399,3829,2399,3834,2398,3845,2392,3847,2390,3817,2390,3812,2387,3804,2378,3802,2372,3802,2354,3804,2347,3812,2338,3817,2336,3846,2336,3840,2329,3832,2326xm3846,2336l3828,2336,3833,2338,3841,2347,3843,2354,3843,2372,3841,2378,3833,2387,3828,2390,3847,2390,3849,2388,3854,2378,3855,2371,3855,2351,3852,2342,3846,2336xe" filled="true" fillcolor="#000000" stroked="false">
              <v:path arrowok="t"/>
              <v:fill type="solid"/>
            </v:shape>
            <v:shape style="position:absolute;left:257;top:2137;width:36;height:97" coordorigin="257,2137" coordsize="36,97" path="m292,2159l280,2159,280,2234,292,2234,292,2159xm292,2137l285,2137,283,2141,279,2146,269,2155,263,2158,257,2161,257,2173,260,2172,265,2169,274,2164,278,2161,280,2159,292,2159,292,2137xe" filled="true" fillcolor="#000000" stroked="false">
              <v:path arrowok="t"/>
              <v:fill type="solid"/>
            </v:shape>
            <v:shape style="position:absolute;left:323;top:2137;width:64;height:99" coordorigin="323,2137" coordsize="64,99" path="m359,2137l347,2137,341,2139,332,2147,328,2152,324,2166,323,2175,323,2187,323,2199,325,2210,328,2219,332,2226,337,2232,345,2236,361,2236,367,2234,376,2226,376,2226,349,2226,344,2223,337,2213,335,2202,335,2171,337,2160,341,2154,344,2149,348,2147,376,2147,375,2145,372,2142,364,2138,359,2137xm376,2147l359,2147,364,2150,372,2160,373,2171,373,2202,372,2213,364,2223,359,2226,376,2226,380,2221,384,2207,386,2198,386,2177,385,2169,382,2158,380,2153,376,2147xe" filled="true" fillcolor="#000000" stroked="false">
              <v:path arrowok="t"/>
              <v:fill type="solid"/>
            </v:shape>
            <v:shape style="position:absolute;left:397;top:2137;width:64;height:99" coordorigin="397,2137" coordsize="64,99" path="m434,2137l422,2137,416,2139,407,2147,403,2152,399,2166,397,2175,397,2187,398,2199,400,2210,403,2219,407,2226,412,2232,420,2236,436,2236,442,2234,451,2226,451,2226,423,2226,419,2223,411,2213,410,2202,410,2171,412,2160,416,2154,419,2149,423,2147,451,2147,450,2145,446,2142,439,2138,434,2137xm451,2147l434,2147,439,2150,446,2160,448,2171,448,2202,446,2213,439,2223,434,2226,451,2226,455,2221,459,2207,460,2198,460,2177,460,2169,457,2158,455,2153,451,2147xe" filled="true" fillcolor="#000000" stroked="false">
              <v:path arrowok="t"/>
              <v:fill type="solid"/>
            </v:shape>
            <v:shape style="position:absolute;left:472;top:2137;width:64;height:99" coordorigin="472,2137" coordsize="64,99" path="m509,2137l497,2137,491,2139,482,2147,478,2152,473,2166,472,2175,472,2187,473,2199,475,2210,478,2219,482,2226,487,2232,494,2236,511,2236,517,2234,526,2226,526,2226,498,2226,494,2223,486,2213,484,2202,484,2171,486,2160,491,2154,494,2149,498,2147,526,2147,525,2145,521,2142,514,2138,509,2137xm526,2147l509,2147,514,2150,521,2160,523,2171,523,2202,521,2213,514,2223,509,2226,526,2226,529,2221,534,2207,535,2198,535,2177,535,2169,532,2158,530,2153,526,2147xe" filled="true" fillcolor="#000000" stroked="false">
              <v:path arrowok="t"/>
              <v:fill type="solid"/>
            </v:shape>
            <v:shape style="position:absolute;left:246;top:1646;width:64;height:97" coordorigin="246,1646" coordsize="64,97" path="m304,1656l285,1656,289,1658,296,1664,298,1668,298,1677,296,1682,288,1692,281,1699,264,1713,259,1718,252,1726,249,1731,248,1735,246,1737,246,1740,246,1743,310,1743,310,1732,263,1732,264,1730,266,1727,270,1723,274,1719,290,1706,296,1700,303,1692,306,1688,309,1681,310,1677,310,1665,307,1659,304,1656xm289,1646l271,1646,263,1649,252,1658,249,1665,248,1674,261,1675,261,1669,262,1665,269,1658,274,1656,304,1656,296,1649,289,1646xe" filled="true" fillcolor="#000000" stroked="false">
              <v:path arrowok="t"/>
              <v:fill type="solid"/>
            </v:shape>
            <v:shape style="position:absolute;left:323;top:1646;width:64;height:99" coordorigin="323,1646" coordsize="64,99" path="m359,1646l347,1646,341,1648,332,1656,328,1661,324,1675,323,1684,323,1695,323,1708,325,1719,328,1728,332,1735,337,1741,345,1745,361,1745,367,1743,376,1735,376,1735,349,1735,344,1732,337,1722,335,1711,335,1680,337,1669,341,1663,344,1658,348,1656,376,1656,375,1654,372,1651,364,1647,359,1646xm376,1656l359,1656,364,1659,372,1669,373,1680,373,1711,372,1722,364,1732,359,1735,376,1735,380,1730,384,1716,386,1707,386,1686,385,1678,382,1667,380,1662,376,1656xe" filled="true" fillcolor="#000000" stroked="false">
              <v:path arrowok="t"/>
              <v:fill type="solid"/>
            </v:shape>
            <v:shape style="position:absolute;left:397;top:1646;width:64;height:99" coordorigin="397,1646" coordsize="64,99" path="m434,1646l422,1646,416,1648,407,1656,403,1661,399,1675,397,1684,397,1695,398,1708,400,1719,403,1728,407,1735,412,1741,420,1745,436,1745,442,1743,451,1735,451,1735,423,1735,419,1732,411,1722,410,1711,410,1680,412,1669,416,1663,419,1658,423,1656,451,1656,450,1654,446,1651,439,1647,434,1646xm451,1656l434,1656,439,1659,446,1669,448,1680,448,1711,446,1722,439,1732,434,1735,451,1735,455,1730,459,1716,460,1707,460,1686,460,1678,457,1667,455,1662,451,1656xe" filled="true" fillcolor="#000000" stroked="false">
              <v:path arrowok="t"/>
              <v:fill type="solid"/>
            </v:shape>
            <v:shape style="position:absolute;left:472;top:1646;width:64;height:99" coordorigin="472,1646" coordsize="64,99" path="m509,1646l497,1646,491,1648,482,1656,478,1661,473,1675,472,1684,472,1695,473,1708,475,1719,478,1728,482,1735,487,1741,494,1745,511,1745,517,1743,526,1735,526,1735,498,1735,494,1732,486,1722,484,1711,484,1680,486,1669,491,1663,494,1658,498,1656,526,1656,525,1654,521,1651,514,1647,509,1646xm526,1656l509,1656,514,1659,521,1669,523,1680,523,1711,521,1722,514,1732,509,1735,526,1735,529,1730,534,1716,535,1707,535,1686,535,1678,532,1667,530,1662,526,1656xe" filled="true" fillcolor="#000000" stroked="false">
              <v:path arrowok="t"/>
              <v:fill type="solid"/>
            </v:shape>
            <v:shape style="position:absolute;left:75;top:1025;width:460;height:359" type="#_x0000_t75" stroked="false">
              <v:imagedata r:id="rId259" o:title=""/>
            </v:shape>
            <v:shape style="position:absolute;left:244;top:664;width:67;height:97" coordorigin="244,664" coordsize="67,97" path="m298,738l286,738,286,761,298,761,298,738xm298,664l288,664,244,727,244,738,311,738,311,727,255,727,286,683,298,683,298,664xm298,683l286,683,286,727,298,727,298,683xe" filled="true" fillcolor="#000000" stroked="false">
              <v:path arrowok="t"/>
              <v:fill type="solid"/>
            </v:shape>
            <v:shape style="position:absolute;left:323;top:664;width:64;height:99" coordorigin="323,664" coordsize="64,99" path="m359,664l347,664,341,666,332,673,328,679,324,693,323,702,323,713,323,726,325,737,328,745,332,752,337,759,345,762,361,762,367,761,376,753,376,753,349,753,344,750,337,740,335,729,335,697,337,686,341,681,344,676,348,674,376,674,375,672,372,669,364,665,359,664xm376,674l359,674,364,676,372,687,373,697,373,729,372,740,364,750,359,753,376,753,380,748,384,734,386,725,386,704,385,696,382,685,380,680,376,674xe" filled="true" fillcolor="#000000" stroked="false">
              <v:path arrowok="t"/>
              <v:fill type="solid"/>
            </v:shape>
            <v:shape style="position:absolute;left:397;top:664;width:64;height:99" coordorigin="397,664" coordsize="64,99" path="m434,664l422,664,416,666,407,673,403,679,399,693,397,702,397,713,398,726,400,737,403,745,407,752,412,759,420,762,436,762,442,761,451,753,451,753,423,753,419,750,411,740,410,729,410,697,412,686,416,681,419,676,423,674,451,674,450,672,446,669,439,665,434,664xm451,674l434,674,439,676,446,687,448,697,448,729,446,740,439,750,434,753,451,753,455,748,459,734,460,725,460,704,460,696,457,685,455,680,451,674xe" filled="true" fillcolor="#000000" stroked="false">
              <v:path arrowok="t"/>
              <v:fill type="solid"/>
            </v:shape>
            <v:shape style="position:absolute;left:472;top:664;width:64;height:99" coordorigin="472,664" coordsize="64,99" path="m509,664l497,664,491,666,482,673,478,679,473,693,472,702,472,713,473,726,475,737,478,745,482,752,487,759,494,762,511,762,517,761,526,753,526,753,498,753,494,750,486,740,484,729,484,697,486,686,491,681,494,676,498,674,526,674,525,672,521,669,514,665,509,664xm526,674l509,674,514,676,521,687,523,697,523,729,521,740,514,750,509,753,526,753,529,748,534,734,535,725,535,704,535,696,532,685,530,680,526,674xe" filled="true" fillcolor="#000000" stroked="false">
              <v:path arrowok="t"/>
              <v:fill type="solid"/>
            </v:shape>
            <v:shape style="position:absolute;left:248;top:174;width:65;height:97" coordorigin="248,174" coordsize="65,97" path="m260,243l248,244,248,252,252,259,263,269,270,271,289,271,298,267,303,261,274,261,270,260,263,254,261,249,260,243xm305,216l285,216,290,218,297,226,299,231,299,245,297,251,289,259,284,261,303,261,309,253,312,246,312,228,309,220,305,216xm307,174l259,174,250,224,261,225,263,223,265,220,271,217,275,216,305,216,300,212,263,212,269,186,307,186,307,174xm290,206l275,206,269,208,263,212,300,212,297,208,290,206xe" filled="true" fillcolor="#000000" stroked="false">
              <v:path arrowok="t"/>
              <v:fill type="solid"/>
            </v:shape>
            <v:shape style="position:absolute;left:323;top:173;width:64;height:99" coordorigin="323,173" coordsize="64,99" path="m359,173l347,173,341,175,332,182,328,187,324,201,323,210,323,222,323,235,325,245,328,254,332,261,337,268,345,271,361,271,367,269,376,262,376,261,349,261,344,259,337,248,335,238,335,206,337,195,341,189,344,185,348,182,376,182,375,181,372,178,364,174,359,173xm376,182l359,182,364,185,372,195,373,206,373,238,372,248,364,259,359,261,376,261,380,256,384,242,386,233,386,212,385,205,382,193,380,189,376,182xe" filled="true" fillcolor="#000000" stroked="false">
              <v:path arrowok="t"/>
              <v:fill type="solid"/>
            </v:shape>
            <v:shape style="position:absolute;left:397;top:173;width:64;height:99" coordorigin="397,173" coordsize="64,99" path="m434,173l422,173,416,175,407,182,403,187,399,201,397,210,397,222,398,235,400,245,403,254,407,261,412,268,420,271,436,271,442,269,451,262,451,261,423,261,419,259,411,248,410,238,410,206,412,195,416,189,419,185,423,182,451,182,450,181,446,178,439,174,434,173xm451,182l434,182,439,185,446,195,448,206,448,238,446,248,439,259,434,261,451,261,455,256,459,242,460,233,460,212,460,205,457,193,455,189,451,182xe" filled="true" fillcolor="#000000" stroked="false">
              <v:path arrowok="t"/>
              <v:fill type="solid"/>
            </v:shape>
            <v:shape style="position:absolute;left:472;top:173;width:64;height:99" coordorigin="472,173" coordsize="64,99" path="m509,173l497,173,491,175,482,182,478,187,473,201,472,210,472,222,473,235,475,245,478,254,482,261,487,268,494,271,511,271,517,269,526,262,526,261,498,261,494,259,486,248,484,238,484,206,486,195,491,189,494,185,498,182,526,182,525,181,521,178,514,174,509,173xm526,182l509,182,514,185,521,195,523,206,523,238,521,248,514,259,509,261,526,261,529,256,534,242,535,233,535,212,535,205,532,193,530,189,526,182xe" filled="true" fillcolor="#000000" stroked="false">
              <v:path arrowok="t"/>
              <v:fill type="solid"/>
            </v:shape>
            <v:rect style="position:absolute;left:6;top:6;width:4157;height:2481" filled="false" stroked="true" strokeweight=".507709pt" strokecolor="#858585"/>
          </v:group>
        </w:pict>
      </w:r>
      <w:r>
        <w:rPr/>
      </w:r>
    </w:p>
    <w:p>
      <w:pPr>
        <w:tabs>
          <w:tab w:pos="6802" w:val="left" w:leader="none"/>
        </w:tabs>
        <w:spacing w:before="99"/>
        <w:ind w:left="1703" w:right="0" w:firstLine="0"/>
        <w:jc w:val="left"/>
        <w:rPr>
          <w:sz w:val="18"/>
        </w:rPr>
      </w:pPr>
      <w:r>
        <w:rPr>
          <w:color w:val="231F20"/>
          <w:w w:val="105"/>
          <w:sz w:val="18"/>
        </w:rPr>
        <w:t>Figura 8. Margen neto por unidad de trabajo</w:t>
      </w:r>
      <w:r>
        <w:rPr>
          <w:color w:val="231F20"/>
          <w:spacing w:val="10"/>
          <w:w w:val="105"/>
          <w:sz w:val="18"/>
        </w:rPr>
        <w:t> </w:t>
      </w:r>
      <w:r>
        <w:rPr>
          <w:color w:val="231F20"/>
          <w:w w:val="105"/>
          <w:sz w:val="18"/>
        </w:rPr>
        <w:t>y</w:t>
      </w:r>
      <w:r>
        <w:rPr>
          <w:color w:val="231F20"/>
          <w:spacing w:val="-4"/>
          <w:w w:val="105"/>
          <w:sz w:val="18"/>
        </w:rPr>
        <w:t> </w:t>
      </w:r>
      <w:r>
        <w:rPr>
          <w:color w:val="231F20"/>
          <w:w w:val="105"/>
          <w:sz w:val="18"/>
        </w:rPr>
        <w:t>año.</w:t>
        <w:tab/>
      </w:r>
      <w:r>
        <w:rPr>
          <w:color w:val="231F20"/>
          <w:w w:val="105"/>
          <w:position w:val="1"/>
          <w:sz w:val="18"/>
        </w:rPr>
        <w:t>Figura 9. Margen neto por vaca y</w:t>
      </w:r>
      <w:r>
        <w:rPr>
          <w:color w:val="231F20"/>
          <w:spacing w:val="11"/>
          <w:w w:val="105"/>
          <w:position w:val="1"/>
          <w:sz w:val="18"/>
        </w:rPr>
        <w:t> </w:t>
      </w:r>
      <w:r>
        <w:rPr>
          <w:color w:val="231F20"/>
          <w:w w:val="105"/>
          <w:position w:val="1"/>
          <w:sz w:val="18"/>
        </w:rPr>
        <w:t>año.</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8.     </w:t>
      </w:r>
      <w:r>
        <w:rPr>
          <w:color w:val="231F20"/>
          <w:spacing w:val="25"/>
          <w:sz w:val="18"/>
        </w:rPr>
        <w:t> </w:t>
      </w:r>
      <w:r>
        <w:rPr>
          <w:color w:val="231F20"/>
          <w:sz w:val="18"/>
        </w:rPr>
        <w:t>La producción de bovinos para carne y su importancia en el desarrollo</w:t>
      </w:r>
      <w:r>
        <w:rPr>
          <w:color w:val="231F20"/>
          <w:spacing w:val="13"/>
          <w:sz w:val="18"/>
        </w:rPr>
        <w:t> </w:t>
      </w:r>
      <w:r>
        <w:rPr>
          <w:color w:val="231F20"/>
          <w:sz w:val="18"/>
        </w:rPr>
        <w:t>rural…</w:t>
      </w:r>
      <w:r>
        <w:rPr>
          <w:color w:val="231F20"/>
          <w:sz w:val="22"/>
        </w:rPr>
        <w:tab/>
      </w:r>
      <w:r>
        <w:rPr>
          <w:color w:val="231F20"/>
          <w:spacing w:val="-5"/>
          <w:sz w:val="22"/>
        </w:rPr>
        <w:t>133</w:t>
      </w:r>
    </w:p>
    <w:p>
      <w:pPr>
        <w:spacing w:after="0"/>
        <w:jc w:val="left"/>
        <w:rPr>
          <w:sz w:val="22"/>
        </w:rPr>
        <w:sectPr>
          <w:pgSz w:w="11900" w:h="14450"/>
          <w:pgMar w:header="0" w:footer="222" w:top="420" w:bottom="420" w:left="0" w:right="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line="283" w:lineRule="auto" w:before="152"/>
        <w:ind w:left="1561" w:right="0" w:firstLine="0"/>
        <w:jc w:val="left"/>
        <w:rPr>
          <w:sz w:val="18"/>
        </w:rPr>
      </w:pPr>
      <w:r>
        <w:rPr/>
        <w:pict>
          <v:group style="position:absolute;margin-left:77.735611pt;margin-top:-123.569717pt;width:208.4pt;height:124.65pt;mso-position-horizontal-relative:page;mso-position-vertical-relative:paragraph;z-index:4456" coordorigin="1555,-2471" coordsize="4168,2493">
            <v:shape style="position:absolute;left:4116;top:1927;width:4719;height:1680" coordorigin="4116,1927" coordsize="4719,1680" path="m5242,-761l5481,-761m4441,-761l4921,-761m3642,-761l4122,-761m2841,-761l3321,-761m2281,-761l2520,-761m2841,-1140l3321,-1140m2281,-1140l2520,-1140m2841,-1519l4921,-1519m2281,-1519l2520,-1519m2841,-1898l4921,-1898m2281,-1898l2520,-1898e" filled="false" stroked="true" strokeweight=".487678pt" strokecolor="#858585">
              <v:path arrowok="t"/>
            </v:shape>
            <v:rect style="position:absolute;left:2520;top:-2067;width:321;height:1685" filled="true" fillcolor="#bebebe" stroked="false">
              <v:fill type="solid"/>
            </v:rect>
            <v:line style="position:absolute" from="3642,-1140" to="4122,-1140" stroked="true" strokeweight=".487094pt" strokecolor="#858585"/>
            <v:rect style="position:absolute;left:3321;top:-1544;width:321;height:1163" filled="true" fillcolor="#bebebe" stroked="false">
              <v:fill type="solid"/>
            </v:rect>
            <v:line style="position:absolute" from="4441,-1140" to="4921,-1140" stroked="true" strokeweight=".487094pt" strokecolor="#858585"/>
            <v:rect style="position:absolute;left:4122;top:-1432;width:319;height:1051" filled="true" fillcolor="#bebebe" stroked="false">
              <v:fill type="solid"/>
            </v:rect>
            <v:shape style="position:absolute;left:8482;top:1927;width:353;height:1121" coordorigin="8482,1927" coordsize="353,1121" path="m5242,-1140l5481,-1140m5242,-1519l5481,-1519m5242,-1898l5481,-1898e" filled="false" stroked="true" strokeweight=".487678pt" strokecolor="#858585">
              <v:path arrowok="t"/>
            </v:shape>
            <v:rect style="position:absolute;left:4921;top:-1929;width:321;height:1547" filled="true" fillcolor="#bebebe" stroked="false">
              <v:fill type="solid"/>
            </v:rect>
            <v:shape style="position:absolute;left:4056;top:1366;width:4779;height:2864" coordorigin="4056,1366" coordsize="4779,2864" path="m2281,-2278l5481,-2278m2281,-381l2281,-2278m2240,-381l2281,-381m2240,-761l2281,-761m2240,-1140l2281,-1140m2240,-1519l2281,-1519m2240,-1898l2281,-1898m2240,-2278l2281,-2278m2281,-381l5481,-381m2281,-381l2281,-341m3080,-381l3080,-341m3881,-381l3881,-341m4682,-381l4682,-341m5481,-381l5481,-341e" filled="false" stroked="true" strokeweight=".487678pt" strokecolor="#858585">
              <v:path arrowok="t"/>
            </v:shape>
            <v:shape style="position:absolute;left:2633;top:-1442;width:116;height:475" type="#_x0000_t75" stroked="false">
              <v:imagedata r:id="rId260" o:title=""/>
            </v:shape>
            <v:shape style="position:absolute;left:3434;top:-1181;width:116;height:465" type="#_x0000_t75" stroked="false">
              <v:imagedata r:id="rId261" o:title=""/>
            </v:shape>
            <v:shape style="position:absolute;left:4234;top:-1124;width:116;height:465" type="#_x0000_t75" stroked="false">
              <v:imagedata r:id="rId262" o:title=""/>
            </v:shape>
            <v:shape style="position:absolute;left:5034;top:-1371;width:116;height:475" type="#_x0000_t75" stroked="false">
              <v:imagedata r:id="rId263" o:title=""/>
            </v:shape>
            <v:shape style="position:absolute;left:1880;top:-2328;width:859;height:2156" coordorigin="1880,-2328" coordsize="859,2156" path="m1926,-1191l1918,-1191,1916,-1187,1913,-1183,1903,-1174,1897,-1170,1890,-1167,1890,-1156,1894,-1157,1898,-1159,1908,-1164,1911,-1167,1914,-1170,1914,-1094,1926,-1094,1926,-1170,1926,-1191m1926,-1570l1918,-1570,1916,-1566,1913,-1562,1903,-1553,1897,-1549,1890,-1546,1890,-1534,1894,-1536,1898,-1538,1908,-1543,1911,-1546,1914,-1549,1914,-1473,1926,-1473,1926,-1549,1926,-1570m1944,-1864l1896,-1864,1898,-1866,1899,-1868,1903,-1872,1908,-1876,1924,-1889,1930,-1895,1937,-1903,1940,-1907,1943,-1915,1943,-1918,1944,-1930,1941,-1936,1938,-1939,1930,-1947,1923,-1949,1904,-1949,1897,-1947,1886,-1937,1883,-1930,1882,-1921,1894,-1920,1894,-1926,1896,-1931,1903,-1938,1907,-1939,1919,-1939,1923,-1938,1930,-1931,1931,-1927,1931,-1918,1930,-1913,1922,-1903,1915,-1897,1898,-1882,1893,-1878,1885,-1869,1883,-1865,1881,-1861,1880,-1858,1880,-1855,1880,-1852,1944,-1852,1944,-1864m1944,-2243l1896,-2243,1898,-2245,1899,-2247,1903,-2251,1908,-2256,1924,-2269,1930,-2274,1937,-2283,1940,-2287,1943,-2294,1943,-2297,1944,-2309,1941,-2316,1938,-2319,1930,-2326,1923,-2328,1904,-2328,1897,-2326,1886,-2317,1883,-2310,1882,-2301,1894,-2299,1894,-2305,1896,-2310,1903,-2317,1907,-2319,1919,-2319,1923,-2317,1930,-2311,1931,-2307,1931,-2297,1930,-2293,1922,-2283,1915,-2276,1898,-2262,1893,-2257,1885,-2248,1883,-2244,1881,-2240,1880,-2237,1880,-2234,1880,-2232,1944,-2232,1944,-2243m2019,-1151l2018,-1159,2016,-1170,2014,-1175,2010,-1181,2008,-1183,2007,-1184,2007,-1158,2007,-1126,2005,-1116,1998,-1105,1993,-1102,1982,-1102,1978,-1105,1970,-1116,1968,-1126,1968,-1158,1970,-1169,1974,-1174,1978,-1179,1982,-1181,1993,-1181,1998,-1179,2005,-1168,2007,-1158,2007,-1184,2005,-1186,1997,-1190,1993,-1191,1981,-1191,1975,-1189,1966,-1182,1962,-1176,1957,-1162,1956,-1153,1956,-1142,1957,-1129,1959,-1118,1962,-1110,1966,-1103,1971,-1096,1978,-1093,1995,-1093,2001,-1095,2010,-1102,2010,-1102,2013,-1108,2018,-1121,2019,-1131,2019,-1151m2019,-1909l2018,-1917,2016,-1928,2014,-1933,2010,-1939,2008,-1941,2007,-1942,2007,-1916,2007,-1884,2005,-1874,1998,-1863,1993,-1860,1982,-1860,1978,-1863,1970,-1873,1968,-1884,1968,-1916,1970,-1927,1974,-1932,1978,-1937,1982,-1939,1993,-1939,1998,-1937,2005,-1926,2007,-1916,2007,-1942,2005,-1944,1997,-1948,1993,-1949,1981,-1949,1975,-1947,1966,-1940,1962,-1934,1957,-1920,1956,-1911,1956,-1900,1957,-1887,1959,-1876,1962,-1868,1966,-1861,1971,-1854,1978,-1851,1995,-1851,2001,-1853,2010,-1860,2010,-1860,2013,-1866,2018,-1879,2019,-1889,2019,-1909m2020,-1515l2017,-1523,2013,-1527,2009,-1531,2006,-1534,1999,-1537,1984,-1537,1978,-1535,1972,-1531,1977,-1557,2016,-1557,2016,-1568,1968,-1568,1958,-1519,1969,-1517,1971,-1520,1974,-1522,1980,-1526,1983,-1527,1993,-1527,1998,-1525,2006,-1517,2008,-1512,2008,-1498,2006,-1492,1998,-1484,1993,-1481,1982,-1481,1978,-1483,1972,-1489,1970,-1494,1969,-1500,1956,-1499,1957,-1490,1960,-1484,1971,-1474,1978,-1472,1998,-1472,2006,-1476,2011,-1481,2018,-1490,2020,-1497,2020,-1515m2020,-2273l2017,-2281,2013,-2285,2009,-2289,2006,-2293,1999,-2296,1984,-2296,1978,-2293,1972,-2289,1977,-2315,2016,-2315,2016,-2327,1968,-2327,1958,-2277,1969,-2276,1971,-2278,1974,-2281,1980,-2284,1983,-2285,1993,-2285,1998,-2283,2006,-2275,2008,-2270,2008,-2256,2006,-2250,1998,-2242,1993,-2240,1982,-2240,1978,-2241,1972,-2247,1970,-2252,1969,-2258,1956,-2257,1957,-2249,1960,-2242,1971,-2232,1978,-2230,1998,-2230,2006,-2234,2011,-2240,2018,-2248,2020,-2256,2020,-2273m2094,-1151l2093,-1159,2090,-1170,2088,-1175,2084,-1181,2083,-1183,2082,-1184,2082,-1158,2082,-1126,2080,-1116,2073,-1105,2068,-1102,2057,-1102,2053,-1105,2045,-1116,2043,-1126,2043,-1158,2045,-1169,2049,-1174,2053,-1179,2057,-1181,2068,-1181,2073,-1179,2080,-1168,2082,-1158,2082,-1184,2080,-1186,2072,-1190,2068,-1191,2056,-1191,2050,-1189,2040,-1182,2037,-1176,2032,-1162,2031,-1153,2031,-1142,2032,-1129,2033,-1118,2036,-1110,2041,-1103,2046,-1096,2053,-1093,2070,-1093,2075,-1095,2085,-1102,2085,-1102,2088,-1108,2093,-1121,2094,-1131,2094,-1151m2094,-1530l2093,-1538,2090,-1549,2088,-1554,2084,-1560,2083,-1562,2082,-1563,2082,-1537,2082,-1505,2080,-1495,2073,-1484,2068,-1481,2057,-1481,2053,-1484,2045,-1495,2043,-1505,2043,-1537,2045,-1548,2049,-1553,2053,-1558,2057,-1560,2068,-1560,2073,-1558,2080,-1547,2082,-1537,2082,-1563,2080,-1565,2072,-1569,2068,-1570,2056,-1570,2050,-1568,2040,-1561,2037,-1555,2032,-1541,2031,-1532,2031,-1521,2032,-1508,2033,-1497,2036,-1489,2041,-1482,2046,-1475,2053,-1472,2070,-1472,2075,-1474,2085,-1481,2085,-1481,2088,-1487,2093,-1500,2094,-1510,2094,-1530m2094,-1909l2093,-1917,2090,-1928,2088,-1933,2084,-1939,2083,-1941,2082,-1942,2082,-1916,2082,-1884,2080,-1874,2073,-1863,2068,-1860,2057,-1860,2053,-1863,2045,-1873,2043,-1884,2043,-1916,2045,-1927,2049,-1932,2053,-1937,2057,-1939,2068,-1939,2073,-1937,2080,-1926,2082,-1916,2082,-1942,2080,-1944,2072,-1948,2068,-1949,2056,-1949,2050,-1947,2040,-1940,2037,-1934,2032,-1920,2031,-1911,2031,-1900,2032,-1887,2033,-1876,2036,-1868,2041,-1861,2046,-1854,2053,-1851,2070,-1851,2075,-1853,2085,-1860,2085,-1860,2088,-1866,2093,-1879,2094,-1889,2094,-1909m2094,-2289l2093,-2296,2090,-2308,2088,-2312,2084,-2319,2083,-2320,2082,-2322,2082,-2295,2082,-2263,2080,-2253,2073,-2242,2068,-2240,2057,-2240,2053,-2242,2045,-2253,2043,-2263,2043,-2295,2045,-2306,2049,-2312,2053,-2316,2057,-2319,2068,-2319,2073,-2316,2080,-2306,2082,-2295,2082,-2322,2080,-2323,2072,-2327,2068,-2328,2056,-2328,2050,-2327,2040,-2319,2037,-2314,2032,-2300,2031,-2291,2031,-2279,2032,-2266,2033,-2256,2036,-2247,2041,-2240,2046,-2233,2053,-2230,2070,-2230,2075,-2232,2085,-2239,2085,-2240,2088,-2245,2093,-2259,2094,-2268,2094,-2289m2169,-1151l2168,-1159,2165,-1170,2163,-1175,2159,-1181,2158,-1183,2157,-1184,2157,-1158,2157,-1126,2155,-1116,2147,-1105,2143,-1102,2132,-1102,2127,-1105,2120,-1116,2118,-1126,2118,-1158,2120,-1169,2124,-1174,2127,-1179,2132,-1181,2143,-1181,2147,-1179,2155,-1168,2157,-1158,2157,-1184,2155,-1186,2147,-1190,2143,-1191,2130,-1191,2125,-1189,2115,-1182,2112,-1176,2107,-1162,2106,-1153,2106,-1142,2106,-1129,2108,-1118,2111,-1110,2115,-1103,2121,-1096,2128,-1093,2144,-1093,2150,-1095,2160,-1102,2160,-1102,2163,-1108,2168,-1121,2169,-1131,2169,-1151m2169,-1530l2168,-1538,2165,-1549,2163,-1554,2159,-1560,2158,-1562,2157,-1563,2157,-1537,2157,-1505,2155,-1495,2147,-1484,2143,-1481,2132,-1481,2127,-1484,2120,-1495,2118,-1505,2118,-1537,2120,-1548,2124,-1553,2127,-1558,2132,-1560,2143,-1560,2147,-1558,2155,-1547,2157,-1537,2157,-1563,2155,-1565,2147,-1569,2143,-1570,2130,-1570,2125,-1568,2115,-1561,2112,-1555,2107,-1541,2106,-1532,2106,-1521,2106,-1508,2108,-1497,2111,-1489,2115,-1482,2121,-1475,2128,-1472,2144,-1472,2150,-1474,2160,-1481,2160,-1481,2163,-1487,2168,-1500,2169,-1510,2169,-1530m2169,-1909l2168,-1917,2165,-1928,2163,-1933,2159,-1939,2158,-1941,2157,-1942,2157,-1916,2157,-1884,2155,-1874,2147,-1863,2143,-1860,2132,-1860,2127,-1863,2120,-1873,2118,-1884,2118,-1916,2120,-1927,2124,-1932,2127,-1937,2132,-1939,2143,-1939,2147,-1937,2155,-1926,2157,-1916,2157,-1942,2155,-1944,2147,-1948,2143,-1949,2130,-1949,2125,-1947,2115,-1940,2112,-1934,2107,-1920,2106,-1911,2106,-1900,2106,-1887,2108,-1876,2111,-1868,2115,-1861,2121,-1854,2128,-1851,2144,-1851,2150,-1853,2160,-1860,2160,-1860,2163,-1866,2168,-1879,2169,-1889,2169,-1909m2169,-2289l2168,-2296,2165,-2308,2163,-2312,2159,-2319,2158,-2320,2157,-2322,2157,-2295,2157,-2263,2155,-2253,2147,-2242,2143,-2240,2132,-2240,2127,-2242,2120,-2253,2118,-2263,2118,-2295,2120,-2306,2124,-2312,2127,-2316,2132,-2319,2143,-2319,2147,-2316,2155,-2306,2157,-2295,2157,-2322,2155,-2323,2147,-2327,2143,-2328,2130,-2328,2125,-2327,2115,-2319,2112,-2314,2107,-2300,2106,-2291,2106,-2279,2106,-2266,2108,-2256,2111,-2247,2115,-2240,2121,-2233,2128,-2230,2144,-2230,2150,-2232,2160,-2239,2160,-2240,2163,-2245,2168,-2259,2169,-2268,2169,-2289m2682,-184l2622,-184,2622,-217,2676,-217,2676,-228,2622,-228,2622,-258,2679,-258,2679,-269,2609,-269,2609,-172,2682,-172,2682,-184m2739,-269l2731,-269,2729,-265,2725,-261,2715,-252,2710,-248,2703,-245,2703,-234,2707,-235,2711,-237,2720,-243,2724,-245,2727,-248,2727,-172,2739,-172,2739,-248,2739,-269e" filled="true" fillcolor="#000000" stroked="false">
              <v:path arrowok="t"/>
              <v:fill type="solid"/>
            </v:shape>
            <v:shape style="position:absolute;left:3410;top:-269;width:948;height:238" type="#_x0000_t75" stroked="false">
              <v:imagedata r:id="rId264" o:title=""/>
            </v:shape>
            <v:shape style="position:absolute;left:1690;top:-1549;width:3678;height:1379" coordorigin="1690,-1549" coordsize="3678,1379" path="m1786,-1203l1747,-1203,1747,-1241,1744,-1251,1744,-1251,1736,-1259,1736,-1236,1736,-1203,1701,-1203,1701,-1233,1701,-1237,1703,-1243,1705,-1246,1710,-1250,1714,-1251,1724,-1251,1728,-1249,1734,-1242,1736,-1236,1736,-1259,1733,-1261,1726,-1264,1713,-1264,1708,-1263,1700,-1259,1697,-1256,1693,-1250,1691,-1246,1691,-1241,1690,-1238,1690,-1233,1690,-1190,1786,-1190,1786,-1203m1788,-1316l1786,-1322,1778,-1333,1772,-1336,1765,-1338,1764,-1326,1769,-1324,1772,-1322,1777,-1316,1778,-1312,1778,-1301,1776,-1297,1768,-1289,1762,-1287,1754,-1286,1754,-1287,1754,-1326,1754,-1338,1745,-1338,1745,-1326,1745,-1287,1738,-1287,1734,-1289,1726,-1297,1724,-1301,1724,-1313,1727,-1318,1734,-1324,1739,-1326,1745,-1326,1745,-1338,1740,-1339,1731,-1336,1718,-1324,1715,-1316,1715,-1297,1718,-1289,1731,-1277,1740,-1274,1763,-1274,1772,-1277,1782,-1286,1785,-1289,1788,-1297,1788,-1316m1788,-1384l1787,-1389,1784,-1394,1783,-1397,1780,-1401,1773,-1405,1770,-1406,1762,-1406,1758,-1405,1753,-1402,1751,-1399,1748,-1392,1746,-1386,1744,-1378,1742,-1372,1741,-1369,1741,-1367,1740,-1366,1739,-1364,1736,-1362,1735,-1362,1731,-1362,1729,-1363,1725,-1367,1724,-1371,1724,-1381,1725,-1385,1729,-1390,1732,-1392,1736,-1392,1734,-1404,1730,-1403,1726,-1402,1721,-1398,1719,-1395,1715,-1386,1715,-1381,1715,-1371,1715,-1369,1717,-1362,1718,-1360,1720,-1358,1721,-1356,1724,-1354,1729,-1351,1732,-1350,1738,-1350,1741,-1351,1747,-1355,1749,-1357,1751,-1362,1753,-1364,1754,-1370,1758,-1385,1760,-1389,1762,-1393,1764,-1394,1770,-1394,1773,-1393,1777,-1388,1778,-1384,1778,-1372,1777,-1368,1772,-1362,1768,-1361,1764,-1360,1765,-1348,1773,-1350,1778,-1353,1786,-1362,1788,-1369,1788,-1384m1788,-1455l1786,-1461,1782,-1470,1781,-1471,1778,-1474,1778,-1443,1776,-1438,1767,-1430,1760,-1429,1742,-1429,1736,-1430,1727,-1438,1724,-1443,1725,-1455,1727,-1460,1736,-1468,1742,-1470,1760,-1470,1767,-1468,1776,-1460,1778,-1455,1778,-1443,1778,-1474,1777,-1475,1766,-1480,1759,-1482,1739,-1482,1730,-1479,1718,-1467,1715,-1459,1715,-1440,1717,-1433,1729,-1420,1738,-1416,1763,-1416,1772,-1419,1782,-1429,1785,-1431,1788,-1439,1788,-1455m1788,-1526l1787,-1531,1784,-1537,1783,-1540,1780,-1543,1773,-1548,1770,-1549,1762,-1549,1758,-1548,1753,-1544,1751,-1542,1748,-1535,1746,-1529,1744,-1521,1742,-1515,1741,-1512,1741,-1510,1740,-1508,1739,-1507,1736,-1505,1735,-1504,1731,-1504,1729,-1506,1725,-1510,1724,-1514,1724,-1524,1725,-1528,1729,-1533,1732,-1534,1736,-1535,1734,-1546,1730,-1546,1726,-1544,1721,-1540,1719,-1537,1715,-1529,1715,-1524,1715,-1514,1715,-1512,1717,-1505,1718,-1503,1720,-1501,1721,-1498,1724,-1497,1729,-1494,1732,-1493,1738,-1493,1741,-1494,1747,-1497,1749,-1500,1751,-1504,1753,-1507,1754,-1513,1758,-1528,1760,-1532,1762,-1536,1764,-1537,1770,-1537,1773,-1536,1777,-1530,1778,-1526,1778,-1515,1777,-1511,1772,-1505,1768,-1503,1764,-1503,1765,-1491,1773,-1492,1778,-1495,1786,-1505,1788,-1512,1788,-1526m2009,-757l2006,-764,2002,-769,1997,-773,1994,-776,1987,-779,1972,-779,1966,-777,1960,-773,1966,-799,2004,-799,2004,-810,1956,-810,1947,-761,1958,-759,1960,-762,1962,-764,1968,-768,1972,-769,1982,-769,1987,-767,1994,-759,1996,-753,1996,-740,1994,-734,1986,-725,1981,-723,1971,-723,1967,-725,1960,-731,1958,-735,1957,-741,1945,-740,1945,-732,1949,-726,1960,-716,1967,-713,1986,-713,1995,-717,2000,-723,2006,-731,2009,-739,2009,-757m2083,-772l2082,-780,2079,-791,2077,-796,2073,-802,2072,-804,2070,-805,2070,-779,2070,-747,2068,-736,2061,-726,2056,-723,2046,-723,2041,-726,2034,-736,2032,-747,2032,-779,2034,-789,2038,-795,2041,-800,2045,-802,2056,-802,2061,-800,2068,-789,2070,-779,2070,-805,2069,-807,2061,-811,2056,-812,2044,-812,2038,-810,2029,-802,2025,-797,2021,-783,2019,-774,2019,-763,2020,-750,2022,-739,2025,-730,2029,-723,2034,-717,2042,-713,2058,-713,2064,-715,2073,-723,2073,-723,2077,-728,2081,-742,2083,-751,2083,-772m2157,-772l2157,-780,2154,-791,2152,-796,2148,-802,2147,-804,2145,-805,2145,-779,2145,-747,2143,-736,2136,-726,2131,-723,2120,-723,2116,-726,2108,-736,2107,-747,2107,-779,2109,-789,2113,-795,2116,-800,2120,-802,2131,-802,2136,-800,2143,-789,2145,-779,2145,-805,2143,-807,2136,-811,2131,-812,2119,-812,2113,-810,2104,-802,2100,-797,2096,-783,2094,-774,2094,-763,2095,-750,2097,-739,2100,-730,2104,-723,2109,-717,2117,-713,2133,-713,2139,-715,2148,-723,2148,-723,2152,-728,2156,-742,2157,-751,2157,-772m2158,-393l2157,-401,2154,-412,2152,-417,2148,-423,2147,-425,2146,-426,2146,-400,2146,-368,2144,-357,2136,-347,2132,-344,2121,-344,2116,-347,2109,-357,2107,-368,2107,-400,2109,-410,2113,-416,2116,-421,2121,-423,2132,-423,2136,-421,2144,-410,2146,-400,2146,-426,2144,-428,2136,-432,2132,-433,2119,-433,2114,-431,2104,-424,2101,-418,2096,-404,2095,-395,2095,-384,2096,-371,2097,-360,2100,-351,2104,-344,2110,-338,2117,-334,2134,-334,2139,-336,2149,-344,2149,-344,2152,-349,2157,-363,2158,-372,2158,-393m4877,-246l4876,-250,4873,-258,4872,-258,4870,-261,4864,-265,4864,-245,4864,-235,4862,-231,4855,-225,4850,-223,4816,-223,4816,-258,4847,-258,4851,-257,4853,-257,4856,-256,4859,-254,4863,-248,4864,-245,4864,-265,4863,-266,4859,-267,4855,-268,4851,-269,4846,-269,4803,-269,4803,-172,4816,-172,4816,-212,4855,-212,4864,-215,4872,-223,4875,-226,4877,-233,4877,-246m4929,-240l4925,-243,4921,-244,4914,-244,4912,-243,4907,-240,4905,-237,4902,-232,4902,-242,4891,-242,4891,-172,4903,-172,4903,-214,4904,-219,4906,-226,4908,-228,4912,-231,4914,-232,4920,-232,4922,-231,4925,-229,4926,-232,4926,-232,4929,-240m4998,-220l4995,-228,4989,-234,4986,-238,4986,-216,4986,-198,4984,-192,4976,-183,4971,-181,4959,-181,4954,-183,4947,-192,4945,-198,4945,-216,4947,-223,4954,-232,4959,-234,4971,-234,4976,-232,4984,-223,4986,-216,4986,-238,4983,-241,4975,-244,4957,-244,4949,-241,4936,-230,4932,-220,4932,-196,4936,-187,4948,-174,4956,-171,4971,-171,4977,-172,4987,-178,4990,-181,4991,-182,4997,-192,4998,-199,4998,-220m5107,-172l5107,-229,5105,-234,5105,-234,5098,-242,5092,-244,5076,-244,5069,-240,5064,-232,5063,-234,5062,-236,5060,-239,5053,-243,5049,-244,5039,-244,5035,-243,5028,-239,5025,-236,5023,-233,5023,-242,5012,-242,5012,-172,5024,-172,5024,-215,5025,-220,5027,-227,5029,-229,5034,-233,5035,-233,5038,-234,5046,-234,5049,-232,5053,-227,5054,-223,5054,-172,5065,-172,5065,-220,5067,-226,5073,-232,5074,-232,5078,-234,5085,-234,5088,-233,5092,-231,5093,-229,5095,-225,5095,-221,5095,-172,5107,-172m5188,-219l5185,-228,5179,-234,5175,-238,5175,-214,5136,-214,5137,-220,5139,-225,5146,-232,5151,-234,5162,-234,5167,-232,5173,-224,5175,-220,5175,-214,5175,-238,5173,-241,5165,-244,5146,-244,5138,-241,5126,-228,5123,-219,5123,-195,5126,-187,5138,-174,5146,-171,5165,-171,5171,-173,5182,-181,5182,-181,5186,-186,5187,-193,5175,-195,5173,-190,5171,-186,5165,-182,5161,-181,5151,-181,5146,-183,5138,-191,5136,-197,5136,-204,5188,-204,5188,-214,5188,-219m5259,-269l5248,-269,5248,-216,5248,-198,5246,-191,5239,-183,5235,-181,5224,-181,5220,-183,5212,-192,5210,-198,5210,-217,5212,-223,5219,-232,5224,-234,5234,-234,5239,-232,5246,-223,5248,-216,5248,-269,5247,-269,5247,-234,5245,-237,5242,-240,5236,-243,5232,-244,5222,-244,5217,-242,5207,-236,5204,-232,5199,-221,5198,-214,5198,-200,5199,-194,5204,-183,5208,-179,5217,-172,5223,-171,5237,-171,5243,-174,5247,-181,5248,-181,5248,-172,5259,-172,5259,-181,5259,-234,5259,-234,5259,-269m5289,-242l5277,-242,5277,-172,5289,-172,5289,-242m5289,-269l5277,-269,5277,-255,5289,-255,5289,-269m5367,-220l5364,-228,5359,-234,5355,-238,5355,-216,5355,-198,5353,-192,5345,-183,5341,-181,5329,-181,5324,-183,5316,-192,5314,-198,5314,-216,5316,-223,5324,-232,5329,-234,5340,-234,5345,-232,5353,-223,5355,-216,5355,-238,5352,-241,5344,-244,5326,-244,5319,-241,5305,-230,5302,-220,5302,-196,5305,-187,5317,-174,5325,-171,5341,-171,5346,-172,5357,-178,5359,-181,5361,-182,5366,-192,5367,-199,5367,-220e" filled="true" fillcolor="#000000" stroked="false">
              <v:path arrowok="t"/>
              <v:fill type="solid"/>
            </v:shape>
            <v:rect style="position:absolute;left:1560;top:-2466;width:4157;height:2481" filled="false" stroked="true" strokeweight=".507709pt" strokecolor="#858585"/>
            <w10:wrap type="none"/>
          </v:group>
        </w:pict>
      </w:r>
      <w:r>
        <w:rPr>
          <w:color w:val="231F20"/>
          <w:sz w:val="18"/>
        </w:rPr>
        <w:t>Figura 10. Margen neto por hectárea de superficie forrajera y año.</w:t>
      </w:r>
    </w:p>
    <w:p>
      <w:pPr>
        <w:pStyle w:val="BodyText"/>
        <w:spacing w:before="3" w:after="40"/>
        <w:rPr>
          <w:sz w:val="29"/>
        </w:rPr>
      </w:pPr>
      <w:r>
        <w:rPr/>
        <w:br w:type="column"/>
      </w:r>
      <w:r>
        <w:rPr>
          <w:sz w:val="29"/>
        </w:rPr>
      </w:r>
    </w:p>
    <w:p>
      <w:pPr>
        <w:pStyle w:val="BodyText"/>
        <w:ind w:left="408"/>
      </w:pPr>
      <w:r>
        <w:rPr/>
        <w:pict>
          <v:group style="width:208.4pt;height:124.65pt;mso-position-horizontal-relative:char;mso-position-vertical-relative:line" coordorigin="0,0" coordsize="4168,2493">
            <v:line style="position:absolute" from="3708,1600" to="3954,1600" stroked="true" strokeweight=".487411pt" strokecolor="#858585"/>
            <v:line style="position:absolute" from="2888,1600" to="3381,1600" stroked="true" strokeweight=".487411pt" strokecolor="#858585"/>
            <v:line style="position:absolute" from="2067,1600" to="2559,1600" stroked="true" strokeweight=".487411pt" strokecolor="#858585"/>
            <v:line style="position:absolute" from="1247,1600" to="1739,1600" stroked="true" strokeweight=".487411pt" strokecolor="#858585"/>
            <v:line style="position:absolute" from="673,1600" to="918,1600" stroked="true" strokeweight=".487411pt" strokecolor="#858585"/>
            <v:line style="position:absolute" from="1247,1130" to="3381,1130" stroked="true" strokeweight=".487411pt" strokecolor="#858585"/>
            <v:line style="position:absolute" from="673,1130" to="918,1130" stroked="true" strokeweight=".487411pt" strokecolor="#858585"/>
            <v:line style="position:absolute" from="1247,661" to="3381,661" stroked="true" strokeweight=".487411pt" strokecolor="#858585"/>
            <v:line style="position:absolute" from="673,661" to="918,661" stroked="true" strokeweight=".487411pt" strokecolor="#858585"/>
            <v:rect style="position:absolute;left:918;top:435;width:329;height:1633" filled="true" fillcolor="#bebebe" stroked="false">
              <v:fill type="solid"/>
            </v:rect>
            <v:rect style="position:absolute;left:1739;top:1137;width:329;height:931" filled="true" fillcolor="#bebebe" stroked="false">
              <v:fill type="solid"/>
            </v:rect>
            <v:rect style="position:absolute;left:2559;top:1202;width:329;height:866" filled="true" fillcolor="#bebebe" stroked="false">
              <v:fill type="solid"/>
            </v:rect>
            <v:line style="position:absolute" from="3708,1130" to="3954,1130" stroked="true" strokeweight=".487411pt" strokecolor="#858585"/>
            <v:line style="position:absolute" from="3708,661" to="3954,661" stroked="true" strokeweight=".487411pt" strokecolor="#858585"/>
            <v:rect style="position:absolute;left:3381;top:610;width:327;height:1457" filled="true" fillcolor="#bebebe" stroked="false">
              <v:fill type="solid"/>
            </v:rect>
            <v:line style="position:absolute" from="673,191" to="3954,191" stroked="true" strokeweight=".487411pt" strokecolor="#858585"/>
            <v:line style="position:absolute" from="673,2068" to="673,191" stroked="true" strokeweight=".488261pt" strokecolor="#858585"/>
            <v:line style="position:absolute" from="632,2068" to="673,2068" stroked="true" strokeweight=".487411pt" strokecolor="#858585"/>
            <v:line style="position:absolute" from="632,1600" to="673,1600" stroked="true" strokeweight=".487411pt" strokecolor="#858585"/>
            <v:line style="position:absolute" from="632,1130" to="673,1130" stroked="true" strokeweight=".487411pt" strokecolor="#858585"/>
            <v:line style="position:absolute" from="632,661" to="673,661" stroked="true" strokeweight=".487411pt" strokecolor="#858585"/>
            <v:line style="position:absolute" from="632,191" to="673,191" stroked="true" strokeweight=".487411pt" strokecolor="#858585"/>
            <v:line style="position:absolute" from="673,2068" to="3954,2068" stroked="true" strokeweight=".487411pt" strokecolor="#858585"/>
            <v:line style="position:absolute" from="673,2068" to="673,2110" stroked="true" strokeweight=".488261pt" strokecolor="#858585"/>
            <v:line style="position:absolute" from="1493,2068" to="1493,2110" stroked="true" strokeweight=".488261pt" strokecolor="#858585"/>
            <v:line style="position:absolute" from="2313,2068" to="2313,2110" stroked="true" strokeweight=".488261pt" strokecolor="#858585"/>
            <v:line style="position:absolute" from="3133,2068" to="3133,2110" stroked="true" strokeweight=".488261pt" strokecolor="#858585"/>
            <v:line style="position:absolute" from="3954,2068" to="3954,2110" stroked="true" strokeweight=".488261pt" strokecolor="#858585"/>
            <v:shape style="position:absolute;left:1035;top:1053;width:116;height:456" type="#_x0000_t75" stroked="false">
              <v:imagedata r:id="rId265" o:title=""/>
            </v:shape>
            <v:shape style="position:absolute;left:1856;top:1385;width:116;height:466" type="#_x0000_t75" stroked="false">
              <v:imagedata r:id="rId266" o:title=""/>
            </v:shape>
            <v:shape style="position:absolute;left:2677;top:1419;width:116;height:465" type="#_x0000_t75" stroked="false">
              <v:imagedata r:id="rId267" o:title=""/>
            </v:shape>
            <v:shape style="position:absolute;left:3497;top:1533;width:99;height:64" coordorigin="3497,1533" coordsize="99,64" path="m3590,1546l3572,1546,3577,1548,3584,1556,3586,1560,3586,1571,3585,1574,3585,1575,3579,1581,3574,1583,3567,1585,3569,1597,3577,1596,3583,1593,3594,1581,3596,1575,3596,1556,3593,1549,3590,1546xm3527,1538l3518,1538,3514,1539,3506,1544,3503,1547,3498,1556,3497,1560,3497,1574,3499,1580,3508,1591,3514,1594,3522,1595,3524,1584,3519,1583,3514,1581,3508,1575,3507,1571,3507,1561,3508,1558,3514,1552,3518,1550,3541,1550,3540,1547,3537,1544,3530,1539,3527,1538xm3541,1550l3528,1550,3532,1552,3537,1560,3538,1565,3538,1572,3549,1573,3548,1570,3547,1567,3547,1559,3549,1555,3552,1551,3542,1551,3541,1550xm3574,1533l3560,1533,3554,1535,3546,1541,3543,1546,3542,1551,3552,1551,3556,1548,3561,1546,3590,1546,3581,1537,3574,1533xe" filled="true" fillcolor="#000000" stroked="false">
              <v:path arrowok="t"/>
              <v:fill type="solid"/>
            </v:shape>
            <v:shape style="position:absolute;left:3497;top:1477;width:98;height:36" coordorigin="3497,1477" coordsize="98,36" path="m3594,1477l3497,1477,3497,1485,3501,1487,3506,1491,3515,1500,3518,1506,3522,1513,3533,1513,3519,1489,3594,1489,3594,1477xe" filled="true" fillcolor="#000000" stroked="false">
              <v:path arrowok="t"/>
              <v:fill type="solid"/>
            </v:shape>
            <v:shape style="position:absolute;left:3497;top:1141;width:116;height:306" type="#_x0000_t75" stroked="false">
              <v:imagedata r:id="rId268" o:title=""/>
            </v:shape>
            <v:shape style="position:absolute;left:283;top:1547;width:36;height:97" coordorigin="283,1547" coordsize="36,97" path="m319,1569l307,1569,307,1644,319,1644,319,1569xm319,1547l311,1547,309,1552,306,1556,296,1565,290,1568,283,1572,283,1583,287,1582,291,1580,301,1574,304,1571,307,1569,319,1569,319,1547xe" filled="true" fillcolor="#000000" stroked="false">
              <v:path arrowok="t"/>
              <v:fill type="solid"/>
            </v:shape>
            <v:shape style="position:absolute;left:349;top:1547;width:64;height:99" coordorigin="349,1547" coordsize="64,99" path="m386,1547l374,1547,368,1549,359,1557,355,1562,350,1576,349,1585,349,1597,350,1609,352,1620,355,1629,359,1636,364,1643,371,1646,388,1646,394,1644,403,1636,403,1636,375,1636,371,1634,363,1623,361,1613,361,1581,363,1570,368,1564,371,1559,375,1557,403,1557,402,1556,398,1553,391,1548,386,1547xm403,1557l386,1557,391,1560,398,1570,400,1581,400,1613,398,1623,391,1634,386,1636,403,1636,406,1631,411,1617,412,1608,412,1587,412,1580,409,1568,407,1563,403,1557xe" filled="true" fillcolor="#000000" stroked="false">
              <v:path arrowok="t"/>
              <v:fill type="solid"/>
            </v:shape>
            <v:shape style="position:absolute;left:424;top:1547;width:64;height:99" coordorigin="424,1547" coordsize="64,99" path="m461,1547l449,1547,443,1549,433,1557,430,1562,425,1576,424,1585,424,1597,425,1609,426,1620,429,1629,434,1636,439,1643,446,1646,463,1646,469,1644,478,1636,478,1636,450,1636,446,1634,438,1623,436,1613,436,1581,438,1570,442,1564,446,1559,450,1557,477,1557,476,1556,473,1553,465,1548,461,1547xm477,1557l461,1557,466,1560,473,1570,475,1581,475,1613,473,1623,466,1634,461,1636,478,1636,481,1631,486,1617,487,1608,487,1587,486,1580,484,1568,482,1563,477,1557xe" filled="true" fillcolor="#000000" stroked="false">
              <v:path arrowok="t"/>
              <v:fill type="solid"/>
            </v:shape>
            <v:shape style="position:absolute;left:499;top:1547;width:64;height:99" coordorigin="499,1547" coordsize="64,99" path="m536,1547l523,1547,518,1549,508,1557,505,1562,500,1576,499,1585,499,1597,500,1609,501,1620,504,1629,509,1636,514,1643,521,1646,538,1646,543,1644,553,1636,553,1636,525,1636,520,1634,513,1623,511,1613,511,1581,513,1570,517,1564,521,1559,525,1557,552,1557,551,1556,548,1553,540,1548,536,1547xm552,1557l536,1557,541,1560,548,1570,550,1581,550,1613,548,1623,541,1634,536,1636,553,1636,556,1631,561,1617,562,1608,562,1587,561,1580,558,1568,556,1563,552,1557xe" filled="true" fillcolor="#000000" stroked="false">
              <v:path arrowok="t"/>
              <v:fill type="solid"/>
            </v:shape>
            <v:shape style="position:absolute;left:273;top:1078;width:64;height:97" coordorigin="273,1078" coordsize="64,97" path="m331,1088l312,1088,316,1090,323,1096,324,1100,324,1109,323,1114,315,1124,308,1131,291,1145,286,1150,278,1158,276,1162,274,1167,273,1169,273,1172,273,1175,337,1175,337,1164,289,1164,291,1161,292,1159,296,1155,301,1151,317,1138,323,1132,330,1124,333,1120,336,1113,337,1109,337,1097,334,1091,331,1088xm316,1078l297,1078,290,1080,279,1090,276,1097,275,1106,287,1107,287,1101,289,1096,296,1090,301,1088,331,1088,323,1081,316,1078xe" filled="true" fillcolor="#000000" stroked="false">
              <v:path arrowok="t"/>
              <v:fill type="solid"/>
            </v:shape>
            <v:shape style="position:absolute;left:349;top:1078;width:64;height:99" coordorigin="349,1078" coordsize="64,99" path="m386,1078l374,1078,368,1080,359,1088,355,1093,350,1107,349,1116,349,1127,350,1140,352,1151,355,1160,359,1167,364,1173,371,1177,388,1177,394,1175,403,1167,403,1167,375,1167,371,1164,363,1154,361,1143,361,1112,363,1101,368,1095,371,1090,375,1088,403,1088,402,1086,398,1083,391,1079,386,1078xm403,1088l386,1088,391,1091,398,1101,400,1112,400,1143,398,1154,391,1164,386,1167,403,1167,406,1162,411,1148,412,1139,412,1118,412,1110,409,1099,407,1094,403,1088xe" filled="true" fillcolor="#000000" stroked="false">
              <v:path arrowok="t"/>
              <v:fill type="solid"/>
            </v:shape>
            <v:shape style="position:absolute;left:424;top:1078;width:64;height:99" coordorigin="424,1078" coordsize="64,99" path="m461,1078l449,1078,443,1080,433,1088,430,1093,425,1107,424,1116,424,1127,425,1140,426,1151,429,1160,434,1167,439,1173,446,1177,463,1177,469,1175,478,1167,478,1167,450,1167,446,1164,438,1154,436,1143,436,1112,438,1101,442,1095,446,1090,450,1088,477,1088,476,1086,473,1083,465,1079,461,1078xm477,1088l461,1088,466,1091,473,1101,475,1112,475,1143,473,1154,466,1164,461,1167,478,1167,481,1162,486,1148,487,1139,487,1118,486,1110,484,1099,482,1094,477,1088xe" filled="true" fillcolor="#000000" stroked="false">
              <v:path arrowok="t"/>
              <v:fill type="solid"/>
            </v:shape>
            <v:shape style="position:absolute;left:499;top:1078;width:64;height:99" coordorigin="499,1078" coordsize="64,99" path="m536,1078l523,1078,518,1080,508,1088,505,1093,500,1107,499,1116,499,1127,500,1140,501,1151,504,1160,509,1167,514,1173,521,1177,538,1177,543,1175,553,1167,553,1167,525,1167,520,1164,513,1154,511,1143,511,1112,513,1101,517,1095,521,1090,525,1088,552,1088,551,1086,548,1083,540,1079,536,1078xm552,1088l536,1088,541,1091,548,1101,550,1112,550,1143,548,1154,541,1164,536,1167,553,1167,556,1162,561,1148,562,1139,562,1118,561,1110,558,1099,556,1094,552,1088xe" filled="true" fillcolor="#000000" stroked="false">
              <v:path arrowok="t"/>
              <v:fill type="solid"/>
            </v:shape>
            <v:shape style="position:absolute;left:274;top:609;width:64;height:99" coordorigin="274,609" coordsize="64,99" path="m286,679l274,680,275,688,278,695,290,705,297,708,315,708,322,705,330,698,301,698,297,696,290,690,288,686,286,679xm331,659l312,659,316,661,323,668,325,672,325,683,323,688,316,696,311,698,330,698,335,693,338,686,338,671,336,666,331,659xm328,619l310,619,313,620,319,626,321,629,321,639,319,643,311,649,306,650,299,650,298,660,301,659,304,659,331,659,330,658,325,655,320,654,324,652,326,650,306,650,299,650,326,650,327,649,332,642,333,638,333,629,332,626,328,619xm310,609l297,609,291,611,280,620,277,626,276,634,288,636,288,630,290,626,297,620,300,619,328,619,327,618,324,615,315,610,310,609xe" filled="true" fillcolor="#000000" stroked="false">
              <v:path arrowok="t"/>
              <v:fill type="solid"/>
            </v:shape>
            <v:shape style="position:absolute;left:349;top:609;width:64;height:99" coordorigin="349,609" coordsize="64,99" path="m386,609l374,609,368,611,359,618,355,624,350,638,349,647,349,658,350,671,352,682,355,691,359,698,364,704,371,708,388,708,394,706,403,698,403,698,375,698,371,695,363,685,361,674,361,642,363,632,368,626,371,621,375,619,403,619,402,617,398,614,391,610,386,609xm403,619l386,619,391,621,398,632,400,642,400,674,398,685,391,695,386,698,403,698,406,693,411,679,412,670,412,649,412,641,409,630,407,625,403,619xe" filled="true" fillcolor="#000000" stroked="false">
              <v:path arrowok="t"/>
              <v:fill type="solid"/>
            </v:shape>
            <v:shape style="position:absolute;left:424;top:609;width:64;height:99" coordorigin="424,609" coordsize="64,99" path="m461,609l449,609,443,611,433,618,430,624,425,638,424,647,424,658,425,671,426,682,429,691,434,698,439,704,446,708,463,708,469,706,478,698,478,698,450,698,446,695,438,685,436,674,436,642,438,632,442,626,446,621,450,619,477,619,476,617,473,614,465,610,461,609xm477,619l461,619,466,621,473,632,475,642,475,674,473,685,466,695,461,698,478,698,481,693,486,679,487,670,487,649,486,641,484,630,482,625,477,619xe" filled="true" fillcolor="#000000" stroked="false">
              <v:path arrowok="t"/>
              <v:fill type="solid"/>
            </v:shape>
            <v:shape style="position:absolute;left:499;top:609;width:64;height:99" coordorigin="499,609" coordsize="64,99" path="m536,609l523,609,518,611,508,618,505,624,500,638,499,647,499,658,500,671,501,682,504,691,509,698,514,704,521,708,538,708,543,706,553,698,553,698,525,698,520,695,513,685,511,674,511,642,513,632,517,626,521,621,525,619,552,619,551,617,548,614,540,610,536,609xm552,619l536,619,541,621,548,632,550,642,550,674,548,685,541,695,536,698,553,698,556,693,561,679,562,670,562,649,561,641,558,630,556,625,552,619xe" filled="true" fillcolor="#000000" stroked="false">
              <v:path arrowok="t"/>
              <v:fill type="solid"/>
            </v:shape>
            <v:shape style="position:absolute;left:270;top:140;width:67;height:97" coordorigin="270,140" coordsize="67,97" path="m324,214l312,214,312,237,324,237,324,214xm324,140l315,140,270,203,270,214,337,214,337,203,282,203,312,159,324,159,324,140xm324,159l312,159,312,203,324,203,324,159xe" filled="true" fillcolor="#000000" stroked="false">
              <v:path arrowok="t"/>
              <v:fill type="solid"/>
            </v:shape>
            <v:shape style="position:absolute;left:349;top:140;width:64;height:99" coordorigin="349,140" coordsize="64,99" path="m386,140l374,140,368,142,359,149,355,154,350,168,349,178,349,189,350,202,352,212,355,221,359,228,364,235,371,238,388,238,394,236,403,229,403,229,375,229,371,226,363,215,361,205,361,173,363,162,368,156,371,152,375,150,403,150,402,148,398,145,391,141,386,140xm403,150l386,150,391,152,398,163,400,173,400,205,398,215,391,226,386,229,403,229,406,223,411,209,412,200,412,179,412,172,409,161,407,156,403,150xe" filled="true" fillcolor="#000000" stroked="false">
              <v:path arrowok="t"/>
              <v:fill type="solid"/>
            </v:shape>
            <v:shape style="position:absolute;left:424;top:140;width:64;height:99" coordorigin="424,140" coordsize="64,99" path="m461,140l449,140,443,142,433,149,430,154,425,168,424,178,424,189,425,202,426,212,429,221,434,228,439,235,446,238,463,238,469,236,478,229,478,229,450,229,446,226,438,215,436,205,436,173,438,162,442,156,446,152,450,150,477,150,476,148,473,145,465,141,461,140xm477,150l461,150,466,152,473,163,475,173,475,205,473,215,466,226,461,229,478,229,481,223,486,209,487,200,487,179,486,172,484,161,482,156,477,150xe" filled="true" fillcolor="#000000" stroked="false">
              <v:path arrowok="t"/>
              <v:fill type="solid"/>
            </v:shape>
            <v:shape style="position:absolute;left:499;top:140;width:64;height:99" coordorigin="499,140" coordsize="64,99" path="m536,140l523,140,518,142,508,149,505,154,500,168,499,178,499,189,500,202,501,212,504,221,509,228,514,235,521,238,538,238,543,236,553,229,553,229,525,229,520,226,513,215,511,205,511,173,513,162,517,156,521,152,525,150,552,150,551,148,548,145,540,141,536,140xm552,150l536,150,541,152,548,163,550,173,550,205,548,215,541,226,536,229,553,229,556,223,561,209,562,200,562,179,561,172,558,161,556,156,552,150xe" filled="true" fillcolor="#000000" stroked="false">
              <v:path arrowok="t"/>
              <v:fill type="solid"/>
            </v:shape>
            <v:shape style="position:absolute;left:1011;top:2181;width:73;height:97" coordorigin="1011,2181" coordsize="73,97" path="m1081,2181l1011,2181,1011,2277,1084,2277,1084,2266,1024,2266,1024,2233,1078,2233,1078,2222,1024,2222,1024,2192,1081,2192,1081,2181xe" filled="true" fillcolor="#000000" stroked="false">
              <v:path arrowok="t"/>
              <v:fill type="solid"/>
            </v:shape>
            <v:shape style="position:absolute;left:1105;top:2180;width:36;height:97" coordorigin="1105,2180" coordsize="36,97" path="m1141,2202l1129,2202,1129,2277,1141,2277,1141,2202xm1141,2180l1133,2180,1131,2184,1127,2189,1117,2198,1112,2201,1105,2205,1105,2216,1109,2215,1113,2213,1122,2207,1126,2204,1129,2202,1141,2202,1141,2180xe" filled="true" fillcolor="#000000" stroked="false">
              <v:path arrowok="t"/>
              <v:fill type="solid"/>
            </v:shape>
            <v:shape style="position:absolute;left:1832;top:2180;width:968;height:259" type="#_x0000_t75" stroked="false">
              <v:imagedata r:id="rId269" o:title=""/>
            </v:shape>
            <v:shape style="position:absolute;left:3266;top:2181;width:74;height:97" coordorigin="3266,2181" coordsize="74,97" path="m3309,2181l3266,2181,3266,2277,3279,2277,3279,2238,3318,2238,3327,2235,3335,2227,3279,2227,3279,2192,3335,2192,3335,2191,3333,2188,3326,2184,3322,2182,3317,2182,3314,2181,3309,2181xm3335,2192l3310,2192,3314,2192,3316,2193,3319,2194,3322,2196,3326,2202,3327,2205,3327,2215,3325,2219,3318,2225,3312,2227,3335,2227,3337,2224,3340,2217,3340,2204,3339,2199,3335,2192xe" filled="true" fillcolor="#000000" stroked="false">
              <v:path arrowok="t"/>
              <v:fill type="solid"/>
            </v:shape>
            <v:shape style="position:absolute;left:3354;top:2206;width:39;height:72" coordorigin="3354,2206" coordsize="39,72" path="m3365,2207l3354,2207,3354,2277,3366,2277,3366,2236,3367,2231,3369,2224,3370,2222,3374,2219,3377,2218,3389,2218,3389,2218,3365,2218,3365,2207xm3389,2218l3382,2218,3385,2219,3388,2221,3389,2218xm3384,2206l3377,2206,3375,2207,3370,2210,3368,2213,3365,2218,3389,2218,3392,2210,3388,2207,3384,2206xe" filled="true" fillcolor="#000000" stroked="false">
              <v:path arrowok="t"/>
              <v:fill type="solid"/>
            </v:shape>
            <v:shape style="position:absolute;left:3395;top:2206;width:66;height:74" coordorigin="3395,2206" coordsize="66,74" path="m3438,2206l3419,2206,3412,2208,3399,2220,3395,2229,3395,2254,3398,2263,3410,2276,3418,2279,3434,2279,3440,2277,3450,2272,3453,2269,3422,2269,3417,2267,3409,2258,3407,2251,3407,2233,3409,2227,3417,2218,3422,2216,3452,2216,3446,2209,3438,2206xm3452,2216l3434,2216,3439,2218,3447,2227,3449,2233,3449,2251,3447,2258,3439,2267,3434,2269,3453,2269,3454,2268,3460,2257,3461,2250,3461,2230,3458,2221,3452,2216xe" filled="true" fillcolor="#000000" stroked="false">
              <v:path arrowok="t"/>
              <v:fill type="solid"/>
            </v:shape>
            <v:shape style="position:absolute;left:3475;top:2206;width:95;height:72" coordorigin="3475,2206" coordsize="95,72" path="m3485,2207l3475,2207,3475,2277,3487,2277,3487,2235,3487,2230,3490,2223,3492,2220,3497,2217,3485,2217,3485,2207xm3526,2216l3508,2216,3512,2217,3515,2223,3516,2227,3516,2277,3528,2277,3528,2229,3530,2224,3536,2218,3526,2218,3526,2216xm3568,2216l3548,2216,3551,2217,3555,2219,3556,2221,3558,2225,3558,2228,3558,2277,3570,2277,3570,2221,3568,2216xm3555,2206l3539,2206,3532,2210,3526,2218,3536,2218,3536,2218,3541,2216,3568,2216,3568,2215,3560,2208,3555,2206xm3512,2206l3502,2206,3498,2207,3491,2211,3488,2214,3485,2217,3497,2217,3498,2217,3501,2216,3526,2216,3525,2214,3523,2211,3516,2207,3512,2206xe" filled="true" fillcolor="#000000" stroked="false">
              <v:path arrowok="t"/>
              <v:fill type="solid"/>
            </v:shape>
            <v:shape style="position:absolute;left:3586;top:2206;width:65;height:74" coordorigin="3586,2206" coordsize="65,74" path="m3628,2206l3609,2206,3601,2209,3589,2222,3586,2231,3586,2254,3589,2263,3601,2276,3609,2279,3628,2279,3634,2277,3645,2269,3614,2269,3609,2267,3601,2259,3599,2253,3598,2245,3651,2245,3651,2236,3599,2236,3599,2229,3601,2225,3609,2217,3613,2215,3642,2215,3636,2209,3628,2206xm3638,2255l3636,2260,3634,2263,3628,2268,3624,2269,3645,2269,3645,2269,3648,2263,3650,2256,3638,2255xm3642,2215l3625,2215,3630,2218,3636,2225,3638,2230,3638,2236,3651,2236,3651,2231,3648,2222,3642,2215xe" filled="true" fillcolor="#000000" stroked="false">
              <v:path arrowok="t"/>
              <v:fill type="solid"/>
            </v:shape>
            <v:shape style="position:absolute;left:3661;top:2181;width:61;height:99" coordorigin="3661,2181" coordsize="61,99" path="m3695,2206l3685,2206,3679,2207,3670,2213,3667,2218,3662,2229,3661,2235,3661,2249,3662,2256,3667,2267,3671,2271,3680,2277,3685,2279,3700,2279,3706,2275,3710,2269,3687,2269,3682,2267,3675,2258,3673,2251,3673,2233,3675,2226,3682,2218,3686,2216,3722,2216,3722,2215,3710,2215,3708,2212,3705,2210,3698,2207,3695,2206xm3722,2268l3711,2268,3711,2277,3722,2277,3722,2268xm3722,2216l3697,2216,3702,2218,3709,2227,3711,2234,3711,2252,3709,2258,3702,2267,3697,2269,3710,2269,3711,2268,3722,2268,3722,2216xm3722,2181l3710,2181,3710,2215,3722,2215,3722,2181xe" filled="true" fillcolor="#000000" stroked="false">
              <v:path arrowok="t"/>
              <v:fill type="solid"/>
            </v:shape>
            <v:shape style="position:absolute;left:3740;top:2181;width:12;height:97" coordorigin="3740,2181" coordsize="12,97" path="m3752,2181l3740,2181,3740,2194,3752,2194,3752,2181xm3752,2207l3740,2207,3740,2277,3752,2277,3752,2207xe" filled="true" fillcolor="#000000" stroked="false">
              <v:path arrowok="t"/>
              <v:fill type="solid"/>
            </v:shape>
            <v:shape style="position:absolute;left:3765;top:2206;width:66;height:74" coordorigin="3765,2206" coordsize="66,74" path="m3807,2206l3789,2206,3781,2208,3768,2220,3765,2229,3765,2254,3768,2263,3780,2276,3788,2279,3804,2279,3809,2277,3820,2272,3822,2269,3791,2269,3787,2267,3779,2258,3777,2251,3777,2233,3779,2227,3787,2218,3791,2216,3821,2216,3815,2209,3807,2206xm3821,2216l3803,2216,3808,2218,3816,2227,3818,2233,3818,2251,3816,2258,3808,2267,3803,2269,3822,2269,3823,2268,3829,2257,3830,2250,3830,2230,3827,2221,3821,2216xe" filled="true" fillcolor="#000000" stroked="false">
              <v:path arrowok="t"/>
              <v:fill type="solid"/>
            </v:shape>
            <v:shape style="position:absolute;left:487;top:2016;width:64;height:99" coordorigin="487,2016" coordsize="64,99" path="m524,2016l512,2016,506,2018,497,2026,493,2031,488,2045,487,2054,487,2066,488,2078,490,2089,493,2098,497,2105,502,2112,509,2115,526,2115,532,2113,541,2106,541,2105,513,2105,509,2103,501,2092,499,2082,499,2050,501,2039,505,2033,509,2029,513,2026,541,2026,539,2025,536,2022,528,2018,524,2016xm541,2026l524,2026,529,2029,536,2039,538,2050,538,2082,536,2092,529,2103,524,2105,541,2105,544,2100,549,2086,550,2077,550,2056,549,2049,547,2037,545,2033,541,2026xe" filled="true" fillcolor="#000000" stroked="false">
              <v:path arrowok="t"/>
              <v:fill type="solid"/>
            </v:shape>
            <v:shape style="position:absolute;left:57;top:1234;width:97;height:74" coordorigin="57,1234" coordsize="97,74" path="m93,1234l80,1234,75,1235,67,1239,64,1242,60,1248,58,1252,57,1257,57,1260,57,1265,57,1308,153,1308,153,1295,68,1295,68,1265,68,1261,70,1255,72,1253,77,1249,81,1247,111,1247,111,1247,100,1237,93,1234xm111,1247l90,1247,95,1249,101,1256,102,1262,102,1295,114,1295,114,1257,111,1247xe" filled="true" fillcolor="#000000" stroked="false">
              <v:path arrowok="t"/>
              <v:fill type="solid"/>
            </v:shape>
            <v:shape style="position:absolute;left:82;top:1160;width:74;height:65" coordorigin="82,1160" coordsize="74,65" path="m106,1160l98,1163,85,1174,82,1182,82,1201,85,1209,98,1221,107,1224,130,1224,139,1221,149,1212,121,1212,121,1211,111,1211,105,1211,100,1209,93,1201,91,1197,91,1185,94,1180,101,1174,106,1173,111,1172,121,1172,121,1160,106,1160xm132,1160l131,1172,136,1174,139,1176,144,1183,145,1186,145,1197,143,1201,135,1209,129,1211,121,1212,149,1212,152,1209,155,1201,155,1183,153,1176,145,1165,139,1162,132,1160xm121,1172l111,1172,111,1211,121,1211,121,1172xe" filled="true" fillcolor="#000000" stroked="false">
              <v:path arrowok="t"/>
              <v:fill type="solid"/>
            </v:shape>
            <v:shape style="position:absolute;left:82;top:1092;width:74;height:59" coordorigin="82,1092" coordsize="74,59" path="m151,1104l137,1104,139,1105,144,1111,145,1114,145,1126,144,1130,139,1136,135,1137,130,1138,132,1150,140,1149,145,1146,153,1136,155,1129,155,1114,154,1110,151,1104xm101,1094l97,1095,93,1097,88,1100,86,1104,82,1112,82,1117,82,1127,82,1129,84,1136,85,1138,86,1140,88,1142,90,1144,96,1147,99,1148,105,1148,108,1147,114,1144,116,1141,118,1136,98,1136,96,1135,92,1131,91,1127,91,1117,92,1113,96,1108,99,1107,103,1106,101,1094xm137,1092l129,1092,125,1093,120,1097,118,1099,115,1106,113,1112,111,1120,109,1126,108,1129,108,1131,107,1133,106,1134,103,1136,102,1136,118,1136,119,1134,121,1128,125,1113,126,1109,129,1105,131,1104,151,1104,150,1101,147,1098,140,1093,137,1092xe" filled="true" fillcolor="#000000" stroked="false">
              <v:path arrowok="t"/>
              <v:fill type="solid"/>
            </v:shape>
            <v:shape style="position:absolute;left:82;top:1016;width:74;height:66" coordorigin="82,1016" coordsize="74,66" path="m126,1016l106,1016,97,1019,85,1031,82,1039,82,1058,84,1065,96,1078,105,1082,130,1082,139,1079,149,1070,109,1070,102,1068,94,1060,91,1055,92,1043,94,1038,103,1030,109,1028,148,1028,148,1027,144,1023,133,1018,126,1016xm148,1028l127,1028,134,1030,143,1038,145,1043,145,1055,143,1060,134,1068,127,1070,149,1070,152,1067,155,1059,155,1043,153,1037,148,1028xe" filled="true" fillcolor="#000000" stroked="false">
              <v:path arrowok="t"/>
              <v:fill type="solid"/>
            </v:shape>
            <v:shape style="position:absolute;left:82;top:949;width:74;height:59" coordorigin="82,949" coordsize="74,59" path="m151,961l137,961,139,962,144,968,145,972,145,983,144,987,139,993,135,995,130,995,132,1007,140,1006,145,1003,153,993,155,986,155,972,154,967,151,961xm101,952l97,952,93,954,88,958,86,961,82,969,82,974,82,984,82,986,84,993,85,995,86,997,88,1000,90,1002,96,1004,99,1005,105,1005,108,1004,114,1001,116,998,118,994,98,994,96,992,92,988,91,984,91,974,92,970,96,965,99,964,103,963,101,952xm137,949l129,949,125,950,120,954,118,956,115,963,113,969,111,977,109,983,108,986,108,988,107,990,106,991,103,993,102,994,118,994,119,991,121,985,125,970,126,966,129,962,131,961,151,961,150,958,147,955,140,950,137,949xe" filled="true" fillcolor="#000000" stroked="false">
              <v:path arrowok="t"/>
              <v:fill type="solid"/>
            </v:shape>
            <v:rect style="position:absolute;left:6;top:6;width:4157;height:2481" filled="false" stroked="true" strokeweight=".507952pt" strokecolor="#858585"/>
          </v:group>
        </w:pict>
      </w:r>
      <w:r>
        <w:rPr/>
      </w:r>
    </w:p>
    <w:p>
      <w:pPr>
        <w:spacing w:before="96"/>
        <w:ind w:left="1062" w:right="0" w:firstLine="0"/>
        <w:jc w:val="left"/>
        <w:rPr>
          <w:sz w:val="18"/>
        </w:rPr>
      </w:pPr>
      <w:r>
        <w:rPr>
          <w:color w:val="231F20"/>
          <w:sz w:val="18"/>
        </w:rPr>
        <w:t>Figura 11.   Costo total por vaca y   año.</w:t>
      </w:r>
    </w:p>
    <w:p>
      <w:pPr>
        <w:spacing w:after="0"/>
        <w:jc w:val="left"/>
        <w:rPr>
          <w:sz w:val="18"/>
        </w:rPr>
        <w:sectPr>
          <w:type w:val="continuous"/>
          <w:pgSz w:w="11900" w:h="14450"/>
          <w:pgMar w:top="420" w:bottom="420" w:left="0" w:right="0"/>
          <w:cols w:num="2" w:equalWidth="0">
            <w:col w:w="5714" w:space="40"/>
            <w:col w:w="6146"/>
          </w:cols>
        </w:sectPr>
      </w:pPr>
    </w:p>
    <w:p>
      <w:pPr>
        <w:pStyle w:val="BodyText"/>
        <w:rPr>
          <w:sz w:val="22"/>
        </w:rPr>
      </w:pPr>
    </w:p>
    <w:p>
      <w:pPr>
        <w:spacing w:after="0"/>
        <w:rPr>
          <w:sz w:val="22"/>
        </w:rPr>
        <w:sectPr>
          <w:type w:val="continuous"/>
          <w:pgSz w:w="11900" w:h="14450"/>
          <w:pgMar w:top="420" w:bottom="420" w:left="0" w:right="0"/>
        </w:sectPr>
      </w:pPr>
    </w:p>
    <w:p>
      <w:pPr>
        <w:pStyle w:val="BodyText"/>
        <w:spacing w:before="77"/>
        <w:ind w:left="1553"/>
        <w:jc w:val="both"/>
      </w:pPr>
      <w:r>
        <w:rPr>
          <w:color w:val="231F20"/>
          <w:w w:val="115"/>
        </w:rPr>
        <w:t>DISCUSIÓN</w:t>
      </w:r>
    </w:p>
    <w:p>
      <w:pPr>
        <w:spacing w:before="141"/>
        <w:ind w:left="1553" w:right="0" w:firstLine="0"/>
        <w:jc w:val="both"/>
        <w:rPr>
          <w:rFonts w:ascii="Cambria" w:hAnsi="Cambria"/>
          <w:i/>
          <w:sz w:val="20"/>
        </w:rPr>
      </w:pPr>
      <w:r>
        <w:rPr>
          <w:rFonts w:ascii="Cambria" w:hAnsi="Cambria"/>
          <w:i/>
          <w:color w:val="231F20"/>
          <w:w w:val="105"/>
          <w:sz w:val="20"/>
        </w:rPr>
        <w:t>Características generales</w:t>
      </w:r>
    </w:p>
    <w:p>
      <w:pPr>
        <w:pStyle w:val="BodyText"/>
        <w:spacing w:line="266" w:lineRule="auto" w:before="149"/>
        <w:ind w:left="1553"/>
        <w:jc w:val="both"/>
      </w:pPr>
      <w:r>
        <w:rPr/>
        <w:pict>
          <v:group style="position:absolute;margin-left:77.735611pt;margin-top:183.538879pt;width:208.4pt;height:124.65pt;mso-position-horizontal-relative:page;mso-position-vertical-relative:paragraph;z-index:-492424" coordorigin="1555,3671" coordsize="4168,2493">
            <v:shape style="position:absolute;left:6130;top:703;width:2782;height:1848" coordorigin="6130,703" coordsize="2782,1848" path="m5287,5426l5533,5426m4467,5426l4960,5426m3647,5426l4140,5426m3647,5112l4140,5112m3647,4800l4960,4800m3647,4487l4960,4487m3647,4175l4960,4175e" filled="false" stroked="true" strokeweight=".487836pt" strokecolor="#858585">
              <v:path arrowok="t"/>
            </v:shape>
            <v:rect style="position:absolute;left:3318;top:4014;width:329;height:1724" filled="true" fillcolor="#bebebe" stroked="false">
              <v:fill type="solid"/>
            </v:rect>
            <v:line style="position:absolute" from="4467,5112" to="4960,5112" stroked="true" strokeweight=".487411pt" strokecolor="#858585"/>
            <v:rect style="position:absolute;left:4140;top:5030;width:327;height:708" filled="true" fillcolor="#bebebe" stroked="false">
              <v:fill type="solid"/>
            </v:rect>
            <v:shape style="position:absolute;left:8549;top:703;width:363;height:1385" coordorigin="8549,703" coordsize="363,1385" path="m5287,5112l5533,5112m5287,4800l5533,4800m5287,4487l5533,4487m5287,4175l5533,4175e" filled="false" stroked="true" strokeweight=".487836pt" strokecolor="#858585">
              <v:path arrowok="t"/>
            </v:shape>
            <v:rect style="position:absolute;left:4960;top:4051;width:327;height:1686" filled="true" fillcolor="#bebebe" stroked="false">
              <v:fill type="solid"/>
            </v:rect>
            <v:shape style="position:absolute;left:6492;top:3012;width:2420;height:63" coordorigin="6492,3012" coordsize="2420,63" path="m3892,5738l3892,5780m4713,5738l4713,5780m5533,5738l5533,5780e" filled="false" stroked="true" strokeweight=".487836pt" strokecolor="#858585">
              <v:path arrowok="t"/>
            </v:shape>
            <v:shape style="position:absolute;left:3435;top:4660;width:117;height:465" type="#_x0000_t75" stroked="false">
              <v:imagedata r:id="rId270" o:title=""/>
            </v:shape>
            <v:shape style="position:absolute;left:4256;top:5186;width:116;height:400" type="#_x0000_t75" stroked="false">
              <v:imagedata r:id="rId271" o:title=""/>
            </v:shape>
            <v:shape style="position:absolute;left:5076;top:4959;width:99;height:186" coordorigin="5076,4959" coordsize="99,186" path="m5173,5108l5076,5108,5076,5116,5081,5118,5085,5122,5094,5131,5098,5137,5101,5144,5112,5144,5111,5140,5109,5136,5103,5127,5101,5123,5098,5120,5173,5120,5173,5108m5173,4959l5076,4959,5076,4966,5081,4969,5085,4972,5094,4982,5098,4988,5101,4994,5112,4994,5111,4991,5109,4987,5103,4977,5101,4974,5098,4971,5173,4971,5173,4959m5175,5039l5174,5034,5169,5027,5168,5025,5165,5023,5165,5049,5164,5052,5160,5058,5158,5061,5150,5064,5146,5065,5136,5065,5131,5063,5123,5056,5121,5051,5121,5040,5123,5036,5131,5029,5136,5027,5150,5027,5155,5029,5163,5036,5165,5040,5165,5049,5165,5023,5164,5022,5154,5016,5148,5015,5133,5015,5125,5018,5114,5029,5111,5036,5111,5048,5112,5052,5116,5061,5119,5064,5124,5067,5114,5067,5106,5066,5096,5061,5092,5059,5087,5052,5086,5049,5086,5040,5088,5036,5091,5033,5093,5031,5097,5030,5101,5029,5100,5017,5093,5018,5087,5021,5079,5030,5077,5036,5076,5054,5080,5062,5087,5068,5095,5073,5104,5076,5115,5078,5128,5079,5145,5079,5157,5076,5167,5067,5169,5065,5171,5063,5175,5055,5175,5039e" filled="true" fillcolor="#000000" stroked="false">
              <v:path arrowok="t"/>
              <v:fill type="solid"/>
            </v:shape>
            <v:shape style="position:absolute;left:5076;top:4679;width:116;height:250" type="#_x0000_t75" stroked="false">
              <v:imagedata r:id="rId272" o:title=""/>
            </v:shape>
            <v:shape style="position:absolute;left:3412;top:5852;width:968;height:259" type="#_x0000_t75" stroked="false">
              <v:imagedata r:id="rId273" o:title=""/>
            </v:shape>
            <v:shape style="position:absolute;left:2615;top:4810;width:2795;height:1141" coordorigin="2615,4810" coordsize="2795,1141" path="m2712,5034l2615,5034,2615,5041,2619,5044,2623,5047,2632,5057,2636,5063,2639,5069,2651,5069,2649,5066,2647,5062,2642,5052,2639,5049,2636,5046,2712,5046,2712,5034m2712,4977l2702,4977,2694,4975,2674,4969,2663,4965,2647,4956,2641,4953,2632,4947,2626,4940,2617,4940,2617,5003,2628,5003,2628,4956,2635,4962,2643,4967,2663,4978,2674,4982,2695,4988,2704,4989,2712,4989,2712,4977m2712,4810l2615,4810,2615,4817,2619,4819,2623,4823,2632,4833,2636,4839,2639,4845,2651,4845,2649,4842,2647,4837,2642,4828,2639,4824,2636,4821,2712,4821,2712,4810m2714,4890l2712,4885,2708,4878,2707,4876,2704,4873,2704,4900,2703,4903,2699,4909,2696,4912,2689,4915,2685,4916,2675,4916,2669,4914,2662,4907,2660,4902,2660,4891,2662,4887,2669,4880,2675,4878,2688,4878,2694,4880,2702,4887,2704,4891,2704,4900,2704,4873,2703,4872,2692,4867,2687,4866,2671,4866,2664,4869,2652,4880,2649,4886,2649,4899,2650,4903,2655,4911,2658,4915,2662,4918,2653,4918,2645,4917,2635,4912,2631,4909,2626,4903,2625,4900,2625,4891,2626,4887,2630,4884,2632,4882,2635,4880,2640,4879,2639,4868,2632,4868,2626,4871,2617,4881,2615,4887,2615,4905,2619,4913,2626,4919,2633,4924,2643,4927,2654,4929,2667,4930,2684,4930,2696,4926,2706,4918,2708,4916,2710,4914,2714,4906,2714,4890m4919,5875l4918,5871,4915,5863,4914,5863,4912,5860,4906,5856,4906,5876,4906,5886,4904,5890,4897,5896,4891,5898,4858,5898,4858,5863,4889,5863,4893,5864,4895,5864,4898,5865,4901,5867,4905,5873,4906,5876,4906,5856,4905,5855,4901,5854,4897,5853,4893,5852,4888,5852,4845,5852,4845,5948,4858,5948,4858,5909,4897,5909,4906,5906,4914,5898,4917,5895,4919,5888,4919,5875m4971,5881l4967,5878,4963,5877,4956,5877,4954,5878,4949,5881,4947,5884,4944,5889,4944,5879,4933,5879,4933,5948,4945,5948,4945,5907,4946,5902,4948,5895,4949,5893,4954,5890,4956,5889,4961,5889,4964,5890,4967,5892,4968,5889,4968,5889,4971,5881m5040,5901l5037,5893,5031,5887,5028,5883,5028,5904,5028,5922,5026,5929,5018,5938,5013,5940,5001,5940,4996,5938,4989,5929,4987,5922,4987,5904,4989,5898,4996,5889,5001,5887,5013,5887,5018,5889,5026,5898,5028,5904,5028,5883,5025,5880,5017,5877,4999,5877,4991,5880,4978,5891,4974,5901,4974,5925,4977,5934,4990,5947,4997,5950,5013,5950,5019,5949,5029,5943,5032,5940,5033,5939,5039,5929,5040,5921,5040,5901m5149,5948l5149,5892,5147,5887,5147,5887,5139,5879,5134,5877,5118,5877,5111,5881,5106,5889,5105,5887,5104,5885,5102,5882,5095,5878,5091,5877,5081,5877,5077,5878,5070,5882,5067,5885,5065,5888,5065,5879,5054,5879,5054,5948,5066,5948,5066,5906,5066,5901,5069,5894,5071,5892,5076,5888,5077,5888,5080,5887,5088,5887,5091,5889,5095,5894,5096,5898,5096,5948,5107,5948,5107,5901,5109,5895,5115,5889,5116,5889,5120,5887,5127,5887,5130,5888,5134,5890,5135,5892,5137,5896,5137,5900,5137,5948,5149,5948m5230,5902l5227,5893,5221,5887,5217,5883,5217,5907,5178,5907,5179,5901,5181,5896,5188,5888,5193,5887,5204,5887,5209,5889,5215,5896,5217,5901,5217,5907,5217,5883,5215,5880,5207,5877,5188,5877,5180,5880,5168,5893,5165,5902,5165,5925,5168,5934,5180,5947,5188,5950,5207,5950,5213,5948,5224,5940,5224,5940,5227,5935,5229,5927,5217,5926,5215,5931,5213,5935,5207,5939,5203,5940,5193,5940,5188,5938,5180,5930,5178,5924,5177,5916,5230,5916,5230,5907,5230,5902m5301,5852l5290,5852,5290,5905,5290,5923,5288,5930,5281,5938,5276,5940,5266,5940,5262,5938,5254,5929,5252,5922,5252,5904,5254,5897,5261,5889,5265,5887,5276,5887,5281,5889,5288,5898,5290,5905,5290,5852,5289,5852,5289,5887,5287,5884,5284,5881,5278,5878,5274,5877,5264,5877,5259,5878,5249,5884,5246,5889,5241,5900,5240,5907,5240,5921,5241,5927,5246,5938,5250,5942,5259,5948,5265,5950,5279,5950,5285,5947,5289,5940,5290,5940,5290,5948,5301,5948,5301,5940,5301,5887,5301,5887,5301,5852m5331,5879l5319,5879,5319,5948,5331,5948,5331,5879m5331,5852l5319,5852,5319,5866,5331,5866,5331,5852m5409,5901l5406,5893,5401,5887,5397,5883,5397,5904,5397,5922,5395,5929,5387,5938,5382,5940,5371,5940,5366,5938,5358,5929,5356,5922,5356,5904,5358,5898,5366,5889,5371,5887,5382,5887,5387,5889,5395,5898,5397,5904,5397,5883,5394,5880,5386,5877,5368,5877,5361,5880,5347,5891,5344,5901,5344,5925,5347,5934,5359,5947,5367,5950,5383,5950,5388,5949,5399,5943,5401,5940,5403,5939,5408,5929,5409,5921,5409,5901e" filled="true" fillcolor="#000000" stroked="false">
              <v:path arrowok="t"/>
              <v:fill type="solid"/>
            </v:shape>
            <v:shape style="position:absolute;left:2615;top:4605;width:116;height:169" type="#_x0000_t75" stroked="false">
              <v:imagedata r:id="rId274" o:title=""/>
            </v:shape>
            <v:shape style="position:absolute;left:1630;top:3811;width:1091;height:2138" coordorigin="1630,3811" coordsize="1091,2138" path="m1727,4966l1687,4966,1687,4928,1685,4919,1685,4919,1676,4911,1676,4933,1676,4966,1641,4966,1641,4936,1642,4932,1643,4926,1645,4924,1651,4920,1654,4919,1664,4919,1668,4920,1675,4927,1676,4933,1676,4911,1673,4908,1666,4906,1653,4906,1649,4906,1641,4910,1638,4913,1633,4919,1632,4923,1631,4928,1630,4931,1630,4936,1630,4979,1727,4979,1727,4966m1728,4854l1726,4847,1718,4837,1713,4833,1706,4831,1704,4843,1709,4845,1713,4848,1717,4854,1719,4858,1719,4868,1717,4873,1708,4880,1702,4883,1695,4883,1695,4882,1695,4843,1695,4831,1685,4831,1685,4843,1685,4882,1679,4882,1674,4880,1667,4872,1665,4868,1665,4856,1667,4852,1675,4845,1679,4844,1685,4843,1685,4831,1680,4831,1671,4834,1658,4846,1655,4853,1655,4872,1658,4880,1671,4892,1681,4895,1704,4895,1713,4892,1722,4883,1725,4880,1728,4872,1728,4854m1728,4786l1727,4781,1725,4775,1724,4772,1721,4769,1714,4764,1710,4763,1702,4763,1699,4764,1693,4768,1691,4770,1688,4777,1686,4783,1684,4791,1683,4797,1682,4800,1681,4802,1680,4804,1679,4805,1677,4807,1675,4808,1672,4808,1669,4806,1666,4802,1665,4798,1665,4788,1666,4784,1670,4779,1673,4778,1676,4777,1675,4766,1670,4766,1667,4768,1661,4772,1659,4775,1656,4783,1655,4788,1655,4798,1656,4800,1658,4807,1659,4809,1660,4811,1662,4814,1664,4816,1669,4818,1672,4819,1679,4819,1682,4818,1688,4815,1690,4812,1692,4808,1693,4805,1695,4799,1699,4784,1700,4780,1703,4776,1705,4775,1710,4775,1713,4776,1717,4782,1719,4786,1718,4797,1717,4801,1712,4807,1709,4809,1704,4809,1706,4821,1713,4820,1719,4817,1726,4807,1728,4800,1728,4786m1728,4714l1727,4708,1722,4700,1721,4698,1719,4696,1719,4726,1716,4731,1707,4739,1701,4741,1683,4741,1676,4739,1667,4731,1665,4726,1665,4714,1667,4709,1676,4702,1683,4700,1701,4700,1707,4702,1716,4709,1718,4714,1719,4726,1719,4696,1717,4694,1707,4689,1700,4687,1680,4687,1671,4690,1658,4703,1655,4710,1655,4729,1658,4736,1669,4749,1679,4753,1704,4753,1713,4750,1722,4741,1725,4738,1728,4730,1728,4714m1728,4643l1727,4638,1725,4632,1724,4629,1721,4626,1714,4621,1710,4620,1702,4620,1699,4621,1693,4625,1691,4627,1688,4634,1686,4640,1684,4648,1683,4654,1682,4658,1681,4659,1680,4661,1679,4662,1677,4664,1675,4665,1672,4665,1669,4664,1666,4659,1665,4655,1665,4645,1666,4641,1670,4636,1673,4635,1676,4634,1675,4623,1670,4624,1667,4625,1661,4629,1659,4632,1656,4640,1655,4645,1655,4655,1656,4658,1658,4664,1659,4666,1660,4668,1662,4671,1664,4673,1669,4676,1672,4676,1679,4676,1682,4675,1688,4672,1690,4669,1692,4665,1693,4663,1695,4657,1699,4641,1700,4637,1703,4634,1705,4632,1710,4632,1713,4634,1717,4639,1719,4643,1718,4654,1717,4658,1712,4664,1709,4666,1704,4667,1706,4678,1713,4677,1719,4674,1726,4664,1728,4658,1728,4643m1897,4437l1889,4437,1887,4441,1883,4445,1873,4454,1868,4458,1861,4461,1861,4472,1865,4471,1869,4469,1878,4464,1882,4461,1885,4458,1885,4534,1897,4534,1897,4458,1897,4437m1897,4124l1889,4124,1887,4128,1883,4132,1873,4141,1868,4145,1861,4148,1861,4159,1865,4158,1869,4156,1878,4151,1882,4148,1885,4145,1885,4221,1897,4221,1897,4145,1897,4124m1897,3811l1889,3811,1887,3815,1883,3819,1873,3828,1868,3832,1861,3835,1861,3847,1865,3845,1869,3843,1878,3838,1882,3835,1885,3832,1885,3908,1897,3908,1897,3832,1897,3811m1975,5404l1974,5396,1973,5392,1969,5385,1969,5384,1965,5381,1956,5376,1951,5375,1939,5375,1932,5377,1922,5386,1919,5392,1917,5400,1929,5402,1930,5397,1932,5392,1938,5386,1942,5385,1951,5385,1955,5386,1961,5392,1962,5396,1962,5406,1960,5410,1952,5415,1948,5416,1968,5416,1969,5415,1973,5408,1975,5404m1979,5119l1976,5111,1973,5107,1967,5101,1967,5122,1967,5136,1965,5141,1958,5149,1954,5151,1945,5151,1942,5150,1936,5146,1933,5143,1930,5136,1929,5132,1929,5122,1931,5117,1938,5109,1938,5109,1943,5107,1954,5107,1958,5109,1965,5117,1967,5122,1967,5101,1965,5100,1959,5097,1946,5097,1942,5098,1934,5102,1930,5105,1927,5109,1927,5100,1928,5092,1933,5082,1936,5078,1942,5073,1946,5072,1954,5072,1958,5074,1961,5077,1963,5079,1965,5083,1966,5087,1977,5086,1977,5079,1974,5073,1973,5072,1964,5064,1958,5062,1940,5062,1932,5066,1926,5073,1921,5081,1918,5090,1916,5101,1915,5114,1915,5131,1918,5143,1931,5157,1939,5161,1955,5161,1960,5159,1969,5154,1972,5151,1973,5150,1978,5140,1979,5134,1979,5119m1979,5437l1978,5432,1972,5425,1971,5424,1967,5421,1961,5420,1966,5418,1968,5416,1948,5416,1941,5416,1939,5426,1943,5426,1945,5425,1953,5425,1958,5427,1965,5434,1967,5438,1967,5450,1965,5454,1957,5462,1952,5464,1942,5464,1938,5463,1931,5457,1929,5452,1928,5445,1916,5447,1917,5455,1920,5461,1931,5471,1938,5474,1956,5474,1964,5471,1971,5464,1976,5459,1979,5452,1979,5437m1979,4784l1978,4775,1973,4763,1970,4759,1969,4758,1966,4756,1966,4774,1966,4788,1964,4793,1957,4801,1953,4803,1942,4803,1937,4801,1930,4793,1928,4788,1928,4775,1930,4770,1938,4761,1942,4759,1953,4759,1957,4761,1964,4769,1966,4774,1966,4756,1958,4751,1953,4749,1938,4749,1930,4752,1919,4764,1916,4772,1916,4791,1919,4799,1930,4811,1936,4813,1949,4813,1954,4812,1962,4808,1965,4805,1966,4803,1968,4801,1968,4808,1967,4813,1965,4822,1963,4826,1960,4832,1957,4834,1952,4837,1949,4838,1941,4838,1937,4837,1932,4832,1930,4828,1929,4823,1918,4824,1919,4831,1922,4837,1931,4846,1937,4848,1952,4848,1958,4846,1969,4838,1969,4838,1973,4833,1978,4818,1979,4808,1979,4801,1979,4784m1989,4522l1942,4522,1943,4520,1945,4518,1949,4514,1953,4510,1969,4497,1975,4491,1982,4483,1985,4479,1988,4471,1989,4468,1989,4456,1986,4450,1983,4447,1975,4439,1968,4437,1950,4437,1942,4439,1931,4449,1928,4456,1927,4465,1940,4466,1940,4460,1941,4455,1948,4448,1953,4447,1964,4447,1968,4448,1975,4455,1977,4459,1977,4468,1975,4473,1967,4483,1960,4489,1943,4504,1938,4508,1931,4517,1928,4521,1927,4525,1926,4528,1925,4531,1925,4534,1989,4534,1989,4522m1990,3874l1989,3869,1983,3861,1982,3861,1978,3857,1978,3886,1976,3891,1969,3898,1964,3900,1955,3900,1951,3899,1945,3895,1943,3893,1940,3887,1939,3883,1939,3874,1941,3870,1948,3862,1953,3861,1964,3861,1969,3862,1976,3870,1978,3874,1978,3886,1978,3857,1978,3857,1972,3855,1977,3854,1980,3851,1981,3851,1985,3844,1986,3841,1986,3829,1984,3823,1981,3821,1974,3814,1974,3840,1973,3844,1967,3849,1963,3851,1954,3851,1950,3849,1944,3844,1943,3840,1943,3831,1944,3828,1950,3822,1954,3821,1963,3821,1967,3822,1973,3828,1974,3831,1974,3840,1974,3814,1973,3813,1967,3811,1950,3811,1943,3813,1933,3823,1930,3829,1930,3841,1932,3844,1936,3851,1940,3854,1945,3855,1939,3857,1935,3860,1928,3868,1927,3874,1927,3888,1929,3895,1941,3907,1949,3909,1968,3909,1976,3907,1983,3900,1987,3895,1990,3888,1990,3874m1991,4179l1988,4171,1984,4167,1979,4163,1976,4160,1969,4157,1954,4157,1948,4159,1942,4163,1948,4137,1986,4137,1986,4125,1938,4125,1929,4175,1940,4177,1942,4174,1944,4171,1950,4168,1954,4167,1964,4167,1969,4169,1976,4177,1978,4182,1978,4196,1976,4202,1968,4210,1963,4213,1953,4213,1949,4211,1942,4205,1940,4200,1939,4194,1927,4195,1927,4204,1931,4210,1942,4220,1949,4222,1968,4222,1977,4218,1982,4213,1988,4204,1991,4197,1991,4179m2054,5415l2053,5407,2050,5396,2048,5391,2044,5385,2043,5383,2042,5382,2042,5409,2042,5440,2040,5451,2032,5461,2028,5464,2017,5464,2012,5461,2005,5451,2003,5440,2003,5409,2005,5398,2009,5392,2012,5387,2017,5385,2028,5385,2032,5388,2040,5398,2042,5409,2042,5382,2040,5380,2032,5376,2027,5375,2015,5375,2009,5377,2000,5385,1997,5390,1992,5404,1991,5413,1991,5425,1991,5437,1993,5448,1996,5457,2000,5464,2006,5470,2013,5474,2029,5474,2035,5472,2044,5464,2045,5464,2048,5459,2053,5445,2054,5436,2054,5415m2054,5102l2053,5094,2050,5083,2048,5078,2044,5072,2043,5071,2042,5069,2042,5096,2042,5127,2040,5138,2032,5149,2028,5151,2017,5151,2012,5148,2005,5138,2003,5127,2003,5096,2005,5085,2009,5079,2012,5074,2017,5072,2028,5072,2032,5075,2040,5085,2042,5096,2042,5069,2040,5068,2032,5063,2027,5062,2015,5062,2009,5064,2000,5072,1997,5077,1992,5091,1991,5100,1991,5112,1991,5124,1993,5135,1996,5144,2000,5151,2006,5158,2013,5161,2029,5161,2035,5159,2044,5151,2045,5151,2048,5146,2053,5132,2054,5123,2054,5102m2054,4789l2053,4781,2050,4770,2048,4765,2044,4759,2043,4757,2042,4756,2042,4783,2042,4814,2040,4825,2032,4835,2028,4838,2017,4838,2012,4835,2005,4825,2003,4814,2003,4783,2005,4772,2009,4766,2012,4761,2017,4759,2028,4759,2032,4762,2040,4772,2042,4783,2042,4756,2040,4754,2032,4750,2027,4749,2015,4749,2009,4751,2000,4759,1997,4764,1992,4778,1991,4787,1991,4799,1991,4811,1993,4822,1996,4831,2000,4838,2006,4845,2013,4848,2029,4848,2035,4846,2044,4838,2045,4838,2048,4833,2053,4819,2054,4810,2054,4789m2065,4477l2064,4469,2061,4458,2059,4453,2055,4447,2054,4445,2052,4444,2052,4470,2052,4502,2051,4512,2043,4523,2039,4526,2028,4526,2023,4523,2016,4513,2014,4502,2014,4470,2016,4459,2020,4454,2023,4449,2027,4447,2038,4447,2043,4449,2051,4460,2052,4470,2052,4444,2051,4442,2043,4438,2038,4437,2026,4437,2020,4439,2011,4446,2007,4452,2003,4466,2002,4475,2002,4486,2002,4499,2004,4510,2007,4518,2011,4525,2016,4532,2024,4535,2040,4535,2046,4533,2055,4526,2055,4526,2059,4520,2063,4507,2065,4497,2065,4477m2065,4164l2064,4156,2061,4145,2059,4140,2055,4134,2054,4132,2052,4131,2052,4157,2052,4189,2051,4199,2043,4210,2039,4213,2028,4213,2023,4210,2016,4199,2014,4189,2014,4157,2016,4146,2020,4140,2023,4136,2027,4134,2038,4134,2043,4136,2051,4147,2052,4157,2052,4131,2051,4129,2043,4125,2038,4124,2026,4124,2020,4126,2011,4133,2007,4139,2003,4152,2002,4162,2002,4173,2002,4186,2004,4196,2007,4205,2011,4212,2016,4219,2024,4222,2040,4222,2046,4220,2055,4213,2055,4213,2059,4207,2063,4194,2065,4184,2065,4164m2065,3851l2064,3843,2061,3832,2059,3827,2055,3821,2054,3819,2052,3818,2052,3844,2052,3876,2051,3887,2043,3897,2039,3900,2028,3900,2023,3897,2016,3887,2014,3876,2014,3844,2016,3833,2020,3828,2023,3823,2027,3821,2038,3821,2043,3823,2051,3834,2052,3844,2052,3818,2051,3816,2043,3812,2038,3811,2026,3811,2020,3813,2011,3820,2007,3826,2003,3840,2002,3849,2002,3860,2002,3873,2004,3884,2007,3892,2011,3899,2016,3906,2024,3909,2040,3909,2046,3908,2055,3900,2055,3900,2059,3895,2063,3881,2065,3872,2065,3851m2129,5415l2128,5407,2125,5396,2123,5391,2119,5385,2118,5383,2116,5382,2116,5409,2116,5440,2115,5451,2107,5461,2103,5464,2092,5464,2087,5461,2080,5451,2078,5440,2078,5409,2080,5398,2084,5392,2087,5387,2092,5385,2103,5385,2107,5388,2115,5398,2116,5409,2116,5382,2115,5380,2107,5376,2102,5375,2090,5375,2084,5377,2075,5385,2071,5390,2067,5404,2066,5413,2066,5425,2066,5437,2068,5448,2071,5457,2075,5464,2080,5470,2088,5474,2104,5474,2110,5472,2119,5464,2120,5464,2123,5459,2127,5445,2129,5436,2129,5415m2129,5102l2128,5094,2125,5083,2123,5078,2119,5072,2118,5071,2116,5069,2116,5096,2116,5127,2115,5138,2107,5149,2103,5151,2092,5151,2087,5148,2080,5138,2078,5127,2078,5096,2080,5085,2084,5079,2087,5074,2092,5072,2103,5072,2107,5075,2115,5085,2116,5096,2116,5069,2115,5068,2107,5063,2102,5062,2090,5062,2084,5064,2075,5072,2071,5077,2067,5091,2066,5100,2066,5112,2066,5124,2068,5135,2071,5144,2075,5151,2080,5158,2088,5161,2104,5161,2110,5159,2119,5151,2120,5151,2123,5146,2127,5132,2129,5123,2129,5102m2129,4789l2128,4781,2125,4770,2123,4765,2119,4759,2118,4757,2116,4756,2116,4783,2116,4814,2115,4825,2107,4835,2103,4838,2092,4838,2087,4835,2080,4825,2078,4814,2078,4783,2080,4772,2084,4766,2087,4761,2092,4759,2103,4759,2107,4762,2115,4772,2116,4783,2116,4756,2115,4754,2107,4750,2102,4749,2090,4749,2084,4751,2075,4759,2071,4764,2067,4778,2066,4787,2066,4799,2066,4811,2068,4822,2071,4831,2075,4838,2080,4845,2088,4848,2104,4848,2110,4846,2119,4838,2120,4838,2123,4833,2127,4819,2129,4810,2129,4789m2129,5728l2129,5720,2126,5709,2124,5704,2120,5698,2119,5696,2117,5695,2117,5721,2117,5753,2115,5763,2108,5774,2103,5777,2092,5777,2088,5774,2080,5764,2078,5753,2078,5721,2081,5710,2085,5705,2088,5700,2092,5698,2103,5698,2108,5700,2115,5711,2117,5721,2117,5695,2115,5693,2108,5689,2103,5688,2091,5688,2085,5690,2076,5697,2072,5703,2067,5717,2066,5726,2066,5737,2067,5750,2069,5761,2072,5769,2076,5776,2081,5783,2088,5786,2105,5786,2111,5784,2120,5777,2120,5777,2124,5772,2128,5758,2129,5748,2129,5728m2139,4477l2139,4469,2136,4458,2134,4453,2130,4447,2129,4445,2127,4444,2127,4470,2127,4502,2125,4512,2118,4523,2113,4526,2102,4526,2098,4523,2090,4513,2089,4502,2089,4470,2091,4459,2095,4454,2098,4449,2102,4447,2113,4447,2118,4449,2125,4460,2127,4470,2127,4444,2125,4442,2118,4438,2113,4437,2101,4437,2095,4439,2086,4446,2082,4452,2078,4466,2076,4475,2076,4486,2077,4499,2079,4510,2082,4518,2086,4525,2091,4532,2099,4535,2115,4535,2121,4533,2130,4526,2130,4526,2134,4520,2138,4507,2139,4497,2139,4477m2139,4164l2139,4156,2136,4145,2134,4140,2130,4134,2129,4132,2127,4131,2127,4157,2127,4189,2125,4199,2118,4210,2113,4213,2102,4213,2098,4210,2090,4199,2089,4189,2089,4157,2091,4146,2095,4140,2098,4136,2102,4134,2113,4134,2118,4136,2125,4147,2127,4157,2127,4131,2125,4129,2118,4125,2113,4124,2101,4124,2095,4126,2086,4133,2082,4139,2078,4152,2076,4162,2076,4173,2077,4186,2079,4196,2082,4205,2086,4212,2091,4219,2099,4222,2115,4222,2121,4220,2130,4213,2130,4213,2134,4207,2138,4194,2139,4184,2139,4164m2139,3851l2139,3843,2136,3832,2134,3827,2130,3821,2129,3819,2127,3818,2127,3844,2127,3876,2125,3887,2118,3897,2113,3900,2102,3900,2098,3897,2090,3887,2089,3876,2089,3844,2091,3833,2095,3828,2098,3823,2102,3821,2113,3821,2118,3823,2125,3834,2127,3844,2127,3818,2125,3816,2118,3812,2113,3811,2101,3811,2095,3813,2086,3820,2082,3826,2078,3840,2076,3849,2076,3860,2077,3873,2079,3884,2082,3892,2086,3899,2091,3906,2099,3909,2115,3909,2121,3908,2130,3900,2130,3900,2134,3895,2138,3881,2139,3872,2139,3851m2663,5937l2604,5937,2604,5904,2657,5904,2657,5893,2604,5893,2604,5863,2661,5863,2661,5852,2591,5852,2591,5948,2663,5948,2663,5937m2720,5852l2712,5852,2710,5856,2707,5860,2697,5869,2691,5873,2684,5876,2684,5887,2688,5886,2692,5884,2702,5878,2705,5876,2708,5873,2708,5948,2720,5948,2720,5873,2720,5852e" filled="true" fillcolor="#000000" stroked="false">
              <v:path arrowok="t"/>
              <v:fill type="solid"/>
            </v:shape>
            <v:rect style="position:absolute;left:1560;top:3676;width:4157;height:2481" filled="false" stroked="true" strokeweight=".507952pt" strokecolor="#858585"/>
            <w10:wrap type="none"/>
          </v:group>
        </w:pict>
      </w:r>
      <w:r>
        <w:rPr>
          <w:color w:val="231F20"/>
        </w:rPr>
        <w:t>Según los últimos reportes en las estadísticas ofi- ciales del INEGI </w:t>
      </w:r>
      <w:r>
        <w:rPr>
          <w:color w:val="231F20"/>
          <w:spacing w:val="-4"/>
        </w:rPr>
        <w:t>(2010),  </w:t>
      </w:r>
      <w:r>
        <w:rPr>
          <w:color w:val="231F20"/>
        </w:rPr>
        <w:t>la ganadería es la princi-  pal actividad económica, seguida por la actividad agroforestal, por lo que la agricultura ha pasado a tercer término en el municipio de Amatepec. Sin embargo, la cohesión de estas actividades con el medio en que se realizan es cada vez menor, ya que no se ha logrado mantener un esquema pro- ductivo que logre la generación de empleo para una población en constante cambio y con sus ne- cesidades  básicas  insatisfechas  </w:t>
      </w:r>
      <w:r>
        <w:rPr>
          <w:color w:val="231F20"/>
          <w:spacing w:val="8"/>
        </w:rPr>
        <w:t> </w:t>
      </w:r>
      <w:r>
        <w:rPr>
          <w:color w:val="231F20"/>
        </w:rPr>
        <w:t>(García-Martínez,</w:t>
      </w:r>
    </w:p>
    <w:p>
      <w:pPr>
        <w:pStyle w:val="BodyText"/>
      </w:pPr>
    </w:p>
    <w:p>
      <w:pPr>
        <w:pStyle w:val="BodyText"/>
      </w:pPr>
    </w:p>
    <w:p>
      <w:pPr>
        <w:pStyle w:val="BodyText"/>
        <w:spacing w:before="4"/>
        <w:rPr>
          <w:sz w:val="19"/>
        </w:rPr>
      </w:pPr>
    </w:p>
    <w:tbl>
      <w:tblPr>
        <w:tblW w:w="0" w:type="auto"/>
        <w:jc w:val="left"/>
        <w:tblInd w:w="22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6"/>
        <w:gridCol w:w="329"/>
        <w:gridCol w:w="492"/>
        <w:gridCol w:w="2215"/>
      </w:tblGrid>
      <w:tr>
        <w:trPr>
          <w:trHeight w:val="314" w:hRule="exact"/>
        </w:trPr>
        <w:tc>
          <w:tcPr>
            <w:tcW w:w="246" w:type="dxa"/>
            <w:tcBorders>
              <w:top w:val="single" w:sz="4" w:space="0" w:color="858585"/>
              <w:left w:val="single" w:sz="4" w:space="0" w:color="858585"/>
              <w:bottom w:val="single" w:sz="4" w:space="0" w:color="858585"/>
            </w:tcBorders>
          </w:tcPr>
          <w:p>
            <w:pPr/>
          </w:p>
        </w:tc>
        <w:tc>
          <w:tcPr>
            <w:tcW w:w="329" w:type="dxa"/>
            <w:vMerge w:val="restart"/>
            <w:tcBorders>
              <w:top w:val="single" w:sz="4" w:space="0" w:color="858585"/>
            </w:tcBorders>
            <w:shd w:val="clear" w:color="auto" w:fill="BEBEBE"/>
          </w:tcPr>
          <w:p>
            <w:pPr/>
          </w:p>
        </w:tc>
        <w:tc>
          <w:tcPr>
            <w:tcW w:w="492" w:type="dxa"/>
            <w:tcBorders>
              <w:top w:val="single" w:sz="4" w:space="0" w:color="858585"/>
              <w:bottom w:val="single" w:sz="4" w:space="0" w:color="858585"/>
            </w:tcBorders>
          </w:tcPr>
          <w:p>
            <w:pPr/>
          </w:p>
        </w:tc>
        <w:tc>
          <w:tcPr>
            <w:tcW w:w="2215" w:type="dxa"/>
            <w:vMerge w:val="restart"/>
            <w:tcBorders>
              <w:top w:val="single" w:sz="4" w:space="0" w:color="858585"/>
            </w:tcBorders>
          </w:tcPr>
          <w:p>
            <w:pPr/>
          </w:p>
        </w:tc>
      </w:tr>
      <w:tr>
        <w:trPr>
          <w:trHeight w:val="312" w:hRule="exact"/>
        </w:trPr>
        <w:tc>
          <w:tcPr>
            <w:tcW w:w="246" w:type="dxa"/>
            <w:tcBorders>
              <w:top w:val="single" w:sz="4" w:space="0" w:color="858585"/>
              <w:left w:val="single" w:sz="4" w:space="0" w:color="858585"/>
              <w:bottom w:val="single" w:sz="4" w:space="0" w:color="858585"/>
            </w:tcBorders>
          </w:tcPr>
          <w:p>
            <w:pPr/>
          </w:p>
        </w:tc>
        <w:tc>
          <w:tcPr>
            <w:tcW w:w="329" w:type="dxa"/>
            <w:vMerge/>
            <w:shd w:val="clear" w:color="auto" w:fill="BEBEBE"/>
          </w:tcPr>
          <w:p>
            <w:pPr/>
          </w:p>
        </w:tc>
        <w:tc>
          <w:tcPr>
            <w:tcW w:w="492" w:type="dxa"/>
            <w:tcBorders>
              <w:top w:val="single" w:sz="4" w:space="0" w:color="858585"/>
              <w:bottom w:val="single" w:sz="4" w:space="0" w:color="858585"/>
            </w:tcBorders>
          </w:tcPr>
          <w:p>
            <w:pPr/>
          </w:p>
        </w:tc>
        <w:tc>
          <w:tcPr>
            <w:tcW w:w="2215" w:type="dxa"/>
            <w:vMerge/>
          </w:tcPr>
          <w:p>
            <w:pPr/>
          </w:p>
        </w:tc>
      </w:tr>
      <w:tr>
        <w:trPr>
          <w:trHeight w:val="314" w:hRule="exact"/>
        </w:trPr>
        <w:tc>
          <w:tcPr>
            <w:tcW w:w="246" w:type="dxa"/>
            <w:tcBorders>
              <w:top w:val="single" w:sz="4" w:space="0" w:color="858585"/>
              <w:left w:val="single" w:sz="4" w:space="0" w:color="858585"/>
              <w:bottom w:val="single" w:sz="4" w:space="0" w:color="858585"/>
            </w:tcBorders>
          </w:tcPr>
          <w:p>
            <w:pPr/>
          </w:p>
        </w:tc>
        <w:tc>
          <w:tcPr>
            <w:tcW w:w="329" w:type="dxa"/>
            <w:vMerge/>
            <w:shd w:val="clear" w:color="auto" w:fill="BEBEBE"/>
          </w:tcPr>
          <w:p>
            <w:pPr/>
          </w:p>
        </w:tc>
        <w:tc>
          <w:tcPr>
            <w:tcW w:w="492" w:type="dxa"/>
            <w:tcBorders>
              <w:top w:val="single" w:sz="4" w:space="0" w:color="858585"/>
              <w:bottom w:val="single" w:sz="4" w:space="0" w:color="858585"/>
            </w:tcBorders>
          </w:tcPr>
          <w:p>
            <w:pPr/>
          </w:p>
        </w:tc>
        <w:tc>
          <w:tcPr>
            <w:tcW w:w="2215" w:type="dxa"/>
            <w:vMerge/>
          </w:tcPr>
          <w:p>
            <w:pPr/>
          </w:p>
        </w:tc>
      </w:tr>
      <w:tr>
        <w:trPr>
          <w:trHeight w:val="312" w:hRule="exact"/>
        </w:trPr>
        <w:tc>
          <w:tcPr>
            <w:tcW w:w="246" w:type="dxa"/>
            <w:tcBorders>
              <w:top w:val="single" w:sz="4" w:space="0" w:color="858585"/>
              <w:left w:val="single" w:sz="4" w:space="0" w:color="858585"/>
              <w:bottom w:val="single" w:sz="4" w:space="0" w:color="858585"/>
            </w:tcBorders>
          </w:tcPr>
          <w:p>
            <w:pPr/>
          </w:p>
        </w:tc>
        <w:tc>
          <w:tcPr>
            <w:tcW w:w="329" w:type="dxa"/>
            <w:vMerge/>
            <w:shd w:val="clear" w:color="auto" w:fill="BEBEBE"/>
          </w:tcPr>
          <w:p>
            <w:pPr/>
          </w:p>
        </w:tc>
        <w:tc>
          <w:tcPr>
            <w:tcW w:w="492" w:type="dxa"/>
            <w:tcBorders>
              <w:top w:val="single" w:sz="4" w:space="0" w:color="858585"/>
              <w:bottom w:val="single" w:sz="4" w:space="0" w:color="858585"/>
            </w:tcBorders>
          </w:tcPr>
          <w:p>
            <w:pPr/>
          </w:p>
        </w:tc>
        <w:tc>
          <w:tcPr>
            <w:tcW w:w="2215" w:type="dxa"/>
            <w:vMerge/>
          </w:tcPr>
          <w:p>
            <w:pPr/>
          </w:p>
        </w:tc>
      </w:tr>
      <w:tr>
        <w:trPr>
          <w:trHeight w:val="314" w:hRule="exact"/>
        </w:trPr>
        <w:tc>
          <w:tcPr>
            <w:tcW w:w="246" w:type="dxa"/>
            <w:tcBorders>
              <w:top w:val="single" w:sz="4" w:space="0" w:color="858585"/>
              <w:left w:val="single" w:sz="4" w:space="0" w:color="858585"/>
              <w:bottom w:val="single" w:sz="4" w:space="0" w:color="858585"/>
            </w:tcBorders>
          </w:tcPr>
          <w:p>
            <w:pPr/>
          </w:p>
        </w:tc>
        <w:tc>
          <w:tcPr>
            <w:tcW w:w="329" w:type="dxa"/>
            <w:vMerge/>
            <w:shd w:val="clear" w:color="auto" w:fill="BEBEBE"/>
          </w:tcPr>
          <w:p>
            <w:pPr/>
          </w:p>
        </w:tc>
        <w:tc>
          <w:tcPr>
            <w:tcW w:w="492" w:type="dxa"/>
            <w:tcBorders>
              <w:top w:val="single" w:sz="4" w:space="0" w:color="858585"/>
              <w:bottom w:val="single" w:sz="4" w:space="0" w:color="858585"/>
            </w:tcBorders>
          </w:tcPr>
          <w:p>
            <w:pPr/>
          </w:p>
        </w:tc>
        <w:tc>
          <w:tcPr>
            <w:tcW w:w="2215" w:type="dxa"/>
            <w:vMerge/>
          </w:tcPr>
          <w:p>
            <w:pPr/>
          </w:p>
        </w:tc>
      </w:tr>
      <w:tr>
        <w:trPr>
          <w:trHeight w:val="312" w:hRule="exact"/>
        </w:trPr>
        <w:tc>
          <w:tcPr>
            <w:tcW w:w="246" w:type="dxa"/>
            <w:tcBorders>
              <w:top w:val="single" w:sz="4" w:space="0" w:color="858585"/>
              <w:left w:val="single" w:sz="4" w:space="0" w:color="858585"/>
              <w:bottom w:val="single" w:sz="4" w:space="0" w:color="858585"/>
            </w:tcBorders>
          </w:tcPr>
          <w:p>
            <w:pPr/>
          </w:p>
        </w:tc>
        <w:tc>
          <w:tcPr>
            <w:tcW w:w="329" w:type="dxa"/>
            <w:vMerge/>
            <w:tcBorders>
              <w:bottom w:val="single" w:sz="4" w:space="0" w:color="858585"/>
            </w:tcBorders>
            <w:shd w:val="clear" w:color="auto" w:fill="BEBEBE"/>
          </w:tcPr>
          <w:p>
            <w:pPr/>
          </w:p>
        </w:tc>
        <w:tc>
          <w:tcPr>
            <w:tcW w:w="492" w:type="dxa"/>
            <w:tcBorders>
              <w:top w:val="single" w:sz="4" w:space="0" w:color="858585"/>
              <w:bottom w:val="single" w:sz="17" w:space="0" w:color="858585"/>
            </w:tcBorders>
          </w:tcPr>
          <w:p>
            <w:pPr/>
          </w:p>
        </w:tc>
        <w:tc>
          <w:tcPr>
            <w:tcW w:w="2215" w:type="dxa"/>
            <w:vMerge/>
            <w:tcBorders>
              <w:bottom w:val="single" w:sz="17" w:space="0" w:color="858585"/>
            </w:tcBorders>
          </w:tcPr>
          <w:p>
            <w:pPr/>
          </w:p>
        </w:tc>
      </w:tr>
    </w:tbl>
    <w:p>
      <w:pPr>
        <w:pStyle w:val="BodyText"/>
      </w:pPr>
    </w:p>
    <w:p>
      <w:pPr>
        <w:pStyle w:val="BodyText"/>
        <w:spacing w:before="3"/>
        <w:rPr>
          <w:sz w:val="25"/>
        </w:rPr>
      </w:pPr>
    </w:p>
    <w:p>
      <w:pPr>
        <w:spacing w:line="283" w:lineRule="auto" w:before="0"/>
        <w:ind w:left="1568" w:right="0" w:firstLine="0"/>
        <w:jc w:val="both"/>
        <w:rPr>
          <w:sz w:val="18"/>
        </w:rPr>
      </w:pPr>
      <w:r>
        <w:rPr>
          <w:color w:val="231F20"/>
          <w:sz w:val="18"/>
        </w:rPr>
        <w:t>Figura </w:t>
      </w:r>
      <w:r>
        <w:rPr>
          <w:color w:val="231F20"/>
          <w:spacing w:val="-3"/>
          <w:sz w:val="18"/>
        </w:rPr>
        <w:t>12. </w:t>
      </w:r>
      <w:r>
        <w:rPr>
          <w:color w:val="231F20"/>
          <w:sz w:val="18"/>
        </w:rPr>
        <w:t>Costo total por hectárea de superficie  forrajera y</w:t>
      </w:r>
      <w:r>
        <w:rPr>
          <w:color w:val="231F20"/>
          <w:spacing w:val="-19"/>
          <w:sz w:val="18"/>
        </w:rPr>
        <w:t> </w:t>
      </w:r>
      <w:r>
        <w:rPr>
          <w:color w:val="231F20"/>
          <w:sz w:val="18"/>
        </w:rPr>
        <w:t>año.</w:t>
      </w:r>
    </w:p>
    <w:p>
      <w:pPr>
        <w:pStyle w:val="BodyText"/>
        <w:spacing w:line="264" w:lineRule="auto" w:before="68"/>
        <w:ind w:left="413" w:right="1551"/>
        <w:jc w:val="both"/>
      </w:pPr>
      <w:r>
        <w:rPr/>
        <w:br w:type="column"/>
      </w:r>
      <w:r>
        <w:rPr>
          <w:color w:val="231F20"/>
        </w:rPr>
        <w:t>2008). Dentro de la actividad ganadera que se desarrolla en el municipio, el ganado bovino es la especie que principalmente se  explota  (Rebollar </w:t>
      </w:r>
      <w:r>
        <w:rPr>
          <w:i/>
          <w:color w:val="231F20"/>
        </w:rPr>
        <w:t>et  al</w:t>
      </w:r>
      <w:r>
        <w:rPr>
          <w:color w:val="231F20"/>
        </w:rPr>
        <w:t>.,</w:t>
      </w:r>
      <w:r>
        <w:rPr>
          <w:color w:val="231F20"/>
          <w:spacing w:val="33"/>
        </w:rPr>
        <w:t> </w:t>
      </w:r>
      <w:r>
        <w:rPr>
          <w:color w:val="231F20"/>
          <w:spacing w:val="-4"/>
        </w:rPr>
        <w:t>2011).</w:t>
      </w:r>
    </w:p>
    <w:p>
      <w:pPr>
        <w:pStyle w:val="BodyText"/>
        <w:spacing w:line="264" w:lineRule="auto" w:before="113"/>
        <w:ind w:left="413" w:right="1551"/>
        <w:jc w:val="both"/>
      </w:pPr>
      <w:r>
        <w:rPr>
          <w:color w:val="231F20"/>
        </w:rPr>
        <w:t>Es importante destacar que, de acuerdo con la es- tratificación de las unidades de producción, estos sistemas ganaderos se caracterizan por una gran disponibilidad de hectáreas de superficie agrícola útil, de la cual un alto porcentaje es superficie fo- rrajera (89,47% de la superficie agrícola útil). En este rubro destaca E3, que cuenta con un </w:t>
      </w:r>
      <w:r>
        <w:rPr>
          <w:color w:val="231F20"/>
          <w:spacing w:val="-6"/>
        </w:rPr>
        <w:t>97,03% </w:t>
      </w:r>
      <w:r>
        <w:rPr>
          <w:color w:val="231F20"/>
        </w:rPr>
        <w:t>de estas superficies, que son destinadas a la ali- mentación del ganado mediante pastoreo. En este sentido, Albarrán-Portillo </w:t>
      </w:r>
      <w:r>
        <w:rPr>
          <w:i/>
          <w:color w:val="231F20"/>
        </w:rPr>
        <w:t>et al. </w:t>
      </w:r>
      <w:r>
        <w:rPr>
          <w:color w:val="231F20"/>
        </w:rPr>
        <w:t>(2008) destacaron la importancia de la utilización de estas superfi- cies para la alimentación  tanto  de  vacas  como  de animales para reemplazo, al igual que Posa- das-Domínguez </w:t>
      </w:r>
      <w:r>
        <w:rPr>
          <w:i/>
          <w:color w:val="231F20"/>
        </w:rPr>
        <w:t>et al</w:t>
      </w:r>
      <w:r>
        <w:rPr>
          <w:color w:val="231F20"/>
        </w:rPr>
        <w:t>. (2009) para el sistema de producción vaca-becerro, bajo un método de ma- nejo semiextensivo en el cual la base de la dieta    es la utilización de pastizales </w:t>
      </w:r>
      <w:r>
        <w:rPr>
          <w:color w:val="231F20"/>
          <w:spacing w:val="4"/>
        </w:rPr>
        <w:t> </w:t>
      </w:r>
      <w:r>
        <w:rPr>
          <w:color w:val="231F20"/>
        </w:rPr>
        <w:t>nativos.</w:t>
      </w:r>
    </w:p>
    <w:p>
      <w:pPr>
        <w:pStyle w:val="BodyText"/>
        <w:spacing w:before="7"/>
        <w:rPr>
          <w:sz w:val="18"/>
        </w:rPr>
      </w:pPr>
    </w:p>
    <w:p>
      <w:pPr>
        <w:spacing w:before="0"/>
        <w:ind w:left="413" w:right="0" w:firstLine="0"/>
        <w:jc w:val="both"/>
        <w:rPr>
          <w:rFonts w:ascii="Cambria" w:hAnsi="Cambria"/>
          <w:i/>
          <w:sz w:val="20"/>
        </w:rPr>
      </w:pPr>
      <w:r>
        <w:rPr>
          <w:rFonts w:ascii="Cambria" w:hAnsi="Cambria"/>
          <w:i/>
          <w:color w:val="231F20"/>
          <w:w w:val="105"/>
          <w:sz w:val="20"/>
        </w:rPr>
        <w:t>Análisis  económico</w:t>
      </w:r>
    </w:p>
    <w:p>
      <w:pPr>
        <w:pStyle w:val="BodyText"/>
        <w:spacing w:line="264" w:lineRule="auto" w:before="147"/>
        <w:ind w:left="413" w:right="1551"/>
        <w:jc w:val="both"/>
      </w:pPr>
      <w:r>
        <w:rPr>
          <w:color w:val="231F20"/>
        </w:rPr>
        <w:t>Dentro de los costos de producción, el concepto  de alimentación es el de mayor importancia,  ya que representa el 55% del costo total. No obstan- te, es menor que lo reportado por</w:t>
      </w:r>
      <w:r>
        <w:rPr>
          <w:color w:val="231F20"/>
          <w:spacing w:val="36"/>
        </w:rPr>
        <w:t> </w:t>
      </w:r>
      <w:r>
        <w:rPr>
          <w:color w:val="231F20"/>
        </w:rPr>
        <w:t>García-Martínez</w:t>
      </w:r>
    </w:p>
    <w:p>
      <w:pPr>
        <w:spacing w:after="0" w:line="264" w:lineRule="auto"/>
        <w:jc w:val="both"/>
        <w:sectPr>
          <w:type w:val="continuous"/>
          <w:pgSz w:w="11900" w:h="14450"/>
          <w:pgMar w:top="420" w:bottom="420" w:left="0" w:right="0"/>
          <w:cols w:num="2" w:equalWidth="0">
            <w:col w:w="5721" w:space="40"/>
            <w:col w:w="6139"/>
          </w:cols>
        </w:sectPr>
      </w:pPr>
    </w:p>
    <w:p>
      <w:pPr>
        <w:pStyle w:val="BodyText"/>
      </w:pPr>
    </w:p>
    <w:p>
      <w:pPr>
        <w:pStyle w:val="BodyText"/>
      </w:pPr>
    </w:p>
    <w:p>
      <w:pPr>
        <w:pStyle w:val="BodyText"/>
        <w:rPr>
          <w:sz w:val="17"/>
        </w:rPr>
      </w:pPr>
    </w:p>
    <w:p>
      <w:pPr>
        <w:tabs>
          <w:tab w:pos="6320" w:val="left" w:leader="none"/>
        </w:tabs>
        <w:spacing w:before="64"/>
        <w:ind w:left="1551" w:right="0" w:firstLine="0"/>
        <w:jc w:val="left"/>
        <w:rPr>
          <w:sz w:val="12"/>
        </w:rPr>
      </w:pPr>
      <w:r>
        <w:rPr>
          <w:color w:val="231F20"/>
          <w:spacing w:val="-5"/>
          <w:w w:val="120"/>
          <w:sz w:val="22"/>
        </w:rPr>
        <w:t>134</w:t>
        <w:tab/>
      </w:r>
      <w:r>
        <w:rPr>
          <w:color w:val="231F20"/>
          <w:w w:val="120"/>
          <w:sz w:val="18"/>
        </w:rPr>
        <w:t>SECCIÓN 2.  C. S</w:t>
      </w:r>
      <w:r>
        <w:rPr>
          <w:color w:val="231F20"/>
          <w:w w:val="120"/>
          <w:sz w:val="12"/>
        </w:rPr>
        <w:t>iStemaS  de  bovinoS  produCtoreS  de</w:t>
      </w:r>
      <w:r>
        <w:rPr>
          <w:color w:val="231F20"/>
          <w:spacing w:val="-2"/>
          <w:w w:val="120"/>
          <w:sz w:val="12"/>
        </w:rPr>
        <w:t> </w:t>
      </w:r>
      <w:r>
        <w:rPr>
          <w:color w:val="231F20"/>
          <w:w w:val="120"/>
          <w:sz w:val="12"/>
        </w:rPr>
        <w:t>Carne</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8" w:lineRule="auto" w:before="67"/>
        <w:ind w:left="1553"/>
        <w:jc w:val="both"/>
      </w:pPr>
      <w:r>
        <w:rPr>
          <w:color w:val="231F20"/>
        </w:rPr>
        <w:t>(2008), quien indica que para este tipo de uni- dades de producción los costos por alimentación superan el 80%. Esta tendencia se debe, entre otros factores, a la eficiencia que se obtiene del recurso tierra. En E3 los gastos de la alimentación son altos ($35140,54) debido al gran número de animales que hay en las unidades de producción  de este estrato. Esta situación se corrobora en el estudio de Flores-Cardoso </w:t>
      </w:r>
      <w:r>
        <w:rPr>
          <w:color w:val="231F20"/>
          <w:spacing w:val="-4"/>
        </w:rPr>
        <w:t>(2011), </w:t>
      </w:r>
      <w:r>
        <w:rPr>
          <w:color w:val="231F20"/>
        </w:rPr>
        <w:t>quien reporta que para el municipio de Tlatlaya los mayores cos- tos se encuentran en las unidades de producción de mayor dimensión ganadera. Este rubro puede ser aún más alto en la época de escasez de forraje, cuando los productores se ven en la necesidad de adquirir insumos externos, principalmente concen- trados comerciales (Ortiz </w:t>
      </w:r>
      <w:r>
        <w:rPr>
          <w:i/>
          <w:color w:val="231F20"/>
        </w:rPr>
        <w:t>et al., </w:t>
      </w:r>
      <w:r>
        <w:rPr>
          <w:color w:val="231F20"/>
          <w:spacing w:val="-4"/>
        </w:rPr>
        <w:t>2010),  </w:t>
      </w:r>
      <w:r>
        <w:rPr>
          <w:color w:val="231F20"/>
        </w:rPr>
        <w:t>los cuales    a su vez hacen que aumenten considerablemente los costos totales durante este periodo, mientras que en la época de lluvias, cuando el forraje es abundante, el costo de la alimentación disminuye en  un  42,50%  (Esparza-Jiménez,  </w:t>
      </w:r>
      <w:r>
        <w:rPr>
          <w:color w:val="231F20"/>
          <w:spacing w:val="34"/>
        </w:rPr>
        <w:t> </w:t>
      </w:r>
      <w:r>
        <w:rPr>
          <w:color w:val="231F20"/>
        </w:rPr>
        <w:t>2009).</w:t>
      </w:r>
    </w:p>
    <w:p>
      <w:pPr>
        <w:pStyle w:val="BodyText"/>
        <w:spacing w:line="268" w:lineRule="auto" w:before="113"/>
        <w:ind w:left="1553"/>
        <w:jc w:val="both"/>
      </w:pPr>
      <w:r>
        <w:rPr>
          <w:color w:val="231F20"/>
        </w:rPr>
        <w:t>Eutimio-José (2010) reportó que el costo total de producción del municipio de Amatepec con res- pecto a la engorda en corral es de $8441,00 por animal. Sin embargo, en el estudio se muestra que el costo por vaca y año es de $3106,61, dadas las características del sistema extensivo.</w:t>
      </w:r>
    </w:p>
    <w:p>
      <w:pPr>
        <w:pStyle w:val="BodyText"/>
        <w:spacing w:line="268" w:lineRule="auto" w:before="113"/>
        <w:ind w:left="1553"/>
        <w:jc w:val="both"/>
      </w:pPr>
      <w:r>
        <w:rPr>
          <w:color w:val="231F20"/>
        </w:rPr>
        <w:t>Cabe destacar que para la realización de las ac- tividades agropecuarias es fundamental la dispo- nibilidad de mano de obra, sobre todo de la UTA familiar (García-Martínez </w:t>
      </w:r>
      <w:r>
        <w:rPr>
          <w:i/>
          <w:color w:val="231F20"/>
        </w:rPr>
        <w:t>et al</w:t>
      </w:r>
      <w:r>
        <w:rPr>
          <w:color w:val="231F20"/>
        </w:rPr>
        <w:t>., 2009). Sin embar- go, la mano de obra contratada representa el 23% de la UTA total, por lo que el gasto que se realiza por este rubro es el segundo en orden de impor- tancia, representando en promedio $14175,00, principalmente en las unidades de producción de mayor tamaño (E3). En este sentido, la especiali- zación del factor trabajo se relaciona directamente con la superficie disponible y el tamaño del hato (Flores-Cardoso,   2011).</w:t>
      </w:r>
    </w:p>
    <w:p>
      <w:pPr>
        <w:pStyle w:val="BodyText"/>
        <w:spacing w:line="256" w:lineRule="auto" w:before="67"/>
        <w:ind w:left="413" w:right="1551"/>
        <w:jc w:val="both"/>
      </w:pPr>
      <w:r>
        <w:rPr/>
        <w:br w:type="column"/>
      </w:r>
      <w:r>
        <w:rPr>
          <w:color w:val="231F20"/>
        </w:rPr>
        <w:t>Esparza-Jiménez (2009) observó que, en el mu- nicipio de Zacazonapan, el costo de la mano de obra contratada es de $100,00 a $130,00 por jor- nada de trabajo, mientras que la mano de obra familiar fluctúa entre $100,00 y $120,00. Estudios realizados por Albarrán-Portillo </w:t>
      </w:r>
      <w:r>
        <w:rPr>
          <w:i/>
          <w:color w:val="231F20"/>
        </w:rPr>
        <w:t>et al</w:t>
      </w:r>
      <w:r>
        <w:rPr>
          <w:color w:val="231F20"/>
        </w:rPr>
        <w:t>. (2009) indi- caron que las erogaciones en efectivo por compra de concentrados y por mano de obra representan el 86% del costo de producción en la zona de estudio. En este sentido, Olaizola </w:t>
      </w:r>
      <w:r>
        <w:rPr>
          <w:color w:val="231F20"/>
          <w:spacing w:val="-3"/>
        </w:rPr>
        <w:t>(1991) </w:t>
      </w:r>
      <w:r>
        <w:rPr>
          <w:color w:val="231F20"/>
        </w:rPr>
        <w:t>y Gar- cía-Martínez (2008) destacaron la importancia de  la mano de obra familiar para la realización de las actividades agropecuarias y como motor para el mantenimiento y el funcionamiento de este tipo  de  unidades  de</w:t>
      </w:r>
      <w:r>
        <w:rPr>
          <w:color w:val="231F20"/>
          <w:spacing w:val="-16"/>
        </w:rPr>
        <w:t> </w:t>
      </w:r>
      <w:r>
        <w:rPr>
          <w:color w:val="231F20"/>
        </w:rPr>
        <w:t>producción.</w:t>
      </w:r>
    </w:p>
    <w:p>
      <w:pPr>
        <w:pStyle w:val="BodyText"/>
        <w:spacing w:line="256" w:lineRule="auto" w:before="112"/>
        <w:ind w:left="413" w:right="1551"/>
        <w:jc w:val="both"/>
      </w:pPr>
      <w:r>
        <w:rPr>
          <w:color w:val="231F20"/>
        </w:rPr>
        <w:t>El uso de concentrados comerciales incrementa el costo de la actividad. En este sentido, los resulta- dos indican un consumo promedio de  90,60  kg  por vaca y año ($302,58 por vaca y año), que es relativamente bajo y característico de los sistemas extensivos. No obstante, García-Martínez </w:t>
      </w:r>
      <w:r>
        <w:rPr>
          <w:i/>
          <w:color w:val="231F20"/>
        </w:rPr>
        <w:t>et al</w:t>
      </w:r>
      <w:r>
        <w:rPr>
          <w:color w:val="231F20"/>
        </w:rPr>
        <w:t>. (2009)</w:t>
      </w:r>
      <w:r>
        <w:rPr>
          <w:color w:val="231F20"/>
          <w:spacing w:val="27"/>
        </w:rPr>
        <w:t> </w:t>
      </w:r>
      <w:r>
        <w:rPr>
          <w:color w:val="231F20"/>
        </w:rPr>
        <w:t>indican</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costo</w:t>
      </w:r>
      <w:r>
        <w:rPr>
          <w:color w:val="231F20"/>
          <w:spacing w:val="27"/>
        </w:rPr>
        <w:t> </w:t>
      </w:r>
      <w:r>
        <w:rPr>
          <w:color w:val="231F20"/>
        </w:rPr>
        <w:t>por</w:t>
      </w:r>
      <w:r>
        <w:rPr>
          <w:color w:val="231F20"/>
          <w:spacing w:val="27"/>
        </w:rPr>
        <w:t> </w:t>
      </w:r>
      <w:r>
        <w:rPr>
          <w:color w:val="231F20"/>
        </w:rPr>
        <w:t>vaca</w:t>
      </w:r>
      <w:r>
        <w:rPr>
          <w:color w:val="231F20"/>
          <w:spacing w:val="27"/>
        </w:rPr>
        <w:t> </w:t>
      </w:r>
      <w:r>
        <w:rPr>
          <w:color w:val="231F20"/>
        </w:rPr>
        <w:t>y</w:t>
      </w:r>
      <w:r>
        <w:rPr>
          <w:color w:val="231F20"/>
          <w:spacing w:val="27"/>
        </w:rPr>
        <w:t> </w:t>
      </w:r>
      <w:r>
        <w:rPr>
          <w:color w:val="231F20"/>
        </w:rPr>
        <w:t>año</w:t>
      </w:r>
      <w:r>
        <w:rPr>
          <w:color w:val="231F20"/>
          <w:spacing w:val="27"/>
        </w:rPr>
        <w:t> </w:t>
      </w:r>
      <w:r>
        <w:rPr>
          <w:color w:val="231F20"/>
        </w:rPr>
        <w:t>es</w:t>
      </w:r>
      <w:r>
        <w:rPr>
          <w:color w:val="231F20"/>
          <w:spacing w:val="27"/>
        </w:rPr>
        <w:t> </w:t>
      </w:r>
      <w:r>
        <w:rPr>
          <w:color w:val="231F20"/>
        </w:rPr>
        <w:t>de</w:t>
      </w:r>
    </w:p>
    <w:p>
      <w:pPr>
        <w:pStyle w:val="BodyText"/>
        <w:spacing w:line="256" w:lineRule="auto"/>
        <w:ind w:left="413" w:right="1551"/>
        <w:jc w:val="both"/>
      </w:pPr>
      <w:r>
        <w:rPr>
          <w:color w:val="231F20"/>
        </w:rPr>
        <w:t>$6000,00 (con un consumo de 5,3 kg por vaca y año), aunque el incremento y la disminución de- penden en gran medida de la disponibilidad de </w:t>
      </w:r>
      <w:r>
        <w:rPr>
          <w:color w:val="231F20"/>
          <w:w w:val="95"/>
        </w:rPr>
        <w:t>superficies  forrajeras.</w:t>
      </w:r>
    </w:p>
    <w:p>
      <w:pPr>
        <w:pStyle w:val="BodyText"/>
        <w:spacing w:line="256" w:lineRule="auto" w:before="112"/>
        <w:ind w:left="413" w:right="1551"/>
        <w:jc w:val="both"/>
      </w:pPr>
      <w:r>
        <w:rPr>
          <w:color w:val="231F20"/>
        </w:rPr>
        <w:t>Los ingresos que se generan en las unidades de producción estudiadas provienen de la venta de</w:t>
      </w:r>
      <w:r>
        <w:rPr>
          <w:color w:val="231F20"/>
          <w:spacing w:val="-31"/>
        </w:rPr>
        <w:t> </w:t>
      </w:r>
      <w:r>
        <w:rPr>
          <w:color w:val="231F20"/>
        </w:rPr>
        <w:t>ga- nado bovino (94,86%), principalmente de becerros destetados, característica de los sistemas bovinos en condiciones tropicales en el sur del Estado de México. Esta tendencia se ha corroborado en </w:t>
      </w:r>
      <w:r>
        <w:rPr>
          <w:color w:val="231F20"/>
          <w:spacing w:val="-2"/>
        </w:rPr>
        <w:t>los </w:t>
      </w:r>
      <w:r>
        <w:rPr>
          <w:color w:val="231F20"/>
        </w:rPr>
        <w:t>reportes de Flores-Cardoso </w:t>
      </w:r>
      <w:r>
        <w:rPr>
          <w:color w:val="231F20"/>
          <w:spacing w:val="-6"/>
        </w:rPr>
        <w:t>(2011) </w:t>
      </w:r>
      <w:r>
        <w:rPr>
          <w:color w:val="231F20"/>
        </w:rPr>
        <w:t>en  el  munici- pio de </w:t>
      </w:r>
      <w:r>
        <w:rPr>
          <w:color w:val="231F20"/>
          <w:spacing w:val="-3"/>
        </w:rPr>
        <w:t>Tlatlaya, </w:t>
      </w:r>
      <w:r>
        <w:rPr>
          <w:color w:val="231F20"/>
        </w:rPr>
        <w:t>de Piedra-Matías </w:t>
      </w:r>
      <w:r>
        <w:rPr>
          <w:i/>
          <w:color w:val="231F20"/>
        </w:rPr>
        <w:t>et al</w:t>
      </w:r>
      <w:r>
        <w:rPr>
          <w:color w:val="231F20"/>
        </w:rPr>
        <w:t>. </w:t>
      </w:r>
      <w:r>
        <w:rPr>
          <w:color w:val="231F20"/>
          <w:spacing w:val="-6"/>
        </w:rPr>
        <w:t>(2011) </w:t>
      </w:r>
      <w:r>
        <w:rPr>
          <w:color w:val="231F20"/>
        </w:rPr>
        <w:t>en el municipio de </w:t>
      </w:r>
      <w:r>
        <w:rPr>
          <w:color w:val="231F20"/>
          <w:spacing w:val="-5"/>
        </w:rPr>
        <w:t>Tejupilco </w:t>
      </w:r>
      <w:r>
        <w:rPr>
          <w:color w:val="231F20"/>
        </w:rPr>
        <w:t>y de Campuzano de Nova </w:t>
      </w:r>
      <w:r>
        <w:rPr>
          <w:color w:val="231F20"/>
          <w:spacing w:val="-6"/>
        </w:rPr>
        <w:t>(2011) </w:t>
      </w:r>
      <w:r>
        <w:rPr>
          <w:color w:val="231F20"/>
        </w:rPr>
        <w:t>en Amatepec. No obstante, sigue habiendo una importante producción de leche para autocon- sumo o para la producción de queso, sobre todo  en las unidades de producción de menor tamaño, pero no como en otras zonas con mayor potencial o especializadas en la producción de leche, como es  el  caso  del  municipio  de  Zacazonapan,</w:t>
      </w:r>
      <w:r>
        <w:rPr>
          <w:color w:val="231F20"/>
          <w:spacing w:val="-6"/>
        </w:rPr>
        <w:t> </w:t>
      </w:r>
      <w:r>
        <w:rPr>
          <w:color w:val="231F20"/>
        </w:rPr>
        <w:t>donde</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8.     </w:t>
      </w:r>
      <w:r>
        <w:rPr>
          <w:color w:val="231F20"/>
          <w:spacing w:val="25"/>
          <w:sz w:val="18"/>
        </w:rPr>
        <w:t> </w:t>
      </w:r>
      <w:r>
        <w:rPr>
          <w:color w:val="231F20"/>
          <w:sz w:val="18"/>
        </w:rPr>
        <w:t>La producción de bovinos para carne y su importancia en el desarrollo</w:t>
      </w:r>
      <w:r>
        <w:rPr>
          <w:color w:val="231F20"/>
          <w:spacing w:val="13"/>
          <w:sz w:val="18"/>
        </w:rPr>
        <w:t> </w:t>
      </w:r>
      <w:r>
        <w:rPr>
          <w:color w:val="231F20"/>
          <w:sz w:val="18"/>
        </w:rPr>
        <w:t>rural…</w:t>
      </w:r>
      <w:r>
        <w:rPr>
          <w:color w:val="231F20"/>
          <w:sz w:val="22"/>
        </w:rPr>
        <w:tab/>
      </w:r>
      <w:r>
        <w:rPr>
          <w:color w:val="231F20"/>
          <w:spacing w:val="-5"/>
          <w:sz w:val="22"/>
        </w:rPr>
        <w:t>135</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1" w:lineRule="auto"/>
        <w:ind w:left="1553"/>
        <w:jc w:val="both"/>
      </w:pPr>
      <w:r>
        <w:rPr>
          <w:color w:val="231F20"/>
        </w:rPr>
        <w:t>más del </w:t>
      </w:r>
      <w:r>
        <w:rPr>
          <w:color w:val="231F20"/>
          <w:spacing w:val="-3"/>
        </w:rPr>
        <w:t>50% </w:t>
      </w:r>
      <w:r>
        <w:rPr>
          <w:color w:val="231F20"/>
        </w:rPr>
        <w:t>de los ingresos provienen de la ven-  ta de leche y sus derivados (Albarrán-Portillo </w:t>
      </w:r>
      <w:r>
        <w:rPr>
          <w:i/>
          <w:color w:val="231F20"/>
        </w:rPr>
        <w:t>et </w:t>
      </w:r>
      <w:r>
        <w:rPr>
          <w:i/>
          <w:color w:val="231F20"/>
          <w:spacing w:val="-3"/>
        </w:rPr>
        <w:t>al</w:t>
      </w:r>
      <w:r>
        <w:rPr>
          <w:color w:val="231F20"/>
          <w:spacing w:val="-3"/>
        </w:rPr>
        <w:t>., 2009).</w:t>
      </w:r>
    </w:p>
    <w:p>
      <w:pPr>
        <w:pStyle w:val="BodyText"/>
      </w:pPr>
    </w:p>
    <w:p>
      <w:pPr>
        <w:pStyle w:val="BodyText"/>
        <w:spacing w:before="153"/>
        <w:ind w:left="1553"/>
        <w:jc w:val="both"/>
      </w:pPr>
      <w:r>
        <w:rPr>
          <w:color w:val="231F20"/>
          <w:w w:val="115"/>
        </w:rPr>
        <w:t>CONCLUSIONES</w:t>
      </w:r>
    </w:p>
    <w:p>
      <w:pPr>
        <w:pStyle w:val="BodyText"/>
        <w:spacing w:line="261" w:lineRule="auto" w:before="136"/>
        <w:ind w:left="1553"/>
        <w:jc w:val="both"/>
      </w:pPr>
      <w:r>
        <w:rPr>
          <w:color w:val="231F20"/>
        </w:rPr>
        <w:t>La ganadería en condiciones de trópico seco, da- das sus características de manejo y gestión ac- tuales, se ha convertido en la principal actividad económica, con una  marcada  especialización  en  la producción de carne, bien como terneros des- tetados o por la engorda de ganado. Se evidencia  la eficiencia en el aprovechamiento y el uso del factor tierra en las unidades de producción peque- ñas, que se relaciona con una mayor productividad por vaca, mientras que las unidades de producción de mayor tamaño presentan una mayor eficiencia por unidad de trabajo. En este tenor, la actividad ganadera es una alternativa económica viable para el desarrollo local, por un lado por los recursos económicos que genera </w:t>
      </w:r>
      <w:r>
        <w:rPr>
          <w:color w:val="231F20"/>
          <w:spacing w:val="-5"/>
        </w:rPr>
        <w:t>y,  </w:t>
      </w:r>
      <w:r>
        <w:rPr>
          <w:color w:val="231F20"/>
        </w:rPr>
        <w:t>por otro, por el mayor   y mejor aprovechamiento de las superficies desti- nadas a la producción de forraje para alimentación del ganado, lo que se ve reflejado en unos meno- res costos de </w:t>
      </w:r>
      <w:r>
        <w:rPr>
          <w:color w:val="231F20"/>
          <w:spacing w:val="7"/>
        </w:rPr>
        <w:t> </w:t>
      </w:r>
      <w:r>
        <w:rPr>
          <w:color w:val="231F20"/>
        </w:rPr>
        <w:t>producción.</w:t>
      </w:r>
    </w:p>
    <w:p>
      <w:pPr>
        <w:pStyle w:val="BodyText"/>
      </w:pPr>
    </w:p>
    <w:p>
      <w:pPr>
        <w:pStyle w:val="BodyText"/>
        <w:spacing w:before="153"/>
        <w:ind w:left="1553"/>
        <w:jc w:val="both"/>
      </w:pPr>
      <w:r>
        <w:rPr>
          <w:color w:val="231F20"/>
          <w:w w:val="110"/>
        </w:rPr>
        <w:t>AGRADECIMIENTOS</w:t>
      </w:r>
    </w:p>
    <w:p>
      <w:pPr>
        <w:spacing w:line="261" w:lineRule="auto" w:before="136"/>
        <w:ind w:left="1553" w:right="0" w:firstLine="0"/>
        <w:jc w:val="both"/>
        <w:rPr>
          <w:sz w:val="20"/>
        </w:rPr>
      </w:pPr>
      <w:r>
        <w:rPr>
          <w:color w:val="231F20"/>
          <w:sz w:val="20"/>
        </w:rPr>
        <w:t>Se agradece a los ganaderos del municipio de Amatepec, Estado de México, al equipo de traba- jo y a los integrantes del Cuerpo Académico en Sistemas de Producción Agropecuaria y Recursos Naturales (CASPAREN), que contribuyeron con in- formación, trabajo y conocimientos, y al proyecto de investigación en el que se desarrolló el trabajo, titulado </w:t>
      </w:r>
      <w:r>
        <w:rPr>
          <w:i/>
          <w:color w:val="231F20"/>
          <w:sz w:val="20"/>
        </w:rPr>
        <w:t>Los sistemas de ganado bovino en con- </w:t>
      </w:r>
      <w:r>
        <w:rPr>
          <w:i/>
          <w:color w:val="231F20"/>
          <w:sz w:val="20"/>
        </w:rPr>
        <w:t>diciones de montaña en el sur del Estado de Mé- xico: dinámica de las unidades de producción y análisis de su  sostenibilidad  mediante  modelos  de simulación, </w:t>
      </w:r>
      <w:r>
        <w:rPr>
          <w:color w:val="231F20"/>
          <w:sz w:val="20"/>
        </w:rPr>
        <w:t>con clave 2700/2008U, financiado por la Universidad Autónoma del Estado de Méxi- co</w:t>
      </w:r>
      <w:r>
        <w:rPr>
          <w:color w:val="231F20"/>
          <w:spacing w:val="43"/>
          <w:sz w:val="20"/>
        </w:rPr>
        <w:t> </w:t>
      </w:r>
      <w:r>
        <w:rPr>
          <w:color w:val="231F20"/>
          <w:sz w:val="20"/>
        </w:rPr>
        <w:t>(UAEM).</w:t>
      </w:r>
    </w:p>
    <w:p>
      <w:pPr>
        <w:pStyle w:val="BodyText"/>
        <w:rPr>
          <w:sz w:val="29"/>
        </w:rPr>
      </w:pPr>
      <w:r>
        <w:rPr/>
        <w:br w:type="column"/>
      </w:r>
      <w:r>
        <w:rPr>
          <w:sz w:val="29"/>
        </w:rPr>
      </w:r>
    </w:p>
    <w:p>
      <w:pPr>
        <w:pStyle w:val="BodyText"/>
        <w:ind w:left="412" w:right="2579"/>
      </w:pPr>
      <w:r>
        <w:rPr>
          <w:color w:val="231F20"/>
          <w:w w:val="110"/>
        </w:rPr>
        <w:t>BIBLIOGRAFÍA</w:t>
      </w:r>
    </w:p>
    <w:p>
      <w:pPr>
        <w:spacing w:line="264" w:lineRule="auto" w:before="130"/>
        <w:ind w:left="696" w:right="1551" w:hanging="284"/>
        <w:jc w:val="both"/>
        <w:rPr>
          <w:sz w:val="18"/>
        </w:rPr>
      </w:pPr>
      <w:r>
        <w:rPr>
          <w:color w:val="231F20"/>
          <w:sz w:val="18"/>
        </w:rPr>
        <w:t>Albarrán-Portillo B., García-Martínez A., Hernández M.J., Rebollar R.S., Rojo R.R., Avilés </w:t>
      </w:r>
      <w:r>
        <w:rPr>
          <w:color w:val="231F20"/>
          <w:spacing w:val="-3"/>
          <w:sz w:val="18"/>
        </w:rPr>
        <w:t>N.F., </w:t>
      </w:r>
      <w:r>
        <w:rPr>
          <w:i/>
          <w:color w:val="231F20"/>
          <w:sz w:val="18"/>
        </w:rPr>
        <w:t>et al. </w:t>
      </w:r>
      <w:r>
        <w:rPr>
          <w:color w:val="231F20"/>
          <w:sz w:val="18"/>
        </w:rPr>
        <w:t>(2008). Ca- racterización del sistema de producción de leche en una comunidad campesina en el centro de México. IV Congreso Internacional de la Red SIAL, </w:t>
      </w:r>
      <w:r>
        <w:rPr>
          <w:color w:val="231F20"/>
          <w:spacing w:val="-4"/>
          <w:sz w:val="18"/>
        </w:rPr>
        <w:t>ALFATER </w:t>
      </w:r>
      <w:r>
        <w:rPr>
          <w:color w:val="231F20"/>
          <w:sz w:val="18"/>
        </w:rPr>
        <w:t>2008. Alimentación, agricultura familiar y territorio. Mar del Plata, Argentina. 27 al 31 de octubre de 2008. Eje 1: </w:t>
      </w:r>
      <w:r>
        <w:rPr>
          <w:color w:val="231F20"/>
          <w:spacing w:val="-3"/>
          <w:sz w:val="18"/>
        </w:rPr>
        <w:t>Trabajo  </w:t>
      </w:r>
      <w:r>
        <w:rPr>
          <w:color w:val="231F20"/>
          <w:sz w:val="18"/>
        </w:rPr>
        <w:t>46. pp.   </w:t>
      </w:r>
      <w:r>
        <w:rPr>
          <w:color w:val="231F20"/>
          <w:spacing w:val="12"/>
          <w:sz w:val="18"/>
        </w:rPr>
        <w:t> </w:t>
      </w:r>
      <w:r>
        <w:rPr>
          <w:color w:val="231F20"/>
          <w:spacing w:val="-3"/>
          <w:sz w:val="18"/>
        </w:rPr>
        <w:t>1-23.</w:t>
      </w:r>
    </w:p>
    <w:p>
      <w:pPr>
        <w:spacing w:line="264" w:lineRule="auto" w:before="56"/>
        <w:ind w:left="696" w:right="1551" w:hanging="284"/>
        <w:jc w:val="both"/>
        <w:rPr>
          <w:sz w:val="18"/>
        </w:rPr>
      </w:pPr>
      <w:r>
        <w:rPr>
          <w:color w:val="231F20"/>
          <w:sz w:val="18"/>
        </w:rPr>
        <w:t>Albarrán-Portillo B., Salas R.I.G., Esparza J.S., Hernán- dez M.J., Rebollar R.S., García-Martínez A. (2009). Caracterización socioeconómica de un sistema de producción de doble propósito del  sur  del  Estado de México. En: Cavalloti A.B., Vázquez </w:t>
      </w:r>
      <w:r>
        <w:rPr>
          <w:color w:val="231F20"/>
          <w:spacing w:val="-3"/>
          <w:sz w:val="18"/>
        </w:rPr>
        <w:t>F.C., </w:t>
      </w:r>
      <w:r>
        <w:rPr>
          <w:color w:val="231F20"/>
          <w:sz w:val="18"/>
        </w:rPr>
        <w:t>Álvarez M., Ramírez </w:t>
      </w:r>
      <w:r>
        <w:rPr>
          <w:color w:val="231F20"/>
          <w:spacing w:val="-3"/>
          <w:sz w:val="18"/>
        </w:rPr>
        <w:t>V.B., </w:t>
      </w:r>
      <w:r>
        <w:rPr>
          <w:color w:val="231F20"/>
          <w:sz w:val="18"/>
        </w:rPr>
        <w:t>editores. Ganadería y seguridad alimentaria. Tipificación de unidades de producción. Universidad Autónoma de Chapingo, México. pp. </w:t>
      </w:r>
      <w:r>
        <w:rPr>
          <w:color w:val="231F20"/>
          <w:spacing w:val="-3"/>
          <w:sz w:val="18"/>
        </w:rPr>
        <w:t>179-190.</w:t>
      </w:r>
    </w:p>
    <w:p>
      <w:pPr>
        <w:spacing w:line="264" w:lineRule="auto" w:before="56"/>
        <w:ind w:left="357" w:right="1551" w:firstLine="0"/>
        <w:jc w:val="right"/>
        <w:rPr>
          <w:sz w:val="18"/>
        </w:rPr>
      </w:pPr>
      <w:r>
        <w:rPr>
          <w:color w:val="231F20"/>
          <w:sz w:val="18"/>
        </w:rPr>
        <w:t>Baez R.U.A. (2000). Manual para el manejo de ganado</w:t>
      </w:r>
      <w:r>
        <w:rPr>
          <w:color w:val="231F20"/>
          <w:w w:val="101"/>
          <w:sz w:val="18"/>
        </w:rPr>
        <w:t> </w:t>
      </w:r>
      <w:r>
        <w:rPr>
          <w:color w:val="231F20"/>
          <w:sz w:val="18"/>
        </w:rPr>
        <w:t>bovino de doble propósito. INIFAP Produce,  México.</w:t>
      </w:r>
    </w:p>
    <w:p>
      <w:pPr>
        <w:spacing w:line="264" w:lineRule="auto" w:before="56"/>
        <w:ind w:left="696" w:right="1551" w:hanging="284"/>
        <w:jc w:val="both"/>
        <w:rPr>
          <w:sz w:val="18"/>
        </w:rPr>
      </w:pPr>
      <w:r>
        <w:rPr>
          <w:color w:val="231F20"/>
          <w:sz w:val="18"/>
        </w:rPr>
        <w:t>Bernués A., Riedel J.L., Asensio M.A., Blanco M., Sanz    A., Revilla R., </w:t>
      </w:r>
      <w:r>
        <w:rPr>
          <w:i/>
          <w:color w:val="231F20"/>
          <w:sz w:val="18"/>
        </w:rPr>
        <w:t>et al. </w:t>
      </w:r>
      <w:r>
        <w:rPr>
          <w:color w:val="231F20"/>
          <w:sz w:val="18"/>
        </w:rPr>
        <w:t>(2005). An integrated approach  to studying the role of grazing livestock systems in the conservation of rangelands in a protected</w:t>
      </w:r>
      <w:r>
        <w:rPr>
          <w:color w:val="231F20"/>
          <w:spacing w:val="-20"/>
          <w:sz w:val="18"/>
        </w:rPr>
        <w:t> </w:t>
      </w:r>
      <w:r>
        <w:rPr>
          <w:color w:val="231F20"/>
          <w:sz w:val="18"/>
        </w:rPr>
        <w:t>natural park (Sierra de Guara, Spain). </w:t>
      </w:r>
      <w:r>
        <w:rPr>
          <w:i/>
          <w:color w:val="231F20"/>
          <w:sz w:val="18"/>
        </w:rPr>
        <w:t>Livestock Production </w:t>
      </w:r>
      <w:r>
        <w:rPr>
          <w:i/>
          <w:color w:val="231F20"/>
          <w:sz w:val="18"/>
        </w:rPr>
        <w:t>Science,  </w:t>
      </w:r>
      <w:r>
        <w:rPr>
          <w:color w:val="231F20"/>
          <w:sz w:val="18"/>
        </w:rPr>
        <w:t>96  (1):  </w:t>
      </w:r>
      <w:r>
        <w:rPr>
          <w:color w:val="231F20"/>
          <w:spacing w:val="7"/>
          <w:sz w:val="18"/>
        </w:rPr>
        <w:t> </w:t>
      </w:r>
      <w:r>
        <w:rPr>
          <w:color w:val="231F20"/>
          <w:sz w:val="18"/>
        </w:rPr>
        <w:t>75-85.</w:t>
      </w:r>
    </w:p>
    <w:p>
      <w:pPr>
        <w:spacing w:line="264" w:lineRule="auto" w:before="56"/>
        <w:ind w:left="696" w:right="1551" w:hanging="284"/>
        <w:jc w:val="both"/>
        <w:rPr>
          <w:sz w:val="18"/>
        </w:rPr>
      </w:pPr>
      <w:r>
        <w:rPr>
          <w:color w:val="231F20"/>
          <w:sz w:val="18"/>
        </w:rPr>
        <w:t>Bitácora Mexiquence del bicentenario. (2010). Dispo- nible en línea en : </w:t>
      </w:r>
      <w:hyperlink r:id="rId275">
        <w:r>
          <w:rPr>
            <w:color w:val="231F20"/>
            <w:sz w:val="18"/>
          </w:rPr>
          <w:t>http://www.edomexico.gob.mx/</w:t>
        </w:r>
      </w:hyperlink>
      <w:r>
        <w:rPr>
          <w:color w:val="231F20"/>
          <w:sz w:val="18"/>
        </w:rPr>
        <w:t> bitacora/htm/10/0101.html</w:t>
      </w:r>
    </w:p>
    <w:p>
      <w:pPr>
        <w:spacing w:line="264" w:lineRule="auto" w:before="56"/>
        <w:ind w:left="696" w:right="1551" w:hanging="284"/>
        <w:jc w:val="both"/>
        <w:rPr>
          <w:sz w:val="18"/>
        </w:rPr>
      </w:pPr>
      <w:r>
        <w:rPr>
          <w:color w:val="231F20"/>
          <w:sz w:val="18"/>
        </w:rPr>
        <w:t>Campuzano de Nova C.  (2011).  Análisis  socioeconómi- co de las unidades de producción de ganado bovino en el municipio de Amatepec, Estado de México. Tesis de Licenciatura, Ingeniero Agrónomo Zootec- nista. Universidad Autónoma del Estado de México, México.</w:t>
      </w:r>
    </w:p>
    <w:p>
      <w:pPr>
        <w:spacing w:line="264" w:lineRule="auto" w:before="56"/>
        <w:ind w:left="696" w:right="1551" w:hanging="284"/>
        <w:jc w:val="both"/>
        <w:rPr>
          <w:sz w:val="18"/>
        </w:rPr>
      </w:pPr>
      <w:r>
        <w:rPr>
          <w:color w:val="231F20"/>
          <w:sz w:val="18"/>
        </w:rPr>
        <w:t>Canizal J.E., Rivera M.S.E. (2007). Situación actual de la ganadería bovina para abasto en México. Universi- dad Nacional Autónoma de México,  México.</w:t>
      </w:r>
    </w:p>
    <w:p>
      <w:pPr>
        <w:spacing w:line="264" w:lineRule="auto" w:before="56"/>
        <w:ind w:left="696" w:right="1551" w:hanging="284"/>
        <w:jc w:val="both"/>
        <w:rPr>
          <w:sz w:val="18"/>
        </w:rPr>
      </w:pPr>
      <w:r>
        <w:rPr>
          <w:color w:val="231F20"/>
          <w:sz w:val="18"/>
        </w:rPr>
        <w:t>COTECOCA (1999). Comisión Técnico Consultiva de Coeficientes de Agostadero. Estudio de manejo y re- habilitación de áreas de agostaderos en los ejidos de Benito Juárez y San Cristóbal, Almoloya de Juárez, México. Secretaría de Agricultura, Ganadería y Desa- rrollo Rural, México.</w:t>
      </w:r>
    </w:p>
    <w:p>
      <w:pPr>
        <w:spacing w:after="0" w:line="264"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320" w:val="left" w:leader="none"/>
        </w:tabs>
        <w:spacing w:before="64"/>
        <w:ind w:left="1551" w:right="0" w:firstLine="0"/>
        <w:jc w:val="left"/>
        <w:rPr>
          <w:sz w:val="12"/>
        </w:rPr>
      </w:pPr>
      <w:r>
        <w:rPr>
          <w:color w:val="231F20"/>
          <w:spacing w:val="-5"/>
          <w:w w:val="120"/>
          <w:sz w:val="22"/>
        </w:rPr>
        <w:t>136</w:t>
        <w:tab/>
      </w:r>
      <w:r>
        <w:rPr>
          <w:color w:val="231F20"/>
          <w:w w:val="120"/>
          <w:sz w:val="18"/>
        </w:rPr>
        <w:t>SECCIÓN 2.  C. S</w:t>
      </w:r>
      <w:r>
        <w:rPr>
          <w:color w:val="231F20"/>
          <w:w w:val="120"/>
          <w:sz w:val="12"/>
        </w:rPr>
        <w:t>iStemaS  de  bovinoS  produCtoreS  de</w:t>
      </w:r>
      <w:r>
        <w:rPr>
          <w:color w:val="231F20"/>
          <w:spacing w:val="-2"/>
          <w:w w:val="120"/>
          <w:sz w:val="12"/>
        </w:rPr>
        <w:t> </w:t>
      </w:r>
      <w:r>
        <w:rPr>
          <w:color w:val="231F20"/>
          <w:w w:val="120"/>
          <w:sz w:val="12"/>
        </w:rPr>
        <w:t>Carne</w:t>
      </w:r>
    </w:p>
    <w:p>
      <w:pPr>
        <w:pStyle w:val="BodyText"/>
        <w:spacing w:before="10"/>
        <w:rPr>
          <w:sz w:val="22"/>
        </w:rPr>
      </w:pPr>
    </w:p>
    <w:p>
      <w:pPr>
        <w:spacing w:after="0"/>
        <w:rPr>
          <w:sz w:val="22"/>
        </w:rPr>
        <w:sectPr>
          <w:pgSz w:w="11900" w:h="14450"/>
          <w:pgMar w:header="0" w:footer="222" w:top="420" w:bottom="420" w:left="0" w:right="0"/>
        </w:sectPr>
      </w:pPr>
    </w:p>
    <w:p>
      <w:pPr>
        <w:spacing w:line="266" w:lineRule="auto" w:before="70"/>
        <w:ind w:left="1837" w:right="0" w:hanging="284"/>
        <w:jc w:val="both"/>
        <w:rPr>
          <w:sz w:val="18"/>
        </w:rPr>
      </w:pPr>
      <w:r>
        <w:rPr>
          <w:color w:val="231F20"/>
          <w:sz w:val="18"/>
        </w:rPr>
        <w:t>De la Fuente H.J. (1989). Bonanza y crisis de la ganade- ría nacional. Subdirección de Investigación de la Di- rección General Académica, Universidad Autónoma del Estado de Chapingo,  México.</w:t>
      </w:r>
    </w:p>
    <w:p>
      <w:pPr>
        <w:spacing w:line="266" w:lineRule="auto" w:before="57"/>
        <w:ind w:left="1837" w:right="0" w:hanging="284"/>
        <w:jc w:val="both"/>
        <w:rPr>
          <w:sz w:val="18"/>
        </w:rPr>
      </w:pPr>
      <w:r>
        <w:rPr>
          <w:color w:val="231F20"/>
          <w:sz w:val="18"/>
        </w:rPr>
        <w:t>Esparza-Jiménez S. (2009). Análisis de costos de pro- ducción y rentabilidad de la lechería en pequeña escala en el municipio de Zacazonapan, Estado de México. Tesis de Licenciatura, Ingeniero Agrónomo Zootecnista. Centro Universitario UAEM Temascalte- pec, México.</w:t>
      </w:r>
    </w:p>
    <w:p>
      <w:pPr>
        <w:spacing w:line="266" w:lineRule="auto" w:before="57"/>
        <w:ind w:left="1837" w:right="0" w:hanging="284"/>
        <w:jc w:val="both"/>
        <w:rPr>
          <w:sz w:val="18"/>
        </w:rPr>
      </w:pPr>
      <w:r>
        <w:rPr>
          <w:color w:val="231F20"/>
          <w:sz w:val="18"/>
        </w:rPr>
        <w:t>Eutimio-José A.R. (2010). Costos de producción de bo- vinos de carne engordados en corral en el municipio de Amatepec, Estado de México. Tesis de Licenciatu- ra, Ingeniero Agrónomo Zootecnista. Centro Univer- sitario UAEM Temascaltepec, México.</w:t>
      </w:r>
    </w:p>
    <w:p>
      <w:pPr>
        <w:spacing w:line="266" w:lineRule="auto" w:before="57"/>
        <w:ind w:left="1837" w:right="0" w:hanging="284"/>
        <w:jc w:val="both"/>
        <w:rPr>
          <w:sz w:val="18"/>
        </w:rPr>
      </w:pPr>
      <w:r>
        <w:rPr>
          <w:color w:val="231F20"/>
          <w:sz w:val="18"/>
        </w:rPr>
        <w:t>Flores-Cardoso J.M. (2011). Descripción del sistema de ganado bovino actual en el municipio de Tlatlaya, Estado de México. Tesis de Licenciatura, Ingeniero Agrónomo Zootecnista. Centro Universitario UAEM Temascaltepec, México.</w:t>
      </w:r>
    </w:p>
    <w:p>
      <w:pPr>
        <w:spacing w:line="266" w:lineRule="auto" w:before="57"/>
        <w:ind w:left="1837" w:right="0" w:hanging="284"/>
        <w:jc w:val="both"/>
        <w:rPr>
          <w:sz w:val="18"/>
        </w:rPr>
      </w:pPr>
      <w:r>
        <w:rPr>
          <w:color w:val="231F20"/>
          <w:sz w:val="18"/>
        </w:rPr>
        <w:t>García-Martínez A. (2008). Dinámica reciente de los sistemas de vacuno en el Pirineo Central y evalua- ción de sus posibilidades de adaptación al entorno</w:t>
      </w:r>
      <w:r>
        <w:rPr>
          <w:color w:val="231F20"/>
          <w:w w:val="98"/>
          <w:sz w:val="18"/>
        </w:rPr>
        <w:t> </w:t>
      </w:r>
      <w:r>
        <w:rPr>
          <w:color w:val="231F20"/>
          <w:sz w:val="18"/>
        </w:rPr>
        <w:t>socio-económico. Tesis Doctoral. Universidad de Za- ragoza, España.</w:t>
      </w:r>
    </w:p>
    <w:p>
      <w:pPr>
        <w:spacing w:line="266" w:lineRule="auto" w:before="57"/>
        <w:ind w:left="1837" w:right="0" w:hanging="284"/>
        <w:jc w:val="both"/>
        <w:rPr>
          <w:sz w:val="18"/>
        </w:rPr>
      </w:pPr>
      <w:r>
        <w:rPr>
          <w:color w:val="231F20"/>
          <w:sz w:val="18"/>
        </w:rPr>
        <w:t>García-Martínez A., Piedra M.R., Hernández D.G., Con- treras H.R., Flores C.M., Rebollar R.S, </w:t>
      </w:r>
      <w:r>
        <w:rPr>
          <w:i/>
          <w:color w:val="231F20"/>
          <w:sz w:val="18"/>
        </w:rPr>
        <w:t>et al. </w:t>
      </w:r>
      <w:r>
        <w:rPr>
          <w:color w:val="231F20"/>
          <w:sz w:val="18"/>
        </w:rPr>
        <w:t>(2009). Los sistemas de ganado bovino en el Municipio de Tejupilco. Estado de México. Tipificación de unida- des de producción. En: Cavalloti A.B., Vázquez F.C., Álvarez M, Ramírez V.B., editores. Ganadería y segu- ridad alimentaria en tiempos de crisis. Universidad</w:t>
      </w:r>
      <w:r>
        <w:rPr>
          <w:color w:val="231F20"/>
          <w:w w:val="100"/>
          <w:sz w:val="18"/>
        </w:rPr>
        <w:t> </w:t>
      </w:r>
      <w:r>
        <w:rPr>
          <w:color w:val="231F20"/>
          <w:sz w:val="18"/>
        </w:rPr>
        <w:t>Autónoma de Chapingo, Mèxico. pp.   279-290.</w:t>
      </w:r>
    </w:p>
    <w:p>
      <w:pPr>
        <w:spacing w:line="266" w:lineRule="auto" w:before="57"/>
        <w:ind w:left="1837" w:right="0" w:hanging="284"/>
        <w:jc w:val="both"/>
        <w:rPr>
          <w:sz w:val="18"/>
        </w:rPr>
      </w:pPr>
      <w:r>
        <w:rPr>
          <w:color w:val="231F20"/>
          <w:sz w:val="18"/>
        </w:rPr>
        <w:t>García-Martínez A., Piedra-Matías R., Hernández-Dimas G., Hernández M.J., Rebollar R.S., Avilés </w:t>
      </w:r>
      <w:r>
        <w:rPr>
          <w:color w:val="231F20"/>
          <w:spacing w:val="-3"/>
          <w:sz w:val="18"/>
        </w:rPr>
        <w:t>N.F., </w:t>
      </w:r>
      <w:r>
        <w:rPr>
          <w:i/>
          <w:color w:val="231F20"/>
          <w:sz w:val="18"/>
        </w:rPr>
        <w:t>et al. </w:t>
      </w:r>
      <w:r>
        <w:rPr>
          <w:color w:val="231F20"/>
          <w:spacing w:val="-3"/>
          <w:sz w:val="18"/>
        </w:rPr>
        <w:t>(2011). </w:t>
      </w:r>
      <w:r>
        <w:rPr>
          <w:color w:val="231F20"/>
          <w:sz w:val="18"/>
        </w:rPr>
        <w:t>Los sistemas de ganado bovino en el mu- nicipio de Tlatlaya. Situación económica actual. En: Cavallotti-Vázquez B.A., Ramírez-Valverde B., Martí- nez-Castañeda </w:t>
      </w:r>
      <w:r>
        <w:rPr>
          <w:color w:val="231F20"/>
          <w:spacing w:val="-3"/>
          <w:sz w:val="18"/>
        </w:rPr>
        <w:t>F.E., </w:t>
      </w:r>
      <w:r>
        <w:rPr>
          <w:color w:val="231F20"/>
          <w:sz w:val="18"/>
        </w:rPr>
        <w:t>Marcof-Álvarez </w:t>
      </w:r>
      <w:r>
        <w:rPr>
          <w:color w:val="231F20"/>
          <w:spacing w:val="-3"/>
          <w:sz w:val="18"/>
        </w:rPr>
        <w:t>C.F., </w:t>
      </w:r>
      <w:r>
        <w:rPr>
          <w:color w:val="231F20"/>
          <w:sz w:val="18"/>
        </w:rPr>
        <w:t>Cesín-Vargas A., editores. La ganadería ante el agotamiento de los paradigmas dominantes. Universidad Autónoma de Chapingo, México. </w:t>
      </w:r>
      <w:r>
        <w:rPr>
          <w:color w:val="231F20"/>
          <w:spacing w:val="-3"/>
          <w:sz w:val="18"/>
        </w:rPr>
        <w:t>Vol.  </w:t>
      </w:r>
      <w:r>
        <w:rPr>
          <w:color w:val="231F20"/>
          <w:sz w:val="18"/>
        </w:rPr>
        <w:t>2. pp.   </w:t>
      </w:r>
      <w:r>
        <w:rPr>
          <w:color w:val="231F20"/>
          <w:spacing w:val="-3"/>
          <w:sz w:val="18"/>
        </w:rPr>
        <w:t>219-231.</w:t>
      </w:r>
    </w:p>
    <w:p>
      <w:pPr>
        <w:spacing w:line="266" w:lineRule="auto" w:before="57"/>
        <w:ind w:left="1837" w:right="0" w:hanging="284"/>
        <w:jc w:val="both"/>
        <w:rPr>
          <w:sz w:val="18"/>
        </w:rPr>
      </w:pPr>
      <w:r>
        <w:rPr>
          <w:color w:val="231F20"/>
          <w:sz w:val="18"/>
        </w:rPr>
        <w:t>Gibon A., Balent G., Alard D., Muntane J., Raich </w:t>
      </w:r>
      <w:r>
        <w:rPr>
          <w:color w:val="231F20"/>
          <w:spacing w:val="-5"/>
          <w:sz w:val="18"/>
        </w:rPr>
        <w:t>Y., </w:t>
      </w:r>
      <w:r>
        <w:rPr>
          <w:color w:val="231F20"/>
          <w:sz w:val="18"/>
        </w:rPr>
        <w:t>Ladet S.,  </w:t>
      </w:r>
      <w:r>
        <w:rPr>
          <w:i/>
          <w:color w:val="231F20"/>
          <w:sz w:val="18"/>
        </w:rPr>
        <w:t>et  al.  </w:t>
      </w:r>
      <w:r>
        <w:rPr>
          <w:color w:val="231F20"/>
          <w:sz w:val="18"/>
        </w:rPr>
        <w:t>(2004).  </w:t>
      </w:r>
      <w:r>
        <w:rPr>
          <w:color w:val="231F20"/>
          <w:spacing w:val="-5"/>
          <w:sz w:val="18"/>
        </w:rPr>
        <w:t>L’age  </w:t>
      </w:r>
      <w:r>
        <w:rPr>
          <w:color w:val="231F20"/>
          <w:sz w:val="18"/>
        </w:rPr>
        <w:t>de  l’espace  par  les   exploi-</w:t>
      </w:r>
    </w:p>
    <w:p>
      <w:pPr>
        <w:spacing w:line="264" w:lineRule="auto" w:before="70"/>
        <w:ind w:left="696" w:right="1446" w:firstLine="0"/>
        <w:jc w:val="left"/>
        <w:rPr>
          <w:sz w:val="18"/>
        </w:rPr>
      </w:pPr>
      <w:r>
        <w:rPr/>
        <w:br w:type="column"/>
      </w:r>
      <w:r>
        <w:rPr>
          <w:color w:val="231F20"/>
          <w:sz w:val="18"/>
        </w:rPr>
        <w:t>tations d’elevage de montagne et la gestion de la biodiversité.  </w:t>
      </w:r>
      <w:r>
        <w:rPr>
          <w:i/>
          <w:color w:val="231F20"/>
          <w:sz w:val="18"/>
        </w:rPr>
        <w:t>Fourrages,  </w:t>
      </w:r>
      <w:r>
        <w:rPr>
          <w:color w:val="231F20"/>
          <w:sz w:val="18"/>
        </w:rPr>
        <w:t>(178):   245-263.</w:t>
      </w:r>
    </w:p>
    <w:p>
      <w:pPr>
        <w:spacing w:line="264" w:lineRule="auto" w:before="55"/>
        <w:ind w:left="696" w:right="1551" w:hanging="284"/>
        <w:jc w:val="both"/>
        <w:rPr>
          <w:sz w:val="18"/>
        </w:rPr>
      </w:pPr>
      <w:r>
        <w:rPr>
          <w:color w:val="231F20"/>
          <w:sz w:val="18"/>
        </w:rPr>
        <w:t>Hernández M.J., Rebollar R.S., Rojo R.R., Albarrán </w:t>
      </w:r>
      <w:r>
        <w:rPr>
          <w:color w:val="231F20"/>
          <w:spacing w:val="-3"/>
          <w:sz w:val="18"/>
        </w:rPr>
        <w:t>P.B., </w:t>
      </w:r>
      <w:r>
        <w:rPr>
          <w:color w:val="231F20"/>
          <w:sz w:val="18"/>
        </w:rPr>
        <w:t>González </w:t>
      </w:r>
      <w:r>
        <w:rPr>
          <w:color w:val="231F20"/>
          <w:spacing w:val="-3"/>
          <w:sz w:val="18"/>
        </w:rPr>
        <w:t>R.F.J., </w:t>
      </w:r>
      <w:r>
        <w:rPr>
          <w:color w:val="231F20"/>
          <w:sz w:val="18"/>
        </w:rPr>
        <w:t>Guzmán S.E. (2008). La cadena productiva de ganado bovino en el sur del Estado   de México. LXIV Reunión Nacional de Investigación Pecuaria. Mérida,</w:t>
      </w:r>
      <w:r>
        <w:rPr>
          <w:color w:val="231F20"/>
          <w:spacing w:val="-28"/>
          <w:sz w:val="18"/>
        </w:rPr>
        <w:t> </w:t>
      </w:r>
      <w:r>
        <w:rPr>
          <w:color w:val="231F20"/>
          <w:sz w:val="18"/>
        </w:rPr>
        <w:t>Yucatán.</w:t>
      </w:r>
    </w:p>
    <w:p>
      <w:pPr>
        <w:spacing w:line="264" w:lineRule="auto" w:before="55"/>
        <w:ind w:left="696" w:right="1551" w:hanging="284"/>
        <w:jc w:val="both"/>
        <w:rPr>
          <w:sz w:val="18"/>
        </w:rPr>
      </w:pPr>
      <w:r>
        <w:rPr>
          <w:color w:val="231F20"/>
          <w:sz w:val="18"/>
        </w:rPr>
        <w:t>Hernández S.R., Fernández C.C., Baptista L.P. (2004). Metodología de la investigación. 3ª ed. McGraw-Hill Interamericana, México. 705 p.</w:t>
      </w:r>
    </w:p>
    <w:p>
      <w:pPr>
        <w:spacing w:line="264" w:lineRule="auto" w:before="55"/>
        <w:ind w:left="696" w:right="1551" w:hanging="284"/>
        <w:jc w:val="both"/>
        <w:rPr>
          <w:sz w:val="18"/>
        </w:rPr>
      </w:pPr>
      <w:r>
        <w:rPr>
          <w:color w:val="231F20"/>
          <w:sz w:val="18"/>
        </w:rPr>
        <w:t>INEGI (2009). Censo agrícola, ganadero y forestal 2007. Instituto Nacional de Estadística, Geografía e Infor- mática. Disponible en línea en: http://www.inegi. org.mx/est/contenidos/proyectos/agro/default.aspx (25  de  junio  de  2012.)</w:t>
      </w:r>
    </w:p>
    <w:p>
      <w:pPr>
        <w:spacing w:line="264" w:lineRule="auto" w:before="55"/>
        <w:ind w:left="696" w:right="1535" w:hanging="284"/>
        <w:jc w:val="both"/>
        <w:rPr>
          <w:sz w:val="18"/>
        </w:rPr>
      </w:pPr>
      <w:r>
        <w:rPr>
          <w:color w:val="231F20"/>
          <w:sz w:val="18"/>
        </w:rPr>
        <w:t>INEGI </w:t>
      </w:r>
      <w:r>
        <w:rPr>
          <w:color w:val="231F20"/>
          <w:spacing w:val="-3"/>
          <w:sz w:val="18"/>
        </w:rPr>
        <w:t>(2010). </w:t>
      </w:r>
      <w:r>
        <w:rPr>
          <w:color w:val="231F20"/>
          <w:sz w:val="18"/>
        </w:rPr>
        <w:t>Instituto Nacional de Estadística, Geo-  grafía e Informática. Disponible en línea en: http:// </w:t>
      </w:r>
      <w:hyperlink r:id="rId276">
        <w:r>
          <w:rPr>
            <w:color w:val="231F20"/>
            <w:spacing w:val="8"/>
            <w:sz w:val="18"/>
          </w:rPr>
          <w:t>www.</w:t>
        </w:r>
        <w:r>
          <w:rPr>
            <w:color w:val="231F20"/>
            <w:spacing w:val="-29"/>
            <w:sz w:val="18"/>
          </w:rPr>
          <w:t> </w:t>
        </w:r>
        <w:r>
          <w:rPr>
            <w:color w:val="231F20"/>
            <w:spacing w:val="12"/>
            <w:sz w:val="18"/>
          </w:rPr>
          <w:t>inegi.</w:t>
        </w:r>
        <w:r>
          <w:rPr>
            <w:color w:val="231F20"/>
            <w:spacing w:val="-29"/>
            <w:sz w:val="18"/>
          </w:rPr>
          <w:t> </w:t>
        </w:r>
        <w:r>
          <w:rPr>
            <w:color w:val="231F20"/>
            <w:spacing w:val="13"/>
            <w:sz w:val="18"/>
          </w:rPr>
          <w:t>org.mx/inegi/default.aspx?</w:t>
        </w:r>
        <w:r>
          <w:rPr>
            <w:color w:val="231F20"/>
            <w:spacing w:val="-29"/>
            <w:sz w:val="18"/>
          </w:rPr>
          <w:t> </w:t>
        </w:r>
        <w:r>
          <w:rPr>
            <w:color w:val="231F20"/>
            <w:spacing w:val="14"/>
            <w:sz w:val="18"/>
          </w:rPr>
          <w:t>s=est&amp;</w:t>
        </w:r>
      </w:hyperlink>
      <w:r>
        <w:rPr>
          <w:color w:val="231F20"/>
          <w:spacing w:val="14"/>
          <w:sz w:val="18"/>
        </w:rPr>
        <w:t> </w:t>
      </w:r>
      <w:r>
        <w:rPr>
          <w:color w:val="231F20"/>
          <w:sz w:val="18"/>
        </w:rPr>
        <w:t>c=12302&amp;e=&amp;i=  (Datos  de  2005.  Abril  de  </w:t>
      </w:r>
      <w:r>
        <w:rPr>
          <w:color w:val="231F20"/>
          <w:spacing w:val="24"/>
          <w:sz w:val="18"/>
        </w:rPr>
        <w:t> </w:t>
      </w:r>
      <w:r>
        <w:rPr>
          <w:color w:val="231F20"/>
          <w:spacing w:val="-4"/>
          <w:sz w:val="18"/>
        </w:rPr>
        <w:t>2010.)</w:t>
      </w:r>
    </w:p>
    <w:p>
      <w:pPr>
        <w:spacing w:line="264" w:lineRule="auto" w:before="55"/>
        <w:ind w:left="696" w:right="1551" w:hanging="284"/>
        <w:jc w:val="both"/>
        <w:rPr>
          <w:sz w:val="18"/>
        </w:rPr>
      </w:pPr>
      <w:r>
        <w:rPr>
          <w:color w:val="231F20"/>
          <w:sz w:val="18"/>
        </w:rPr>
        <w:t>INEGI (2011). Censo general de poblacion y vivienda. Instituto Nacional de Estadística, Geografía e Infor- mática. Disponible en línea en: </w:t>
      </w:r>
      <w:hyperlink r:id="rId277">
        <w:r>
          <w:rPr>
            <w:color w:val="231F20"/>
            <w:sz w:val="18"/>
          </w:rPr>
          <w:t>www.inegi.mx</w:t>
        </w:r>
      </w:hyperlink>
      <w:r>
        <w:rPr>
          <w:color w:val="231F20"/>
          <w:sz w:val="18"/>
        </w:rPr>
        <w:t> (julio de   2011.)</w:t>
      </w:r>
    </w:p>
    <w:p>
      <w:pPr>
        <w:spacing w:line="264" w:lineRule="auto" w:before="55"/>
        <w:ind w:left="696" w:right="1551" w:hanging="284"/>
        <w:jc w:val="both"/>
        <w:rPr>
          <w:sz w:val="18"/>
        </w:rPr>
      </w:pPr>
      <w:r>
        <w:rPr>
          <w:color w:val="231F20"/>
          <w:sz w:val="18"/>
        </w:rPr>
        <w:t>INIFAP (2002). Manejo del ganado bovino de doble propósito en el trópico. Instituto Nacional de Investi- gaciones Forestales, Agrícolas y Pecuarias. Centro de Investigación Regional Golfo Centro. Campo experi- mental La Posta. SAGARPA, México. 184   p.</w:t>
      </w:r>
    </w:p>
    <w:p>
      <w:pPr>
        <w:spacing w:line="264" w:lineRule="auto" w:before="55"/>
        <w:ind w:left="696" w:right="1551" w:hanging="284"/>
        <w:jc w:val="both"/>
        <w:rPr>
          <w:sz w:val="18"/>
        </w:rPr>
      </w:pPr>
      <w:r>
        <w:rPr>
          <w:color w:val="231F20"/>
          <w:sz w:val="18"/>
        </w:rPr>
        <w:t>Laurent C., Maxime F., Mazé A., Tichit M. (2003). Multi- functionality of agriculture and farm models. </w:t>
      </w:r>
      <w:r>
        <w:rPr>
          <w:i/>
          <w:color w:val="231F20"/>
          <w:sz w:val="18"/>
        </w:rPr>
        <w:t>Econo- </w:t>
      </w:r>
      <w:r>
        <w:rPr>
          <w:i/>
          <w:color w:val="231F20"/>
          <w:sz w:val="18"/>
        </w:rPr>
        <w:t>mie   Rurale,   </w:t>
      </w:r>
      <w:r>
        <w:rPr>
          <w:color w:val="231F20"/>
          <w:sz w:val="18"/>
        </w:rPr>
        <w:t>273/274:  134-152.</w:t>
      </w:r>
    </w:p>
    <w:p>
      <w:pPr>
        <w:spacing w:line="264" w:lineRule="auto" w:before="55"/>
        <w:ind w:left="696" w:right="1551" w:hanging="284"/>
        <w:jc w:val="both"/>
        <w:rPr>
          <w:sz w:val="18"/>
        </w:rPr>
      </w:pPr>
      <w:r>
        <w:rPr>
          <w:color w:val="231F20"/>
          <w:sz w:val="18"/>
        </w:rPr>
        <w:t>Macedo R., Galina M.A., Zorrilla J.M., Palma J.M., Pé- rez-Guerrero J. (2003). Análisis de un sistema de producción tradicional en Colima, México. </w:t>
      </w:r>
      <w:r>
        <w:rPr>
          <w:i/>
          <w:color w:val="231F20"/>
          <w:sz w:val="18"/>
        </w:rPr>
        <w:t>Archivos </w:t>
      </w:r>
      <w:r>
        <w:rPr>
          <w:i/>
          <w:color w:val="231F20"/>
          <w:sz w:val="18"/>
        </w:rPr>
        <w:t>de  Zootecnia,  </w:t>
      </w:r>
      <w:r>
        <w:rPr>
          <w:color w:val="231F20"/>
          <w:sz w:val="18"/>
        </w:rPr>
        <w:t>52:  463-474.</w:t>
      </w:r>
    </w:p>
    <w:p>
      <w:pPr>
        <w:spacing w:line="264" w:lineRule="auto" w:before="55"/>
        <w:ind w:left="696" w:right="1551" w:hanging="284"/>
        <w:jc w:val="both"/>
        <w:rPr>
          <w:sz w:val="18"/>
        </w:rPr>
      </w:pPr>
      <w:r>
        <w:rPr>
          <w:color w:val="231F20"/>
          <w:sz w:val="18"/>
        </w:rPr>
        <w:t>Magaña-Monforte J.G., Ríos-Arjona G., Martínez-Gonzá- </w:t>
      </w:r>
      <w:r>
        <w:rPr>
          <w:color w:val="231F20"/>
          <w:w w:val="105"/>
          <w:sz w:val="18"/>
        </w:rPr>
        <w:t>lez J.C. (2006). Los sistemas de doble propósito y los desafíos en los climas tropicales de México. </w:t>
      </w:r>
      <w:r>
        <w:rPr>
          <w:i/>
          <w:color w:val="231F20"/>
          <w:w w:val="105"/>
          <w:sz w:val="18"/>
        </w:rPr>
        <w:t>Ar- </w:t>
      </w:r>
      <w:r>
        <w:rPr>
          <w:i/>
          <w:color w:val="231F20"/>
          <w:w w:val="105"/>
          <w:sz w:val="18"/>
        </w:rPr>
        <w:t>chivos Latinoamericanos de Produccion Animal, </w:t>
      </w:r>
      <w:r>
        <w:rPr>
          <w:color w:val="231F20"/>
          <w:w w:val="105"/>
          <w:sz w:val="18"/>
        </w:rPr>
        <w:t>14 (3):  105-114.</w:t>
      </w:r>
    </w:p>
    <w:p>
      <w:pPr>
        <w:spacing w:line="264" w:lineRule="auto" w:before="55"/>
        <w:ind w:left="696" w:right="1551" w:hanging="284"/>
        <w:jc w:val="both"/>
        <w:rPr>
          <w:sz w:val="18"/>
        </w:rPr>
      </w:pPr>
      <w:r>
        <w:rPr>
          <w:color w:val="231F20"/>
          <w:sz w:val="18"/>
        </w:rPr>
        <w:t>Olaizola A. </w:t>
      </w:r>
      <w:r>
        <w:rPr>
          <w:color w:val="231F20"/>
          <w:spacing w:val="-3"/>
          <w:sz w:val="18"/>
        </w:rPr>
        <w:t>(1991). </w:t>
      </w:r>
      <w:r>
        <w:rPr>
          <w:color w:val="231F20"/>
          <w:sz w:val="18"/>
        </w:rPr>
        <w:t>Viabilidad económica de sistemas ganaderos de montaña en condiciones de compe- tencia en el uso de  factores  productivos.  Análisis  de la ganadería en un Valle Pirenaico   </w:t>
      </w:r>
      <w:r>
        <w:rPr>
          <w:color w:val="231F20"/>
          <w:spacing w:val="37"/>
          <w:sz w:val="18"/>
        </w:rPr>
        <w:t> </w:t>
      </w:r>
      <w:r>
        <w:rPr>
          <w:color w:val="231F20"/>
          <w:sz w:val="18"/>
        </w:rPr>
        <w:t>característico</w:t>
      </w:r>
    </w:p>
    <w:p>
      <w:pPr>
        <w:spacing w:after="0" w:line="264"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8.     </w:t>
      </w:r>
      <w:r>
        <w:rPr>
          <w:color w:val="231F20"/>
          <w:spacing w:val="25"/>
          <w:sz w:val="18"/>
        </w:rPr>
        <w:t> </w:t>
      </w:r>
      <w:r>
        <w:rPr>
          <w:color w:val="231F20"/>
          <w:sz w:val="18"/>
        </w:rPr>
        <w:t>La producción de bovinos para carne y su importancia en el desarrollo</w:t>
      </w:r>
      <w:r>
        <w:rPr>
          <w:color w:val="231F20"/>
          <w:spacing w:val="13"/>
          <w:sz w:val="18"/>
        </w:rPr>
        <w:t> </w:t>
      </w:r>
      <w:r>
        <w:rPr>
          <w:color w:val="231F20"/>
          <w:sz w:val="18"/>
        </w:rPr>
        <w:t>rural…</w:t>
      </w:r>
      <w:r>
        <w:rPr>
          <w:color w:val="231F20"/>
          <w:sz w:val="22"/>
        </w:rPr>
        <w:tab/>
      </w:r>
      <w:r>
        <w:rPr>
          <w:color w:val="231F20"/>
          <w:spacing w:val="-5"/>
          <w:sz w:val="22"/>
        </w:rPr>
        <w:t>137</w:t>
      </w:r>
    </w:p>
    <w:p>
      <w:pPr>
        <w:spacing w:after="0"/>
        <w:jc w:val="left"/>
        <w:rPr>
          <w:sz w:val="22"/>
        </w:rPr>
        <w:sectPr>
          <w:pgSz w:w="11900" w:h="14450"/>
          <w:pgMar w:header="0" w:footer="222" w:top="420" w:bottom="420" w:left="0" w:right="0"/>
        </w:sectPr>
      </w:pPr>
    </w:p>
    <w:p>
      <w:pPr>
        <w:pStyle w:val="BodyText"/>
        <w:rPr>
          <w:sz w:val="18"/>
        </w:rPr>
      </w:pPr>
    </w:p>
    <w:p>
      <w:pPr>
        <w:spacing w:line="266" w:lineRule="auto" w:before="129"/>
        <w:ind w:left="1837" w:right="1" w:firstLine="0"/>
        <w:jc w:val="both"/>
        <w:rPr>
          <w:sz w:val="18"/>
        </w:rPr>
      </w:pPr>
      <w:r>
        <w:rPr>
          <w:color w:val="231F20"/>
          <w:sz w:val="18"/>
        </w:rPr>
        <w:t>mediante técnicas multivariantes y de optimización. Tesis Doctoral. Universidad de Zaragoza,  España.</w:t>
      </w:r>
    </w:p>
    <w:p>
      <w:pPr>
        <w:spacing w:line="266" w:lineRule="auto" w:before="56"/>
        <w:ind w:left="1837" w:right="1" w:hanging="284"/>
        <w:jc w:val="both"/>
        <w:rPr>
          <w:sz w:val="18"/>
        </w:rPr>
      </w:pPr>
      <w:r>
        <w:rPr>
          <w:color w:val="231F20"/>
          <w:sz w:val="18"/>
        </w:rPr>
        <w:t>Olaizola A., Gibon A. (1997). Bases teóricas y metodoló- gicas para el estudio de las unidades de producción ganaderas y sus relaciones con el espacio. La orien- tación de la escuela francesa  de  sistemistas. </w:t>
      </w:r>
      <w:r>
        <w:rPr>
          <w:i/>
          <w:color w:val="231F20"/>
          <w:sz w:val="18"/>
        </w:rPr>
        <w:t>ITEA, </w:t>
      </w:r>
      <w:r>
        <w:rPr>
          <w:color w:val="231F20"/>
          <w:sz w:val="18"/>
        </w:rPr>
        <w:t>93   (1):  17-39.</w:t>
      </w:r>
    </w:p>
    <w:p>
      <w:pPr>
        <w:spacing w:line="266" w:lineRule="auto" w:before="56"/>
        <w:ind w:left="1837" w:right="0" w:hanging="284"/>
        <w:jc w:val="both"/>
        <w:rPr>
          <w:sz w:val="18"/>
        </w:rPr>
      </w:pPr>
      <w:r>
        <w:rPr>
          <w:color w:val="231F20"/>
          <w:sz w:val="18"/>
        </w:rPr>
        <w:t>Ortiz R.A., García-Martínez A., Rojo R.R., Esparza J.S., Albarrán-Portillo B. (2010). Caracterización socio- económica del sistema de producción bovino en Zacazonapan, Estado de México. En: Cavallotti-Váz- quez B.A., Marcof-Álvarez C.F., Ramírez-Valverde B., editores. La ganadería y su contribución al desarrollo territorial. México. pp. 191-201</w:t>
      </w:r>
    </w:p>
    <w:p>
      <w:pPr>
        <w:spacing w:line="266" w:lineRule="auto" w:before="56"/>
        <w:ind w:left="1837" w:right="1" w:hanging="284"/>
        <w:jc w:val="both"/>
        <w:rPr>
          <w:sz w:val="18"/>
        </w:rPr>
      </w:pPr>
      <w:r>
        <w:rPr>
          <w:color w:val="231F20"/>
          <w:sz w:val="18"/>
        </w:rPr>
        <w:t>Pech M.V., Santos F.J., Montes P.R. (2004). Función de producción de la ganadería de doble propósito en la zona oriente del Estado de Yucatán, México. </w:t>
      </w:r>
      <w:r>
        <w:rPr>
          <w:i/>
          <w:color w:val="231F20"/>
          <w:sz w:val="18"/>
        </w:rPr>
        <w:t>Técnica </w:t>
      </w:r>
      <w:r>
        <w:rPr>
          <w:i/>
          <w:color w:val="231F20"/>
          <w:sz w:val="18"/>
        </w:rPr>
        <w:t>Pecuaria  México,  </w:t>
      </w:r>
      <w:r>
        <w:rPr>
          <w:color w:val="231F20"/>
          <w:sz w:val="18"/>
        </w:rPr>
        <w:t>40  (2):  187-192.</w:t>
      </w:r>
    </w:p>
    <w:p>
      <w:pPr>
        <w:spacing w:line="266" w:lineRule="auto" w:before="56"/>
        <w:ind w:left="1837" w:right="1" w:hanging="284"/>
        <w:jc w:val="both"/>
        <w:rPr>
          <w:sz w:val="18"/>
        </w:rPr>
      </w:pPr>
      <w:r>
        <w:rPr>
          <w:color w:val="231F20"/>
          <w:sz w:val="18"/>
        </w:rPr>
        <w:t>Piedra-Matías R., Hernández-Dimas G., Albarrán-Porti- llo B., Rebollar R.S., García-Martínez A. </w:t>
      </w:r>
      <w:r>
        <w:rPr>
          <w:color w:val="231F20"/>
          <w:spacing w:val="-3"/>
          <w:sz w:val="18"/>
        </w:rPr>
        <w:t>(2011). </w:t>
      </w:r>
      <w:r>
        <w:rPr>
          <w:color w:val="231F20"/>
          <w:sz w:val="18"/>
        </w:rPr>
        <w:t>Ti- pología de las explotaciones de ganado bovino en    el Municipio de Tejupilco, Estado de México. En: Cavallotti-Vázquez B.A., Ramírez-Valverde B., Martí- nez-Castañeda </w:t>
      </w:r>
      <w:r>
        <w:rPr>
          <w:color w:val="231F20"/>
          <w:spacing w:val="-3"/>
          <w:sz w:val="18"/>
        </w:rPr>
        <w:t>F.E., </w:t>
      </w:r>
      <w:r>
        <w:rPr>
          <w:color w:val="231F20"/>
          <w:sz w:val="18"/>
        </w:rPr>
        <w:t>Marcof-Álvarez </w:t>
      </w:r>
      <w:r>
        <w:rPr>
          <w:color w:val="231F20"/>
          <w:spacing w:val="-3"/>
          <w:sz w:val="18"/>
        </w:rPr>
        <w:t>C.F., </w:t>
      </w:r>
      <w:r>
        <w:rPr>
          <w:color w:val="231F20"/>
          <w:sz w:val="18"/>
        </w:rPr>
        <w:t>Cesín-Vargas A., editores. La ganadería ante el agotamiento de los paradigmas dominantes, </w:t>
      </w:r>
      <w:r>
        <w:rPr>
          <w:color w:val="231F20"/>
          <w:spacing w:val="-4"/>
          <w:sz w:val="18"/>
        </w:rPr>
        <w:t>2011. </w:t>
      </w:r>
      <w:r>
        <w:rPr>
          <w:color w:val="231F20"/>
          <w:sz w:val="18"/>
        </w:rPr>
        <w:t>Universidad Autóno- ma de Chapingo, México. pp.   </w:t>
      </w:r>
      <w:r>
        <w:rPr>
          <w:color w:val="231F20"/>
          <w:spacing w:val="1"/>
          <w:sz w:val="18"/>
        </w:rPr>
        <w:t> </w:t>
      </w:r>
      <w:r>
        <w:rPr>
          <w:color w:val="231F20"/>
          <w:sz w:val="18"/>
        </w:rPr>
        <w:t>205-218.</w:t>
      </w:r>
    </w:p>
    <w:p>
      <w:pPr>
        <w:spacing w:line="266" w:lineRule="auto" w:before="56"/>
        <w:ind w:left="1837" w:right="0" w:hanging="284"/>
        <w:jc w:val="both"/>
        <w:rPr>
          <w:sz w:val="18"/>
        </w:rPr>
      </w:pPr>
      <w:r>
        <w:rPr>
          <w:color w:val="231F20"/>
          <w:w w:val="105"/>
          <w:sz w:val="18"/>
        </w:rPr>
        <w:t>Plan de Desarrollo del Estado de México (2011). Pilar 2: Seguridad económica 2008-2011. Gobierno del Estado de México. pp. 67-117.</w:t>
      </w:r>
    </w:p>
    <w:p>
      <w:pPr>
        <w:spacing w:line="266" w:lineRule="auto" w:before="56"/>
        <w:ind w:left="1837" w:right="1" w:hanging="284"/>
        <w:jc w:val="both"/>
        <w:rPr>
          <w:sz w:val="18"/>
        </w:rPr>
      </w:pPr>
      <w:r>
        <w:rPr>
          <w:color w:val="231F20"/>
          <w:sz w:val="18"/>
        </w:rPr>
        <w:t>Plan Municipal de Desarrollo Urbano de Amatepec (2001-2006).  Estado  de  México.  172  p.</w:t>
      </w:r>
    </w:p>
    <w:p>
      <w:pPr>
        <w:spacing w:before="56"/>
        <w:ind w:left="1553" w:right="0" w:firstLine="0"/>
        <w:jc w:val="left"/>
        <w:rPr>
          <w:sz w:val="18"/>
        </w:rPr>
      </w:pPr>
      <w:r>
        <w:rPr>
          <w:color w:val="231F20"/>
          <w:sz w:val="18"/>
        </w:rPr>
        <w:t>Posadas  D.R.,  Rebollar  R.S.,  Hernández  M.J., González</w:t>
      </w:r>
    </w:p>
    <w:p>
      <w:pPr>
        <w:spacing w:line="266" w:lineRule="auto" w:before="24"/>
        <w:ind w:left="1837" w:right="0" w:firstLine="0"/>
        <w:jc w:val="both"/>
        <w:rPr>
          <w:sz w:val="18"/>
        </w:rPr>
      </w:pPr>
      <w:r>
        <w:rPr>
          <w:color w:val="231F20"/>
          <w:sz w:val="18"/>
        </w:rPr>
        <w:t>R.F.J. (2009). Eficiencia económica en bovinos de carne engordados en corral,  en  el  sur  del  Estado de México. En: Cavalloti A.B., Vázquez F.C., Álvarez M.,  Ramírez  V.B.,  editores.  Ganadería  y seguridad</w:t>
      </w:r>
    </w:p>
    <w:p>
      <w:pPr>
        <w:pStyle w:val="BodyText"/>
        <w:rPr>
          <w:sz w:val="18"/>
        </w:rPr>
      </w:pPr>
      <w:r>
        <w:rPr/>
        <w:br w:type="column"/>
      </w:r>
      <w:r>
        <w:rPr>
          <w:sz w:val="18"/>
        </w:rPr>
      </w:r>
    </w:p>
    <w:p>
      <w:pPr>
        <w:spacing w:line="264" w:lineRule="auto" w:before="129"/>
        <w:ind w:left="694" w:right="1501" w:firstLine="0"/>
        <w:jc w:val="left"/>
        <w:rPr>
          <w:sz w:val="18"/>
        </w:rPr>
      </w:pPr>
      <w:r>
        <w:rPr>
          <w:color w:val="231F20"/>
          <w:sz w:val="18"/>
        </w:rPr>
        <w:t>alimentaria en tiempos de crisis. Universidad Autó- noma  de  Chapingo,  México.  pp. 157-165.</w:t>
      </w:r>
    </w:p>
    <w:p>
      <w:pPr>
        <w:spacing w:line="264" w:lineRule="auto" w:before="56"/>
        <w:ind w:left="694" w:right="1551" w:hanging="284"/>
        <w:jc w:val="both"/>
        <w:rPr>
          <w:sz w:val="18"/>
        </w:rPr>
      </w:pPr>
      <w:r>
        <w:rPr>
          <w:color w:val="231F20"/>
          <w:w w:val="105"/>
          <w:sz w:val="18"/>
        </w:rPr>
        <w:t>Rebollar R.A., Hernández M.J., Rebollar R.S., Guzmán E.S., García M.A., González R.F.J. (2011). Compe- titividad y rentabilidad de bovinos en corral en el Sur del Estado de México. </w:t>
      </w:r>
      <w:r>
        <w:rPr>
          <w:i/>
          <w:color w:val="231F20"/>
          <w:w w:val="105"/>
          <w:sz w:val="18"/>
        </w:rPr>
        <w:t>Tropical and Subtropical </w:t>
      </w:r>
      <w:r>
        <w:rPr>
          <w:i/>
          <w:color w:val="231F20"/>
          <w:w w:val="105"/>
          <w:sz w:val="18"/>
        </w:rPr>
        <w:t>Agroecosystems, </w:t>
      </w:r>
      <w:r>
        <w:rPr>
          <w:color w:val="231F20"/>
          <w:w w:val="105"/>
          <w:sz w:val="18"/>
        </w:rPr>
        <w:t>14: 691-698.</w:t>
      </w:r>
    </w:p>
    <w:p>
      <w:pPr>
        <w:spacing w:line="264" w:lineRule="auto" w:before="56"/>
        <w:ind w:left="694" w:right="1551" w:hanging="284"/>
        <w:jc w:val="both"/>
        <w:rPr>
          <w:sz w:val="18"/>
        </w:rPr>
      </w:pPr>
      <w:r>
        <w:rPr>
          <w:color w:val="231F20"/>
          <w:sz w:val="18"/>
        </w:rPr>
        <w:t>Rivera M.J.A. (1998). Manejo general de bovinos de car- ne en el sistema de pie de cría. INIFAP. Serie. Folle- tos para productores. México.</w:t>
      </w:r>
    </w:p>
    <w:p>
      <w:pPr>
        <w:spacing w:line="264" w:lineRule="auto" w:before="56"/>
        <w:ind w:left="694" w:right="1551" w:hanging="284"/>
        <w:jc w:val="both"/>
        <w:rPr>
          <w:sz w:val="18"/>
        </w:rPr>
      </w:pPr>
      <w:r>
        <w:rPr>
          <w:color w:val="231F20"/>
          <w:sz w:val="18"/>
        </w:rPr>
        <w:t>Román P.H. (1991). Sistemas de producción bovina de doble propósito en el trópico mexicano: experiencias del INIFAP. En: Memoria del Seminario Internacional sobre Lechería Tropical, 1991, Vol.  3.  FIRA -  Banco de México. Villahermosa, Tabasco, México.</w:t>
      </w:r>
    </w:p>
    <w:p>
      <w:pPr>
        <w:spacing w:line="264" w:lineRule="auto" w:before="56"/>
        <w:ind w:left="694" w:right="1551" w:hanging="284"/>
        <w:jc w:val="both"/>
        <w:rPr>
          <w:sz w:val="18"/>
        </w:rPr>
      </w:pPr>
      <w:r>
        <w:rPr>
          <w:color w:val="231F20"/>
          <w:sz w:val="18"/>
        </w:rPr>
        <w:t>Ruiz F.A., González A.M., Juárez Z.A. (2001). Impacto del TLCAN en la cadena de valor de bovinos para carne. Universidad Autónoma de Chapingo,  México.</w:t>
      </w:r>
    </w:p>
    <w:p>
      <w:pPr>
        <w:spacing w:line="264" w:lineRule="auto" w:before="56"/>
        <w:ind w:left="694" w:right="1551" w:hanging="284"/>
        <w:jc w:val="both"/>
        <w:rPr>
          <w:sz w:val="18"/>
        </w:rPr>
      </w:pPr>
      <w:r>
        <w:rPr>
          <w:color w:val="231F20"/>
          <w:sz w:val="18"/>
        </w:rPr>
        <w:t>Ruiz R., Oregui L. (2001). El enfoque sistémico en el análisis de la producción animal: revisión bibliográfi- ca. </w:t>
      </w:r>
      <w:r>
        <w:rPr>
          <w:i/>
          <w:color w:val="231F20"/>
          <w:sz w:val="18"/>
        </w:rPr>
        <w:t>Invest Agr Prod Sanid Anim, </w:t>
      </w:r>
      <w:r>
        <w:rPr>
          <w:color w:val="231F20"/>
          <w:sz w:val="18"/>
        </w:rPr>
        <w:t>16 (1): 29-61.</w:t>
      </w:r>
    </w:p>
    <w:p>
      <w:pPr>
        <w:spacing w:line="264" w:lineRule="auto" w:before="56"/>
        <w:ind w:left="694" w:right="1551" w:hanging="284"/>
        <w:jc w:val="both"/>
        <w:rPr>
          <w:sz w:val="18"/>
        </w:rPr>
      </w:pPr>
      <w:r>
        <w:rPr>
          <w:color w:val="231F20"/>
          <w:spacing w:val="-4"/>
          <w:sz w:val="18"/>
        </w:rPr>
        <w:t>SAGARPA </w:t>
      </w:r>
      <w:r>
        <w:rPr>
          <w:color w:val="231F20"/>
          <w:spacing w:val="-5"/>
          <w:sz w:val="18"/>
        </w:rPr>
        <w:t>(2010). </w:t>
      </w:r>
      <w:r>
        <w:rPr>
          <w:color w:val="231F20"/>
          <w:sz w:val="18"/>
        </w:rPr>
        <w:t>Secretaría de Agricultura, Ganadería, Desarrollo Rural, </w:t>
      </w:r>
      <w:r>
        <w:rPr>
          <w:color w:val="231F20"/>
          <w:spacing w:val="-3"/>
          <w:sz w:val="18"/>
        </w:rPr>
        <w:t>Pesca </w:t>
      </w:r>
      <w:r>
        <w:rPr>
          <w:color w:val="231F20"/>
          <w:sz w:val="18"/>
        </w:rPr>
        <w:t>y Alimentación. Situación ac- tual</w:t>
      </w:r>
      <w:r>
        <w:rPr>
          <w:color w:val="231F20"/>
          <w:spacing w:val="-13"/>
          <w:sz w:val="18"/>
        </w:rPr>
        <w:t> </w:t>
      </w:r>
      <w:r>
        <w:rPr>
          <w:color w:val="231F20"/>
          <w:sz w:val="18"/>
        </w:rPr>
        <w:t>y</w:t>
      </w:r>
      <w:r>
        <w:rPr>
          <w:color w:val="231F20"/>
          <w:spacing w:val="-13"/>
          <w:sz w:val="18"/>
        </w:rPr>
        <w:t> </w:t>
      </w:r>
      <w:r>
        <w:rPr>
          <w:color w:val="231F20"/>
          <w:sz w:val="18"/>
        </w:rPr>
        <w:t>perspectiva</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producción</w:t>
      </w:r>
      <w:r>
        <w:rPr>
          <w:color w:val="231F20"/>
          <w:spacing w:val="-13"/>
          <w:sz w:val="18"/>
        </w:rPr>
        <w:t> </w:t>
      </w:r>
      <w:r>
        <w:rPr>
          <w:color w:val="231F20"/>
          <w:sz w:val="18"/>
        </w:rPr>
        <w:t>de</w:t>
      </w:r>
      <w:r>
        <w:rPr>
          <w:color w:val="231F20"/>
          <w:spacing w:val="-13"/>
          <w:sz w:val="18"/>
        </w:rPr>
        <w:t> </w:t>
      </w:r>
      <w:r>
        <w:rPr>
          <w:color w:val="231F20"/>
          <w:sz w:val="18"/>
        </w:rPr>
        <w:t>carne</w:t>
      </w:r>
      <w:r>
        <w:rPr>
          <w:color w:val="231F20"/>
          <w:spacing w:val="-13"/>
          <w:sz w:val="18"/>
        </w:rPr>
        <w:t> </w:t>
      </w:r>
      <w:r>
        <w:rPr>
          <w:color w:val="231F20"/>
          <w:sz w:val="18"/>
        </w:rPr>
        <w:t>de</w:t>
      </w:r>
      <w:r>
        <w:rPr>
          <w:color w:val="231F20"/>
          <w:spacing w:val="-13"/>
          <w:sz w:val="18"/>
        </w:rPr>
        <w:t> </w:t>
      </w:r>
      <w:r>
        <w:rPr>
          <w:color w:val="231F20"/>
          <w:spacing w:val="-2"/>
          <w:sz w:val="18"/>
        </w:rPr>
        <w:t>bovino </w:t>
      </w:r>
      <w:r>
        <w:rPr>
          <w:color w:val="231F20"/>
          <w:sz w:val="18"/>
        </w:rPr>
        <w:t>en México </w:t>
      </w:r>
      <w:r>
        <w:rPr>
          <w:color w:val="231F20"/>
          <w:spacing w:val="-3"/>
          <w:sz w:val="18"/>
        </w:rPr>
        <w:t>2004. </w:t>
      </w:r>
      <w:r>
        <w:rPr>
          <w:color w:val="231F20"/>
          <w:sz w:val="18"/>
        </w:rPr>
        <w:t>Coordinación General de Ganade- ría. Disponible en línea en: </w:t>
      </w:r>
      <w:hyperlink r:id="rId278">
        <w:r>
          <w:rPr>
            <w:color w:val="231F20"/>
            <w:spacing w:val="-3"/>
            <w:sz w:val="18"/>
          </w:rPr>
          <w:t>http://www.sagarpa.gob.</w:t>
        </w:r>
      </w:hyperlink>
      <w:r>
        <w:rPr>
          <w:color w:val="231F20"/>
          <w:spacing w:val="-3"/>
          <w:sz w:val="18"/>
        </w:rPr>
        <w:t> </w:t>
      </w:r>
      <w:r>
        <w:rPr>
          <w:color w:val="231F20"/>
          <w:sz w:val="18"/>
        </w:rPr>
        <w:t>mx/Dgg  </w:t>
      </w:r>
      <w:r>
        <w:rPr>
          <w:color w:val="231F20"/>
          <w:spacing w:val="-4"/>
          <w:sz w:val="18"/>
        </w:rPr>
        <w:t>(15  </w:t>
      </w:r>
      <w:r>
        <w:rPr>
          <w:color w:val="231F20"/>
          <w:sz w:val="18"/>
        </w:rPr>
        <w:t>de  junio  de</w:t>
      </w:r>
      <w:r>
        <w:rPr>
          <w:color w:val="231F20"/>
          <w:spacing w:val="15"/>
          <w:sz w:val="18"/>
        </w:rPr>
        <w:t> </w:t>
      </w:r>
      <w:r>
        <w:rPr>
          <w:color w:val="231F20"/>
          <w:spacing w:val="-3"/>
          <w:sz w:val="18"/>
        </w:rPr>
        <w:t>2009.)</w:t>
      </w:r>
    </w:p>
    <w:p>
      <w:pPr>
        <w:spacing w:line="264" w:lineRule="auto" w:before="56"/>
        <w:ind w:left="694" w:right="1551" w:hanging="284"/>
        <w:jc w:val="both"/>
        <w:rPr>
          <w:sz w:val="18"/>
        </w:rPr>
      </w:pPr>
      <w:r>
        <w:rPr>
          <w:color w:val="231F20"/>
          <w:sz w:val="18"/>
        </w:rPr>
        <w:t>SIAP </w:t>
      </w:r>
      <w:r>
        <w:rPr>
          <w:color w:val="231F20"/>
          <w:spacing w:val="-3"/>
          <w:sz w:val="18"/>
        </w:rPr>
        <w:t>(2012). </w:t>
      </w:r>
      <w:r>
        <w:rPr>
          <w:color w:val="231F20"/>
          <w:sz w:val="18"/>
        </w:rPr>
        <w:t>Población ganadera, avícola y apícola. Ser- vicio de Información Agroalimentaria y Pesquera. Resumen Nacional </w:t>
      </w:r>
      <w:r>
        <w:rPr>
          <w:color w:val="231F20"/>
          <w:spacing w:val="-4"/>
          <w:sz w:val="18"/>
        </w:rPr>
        <w:t>2001-2010. </w:t>
      </w:r>
      <w:r>
        <w:rPr>
          <w:color w:val="231F20"/>
          <w:sz w:val="18"/>
        </w:rPr>
        <w:t>Disponible en línea  en: </w:t>
      </w:r>
      <w:hyperlink r:id="rId279">
        <w:r>
          <w:rPr>
            <w:color w:val="231F20"/>
            <w:sz w:val="18"/>
          </w:rPr>
          <w:t>http://www.siap.gob.mx/index.php/ganaderia/</w:t>
        </w:r>
      </w:hyperlink>
      <w:r>
        <w:rPr>
          <w:color w:val="231F20"/>
          <w:sz w:val="18"/>
        </w:rPr>
        <w:t> poblacion-ganadera.html  (25  de  junio  de</w:t>
      </w:r>
      <w:r>
        <w:rPr>
          <w:color w:val="231F20"/>
          <w:spacing w:val="11"/>
          <w:sz w:val="18"/>
        </w:rPr>
        <w:t> </w:t>
      </w:r>
      <w:r>
        <w:rPr>
          <w:color w:val="231F20"/>
          <w:spacing w:val="-4"/>
          <w:sz w:val="18"/>
        </w:rPr>
        <w:t>2012.)</w:t>
      </w:r>
    </w:p>
    <w:p>
      <w:pPr>
        <w:spacing w:line="264" w:lineRule="auto" w:before="56"/>
        <w:ind w:left="694" w:right="1551" w:hanging="284"/>
        <w:jc w:val="both"/>
        <w:rPr>
          <w:sz w:val="18"/>
        </w:rPr>
      </w:pPr>
      <w:r>
        <w:rPr>
          <w:color w:val="231F20"/>
          <w:sz w:val="18"/>
        </w:rPr>
        <w:t>Vázquez G.J. (1997). Ganadería tropical de México. Es- cuela de Medicina Veterinaria y Zootecnia, Universi- dad Autónoma de Chapingo,  México.</w:t>
      </w:r>
    </w:p>
    <w:p>
      <w:pPr>
        <w:spacing w:before="56"/>
        <w:ind w:left="411" w:right="1501" w:firstLine="0"/>
        <w:jc w:val="left"/>
        <w:rPr>
          <w:sz w:val="18"/>
        </w:rPr>
      </w:pPr>
      <w:r>
        <w:rPr>
          <w:color w:val="231F20"/>
          <w:sz w:val="18"/>
        </w:rPr>
        <w:t>Vilez E.D. (2001). Estadística básica para     universitarios.</w:t>
      </w:r>
    </w:p>
    <w:p>
      <w:pPr>
        <w:spacing w:before="21"/>
        <w:ind w:left="694" w:right="1906" w:firstLine="0"/>
        <w:jc w:val="left"/>
        <w:rPr>
          <w:sz w:val="18"/>
        </w:rPr>
      </w:pPr>
      <w:r>
        <w:rPr>
          <w:color w:val="231F20"/>
          <w:sz w:val="18"/>
        </w:rPr>
        <w:t>EUNSA, Navarra, España.</w:t>
      </w:r>
    </w:p>
    <w:p>
      <w:pPr>
        <w:spacing w:after="0"/>
        <w:jc w:val="left"/>
        <w:rPr>
          <w:sz w:val="18"/>
        </w:rPr>
        <w:sectPr>
          <w:type w:val="continuous"/>
          <w:pgSz w:w="11900" w:h="14450"/>
          <w:pgMar w:top="420" w:bottom="420" w:left="0" w:right="0"/>
          <w:cols w:num="2" w:equalWidth="0">
            <w:col w:w="5724" w:space="40"/>
            <w:col w:w="6136"/>
          </w:cols>
        </w:sectPr>
      </w:pPr>
    </w:p>
    <w:p>
      <w:pPr>
        <w:pStyle w:val="BodyText"/>
        <w:spacing w:before="4"/>
        <w:rPr>
          <w:rFonts w:ascii="Times New Roman"/>
          <w:sz w:val="17"/>
        </w:rPr>
      </w:pPr>
    </w:p>
    <w:p>
      <w:pPr>
        <w:spacing w:after="0"/>
        <w:rPr>
          <w:rFonts w:ascii="Times New Roman"/>
          <w:sz w:val="17"/>
        </w:rPr>
        <w:sectPr>
          <w:footerReference w:type="default" r:id="rId280"/>
          <w:pgSz w:w="11900" w:h="14450"/>
          <w:pgMar w:footer="222" w:header="0"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2"/>
        <w:rPr>
          <w:rFonts w:ascii="Times New Roman"/>
          <w:sz w:val="16"/>
        </w:rPr>
      </w:pPr>
    </w:p>
    <w:p>
      <w:pPr>
        <w:pStyle w:val="Heading1"/>
        <w:spacing w:line="950" w:lineRule="exact"/>
        <w:rPr>
          <w:sz w:val="80"/>
        </w:rPr>
      </w:pPr>
      <w:r>
        <w:rPr>
          <w:color w:val="231F20"/>
          <w:w w:val="115"/>
        </w:rPr>
        <w:t>SECCIÓN </w:t>
      </w:r>
      <w:r>
        <w:rPr>
          <w:color w:val="231F20"/>
          <w:w w:val="115"/>
          <w:sz w:val="80"/>
        </w:rPr>
        <w:t>3</w:t>
      </w:r>
    </w:p>
    <w:p>
      <w:pPr>
        <w:spacing w:line="252" w:lineRule="auto" w:before="572"/>
        <w:ind w:left="1553" w:right="2895" w:firstLine="0"/>
        <w:jc w:val="left"/>
        <w:rPr>
          <w:sz w:val="50"/>
        </w:rPr>
      </w:pPr>
      <w:r>
        <w:rPr>
          <w:color w:val="231F20"/>
          <w:w w:val="105"/>
          <w:sz w:val="50"/>
        </w:rPr>
        <w:t>Producción</w:t>
      </w:r>
      <w:r>
        <w:rPr>
          <w:color w:val="231F20"/>
          <w:spacing w:val="-46"/>
          <w:w w:val="105"/>
          <w:sz w:val="50"/>
        </w:rPr>
        <w:t> </w:t>
      </w:r>
      <w:r>
        <w:rPr>
          <w:color w:val="231F20"/>
          <w:w w:val="105"/>
          <w:sz w:val="50"/>
        </w:rPr>
        <w:t>de</w:t>
      </w:r>
      <w:r>
        <w:rPr>
          <w:color w:val="231F20"/>
          <w:spacing w:val="-46"/>
          <w:w w:val="105"/>
          <w:sz w:val="50"/>
        </w:rPr>
        <w:t> </w:t>
      </w:r>
      <w:r>
        <w:rPr>
          <w:color w:val="231F20"/>
          <w:w w:val="105"/>
          <w:sz w:val="50"/>
        </w:rPr>
        <w:t>pequeños</w:t>
      </w:r>
      <w:r>
        <w:rPr>
          <w:color w:val="231F20"/>
          <w:spacing w:val="-46"/>
          <w:w w:val="105"/>
          <w:sz w:val="50"/>
        </w:rPr>
        <w:t> </w:t>
      </w:r>
      <w:r>
        <w:rPr>
          <w:color w:val="231F20"/>
          <w:w w:val="105"/>
          <w:sz w:val="50"/>
        </w:rPr>
        <w:t>rumiantes en pequeña</w:t>
      </w:r>
      <w:r>
        <w:rPr>
          <w:color w:val="231F20"/>
          <w:spacing w:val="-27"/>
          <w:w w:val="105"/>
          <w:sz w:val="50"/>
        </w:rPr>
        <w:t> </w:t>
      </w:r>
      <w:r>
        <w:rPr>
          <w:color w:val="231F20"/>
          <w:w w:val="105"/>
          <w:sz w:val="50"/>
        </w:rPr>
        <w:t>escala</w:t>
      </w:r>
    </w:p>
    <w:p>
      <w:pPr>
        <w:spacing w:line="609" w:lineRule="exact" w:before="0"/>
        <w:ind w:left="1553" w:right="0" w:firstLine="0"/>
        <w:jc w:val="left"/>
        <w:rPr>
          <w:sz w:val="50"/>
        </w:rPr>
      </w:pPr>
      <w:r>
        <w:rPr>
          <w:color w:val="231F20"/>
          <w:sz w:val="50"/>
        </w:rPr>
        <w:t>y su contribución en el desarrollo  rural</w:t>
      </w:r>
    </w:p>
    <w:p>
      <w:pPr>
        <w:pStyle w:val="BodyText"/>
      </w:pPr>
    </w:p>
    <w:p>
      <w:pPr>
        <w:pStyle w:val="BodyText"/>
      </w:pPr>
    </w:p>
    <w:p>
      <w:pPr>
        <w:pStyle w:val="BodyText"/>
        <w:spacing w:before="5"/>
        <w:rPr>
          <w:sz w:val="15"/>
        </w:rPr>
      </w:pPr>
      <w:r>
        <w:rPr/>
        <w:pict>
          <v:line style="position:absolute;mso-position-horizontal-relative:page;mso-position-vertical-relative:paragraph;z-index:4504;mso-wrap-distance-left:0;mso-wrap-distance-right:0" from="77.692902pt,11.641659pt" to="517.062902pt,11.641659pt" stroked="true" strokeweight=".5pt" strokecolor="#231f20">
            <w10:wrap type="topAndBottom"/>
          </v:line>
        </w:pict>
      </w:r>
    </w:p>
    <w:p>
      <w:pPr>
        <w:pStyle w:val="Heading2"/>
        <w:numPr>
          <w:ilvl w:val="0"/>
          <w:numId w:val="13"/>
        </w:numPr>
        <w:tabs>
          <w:tab w:pos="2087" w:val="left" w:leader="none"/>
        </w:tabs>
        <w:spacing w:line="240" w:lineRule="auto" w:before="143" w:after="0"/>
        <w:ind w:left="2086" w:right="0" w:hanging="533"/>
        <w:jc w:val="left"/>
      </w:pPr>
      <w:r>
        <w:rPr>
          <w:color w:val="6D6E71"/>
        </w:rPr>
        <w:t>Sistemas  productores  de</w:t>
      </w:r>
      <w:r>
        <w:rPr>
          <w:color w:val="6D6E71"/>
          <w:spacing w:val="-44"/>
        </w:rPr>
        <w:t> </w:t>
      </w:r>
      <w:r>
        <w:rPr>
          <w:color w:val="6D6E71"/>
        </w:rPr>
        <w:t>ovinos</w:t>
      </w:r>
    </w:p>
    <w:p>
      <w:pPr>
        <w:pStyle w:val="ListParagraph"/>
        <w:numPr>
          <w:ilvl w:val="0"/>
          <w:numId w:val="13"/>
        </w:numPr>
        <w:tabs>
          <w:tab w:pos="2139" w:val="left" w:leader="none"/>
        </w:tabs>
        <w:spacing w:line="240" w:lineRule="auto" w:before="207" w:after="0"/>
        <w:ind w:left="2138" w:right="0" w:hanging="585"/>
        <w:jc w:val="left"/>
        <w:rPr>
          <w:sz w:val="40"/>
        </w:rPr>
      </w:pPr>
      <w:r>
        <w:rPr>
          <w:color w:val="6D6E71"/>
          <w:sz w:val="40"/>
        </w:rPr>
        <w:t>Sistemas productores de </w:t>
      </w:r>
      <w:r>
        <w:rPr>
          <w:color w:val="6D6E71"/>
          <w:spacing w:val="37"/>
          <w:sz w:val="40"/>
        </w:rPr>
        <w:t> </w:t>
      </w:r>
      <w:r>
        <w:rPr>
          <w:color w:val="6D6E71"/>
          <w:sz w:val="40"/>
        </w:rPr>
        <w:t>caprinos</w:t>
      </w:r>
    </w:p>
    <w:p>
      <w:pPr>
        <w:spacing w:after="0" w:line="240" w:lineRule="auto"/>
        <w:jc w:val="left"/>
        <w:rPr>
          <w:sz w:val="40"/>
        </w:rPr>
        <w:sectPr>
          <w:pgSz w:w="11900" w:h="14450"/>
          <w:pgMar w:header="0" w:footer="222" w:top="420" w:bottom="420" w:left="0" w:right="0"/>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before="154"/>
        <w:ind w:left="1553" w:right="0" w:firstLine="0"/>
        <w:jc w:val="both"/>
        <w:rPr>
          <w:sz w:val="28"/>
        </w:rPr>
      </w:pPr>
      <w:r>
        <w:rPr>
          <w:color w:val="6D6E71"/>
          <w:w w:val="120"/>
          <w:sz w:val="54"/>
        </w:rPr>
        <w:t>A. </w:t>
      </w:r>
      <w:r>
        <w:rPr>
          <w:color w:val="6D6E71"/>
          <w:w w:val="120"/>
          <w:sz w:val="40"/>
        </w:rPr>
        <w:t>S</w:t>
      </w:r>
      <w:r>
        <w:rPr>
          <w:color w:val="6D6E71"/>
          <w:w w:val="120"/>
          <w:sz w:val="28"/>
        </w:rPr>
        <w:t>iStemAS productoreS de ovinoS</w:t>
      </w:r>
    </w:p>
    <w:p>
      <w:pPr>
        <w:pStyle w:val="Heading3"/>
        <w:spacing w:before="290"/>
        <w:rPr>
          <w:sz w:val="60"/>
        </w:rPr>
      </w:pPr>
      <w:bookmarkStart w:name="_TOC_250006" w:id="6"/>
      <w:r>
        <w:rPr>
          <w:color w:val="231F20"/>
          <w:w w:val="110"/>
        </w:rPr>
        <w:t>CAPÍTULO </w:t>
      </w:r>
      <w:bookmarkEnd w:id="6"/>
      <w:r>
        <w:rPr>
          <w:color w:val="231F20"/>
          <w:w w:val="110"/>
          <w:sz w:val="60"/>
        </w:rPr>
        <w:t>9</w:t>
      </w:r>
    </w:p>
    <w:p>
      <w:pPr>
        <w:spacing w:before="219"/>
        <w:ind w:left="1553" w:right="0" w:firstLine="0"/>
        <w:jc w:val="both"/>
        <w:rPr>
          <w:sz w:val="36"/>
        </w:rPr>
      </w:pPr>
      <w:r>
        <w:rPr>
          <w:color w:val="231F20"/>
          <w:w w:val="105"/>
          <w:sz w:val="36"/>
        </w:rPr>
        <w:t>LA PRODUCCIÓN  DE OVINOS</w:t>
      </w:r>
    </w:p>
    <w:p>
      <w:pPr>
        <w:spacing w:before="0"/>
        <w:ind w:left="1553" w:right="2778" w:firstLine="0"/>
        <w:jc w:val="left"/>
        <w:rPr>
          <w:sz w:val="36"/>
        </w:rPr>
      </w:pPr>
      <w:r>
        <w:rPr>
          <w:color w:val="231F20"/>
          <w:w w:val="105"/>
          <w:sz w:val="36"/>
        </w:rPr>
        <w:t>EN EL PARQUE NACIONAL NEVADO DE TOLUCA. EL CASO DE AGUA  BLANCA,</w:t>
      </w:r>
    </w:p>
    <w:p>
      <w:pPr>
        <w:spacing w:before="0"/>
        <w:ind w:left="1553" w:right="0" w:firstLine="0"/>
        <w:jc w:val="both"/>
        <w:rPr>
          <w:sz w:val="36"/>
        </w:rPr>
      </w:pPr>
      <w:r>
        <w:rPr>
          <w:color w:val="231F20"/>
          <w:w w:val="105"/>
          <w:sz w:val="36"/>
        </w:rPr>
        <w:t>ZINACANTEPEC, </w:t>
      </w:r>
      <w:r>
        <w:rPr>
          <w:color w:val="231F20"/>
          <w:spacing w:val="-7"/>
          <w:w w:val="105"/>
          <w:sz w:val="36"/>
        </w:rPr>
        <w:t>ESTADO </w:t>
      </w:r>
      <w:r>
        <w:rPr>
          <w:color w:val="231F20"/>
          <w:w w:val="105"/>
          <w:sz w:val="36"/>
        </w:rPr>
        <w:t>DE</w:t>
      </w:r>
      <w:r>
        <w:rPr>
          <w:color w:val="231F20"/>
          <w:spacing w:val="56"/>
          <w:w w:val="105"/>
          <w:sz w:val="36"/>
        </w:rPr>
        <w:t> </w:t>
      </w:r>
      <w:r>
        <w:rPr>
          <w:color w:val="231F20"/>
          <w:w w:val="105"/>
          <w:sz w:val="36"/>
        </w:rPr>
        <w:t>MÉXICO</w:t>
      </w:r>
    </w:p>
    <w:p>
      <w:pPr>
        <w:pStyle w:val="Heading4"/>
        <w:spacing w:line="240" w:lineRule="auto" w:before="297"/>
        <w:rPr>
          <w:i/>
          <w:sz w:val="16"/>
        </w:rPr>
      </w:pPr>
      <w:r>
        <w:rPr>
          <w:i/>
          <w:color w:val="231F20"/>
        </w:rPr>
        <w:t>Ana Laura Esquivel Domínguez y Julieta Gertrudis Estrada Flores</w:t>
      </w:r>
      <w:r>
        <w:rPr>
          <w:i/>
          <w:color w:val="231F20"/>
          <w:position w:val="9"/>
          <w:sz w:val="16"/>
        </w:rPr>
        <w:t>*</w:t>
      </w:r>
    </w:p>
    <w:p>
      <w:pPr>
        <w:pStyle w:val="BodyText"/>
        <w:spacing w:line="254" w:lineRule="auto" w:before="164"/>
        <w:ind w:left="1553" w:right="2503"/>
      </w:pPr>
      <w:r>
        <w:rPr>
          <w:color w:val="231F20"/>
        </w:rPr>
        <w:t>Instituto de Ciencias Agropecuarias y Rurales, Universidad Autónoma del Estado de México. Instituto Literario No. 100 Col. Centro Toluca. Estado de México, México, C.P. 50000</w:t>
      </w:r>
    </w:p>
    <w:p>
      <w:pPr>
        <w:pStyle w:val="BodyText"/>
      </w:pPr>
    </w:p>
    <w:p>
      <w:pPr>
        <w:pStyle w:val="BodyText"/>
      </w:pPr>
    </w:p>
    <w:p>
      <w:pPr>
        <w:pStyle w:val="BodyText"/>
        <w:rPr>
          <w:sz w:val="13"/>
        </w:rPr>
      </w:pPr>
      <w:r>
        <w:rPr/>
        <w:pict>
          <v:line style="position:absolute;mso-position-horizontal-relative:page;mso-position-vertical-relative:paragraph;z-index:4528;mso-wrap-distance-left:0;mso-wrap-distance-right:0" from="77.692902pt,10.147182pt" to="517.062902pt,10.147182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2"/>
        <w:jc w:val="both"/>
      </w:pPr>
      <w:r>
        <w:rPr>
          <w:color w:val="231F20"/>
        </w:rPr>
        <w:t>El sistema silvopastoril del Parque Nacional Nevado de </w:t>
      </w:r>
      <w:r>
        <w:rPr>
          <w:color w:val="231F20"/>
          <w:spacing w:val="-4"/>
        </w:rPr>
        <w:t>Toluca </w:t>
      </w:r>
      <w:r>
        <w:rPr>
          <w:color w:val="231F20"/>
        </w:rPr>
        <w:t>se caracteriza por la producción de ovinos, que representa una generación de ingresos para algunas familias y para otras una forma de ahorro. Sin em- bargo, la manera en que se lleva actualmente representa un riesgo para los recursos naturales, en especial para la vegetación. Por lo tanto, esta actividad debe regularse para el bienestar tanto del Parque como de   la</w:t>
      </w:r>
      <w:r>
        <w:rPr>
          <w:color w:val="231F20"/>
          <w:spacing w:val="16"/>
        </w:rPr>
        <w:t> </w:t>
      </w:r>
      <w:r>
        <w:rPr>
          <w:color w:val="231F20"/>
        </w:rPr>
        <w:t>población</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dedica</w:t>
      </w:r>
      <w:r>
        <w:rPr>
          <w:color w:val="231F20"/>
          <w:spacing w:val="16"/>
        </w:rPr>
        <w:t> </w:t>
      </w:r>
      <w:r>
        <w:rPr>
          <w:color w:val="231F20"/>
        </w:rPr>
        <w:t>a</w:t>
      </w:r>
      <w:r>
        <w:rPr>
          <w:color w:val="231F20"/>
          <w:spacing w:val="16"/>
        </w:rPr>
        <w:t> </w:t>
      </w:r>
      <w:r>
        <w:rPr>
          <w:color w:val="231F20"/>
        </w:rPr>
        <w:t>esta</w:t>
      </w:r>
      <w:r>
        <w:rPr>
          <w:color w:val="231F20"/>
          <w:spacing w:val="16"/>
        </w:rPr>
        <w:t> </w:t>
      </w:r>
      <w:r>
        <w:rPr>
          <w:color w:val="231F20"/>
        </w:rPr>
        <w:t>actividad</w:t>
      </w:r>
      <w:r>
        <w:rPr>
          <w:color w:val="231F20"/>
          <w:spacing w:val="16"/>
        </w:rPr>
        <w:t> </w:t>
      </w:r>
      <w:r>
        <w:rPr>
          <w:color w:val="231F20"/>
        </w:rPr>
        <w:t>en</w:t>
      </w:r>
      <w:r>
        <w:rPr>
          <w:color w:val="231F20"/>
          <w:spacing w:val="16"/>
        </w:rPr>
        <w:t> </w:t>
      </w:r>
      <w:r>
        <w:rPr>
          <w:color w:val="231F20"/>
        </w:rPr>
        <w:t>todas</w:t>
      </w:r>
      <w:r>
        <w:rPr>
          <w:color w:val="231F20"/>
          <w:spacing w:val="16"/>
        </w:rPr>
        <w:t> </w:t>
      </w:r>
      <w:r>
        <w:rPr>
          <w:color w:val="231F20"/>
        </w:rPr>
        <w:t>sus</w:t>
      </w:r>
      <w:r>
        <w:rPr>
          <w:color w:val="231F20"/>
          <w:spacing w:val="16"/>
        </w:rPr>
        <w:t> </w:t>
      </w:r>
      <w:r>
        <w:rPr>
          <w:color w:val="231F20"/>
        </w:rPr>
        <w:t>localidades.</w:t>
      </w:r>
    </w:p>
    <w:p>
      <w:pPr>
        <w:pStyle w:val="BodyText"/>
        <w:spacing w:before="114"/>
        <w:ind w:left="1553"/>
        <w:jc w:val="both"/>
      </w:pPr>
      <w:r>
        <w:rPr>
          <w:color w:val="231F20"/>
        </w:rPr>
        <w:t>Palabras clave: Parque Nacional Nevado de Toluca - Pastoreo - Ovinos.</w:t>
      </w:r>
    </w:p>
    <w:p>
      <w:pPr>
        <w:pStyle w:val="BodyText"/>
        <w:spacing w:before="3"/>
      </w:pPr>
      <w:r>
        <w:rPr/>
        <w:pict>
          <v:line style="position:absolute;mso-position-horizontal-relative:page;mso-position-vertical-relative:paragraph;z-index:4552;mso-wrap-distance-left:0;mso-wrap-distance-right:0" from="77.692902pt,14.572256pt" to="517.062902pt,14.572256pt" stroked="true" strokeweight=".5pt" strokecolor="#231f20">
            <w10:wrap type="topAndBottom"/>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1"/>
        </w:rPr>
      </w:pPr>
      <w:r>
        <w:rPr/>
        <w:pict>
          <v:group style="position:absolute;margin-left:77.692902pt;margin-top:15.257287pt;width:70.9pt;height:.5pt;mso-position-horizontal-relative:page;mso-position-vertical-relative:paragraph;z-index:4576;mso-wrap-distance-left:0;mso-wrap-distance-right:0" coordorigin="1554,305" coordsize="1418,10">
            <v:line style="position:absolute" from="1589,310" to="2951,310" stroked="true" strokeweight=".5pt" strokecolor="#231f20">
              <v:stroke dashstyle="dash"/>
            </v:line>
            <v:line style="position:absolute" from="1559,310" to="1559,310" stroked="true" strokeweight=".5pt" strokecolor="#231f20"/>
            <v:line style="position:absolute" from="2966,310" to="2966,310" stroked="true" strokeweight=".5pt" strokecolor="#231f20"/>
            <w10:wrap type="topAndBottom"/>
          </v:group>
        </w:pict>
      </w:r>
    </w:p>
    <w:p>
      <w:pPr>
        <w:spacing w:after="0"/>
        <w:rPr>
          <w:sz w:val="21"/>
        </w:rPr>
        <w:sectPr>
          <w:pgSz w:w="11900" w:h="14450"/>
          <w:pgMar w:header="0" w:footer="222" w:top="420" w:bottom="420" w:left="0" w:right="0"/>
        </w:sectPr>
      </w:pPr>
    </w:p>
    <w:p>
      <w:pPr>
        <w:pStyle w:val="ListParagraph"/>
        <w:numPr>
          <w:ilvl w:val="0"/>
          <w:numId w:val="14"/>
        </w:numPr>
        <w:tabs>
          <w:tab w:pos="1671" w:val="left" w:leader="none"/>
        </w:tabs>
        <w:spacing w:line="240" w:lineRule="auto" w:before="70" w:after="0"/>
        <w:ind w:left="1670" w:right="0" w:hanging="117"/>
        <w:jc w:val="left"/>
        <w:rPr>
          <w:sz w:val="16"/>
        </w:rPr>
      </w:pPr>
      <w:r>
        <w:rPr>
          <w:color w:val="231F20"/>
          <w:sz w:val="16"/>
        </w:rPr>
        <w:t>Para correspondencia:</w:t>
      </w:r>
      <w:r>
        <w:rPr>
          <w:color w:val="231F20"/>
          <w:spacing w:val="9"/>
          <w:sz w:val="16"/>
        </w:rPr>
        <w:t> </w:t>
      </w:r>
      <w:hyperlink r:id="rId281">
        <w:r>
          <w:rPr>
            <w:color w:val="231F20"/>
            <w:sz w:val="16"/>
          </w:rPr>
          <w:t>jgestradaf@uaemex.mx</w:t>
        </w:r>
      </w:hyperlink>
    </w:p>
    <w:p>
      <w:pPr>
        <w:pStyle w:val="BodyText"/>
        <w:spacing w:before="9"/>
      </w:pPr>
      <w:r>
        <w:rPr/>
        <w:br w:type="column"/>
      </w:r>
      <w:r>
        <w:rPr/>
      </w:r>
    </w:p>
    <w:p>
      <w:pPr>
        <w:pStyle w:val="Heading5"/>
        <w:ind w:left="1523" w:right="1530"/>
        <w:jc w:val="center"/>
      </w:pPr>
      <w:r>
        <w:rPr>
          <w:color w:val="231F20"/>
          <w:w w:val="115"/>
        </w:rPr>
        <w:t>141</w:t>
      </w:r>
    </w:p>
    <w:p>
      <w:pPr>
        <w:spacing w:after="0"/>
        <w:jc w:val="center"/>
        <w:sectPr>
          <w:type w:val="continuous"/>
          <w:pgSz w:w="11900" w:h="14450"/>
          <w:pgMar w:top="420" w:bottom="420" w:left="0" w:right="0"/>
          <w:cols w:num="2" w:equalWidth="0">
            <w:col w:w="4726" w:space="3695"/>
            <w:col w:w="3479"/>
          </w:cols>
        </w:sectPr>
      </w:pPr>
    </w:p>
    <w:p>
      <w:pPr>
        <w:pStyle w:val="BodyText"/>
      </w:pPr>
    </w:p>
    <w:p>
      <w:pPr>
        <w:pStyle w:val="BodyText"/>
      </w:pPr>
    </w:p>
    <w:p>
      <w:pPr>
        <w:pStyle w:val="BodyText"/>
        <w:rPr>
          <w:sz w:val="17"/>
        </w:rPr>
      </w:pPr>
    </w:p>
    <w:p>
      <w:pPr>
        <w:tabs>
          <w:tab w:pos="7022" w:val="left" w:leader="none"/>
        </w:tabs>
        <w:spacing w:before="64"/>
        <w:ind w:left="1551" w:right="0" w:firstLine="0"/>
        <w:jc w:val="left"/>
        <w:rPr>
          <w:sz w:val="12"/>
        </w:rPr>
      </w:pPr>
      <w:r>
        <w:rPr>
          <w:color w:val="231F20"/>
          <w:spacing w:val="-3"/>
          <w:w w:val="120"/>
          <w:sz w:val="22"/>
        </w:rPr>
        <w:t>142</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7"/>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9" w:lineRule="auto" w:before="133"/>
        <w:ind w:left="1553"/>
        <w:jc w:val="both"/>
      </w:pPr>
      <w:r>
        <w:rPr>
          <w:color w:val="231F20"/>
        </w:rPr>
        <w:t>El Nevado de </w:t>
      </w:r>
      <w:r>
        <w:rPr>
          <w:color w:val="231F20"/>
          <w:spacing w:val="-4"/>
        </w:rPr>
        <w:t>Toluca </w:t>
      </w:r>
      <w:r>
        <w:rPr>
          <w:color w:val="231F20"/>
        </w:rPr>
        <w:t>tiene gran importancia por todos los servicios ambientales que proporciona, entre ellos el abastecimiento de agua, pues los escurrimientos superficiales que descienden del volcán tributan a las cuencas de los ríos Lerma y Balsas y son la fuente de suministro de agua para consumo humano, riego y generación de energía eléctrica a las ciudades de </w:t>
      </w:r>
      <w:r>
        <w:rPr>
          <w:color w:val="231F20"/>
          <w:spacing w:val="-4"/>
        </w:rPr>
        <w:t>Toluca </w:t>
      </w:r>
      <w:r>
        <w:rPr>
          <w:color w:val="231F20"/>
        </w:rPr>
        <w:t>y de México; además, es un lugar de descanso  y  recreación  para muchos habitantes (Villers-Ruiz </w:t>
      </w:r>
      <w:r>
        <w:rPr>
          <w:i/>
          <w:color w:val="231F20"/>
        </w:rPr>
        <w:t>et al</w:t>
      </w:r>
      <w:r>
        <w:rPr>
          <w:color w:val="231F20"/>
        </w:rPr>
        <w:t>.,  </w:t>
      </w:r>
      <w:r>
        <w:rPr>
          <w:color w:val="231F20"/>
          <w:spacing w:val="39"/>
        </w:rPr>
        <w:t> </w:t>
      </w:r>
      <w:r>
        <w:rPr>
          <w:color w:val="231F20"/>
        </w:rPr>
        <w:t>1998).</w:t>
      </w:r>
    </w:p>
    <w:p>
      <w:pPr>
        <w:pStyle w:val="BodyText"/>
        <w:spacing w:line="259" w:lineRule="auto" w:before="113"/>
        <w:ind w:left="1553"/>
        <w:jc w:val="both"/>
      </w:pPr>
      <w:r>
        <w:rPr>
          <w:color w:val="231F20"/>
        </w:rPr>
        <w:t>A pesar de la gran importancia que tiene el Parque Nacional Nevado de </w:t>
      </w:r>
      <w:r>
        <w:rPr>
          <w:color w:val="231F20"/>
          <w:spacing w:val="-4"/>
        </w:rPr>
        <w:t>Toluca </w:t>
      </w:r>
      <w:r>
        <w:rPr>
          <w:color w:val="231F20"/>
        </w:rPr>
        <w:t>pueden distinguirse di- versos problemas, como la pérdida de bosques de pino y oyamel, resultado de la incidencia humana sobre la región. Según Franco-Maass </w:t>
      </w:r>
      <w:r>
        <w:rPr>
          <w:i/>
          <w:color w:val="231F20"/>
        </w:rPr>
        <w:t>et al</w:t>
      </w:r>
      <w:r>
        <w:rPr>
          <w:color w:val="231F20"/>
        </w:rPr>
        <w:t>. (2006), los bosques de pino presentan una mayor tenden- cia hacia la perturbación que hacia la recuperación de las especies. De las más de  </w:t>
      </w:r>
      <w:r>
        <w:rPr>
          <w:color w:val="231F20"/>
          <w:spacing w:val="3"/>
        </w:rPr>
        <w:t>13000 </w:t>
      </w:r>
      <w:r>
        <w:rPr>
          <w:color w:val="231F20"/>
        </w:rPr>
        <w:t>hectáreas que presentan algún grado de perturbación, poco más de </w:t>
      </w:r>
      <w:r>
        <w:rPr>
          <w:color w:val="231F20"/>
          <w:spacing w:val="3"/>
        </w:rPr>
        <w:t>10000 </w:t>
      </w:r>
      <w:r>
        <w:rPr>
          <w:color w:val="231F20"/>
        </w:rPr>
        <w:t>corresponden a bosque de pino. Esto</w:t>
      </w:r>
      <w:r>
        <w:rPr>
          <w:color w:val="231F20"/>
          <w:spacing w:val="-12"/>
        </w:rPr>
        <w:t> </w:t>
      </w:r>
      <w:r>
        <w:rPr>
          <w:color w:val="231F20"/>
        </w:rPr>
        <w:t>contrasta</w:t>
      </w:r>
      <w:r>
        <w:rPr>
          <w:color w:val="231F20"/>
          <w:spacing w:val="-12"/>
        </w:rPr>
        <w:t> </w:t>
      </w:r>
      <w:r>
        <w:rPr>
          <w:color w:val="231F20"/>
        </w:rPr>
        <w:t>significativamente</w:t>
      </w:r>
      <w:r>
        <w:rPr>
          <w:color w:val="231F20"/>
          <w:spacing w:val="-12"/>
        </w:rPr>
        <w:t> </w:t>
      </w:r>
      <w:r>
        <w:rPr>
          <w:color w:val="231F20"/>
        </w:rPr>
        <w:t>con</w:t>
      </w:r>
      <w:r>
        <w:rPr>
          <w:color w:val="231F20"/>
          <w:spacing w:val="-12"/>
        </w:rPr>
        <w:t> </w:t>
      </w:r>
      <w:r>
        <w:rPr>
          <w:color w:val="231F20"/>
        </w:rPr>
        <w:t>una</w:t>
      </w:r>
      <w:r>
        <w:rPr>
          <w:color w:val="231F20"/>
          <w:spacing w:val="-12"/>
        </w:rPr>
        <w:t> </w:t>
      </w:r>
      <w:r>
        <w:rPr>
          <w:color w:val="231F20"/>
        </w:rPr>
        <w:t>recupera- ción poco mayor de 2000 hectáreas, lo cual quiere decir que la tasa de desforestación va en aumento y que el bosque de pino se encuentra seriamen-   te amenazado. En cambio, el bosque de oyamel presenta una ligera recuperación, con un relativo equilibrio entre la perturbación </w:t>
      </w:r>
      <w:r>
        <w:rPr>
          <w:color w:val="231F20"/>
          <w:spacing w:val="-3"/>
        </w:rPr>
        <w:t>(2819,88 </w:t>
      </w:r>
      <w:r>
        <w:rPr>
          <w:color w:val="231F20"/>
        </w:rPr>
        <w:t>ha) y la recuperación (2821,36 ha). Otros perjuicios sobre el Parque Nacional que ocasionan la pérdida de bosque son las plagas y las enfermedades del ar- bolado, los cambios de uso del suelo (de forestal    a agrícola) </w:t>
      </w:r>
      <w:r>
        <w:rPr>
          <w:color w:val="231F20"/>
          <w:spacing w:val="-5"/>
        </w:rPr>
        <w:t>y, </w:t>
      </w:r>
      <w:r>
        <w:rPr>
          <w:color w:val="231F20"/>
        </w:rPr>
        <w:t>sobre todo, la apertura de extensas zonas al pastoreo de ganado ovino y  </w:t>
      </w:r>
      <w:r>
        <w:rPr>
          <w:color w:val="231F20"/>
          <w:spacing w:val="22"/>
        </w:rPr>
        <w:t> </w:t>
      </w:r>
      <w:r>
        <w:rPr>
          <w:color w:val="231F20"/>
        </w:rPr>
        <w:t>bovino.</w:t>
      </w:r>
    </w:p>
    <w:p>
      <w:pPr>
        <w:pStyle w:val="BodyText"/>
        <w:spacing w:line="259" w:lineRule="auto" w:before="113"/>
        <w:ind w:left="1553"/>
        <w:jc w:val="both"/>
      </w:pPr>
      <w:r>
        <w:rPr>
          <w:color w:val="231F20"/>
        </w:rPr>
        <w:t>En el Parque Nacional Nevado de Toluca el pas- toreo es de tipo extensivo y con hatos ganaderos relativamente grandes, lo que provoca una sobre- carga animal que tiene diversos efectos sobre el sistema, como una disminución en la filtración de agua al subsuelo por el apisonamiento (Henkel Huerta  </w:t>
      </w:r>
      <w:r>
        <w:rPr>
          <w:i/>
          <w:color w:val="231F20"/>
        </w:rPr>
        <w:t>et  al</w:t>
      </w:r>
      <w:r>
        <w:rPr>
          <w:color w:val="231F20"/>
        </w:rPr>
        <w:t>.,  2005a).  El  Parque  se  ha   utilizado</w:t>
      </w:r>
    </w:p>
    <w:p>
      <w:pPr>
        <w:pStyle w:val="BodyText"/>
        <w:spacing w:line="256" w:lineRule="auto" w:before="67"/>
        <w:ind w:left="413" w:right="1551"/>
        <w:jc w:val="both"/>
      </w:pPr>
      <w:r>
        <w:rPr/>
        <w:br w:type="column"/>
      </w:r>
      <w:r>
        <w:rPr>
          <w:color w:val="231F20"/>
        </w:rPr>
        <w:t>como sistema silvopastoril para la alimentación de ovinos, lo cual puede representar una oportunidad para el productor, pero desde el punto de vista del sistema, éste puede no estar en condiciones para que se lleve a cabo dicha actividad. Nuestro tra- bajo se presenta como un caso de estudio de las condiciones de pastoreo ovino en  la  comunidad de Agua Blanca Ejido de Santa María del Monte, municipio de Zinacantepec, y refleja el problema del pastoreo de ovinos en otras localidades del Parque Nacional Nevado de </w:t>
      </w:r>
      <w:r>
        <w:rPr>
          <w:color w:val="231F20"/>
          <w:spacing w:val="-3"/>
        </w:rPr>
        <w:t>Toluca. </w:t>
      </w:r>
      <w:r>
        <w:rPr>
          <w:color w:val="231F20"/>
        </w:rPr>
        <w:t>El objetivo fue evaluar las características nutritivas del forraje en las zonas de pastoreo y su productividad para de- terminar la viabilidad del sistema para la alimenta- ción del ganado </w:t>
      </w:r>
      <w:r>
        <w:rPr>
          <w:color w:val="231F20"/>
          <w:spacing w:val="6"/>
        </w:rPr>
        <w:t> </w:t>
      </w:r>
      <w:r>
        <w:rPr>
          <w:color w:val="231F20"/>
        </w:rPr>
        <w:t>ovino.</w:t>
      </w:r>
    </w:p>
    <w:p>
      <w:pPr>
        <w:pStyle w:val="BodyText"/>
      </w:pPr>
    </w:p>
    <w:p>
      <w:pPr>
        <w:pStyle w:val="BodyText"/>
        <w:spacing w:before="152"/>
        <w:ind w:left="413"/>
        <w:jc w:val="both"/>
      </w:pPr>
      <w:r>
        <w:rPr>
          <w:color w:val="231F20"/>
          <w:w w:val="110"/>
        </w:rPr>
        <w:t>ANTECEDENTES</w:t>
      </w:r>
    </w:p>
    <w:p>
      <w:pPr>
        <w:pStyle w:val="BodyText"/>
        <w:spacing w:line="256" w:lineRule="auto" w:before="130"/>
        <w:ind w:left="413" w:right="1551"/>
        <w:jc w:val="both"/>
      </w:pPr>
      <w:r>
        <w:rPr>
          <w:color w:val="231F20"/>
        </w:rPr>
        <w:t>El Nevado de </w:t>
      </w:r>
      <w:r>
        <w:rPr>
          <w:color w:val="231F20"/>
          <w:spacing w:val="-4"/>
        </w:rPr>
        <w:t>Toluca  </w:t>
      </w:r>
      <w:r>
        <w:rPr>
          <w:color w:val="231F20"/>
        </w:rPr>
        <w:t>es un área natural protegi-   da desde </w:t>
      </w:r>
      <w:r>
        <w:rPr>
          <w:color w:val="231F20"/>
          <w:spacing w:val="-4"/>
        </w:rPr>
        <w:t>1936 </w:t>
      </w:r>
      <w:r>
        <w:rPr>
          <w:color w:val="231F20"/>
        </w:rPr>
        <w:t>con categoría de Parque Nacional. Puede considerarse, por su extensión </w:t>
      </w:r>
      <w:r>
        <w:rPr>
          <w:color w:val="231F20"/>
          <w:spacing w:val="3"/>
        </w:rPr>
        <w:t>(51000 </w:t>
      </w:r>
      <w:r>
        <w:rPr>
          <w:color w:val="231F20"/>
        </w:rPr>
        <w:t>ha), el más importante de los diez parques nacionales del Estado de México </w:t>
      </w:r>
      <w:r>
        <w:rPr>
          <w:color w:val="231F20"/>
          <w:spacing w:val="-4"/>
        </w:rPr>
        <w:t>(CEPANAF, </w:t>
      </w:r>
      <w:r>
        <w:rPr>
          <w:color w:val="231F20"/>
        </w:rPr>
        <w:t>s/f). Representa un </w:t>
      </w:r>
      <w:r>
        <w:rPr>
          <w:color w:val="231F20"/>
          <w:spacing w:val="-3"/>
        </w:rPr>
        <w:t>75% </w:t>
      </w:r>
      <w:r>
        <w:rPr>
          <w:color w:val="231F20"/>
        </w:rPr>
        <w:t>del total del área de los parques del Esta- do y se encuentra a 22 km al suroeste de la ciudad de </w:t>
      </w:r>
      <w:r>
        <w:rPr>
          <w:color w:val="231F20"/>
          <w:spacing w:val="-4"/>
        </w:rPr>
        <w:t>Toluca  </w:t>
      </w:r>
      <w:r>
        <w:rPr>
          <w:color w:val="231F20"/>
        </w:rPr>
        <w:t>(Villers Ruiz </w:t>
      </w:r>
      <w:r>
        <w:rPr>
          <w:i/>
          <w:color w:val="231F20"/>
        </w:rPr>
        <w:t>et al</w:t>
      </w:r>
      <w:r>
        <w:rPr>
          <w:color w:val="231F20"/>
        </w:rPr>
        <w:t>.,  </w:t>
      </w:r>
      <w:r>
        <w:rPr>
          <w:color w:val="231F20"/>
          <w:spacing w:val="12"/>
        </w:rPr>
        <w:t> </w:t>
      </w:r>
      <w:r>
        <w:rPr>
          <w:color w:val="231F20"/>
        </w:rPr>
        <w:t>1998).</w:t>
      </w:r>
    </w:p>
    <w:p>
      <w:pPr>
        <w:pStyle w:val="BodyText"/>
        <w:spacing w:line="256" w:lineRule="auto" w:before="113"/>
        <w:ind w:left="413" w:right="1551"/>
        <w:jc w:val="both"/>
      </w:pPr>
      <w:r>
        <w:rPr>
          <w:color w:val="231F20"/>
        </w:rPr>
        <w:t>La cobertura forestal decrece a una tasa promedio de 0,35 ha por año, debido a la extracción, el cul- tivo, el pastoreo y el proceso de urbanización. His- tóricamente, como consecuencia de  los  cultivos  se han tenido altas pérdidas y la diversidad se ha visto amenazada. En algunos casos, los cultivos se han reducido debido a un declive en la importan- cia económica del maíz y de algunas leguminosas (Henkel-Huerta </w:t>
      </w:r>
      <w:r>
        <w:rPr>
          <w:i/>
          <w:color w:val="231F20"/>
        </w:rPr>
        <w:t>et al</w:t>
      </w:r>
      <w:r>
        <w:rPr>
          <w:color w:val="231F20"/>
        </w:rPr>
        <w:t>., 2005a). Por el contrario, el pastoreo se ha incrementado debido a las labores de bajo costo y a las políticas económicas de in- centivos para la producción de ganado en México (Galicia  y  García  Romero,</w:t>
      </w:r>
      <w:r>
        <w:rPr>
          <w:color w:val="231F20"/>
          <w:spacing w:val="13"/>
        </w:rPr>
        <w:t> </w:t>
      </w:r>
      <w:r>
        <w:rPr>
          <w:color w:val="231F20"/>
          <w:spacing w:val="-3"/>
        </w:rPr>
        <w:t>2007).</w:t>
      </w:r>
    </w:p>
    <w:p>
      <w:pPr>
        <w:pStyle w:val="BodyText"/>
        <w:spacing w:line="256" w:lineRule="auto" w:before="113"/>
        <w:ind w:left="413" w:right="1551"/>
        <w:jc w:val="both"/>
      </w:pPr>
      <w:r>
        <w:rPr>
          <w:color w:val="231F20"/>
        </w:rPr>
        <w:t>La conservación de los recursos vegetales en las zonas montañosas puede resultar  contradictoria, ya  que  por  un  lado  estos  recursos  pueden  con-</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9.   La producción de ovinos en el Parque Nacional Nevado  </w:t>
      </w:r>
      <w:r>
        <w:rPr>
          <w:color w:val="231F20"/>
          <w:spacing w:val="33"/>
          <w:sz w:val="18"/>
        </w:rPr>
        <w:t> </w:t>
      </w:r>
      <w:r>
        <w:rPr>
          <w:color w:val="231F20"/>
          <w:sz w:val="18"/>
        </w:rPr>
        <w:t>de</w:t>
      </w:r>
      <w:r>
        <w:rPr>
          <w:color w:val="231F20"/>
          <w:spacing w:val="12"/>
          <w:sz w:val="18"/>
        </w:rPr>
        <w:t> </w:t>
      </w:r>
      <w:r>
        <w:rPr>
          <w:color w:val="231F20"/>
          <w:spacing w:val="-3"/>
          <w:sz w:val="18"/>
        </w:rPr>
        <w:t>Toluca...</w:t>
      </w:r>
      <w:r>
        <w:rPr>
          <w:color w:val="231F20"/>
          <w:spacing w:val="-3"/>
          <w:sz w:val="22"/>
        </w:rPr>
        <w:tab/>
        <w:t>143</w:t>
      </w:r>
    </w:p>
    <w:p>
      <w:pPr>
        <w:spacing w:after="0"/>
        <w:jc w:val="left"/>
        <w:rPr>
          <w:sz w:val="22"/>
        </w:rPr>
        <w:sectPr>
          <w:pgSz w:w="11900" w:h="14450"/>
          <w:pgMar w:header="0" w:footer="222" w:top="420" w:bottom="420" w:left="0" w:right="0"/>
        </w:sectPr>
      </w:pPr>
    </w:p>
    <w:p>
      <w:pPr>
        <w:pStyle w:val="BodyText"/>
        <w:spacing w:line="259" w:lineRule="auto" w:before="345"/>
        <w:ind w:left="1553"/>
        <w:jc w:val="both"/>
      </w:pPr>
      <w:r>
        <w:rPr>
          <w:color w:val="231F20"/>
        </w:rPr>
        <w:t>servarse gracias a la protección que se les pro- porciona por estar dentro de un parque nacional (Galicia y García Romero, </w:t>
      </w:r>
      <w:r>
        <w:rPr>
          <w:color w:val="231F20"/>
          <w:spacing w:val="-3"/>
        </w:rPr>
        <w:t>2007), </w:t>
      </w:r>
      <w:r>
        <w:rPr>
          <w:color w:val="231F20"/>
        </w:rPr>
        <w:t>pero por  otro  lado estos lugares no escapan del acelerado pro- ceso de degradación ambiental dentro y fuera de sus límites (Schelhas, </w:t>
      </w:r>
      <w:r>
        <w:rPr>
          <w:color w:val="231F20"/>
          <w:spacing w:val="-4"/>
        </w:rPr>
        <w:t>1991; </w:t>
      </w:r>
      <w:r>
        <w:rPr>
          <w:color w:val="231F20"/>
        </w:rPr>
        <w:t>Byers, 2000; </w:t>
      </w:r>
      <w:r>
        <w:rPr>
          <w:color w:val="231F20"/>
          <w:spacing w:val="-5"/>
        </w:rPr>
        <w:t>Tanner, </w:t>
      </w:r>
      <w:r>
        <w:rPr>
          <w:color w:val="231F20"/>
        </w:rPr>
        <w:t>2003). La apertura de zonas boscosas para con- vertirlas en praderas, o para el establecimiento de praderas mejoradas, en algunos casos ha recibido subsidio y apoyo por parte de algunas instancias gubernamentales en zonas comunales y ejidales.  El programa ALCAMPO subsidió rubros agrope- cuarios, como el desmonte de vegetación natural, para habilitar praderas ganaderas en </w:t>
      </w:r>
      <w:r>
        <w:rPr>
          <w:color w:val="231F20"/>
          <w:spacing w:val="-5"/>
        </w:rPr>
        <w:t>15 </w:t>
      </w:r>
      <w:r>
        <w:rPr>
          <w:color w:val="231F20"/>
        </w:rPr>
        <w:t>millones de hectáreas en el país. En este caso, los fondos    se focalizaron en regiones geográficas específicas  o en determinado tipo de proyectos, sugeridos antes por órganos colegiados como los Comités Sistema Producto, los Técnicos de Ganadería y los Consejos Estatales de Desarrollo Rural Sustenta- ble (CEDRS). Así, de acuerdo a sus sugerencias hubo zonas donde se  privilegió  la  introducción  de praderas, mientras que en otras  se  subsidia- ron otros rubros, como pozos, represas y líneas de conducción de agua (Bravo-Peña </w:t>
      </w:r>
      <w:r>
        <w:rPr>
          <w:i/>
          <w:color w:val="231F20"/>
        </w:rPr>
        <w:t>et al</w:t>
      </w:r>
      <w:r>
        <w:rPr>
          <w:color w:val="231F20"/>
        </w:rPr>
        <w:t>., </w:t>
      </w:r>
      <w:r>
        <w:rPr>
          <w:color w:val="231F20"/>
          <w:spacing w:val="-4"/>
        </w:rPr>
        <w:t>2010). </w:t>
      </w:r>
      <w:r>
        <w:rPr>
          <w:color w:val="231F20"/>
        </w:rPr>
        <w:t>En  el Estado de México también se recibieron apoyos del programa ALCAMPO para el  establecimiento de praderas </w:t>
      </w:r>
      <w:r>
        <w:rPr>
          <w:color w:val="231F20"/>
          <w:spacing w:val="-3"/>
        </w:rPr>
        <w:t>(Herrera-Tapia  </w:t>
      </w:r>
      <w:r>
        <w:rPr>
          <w:color w:val="231F20"/>
        </w:rPr>
        <w:t>y Lutz-Bachère,  </w:t>
      </w:r>
      <w:r>
        <w:rPr>
          <w:color w:val="231F20"/>
          <w:spacing w:val="18"/>
        </w:rPr>
        <w:t> </w:t>
      </w:r>
      <w:r>
        <w:rPr>
          <w:color w:val="231F20"/>
        </w:rPr>
        <w:t>2008).</w:t>
      </w:r>
    </w:p>
    <w:p>
      <w:pPr>
        <w:pStyle w:val="BodyText"/>
        <w:spacing w:line="259" w:lineRule="auto" w:before="113"/>
        <w:ind w:left="1553"/>
        <w:jc w:val="both"/>
      </w:pPr>
      <w:r>
        <w:rPr>
          <w:color w:val="231F20"/>
        </w:rPr>
        <w:t>El Parque Nacional Nevado de Toluca ha recibido especial atención por investigadores de diversas disciplinas. Hasta la fecha, se han realizado pro- yectos e investigaciones  que  buscan  identificar  los principales problemas que aquejan al área na- tural </w:t>
      </w:r>
      <w:r>
        <w:rPr>
          <w:color w:val="231F20"/>
          <w:spacing w:val="2"/>
        </w:rPr>
        <w:t>protegida, </w:t>
      </w:r>
      <w:r>
        <w:rPr>
          <w:color w:val="231F20"/>
        </w:rPr>
        <w:t>así como posibles alternativas de solución. Actualmente se lleva a cabo el proyecto </w:t>
      </w:r>
      <w:r>
        <w:rPr>
          <w:i/>
          <w:color w:val="231F20"/>
        </w:rPr>
        <w:t>Fábrica de Agua Nevado de Toluca, </w:t>
      </w:r>
      <w:r>
        <w:rPr>
          <w:color w:val="231F20"/>
        </w:rPr>
        <w:t>que dota de agua al Valle de México. La </w:t>
      </w:r>
      <w:r>
        <w:rPr>
          <w:i/>
          <w:color w:val="231F20"/>
        </w:rPr>
        <w:t>Fábrica de Agua Ne­ </w:t>
      </w:r>
      <w:r>
        <w:rPr>
          <w:i/>
          <w:color w:val="231F20"/>
        </w:rPr>
        <w:t>vado de Toluca </w:t>
      </w:r>
      <w:r>
        <w:rPr>
          <w:color w:val="231F20"/>
        </w:rPr>
        <w:t>nació a raíz del éxito obtenido en un proyecto de compensación que  la  Secretaría de Medio Ambiente y Recursos Naturales </w:t>
      </w:r>
      <w:r>
        <w:rPr>
          <w:color w:val="231F20"/>
          <w:spacing w:val="2"/>
        </w:rPr>
        <w:t>impuso   </w:t>
      </w:r>
      <w:r>
        <w:rPr>
          <w:color w:val="231F20"/>
        </w:rPr>
        <w:t>a la Comisión  Federal  de  Electricidad  </w:t>
      </w:r>
      <w:r>
        <w:rPr>
          <w:color w:val="231F20"/>
          <w:spacing w:val="2"/>
        </w:rPr>
        <w:t>(CFE), que </w:t>
      </w:r>
      <w:r>
        <w:rPr>
          <w:color w:val="231F20"/>
        </w:rPr>
        <w:t>la  condicionaba  a  reforestar  500  hectáreas   </w:t>
      </w:r>
      <w:r>
        <w:rPr>
          <w:color w:val="231F20"/>
          <w:spacing w:val="37"/>
        </w:rPr>
        <w:t> </w:t>
      </w:r>
      <w:r>
        <w:rPr>
          <w:color w:val="231F20"/>
          <w:spacing w:val="2"/>
        </w:rPr>
        <w:t>del</w:t>
      </w:r>
    </w:p>
    <w:p>
      <w:pPr>
        <w:pStyle w:val="BodyText"/>
        <w:spacing w:before="3"/>
        <w:rPr>
          <w:sz w:val="28"/>
        </w:rPr>
      </w:pPr>
      <w:r>
        <w:rPr/>
        <w:br w:type="column"/>
      </w:r>
      <w:r>
        <w:rPr>
          <w:sz w:val="28"/>
        </w:rPr>
      </w:r>
    </w:p>
    <w:p>
      <w:pPr>
        <w:pStyle w:val="BodyText"/>
        <w:spacing w:line="256" w:lineRule="auto"/>
        <w:ind w:left="411" w:right="1549"/>
        <w:jc w:val="both"/>
      </w:pPr>
      <w:r>
        <w:rPr>
          <w:color w:val="231F20"/>
        </w:rPr>
        <w:t>parque en retribución por la pérdida de  árboles que supuso la instalación de unas antenas de la compañía en ese lugar. Fue entonces que la </w:t>
      </w:r>
      <w:r>
        <w:rPr>
          <w:color w:val="231F20"/>
          <w:spacing w:val="2"/>
        </w:rPr>
        <w:t>CFE   </w:t>
      </w:r>
      <w:r>
        <w:rPr>
          <w:color w:val="231F20"/>
        </w:rPr>
        <w:t>se acercó a Fomento </w:t>
      </w:r>
      <w:r>
        <w:rPr>
          <w:color w:val="231F20"/>
          <w:spacing w:val="2"/>
        </w:rPr>
        <w:t>Ecológico </w:t>
      </w:r>
      <w:r>
        <w:rPr>
          <w:color w:val="231F20"/>
        </w:rPr>
        <w:t>Banamex para ad- ministrar los recursos destinados a los trabajos de reforestación, que comenzaron en 2003 y que ya han sido concluidos (García,  2012).  Este  proyec- to de compensación abrió las </w:t>
      </w:r>
      <w:r>
        <w:rPr>
          <w:color w:val="231F20"/>
          <w:spacing w:val="2"/>
        </w:rPr>
        <w:t>puertas </w:t>
      </w:r>
      <w:r>
        <w:rPr>
          <w:color w:val="231F20"/>
        </w:rPr>
        <w:t>para </w:t>
      </w:r>
      <w:r>
        <w:rPr>
          <w:color w:val="231F20"/>
          <w:spacing w:val="2"/>
        </w:rPr>
        <w:t>que </w:t>
      </w:r>
      <w:r>
        <w:rPr>
          <w:color w:val="231F20"/>
        </w:rPr>
        <w:t>otras empresas, como  La  Moderna,  </w:t>
      </w:r>
      <w:r>
        <w:rPr>
          <w:color w:val="231F20"/>
          <w:spacing w:val="2"/>
        </w:rPr>
        <w:t>Coca-Cola,  </w:t>
      </w:r>
      <w:r>
        <w:rPr>
          <w:color w:val="231F20"/>
          <w:spacing w:val="3"/>
        </w:rPr>
        <w:t>HP </w:t>
      </w:r>
      <w:r>
        <w:rPr>
          <w:color w:val="231F20"/>
        </w:rPr>
        <w:t>de México y Grupo Bimbo, </w:t>
      </w:r>
      <w:r>
        <w:rPr>
          <w:color w:val="231F20"/>
          <w:spacing w:val="2"/>
        </w:rPr>
        <w:t>participaran con </w:t>
      </w:r>
      <w:r>
        <w:rPr>
          <w:color w:val="231F20"/>
        </w:rPr>
        <w:t>recursos en calidad de donativos para ampliar el proyecto a otras mil hectáreas en el Nevado de Toluca.</w:t>
      </w:r>
    </w:p>
    <w:p>
      <w:pPr>
        <w:spacing w:line="256" w:lineRule="auto" w:before="113"/>
        <w:ind w:left="411" w:right="1551" w:firstLine="0"/>
        <w:jc w:val="both"/>
        <w:rPr>
          <w:sz w:val="20"/>
        </w:rPr>
      </w:pPr>
      <w:r>
        <w:rPr>
          <w:color w:val="231F20"/>
          <w:sz w:val="20"/>
        </w:rPr>
        <w:t>Henkel-Huerta </w:t>
      </w:r>
      <w:r>
        <w:rPr>
          <w:i/>
          <w:color w:val="231F20"/>
          <w:sz w:val="20"/>
        </w:rPr>
        <w:t>et al</w:t>
      </w:r>
      <w:r>
        <w:rPr>
          <w:color w:val="231F20"/>
          <w:sz w:val="20"/>
        </w:rPr>
        <w:t>. (2005b), en su estudio </w:t>
      </w:r>
      <w:r>
        <w:rPr>
          <w:i/>
          <w:color w:val="231F20"/>
          <w:sz w:val="20"/>
        </w:rPr>
        <w:t>Aná­ </w:t>
      </w:r>
      <w:r>
        <w:rPr>
          <w:i/>
          <w:color w:val="231F20"/>
          <w:sz w:val="20"/>
        </w:rPr>
        <w:t>lisis socioespacial de la cuenca del balsas dentro del Parque Nacional Nevado de </w:t>
      </w:r>
      <w:r>
        <w:rPr>
          <w:i/>
          <w:color w:val="231F20"/>
          <w:spacing w:val="-3"/>
          <w:sz w:val="20"/>
        </w:rPr>
        <w:t>Toluca, </w:t>
      </w:r>
      <w:r>
        <w:rPr>
          <w:color w:val="231F20"/>
          <w:sz w:val="20"/>
        </w:rPr>
        <w:t>analizaron la presión que ejercen las actividades humanas so- bre los recursos naturales y concluyeron que, dada la baja densidad de población, existe una baja pre- sión</w:t>
      </w:r>
      <w:r>
        <w:rPr>
          <w:color w:val="231F20"/>
          <w:spacing w:val="13"/>
          <w:sz w:val="20"/>
        </w:rPr>
        <w:t> </w:t>
      </w:r>
      <w:r>
        <w:rPr>
          <w:color w:val="231F20"/>
          <w:sz w:val="20"/>
        </w:rPr>
        <w:t>social.</w:t>
      </w:r>
    </w:p>
    <w:p>
      <w:pPr>
        <w:pStyle w:val="BodyText"/>
        <w:spacing w:line="256" w:lineRule="auto" w:before="113"/>
        <w:ind w:left="411" w:right="1551"/>
        <w:jc w:val="both"/>
      </w:pPr>
      <w:r>
        <w:rPr>
          <w:color w:val="231F20"/>
        </w:rPr>
        <w:t>Agua Blanca se encuentra dentro de la cuenca del Balsas, pero como no cuenta con drenaje, alcan- tarillado ni agua potable, se abastece de agua por medio de manantiales y corrientes permanentes e intermitentes. La población no sobreexplota estas fuentes de abastecimiento de agua y sólo conec- tan mangueras a estos cuerpos hidrológicos para tener el agua disponible, por lo que la presión que se está ejerciendo sobre los recursos naturales es menor.</w:t>
      </w:r>
    </w:p>
    <w:p>
      <w:pPr>
        <w:pStyle w:val="BodyText"/>
        <w:spacing w:line="256" w:lineRule="auto" w:before="113"/>
        <w:ind w:left="411" w:right="1551"/>
        <w:jc w:val="both"/>
      </w:pPr>
      <w:r>
        <w:rPr>
          <w:color w:val="231F20"/>
        </w:rPr>
        <w:t>En un estudio realizado por </w:t>
      </w:r>
      <w:r>
        <w:rPr>
          <w:color w:val="231F20"/>
          <w:spacing w:val="-3"/>
        </w:rPr>
        <w:t>Villers-Ruiz </w:t>
      </w:r>
      <w:r>
        <w:rPr>
          <w:i/>
          <w:color w:val="231F20"/>
        </w:rPr>
        <w:t>et al</w:t>
      </w:r>
      <w:r>
        <w:rPr>
          <w:color w:val="231F20"/>
        </w:rPr>
        <w:t>. </w:t>
      </w:r>
      <w:r>
        <w:rPr>
          <w:color w:val="231F20"/>
          <w:spacing w:val="-4"/>
        </w:rPr>
        <w:t>(1998) </w:t>
      </w:r>
      <w:r>
        <w:rPr>
          <w:color w:val="231F20"/>
        </w:rPr>
        <w:t>en los bosques templados del </w:t>
      </w:r>
      <w:r>
        <w:rPr>
          <w:color w:val="231F20"/>
          <w:spacing w:val="-3"/>
        </w:rPr>
        <w:t>Parque </w:t>
      </w:r>
      <w:r>
        <w:rPr>
          <w:color w:val="231F20"/>
        </w:rPr>
        <w:t>Nacional Ne- vado de </w:t>
      </w:r>
      <w:r>
        <w:rPr>
          <w:color w:val="231F20"/>
          <w:spacing w:val="-6"/>
        </w:rPr>
        <w:t>Toluca </w:t>
      </w:r>
      <w:r>
        <w:rPr>
          <w:color w:val="231F20"/>
        </w:rPr>
        <w:t>se menciona que las principales especies de coníferas son el pino ocote </w:t>
      </w:r>
      <w:r>
        <w:rPr>
          <w:i/>
          <w:color w:val="231F20"/>
        </w:rPr>
        <w:t>(Pinus har­ </w:t>
      </w:r>
      <w:r>
        <w:rPr>
          <w:i/>
          <w:color w:val="231F20"/>
        </w:rPr>
        <w:t>twegii), </w:t>
      </w:r>
      <w:r>
        <w:rPr>
          <w:color w:val="231F20"/>
        </w:rPr>
        <w:t>el oyamel </w:t>
      </w:r>
      <w:r>
        <w:rPr>
          <w:i/>
          <w:color w:val="231F20"/>
        </w:rPr>
        <w:t>(Abies religiosa) </w:t>
      </w:r>
      <w:r>
        <w:rPr>
          <w:color w:val="231F20"/>
        </w:rPr>
        <w:t>y los bosques mixtos, y que la comunidad de Agua Blanca se en- cuentra rodeada, fundamentalmente, por bosques de oyamel, los cuales presentan una mayor pertur- bación por la tala ilegal.</w:t>
      </w:r>
    </w:p>
    <w:p>
      <w:pPr>
        <w:pStyle w:val="BodyText"/>
        <w:spacing w:line="256" w:lineRule="auto" w:before="113"/>
        <w:ind w:left="411" w:right="1551"/>
        <w:jc w:val="both"/>
      </w:pPr>
      <w:r>
        <w:rPr>
          <w:color w:val="231F20"/>
        </w:rPr>
        <w:t>Franco-Maass </w:t>
      </w:r>
      <w:r>
        <w:rPr>
          <w:i/>
          <w:color w:val="231F20"/>
        </w:rPr>
        <w:t>et al</w:t>
      </w:r>
      <w:r>
        <w:rPr>
          <w:color w:val="231F20"/>
        </w:rPr>
        <w:t>. (2006) reportan que el bos- que presenta una tendencia hacia la  </w:t>
      </w:r>
      <w:r>
        <w:rPr>
          <w:color w:val="231F20"/>
          <w:spacing w:val="29"/>
        </w:rPr>
        <w:t> </w:t>
      </w:r>
      <w:r>
        <w:rPr>
          <w:color w:val="231F20"/>
        </w:rPr>
        <w:t>perturbación</w:t>
      </w:r>
    </w:p>
    <w:p>
      <w:pPr>
        <w:spacing w:after="0" w:line="256"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7022" w:val="left" w:leader="none"/>
        </w:tabs>
        <w:spacing w:before="64"/>
        <w:ind w:left="1551" w:right="0" w:firstLine="0"/>
        <w:jc w:val="left"/>
        <w:rPr>
          <w:sz w:val="12"/>
        </w:rPr>
      </w:pPr>
      <w:r>
        <w:rPr>
          <w:color w:val="231F20"/>
          <w:spacing w:val="-3"/>
          <w:w w:val="120"/>
          <w:sz w:val="22"/>
        </w:rPr>
        <w:t>144</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7"/>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8" w:lineRule="auto" w:before="67"/>
        <w:ind w:left="1553"/>
        <w:jc w:val="both"/>
      </w:pPr>
      <w:r>
        <w:rPr>
          <w:color w:val="231F20"/>
        </w:rPr>
        <w:t>moderada y que en un periodo de casi 30 años </w:t>
      </w:r>
      <w:r>
        <w:rPr>
          <w:color w:val="231F20"/>
          <w:spacing w:val="-3"/>
        </w:rPr>
        <w:t>(1972-2000) </w:t>
      </w:r>
      <w:r>
        <w:rPr>
          <w:color w:val="231F20"/>
        </w:rPr>
        <w:t>el Parque Nacional  Nevado  de  </w:t>
      </w:r>
      <w:r>
        <w:rPr>
          <w:color w:val="231F20"/>
          <w:spacing w:val="-5"/>
        </w:rPr>
        <w:t>Tolu- </w:t>
      </w:r>
      <w:r>
        <w:rPr>
          <w:color w:val="231F20"/>
        </w:rPr>
        <w:t>ca perdió más de 4200 ha, lo que representa el 8,4% de la cobertura forestal original. El bosque   de oyamel muestra una tendencia de incremen-   to del 0,10% anual, y en el periodo mencionado hubo un incremento de más de 400 ha de este   tipo de bosque, a pesar de la intensa extracción y el creciente pastoreo</w:t>
      </w:r>
      <w:r>
        <w:rPr>
          <w:color w:val="231F20"/>
          <w:spacing w:val="14"/>
        </w:rPr>
        <w:t> </w:t>
      </w:r>
      <w:r>
        <w:rPr>
          <w:color w:val="231F20"/>
        </w:rPr>
        <w:t>extensivo.</w:t>
      </w:r>
    </w:p>
    <w:p>
      <w:pPr>
        <w:pStyle w:val="BodyText"/>
      </w:pPr>
    </w:p>
    <w:p>
      <w:pPr>
        <w:pStyle w:val="BodyText"/>
        <w:spacing w:before="5"/>
        <w:rPr>
          <w:sz w:val="26"/>
        </w:rPr>
      </w:pPr>
    </w:p>
    <w:p>
      <w:pPr>
        <w:pStyle w:val="BodyText"/>
        <w:ind w:left="1553"/>
        <w:jc w:val="both"/>
      </w:pPr>
      <w:r>
        <w:rPr>
          <w:color w:val="231F20"/>
          <w:w w:val="110"/>
        </w:rPr>
        <w:t>DESARROLLO  DEL ESTUDIO</w:t>
      </w:r>
    </w:p>
    <w:p>
      <w:pPr>
        <w:pStyle w:val="BodyText"/>
        <w:spacing w:line="268" w:lineRule="auto" w:before="142"/>
        <w:ind w:left="1553"/>
        <w:jc w:val="both"/>
      </w:pPr>
      <w:r>
        <w:rPr>
          <w:color w:val="231F20"/>
        </w:rPr>
        <w:t>El presente trabajo se llevó a cabo en la localidad Agua Blanca, del municipio de Zinacantepec, que  se encuentra dentro del Parque Nacional Nevado de </w:t>
      </w:r>
      <w:r>
        <w:rPr>
          <w:color w:val="231F20"/>
          <w:spacing w:val="-3"/>
        </w:rPr>
        <w:t>Toluca.  </w:t>
      </w:r>
      <w:r>
        <w:rPr>
          <w:color w:val="231F20"/>
        </w:rPr>
        <w:t>Se desarrolla como un estudio de caso   y los productores se seleccionaron por invitación directa entre los que tenían ovinos y cumplían con la condición de pastoreo. Finalmente se seleccio- nó a seis pastores de un total de  </w:t>
      </w:r>
      <w:r>
        <w:rPr>
          <w:color w:val="231F20"/>
          <w:spacing w:val="18"/>
        </w:rPr>
        <w:t> </w:t>
      </w:r>
      <w:r>
        <w:rPr>
          <w:color w:val="231F20"/>
        </w:rPr>
        <w:t>diez.</w:t>
      </w:r>
    </w:p>
    <w:p>
      <w:pPr>
        <w:pStyle w:val="BodyText"/>
        <w:spacing w:line="268" w:lineRule="auto" w:before="113"/>
        <w:ind w:left="1553"/>
        <w:jc w:val="both"/>
      </w:pPr>
      <w:r>
        <w:rPr>
          <w:color w:val="231F20"/>
        </w:rPr>
        <w:t>Durante un año de evaluación se realizaron visi-   tas bimestrales a cada uno de los pastores y se observaron las prácticas de pastoreo que tradicio- nalmente realizan. Se tomaron muestras de fo- rraje en las zonas de pastoreo para determinar la producción de biomasa y las especies presentes y consumidas en la zona, siguiendo la metodología propuesta por Martínez-Loperena </w:t>
      </w:r>
      <w:r>
        <w:rPr>
          <w:i/>
          <w:color w:val="231F20"/>
        </w:rPr>
        <w:t>et al</w:t>
      </w:r>
      <w:r>
        <w:rPr>
          <w:color w:val="231F20"/>
        </w:rPr>
        <w:t>. </w:t>
      </w:r>
      <w:r>
        <w:rPr>
          <w:color w:val="231F20"/>
          <w:spacing w:val="-4"/>
        </w:rPr>
        <w:t>(2011). </w:t>
      </w:r>
      <w:r>
        <w:rPr>
          <w:color w:val="231F20"/>
        </w:rPr>
        <w:t>A partir de la biomasa producida por día y mes se calculó la capacidad de carga, considerando  un  3% de consumo por peso corporal para  los  ovi- nos adultos; los datos de peso por animal para hacer los cálculos se tomaron  de  Lesur  (2009).  Las muestras de forraje se llevaron al laboratorio del Instituto de Ciencias Agropecuarias y Rurales, donde se determinó el contenido de fibra deter- gente neutro (FDN) y de fibra ácido detergente </w:t>
      </w:r>
      <w:r>
        <w:rPr>
          <w:color w:val="231F20"/>
          <w:spacing w:val="-3"/>
        </w:rPr>
        <w:t>(FAD) </w:t>
      </w:r>
      <w:r>
        <w:rPr>
          <w:color w:val="231F20"/>
        </w:rPr>
        <w:t>según  el  método  </w:t>
      </w:r>
      <w:r>
        <w:rPr>
          <w:color w:val="231F20"/>
          <w:spacing w:val="-5"/>
        </w:rPr>
        <w:t>AOAC  </w:t>
      </w:r>
      <w:r>
        <w:rPr>
          <w:color w:val="231F20"/>
        </w:rPr>
        <w:t>(1990),  así  como  el contenido de proteína cruda por el método Kjel- dahl  </w:t>
      </w:r>
      <w:r>
        <w:rPr>
          <w:color w:val="231F20"/>
          <w:spacing w:val="-3"/>
        </w:rPr>
        <w:t>(AOAC, </w:t>
      </w:r>
      <w:r>
        <w:rPr>
          <w:color w:val="231F20"/>
          <w:spacing w:val="34"/>
        </w:rPr>
        <w:t> </w:t>
      </w:r>
      <w:r>
        <w:rPr>
          <w:color w:val="231F20"/>
        </w:rPr>
        <w:t>1990).</w:t>
      </w:r>
    </w:p>
    <w:p>
      <w:pPr>
        <w:spacing w:before="76"/>
        <w:ind w:left="412" w:right="0" w:firstLine="0"/>
        <w:jc w:val="both"/>
        <w:rPr>
          <w:rFonts w:ascii="Cambria"/>
          <w:i/>
          <w:sz w:val="20"/>
        </w:rPr>
      </w:pPr>
      <w:r>
        <w:rPr/>
        <w:br w:type="column"/>
      </w:r>
      <w:r>
        <w:rPr>
          <w:rFonts w:ascii="Cambria"/>
          <w:i/>
          <w:color w:val="231F20"/>
          <w:w w:val="105"/>
          <w:sz w:val="20"/>
        </w:rPr>
        <w:t>Sistema silvopastoril</w:t>
      </w:r>
    </w:p>
    <w:p>
      <w:pPr>
        <w:spacing w:before="26"/>
        <w:ind w:left="412" w:right="0" w:firstLine="0"/>
        <w:jc w:val="both"/>
        <w:rPr>
          <w:rFonts w:ascii="Cambria"/>
          <w:i/>
          <w:sz w:val="20"/>
        </w:rPr>
      </w:pPr>
      <w:r>
        <w:rPr>
          <w:rFonts w:ascii="Cambria"/>
          <w:i/>
          <w:color w:val="231F20"/>
          <w:w w:val="110"/>
          <w:sz w:val="20"/>
        </w:rPr>
        <w:t>en el Parque Nacional Nevado de Toluca</w:t>
      </w:r>
    </w:p>
    <w:p>
      <w:pPr>
        <w:pStyle w:val="BodyText"/>
        <w:spacing w:line="256" w:lineRule="auto" w:before="139"/>
        <w:ind w:left="412" w:right="1551"/>
        <w:jc w:val="both"/>
      </w:pPr>
      <w:r>
        <w:rPr>
          <w:color w:val="231F20"/>
        </w:rPr>
        <w:t>Un sistema silvopastoril es una opción de produc- ción pecuaria en la cual las plantas leñosas pe- rennes (árboles y arbustos) interactúan con los componentes tradicionales (animales y plantas forrajeras herbáceas) bajo un sistema de manejo integral (SAGARPA, 2000), tendente a incrementar la productividad y el beneficio neto del sistema en el largo plazo.</w:t>
      </w:r>
    </w:p>
    <w:p>
      <w:pPr>
        <w:pStyle w:val="BodyText"/>
        <w:spacing w:line="256" w:lineRule="auto" w:before="113"/>
        <w:ind w:left="412" w:right="1551"/>
        <w:jc w:val="both"/>
      </w:pPr>
      <w:r>
        <w:rPr>
          <w:color w:val="231F20"/>
        </w:rPr>
        <w:t>La Secretaría de Agricultura, Ganadería, Desarrollo Rural, Pesca y Alimentación (SAGARPA) indica en qué condiciones puede considerarse un sistema silvopastoril como tal en función de las caracte- rísticas del terreno. Es obvio que en las praderas forrajeras herbáceas asociadas con leñosas peren- nes, las cuales son sometidas al consumo directo por animales en pastoreo, se presentan interaccio- nes muy fuertes de los distintos componentes. En este caso, los animales se alimentan de las plantas forrajeras, retornan nutrientes a través de sus ex- cretas y pueden ejercer daños físicos por pisoteo, por lo que claramente se trata de un sistema sil- vopastoril.</w:t>
      </w:r>
    </w:p>
    <w:p>
      <w:pPr>
        <w:pStyle w:val="BodyText"/>
        <w:spacing w:line="256" w:lineRule="auto" w:before="113"/>
        <w:ind w:left="412" w:right="1551"/>
        <w:jc w:val="both"/>
      </w:pPr>
      <w:r>
        <w:rPr>
          <w:color w:val="231F20"/>
        </w:rPr>
        <w:t>En la búsqueda de sistemas de producción más sostenibles, desde un punto de vista tanto bioló- gico como económico, los sistemas silvopastoriles son una alternativa a mediano y largo plazo. Los árboles en las pasturas, además de ofrecer forraje de buena calidad a los animales, en  especial  si  son leguminosas, pueden utilizarse como  barre-  ras rompevientos, para controlar la erosión y para mejorar la fertilidad de los suelos. Adicionalmen-  te proporcionan leña, madera y frutos, y aportan otros ingresos al productor y le dan mayor estabili- dad  económica  (Giraldo, </w:t>
      </w:r>
      <w:r>
        <w:rPr>
          <w:color w:val="231F20"/>
          <w:spacing w:val="6"/>
        </w:rPr>
        <w:t> </w:t>
      </w:r>
      <w:r>
        <w:rPr>
          <w:color w:val="231F20"/>
        </w:rPr>
        <w:t>1996).</w:t>
      </w:r>
    </w:p>
    <w:p>
      <w:pPr>
        <w:pStyle w:val="BodyText"/>
        <w:spacing w:line="256" w:lineRule="auto" w:before="113"/>
        <w:ind w:left="412" w:right="1551"/>
        <w:jc w:val="both"/>
      </w:pPr>
      <w:r>
        <w:rPr>
          <w:color w:val="231F20"/>
        </w:rPr>
        <w:t>En el Parque Nacional Nevado de Toluca, el com- ponente animal está formado por vacas lecheras (en menor proporción) y ovinos (predominantes). Los animales se llevan desde el lugar donde son guardados y realizan diversos recorridos hasta   lle-</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9.   La producción de ovinos en el Parque Nacional Nevado  </w:t>
      </w:r>
      <w:r>
        <w:rPr>
          <w:color w:val="231F20"/>
          <w:spacing w:val="33"/>
          <w:sz w:val="18"/>
        </w:rPr>
        <w:t> </w:t>
      </w:r>
      <w:r>
        <w:rPr>
          <w:color w:val="231F20"/>
          <w:sz w:val="18"/>
        </w:rPr>
        <w:t>de</w:t>
      </w:r>
      <w:r>
        <w:rPr>
          <w:color w:val="231F20"/>
          <w:spacing w:val="12"/>
          <w:sz w:val="18"/>
        </w:rPr>
        <w:t> </w:t>
      </w:r>
      <w:r>
        <w:rPr>
          <w:color w:val="231F20"/>
          <w:spacing w:val="-3"/>
          <w:sz w:val="18"/>
        </w:rPr>
        <w:t>Toluca...</w:t>
      </w:r>
      <w:r>
        <w:rPr>
          <w:color w:val="231F20"/>
          <w:spacing w:val="-3"/>
          <w:sz w:val="22"/>
        </w:rPr>
        <w:tab/>
        <w:t>145</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9" w:lineRule="auto"/>
        <w:ind w:left="1553"/>
        <w:jc w:val="both"/>
      </w:pPr>
      <w:r>
        <w:rPr>
          <w:color w:val="231F20"/>
        </w:rPr>
        <w:t>gar a zonas abiertas (desmontadas) de pastoreo, donde los principales componentes son pastos na- tivos y plantas herbáceas. Durante los recorridos, las unidades animales van seleccionando diversas especies de las cuales se  alimentan  (Cuadro  1). En las zonas abiertas o de pastoreo la vegetación consiste en pastos y especies representativas de otras  familias  (Cuadro</w:t>
      </w:r>
      <w:r>
        <w:rPr>
          <w:color w:val="231F20"/>
          <w:spacing w:val="-16"/>
        </w:rPr>
        <w:t> </w:t>
      </w:r>
      <w:r>
        <w:rPr>
          <w:color w:val="231F20"/>
        </w:rPr>
        <w:t>2).</w:t>
      </w:r>
    </w:p>
    <w:p>
      <w:pPr>
        <w:pStyle w:val="BodyText"/>
        <w:spacing w:before="4"/>
        <w:rPr>
          <w:sz w:val="29"/>
        </w:rPr>
      </w:pPr>
    </w:p>
    <w:p>
      <w:pPr>
        <w:spacing w:line="288" w:lineRule="auto" w:before="0"/>
        <w:ind w:left="1553" w:right="0" w:firstLine="0"/>
        <w:jc w:val="both"/>
        <w:rPr>
          <w:sz w:val="18"/>
        </w:rPr>
      </w:pPr>
      <w:r>
        <w:rPr>
          <w:color w:val="231F20"/>
          <w:sz w:val="18"/>
        </w:rPr>
        <w:t>Cuadro 1. Especies que seleccionan los animales du- rante el recorrido hacia las zonas de pastoreo en el Par- que Nacional Nevado de   Toluca.</w:t>
      </w:r>
    </w:p>
    <w:p>
      <w:pPr>
        <w:pStyle w:val="BodyText"/>
        <w:spacing w:before="6"/>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41"/>
        <w:gridCol w:w="2825"/>
      </w:tblGrid>
      <w:tr>
        <w:trPr>
          <w:trHeight w:val="369" w:hRule="exact"/>
        </w:trPr>
        <w:tc>
          <w:tcPr>
            <w:tcW w:w="1341" w:type="dxa"/>
            <w:tcBorders>
              <w:left w:val="nil"/>
            </w:tcBorders>
          </w:tcPr>
          <w:p>
            <w:pPr>
              <w:pStyle w:val="TableParagraph"/>
              <w:spacing w:before="79"/>
              <w:ind w:left="378"/>
              <w:rPr>
                <w:rFonts w:ascii="Cambria"/>
                <w:i/>
                <w:sz w:val="18"/>
              </w:rPr>
            </w:pPr>
            <w:r>
              <w:rPr>
                <w:rFonts w:ascii="Cambria"/>
                <w:i/>
                <w:color w:val="231F20"/>
                <w:w w:val="105"/>
                <w:sz w:val="18"/>
              </w:rPr>
              <w:t>Familia</w:t>
            </w:r>
          </w:p>
        </w:tc>
        <w:tc>
          <w:tcPr>
            <w:tcW w:w="2825" w:type="dxa"/>
            <w:tcBorders>
              <w:right w:val="nil"/>
            </w:tcBorders>
          </w:tcPr>
          <w:p>
            <w:pPr>
              <w:pStyle w:val="TableParagraph"/>
              <w:spacing w:before="79"/>
              <w:ind w:left="1081" w:right="1085"/>
              <w:jc w:val="center"/>
              <w:rPr>
                <w:rFonts w:ascii="Cambria"/>
                <w:i/>
                <w:sz w:val="18"/>
              </w:rPr>
            </w:pPr>
            <w:r>
              <w:rPr>
                <w:rFonts w:ascii="Cambria"/>
                <w:i/>
                <w:color w:val="231F20"/>
                <w:w w:val="110"/>
                <w:sz w:val="18"/>
              </w:rPr>
              <w:t>Especie</w:t>
            </w:r>
          </w:p>
        </w:tc>
      </w:tr>
      <w:tr>
        <w:trPr>
          <w:trHeight w:val="354" w:hRule="exact"/>
        </w:trPr>
        <w:tc>
          <w:tcPr>
            <w:tcW w:w="1341" w:type="dxa"/>
            <w:tcBorders>
              <w:left w:val="nil"/>
            </w:tcBorders>
          </w:tcPr>
          <w:p>
            <w:pPr>
              <w:pStyle w:val="TableParagraph"/>
              <w:ind w:left="113"/>
              <w:rPr>
                <w:sz w:val="17"/>
              </w:rPr>
            </w:pPr>
            <w:r>
              <w:rPr>
                <w:color w:val="231F20"/>
                <w:sz w:val="17"/>
              </w:rPr>
              <w:t>Fabaceae</w:t>
            </w:r>
          </w:p>
        </w:tc>
        <w:tc>
          <w:tcPr>
            <w:tcW w:w="2825" w:type="dxa"/>
            <w:tcBorders>
              <w:right w:val="nil"/>
            </w:tcBorders>
          </w:tcPr>
          <w:p>
            <w:pPr>
              <w:pStyle w:val="TableParagraph"/>
              <w:ind w:left="108"/>
              <w:rPr>
                <w:sz w:val="17"/>
              </w:rPr>
            </w:pPr>
            <w:r>
              <w:rPr>
                <w:i/>
                <w:color w:val="231F20"/>
                <w:sz w:val="17"/>
              </w:rPr>
              <w:t>Astragalus tolucanus </w:t>
            </w:r>
            <w:r>
              <w:rPr>
                <w:color w:val="231F20"/>
                <w:sz w:val="17"/>
              </w:rPr>
              <w:t>Rob. &amp;  Seaton</w:t>
            </w:r>
          </w:p>
        </w:tc>
      </w:tr>
      <w:tr>
        <w:trPr>
          <w:trHeight w:val="354" w:hRule="exact"/>
        </w:trPr>
        <w:tc>
          <w:tcPr>
            <w:tcW w:w="1341" w:type="dxa"/>
            <w:tcBorders>
              <w:left w:val="nil"/>
            </w:tcBorders>
          </w:tcPr>
          <w:p>
            <w:pPr>
              <w:pStyle w:val="TableParagraph"/>
              <w:ind w:left="113"/>
              <w:rPr>
                <w:sz w:val="17"/>
              </w:rPr>
            </w:pPr>
            <w:r>
              <w:rPr>
                <w:color w:val="231F20"/>
                <w:sz w:val="17"/>
              </w:rPr>
              <w:t>Lythraceae</w:t>
            </w:r>
          </w:p>
        </w:tc>
        <w:tc>
          <w:tcPr>
            <w:tcW w:w="2825" w:type="dxa"/>
            <w:tcBorders>
              <w:right w:val="nil"/>
            </w:tcBorders>
          </w:tcPr>
          <w:p>
            <w:pPr>
              <w:pStyle w:val="TableParagraph"/>
              <w:ind w:left="108"/>
              <w:rPr>
                <w:sz w:val="17"/>
              </w:rPr>
            </w:pPr>
            <w:r>
              <w:rPr>
                <w:i/>
                <w:color w:val="231F20"/>
                <w:w w:val="105"/>
                <w:sz w:val="17"/>
              </w:rPr>
              <w:t>Cuphea procumbens </w:t>
            </w:r>
            <w:r>
              <w:rPr>
                <w:color w:val="231F20"/>
                <w:w w:val="105"/>
                <w:sz w:val="17"/>
              </w:rPr>
              <w:t>Ort.</w:t>
            </w:r>
          </w:p>
        </w:tc>
      </w:tr>
      <w:tr>
        <w:trPr>
          <w:trHeight w:val="354" w:hRule="exact"/>
        </w:trPr>
        <w:tc>
          <w:tcPr>
            <w:tcW w:w="1341" w:type="dxa"/>
            <w:vMerge w:val="restart"/>
            <w:tcBorders>
              <w:left w:val="nil"/>
            </w:tcBorders>
          </w:tcPr>
          <w:p>
            <w:pPr>
              <w:pStyle w:val="TableParagraph"/>
              <w:spacing w:before="6"/>
              <w:rPr>
                <w:sz w:val="20"/>
              </w:rPr>
            </w:pPr>
          </w:p>
          <w:p>
            <w:pPr>
              <w:pStyle w:val="TableParagraph"/>
              <w:spacing w:before="0"/>
              <w:ind w:left="113"/>
              <w:rPr>
                <w:sz w:val="17"/>
              </w:rPr>
            </w:pPr>
            <w:r>
              <w:rPr>
                <w:color w:val="231F20"/>
                <w:w w:val="105"/>
                <w:sz w:val="17"/>
              </w:rPr>
              <w:t>Lamiaceae</w:t>
            </w:r>
          </w:p>
        </w:tc>
        <w:tc>
          <w:tcPr>
            <w:tcW w:w="2825" w:type="dxa"/>
            <w:tcBorders>
              <w:right w:val="nil"/>
            </w:tcBorders>
          </w:tcPr>
          <w:p>
            <w:pPr>
              <w:pStyle w:val="TableParagraph"/>
              <w:ind w:left="108"/>
              <w:rPr>
                <w:sz w:val="17"/>
              </w:rPr>
            </w:pPr>
            <w:r>
              <w:rPr>
                <w:i/>
                <w:color w:val="231F20"/>
                <w:sz w:val="17"/>
              </w:rPr>
              <w:t>Prunella vulgaris </w:t>
            </w:r>
            <w:r>
              <w:rPr>
                <w:color w:val="231F20"/>
                <w:sz w:val="17"/>
              </w:rPr>
              <w:t>L.</w:t>
            </w:r>
          </w:p>
        </w:tc>
      </w:tr>
      <w:tr>
        <w:trPr>
          <w:trHeight w:val="354" w:hRule="exact"/>
        </w:trPr>
        <w:tc>
          <w:tcPr>
            <w:tcW w:w="1341" w:type="dxa"/>
            <w:vMerge/>
            <w:tcBorders>
              <w:left w:val="nil"/>
            </w:tcBorders>
          </w:tcPr>
          <w:p>
            <w:pPr/>
          </w:p>
        </w:tc>
        <w:tc>
          <w:tcPr>
            <w:tcW w:w="2825" w:type="dxa"/>
            <w:tcBorders>
              <w:right w:val="nil"/>
            </w:tcBorders>
          </w:tcPr>
          <w:p>
            <w:pPr>
              <w:pStyle w:val="TableParagraph"/>
              <w:ind w:left="108"/>
              <w:rPr>
                <w:sz w:val="17"/>
              </w:rPr>
            </w:pPr>
            <w:r>
              <w:rPr>
                <w:i/>
                <w:color w:val="231F20"/>
                <w:sz w:val="17"/>
              </w:rPr>
              <w:t>Salvia  reptans </w:t>
            </w:r>
            <w:r>
              <w:rPr>
                <w:color w:val="231F20"/>
                <w:sz w:val="17"/>
              </w:rPr>
              <w:t>Jacq.</w:t>
            </w:r>
          </w:p>
        </w:tc>
      </w:tr>
      <w:tr>
        <w:trPr>
          <w:trHeight w:val="354" w:hRule="exact"/>
        </w:trPr>
        <w:tc>
          <w:tcPr>
            <w:tcW w:w="1341" w:type="dxa"/>
            <w:vMerge w:val="restart"/>
            <w:tcBorders>
              <w:left w:val="nil"/>
            </w:tcBorders>
          </w:tcPr>
          <w:p>
            <w:pPr>
              <w:pStyle w:val="TableParagraph"/>
              <w:spacing w:before="6"/>
              <w:rPr>
                <w:sz w:val="20"/>
              </w:rPr>
            </w:pPr>
          </w:p>
          <w:p>
            <w:pPr>
              <w:pStyle w:val="TableParagraph"/>
              <w:spacing w:before="0"/>
              <w:ind w:left="113"/>
              <w:rPr>
                <w:sz w:val="17"/>
              </w:rPr>
            </w:pPr>
            <w:r>
              <w:rPr>
                <w:color w:val="231F20"/>
                <w:sz w:val="17"/>
              </w:rPr>
              <w:t>Asteraceae</w:t>
            </w:r>
          </w:p>
        </w:tc>
        <w:tc>
          <w:tcPr>
            <w:tcW w:w="2825" w:type="dxa"/>
            <w:tcBorders>
              <w:right w:val="nil"/>
            </w:tcBorders>
          </w:tcPr>
          <w:p>
            <w:pPr>
              <w:pStyle w:val="TableParagraph"/>
              <w:ind w:left="108"/>
              <w:rPr>
                <w:sz w:val="17"/>
              </w:rPr>
            </w:pPr>
            <w:r>
              <w:rPr>
                <w:i/>
                <w:color w:val="231F20"/>
                <w:w w:val="105"/>
                <w:sz w:val="17"/>
              </w:rPr>
              <w:t>Loranthus greenm </w:t>
            </w:r>
            <w:r>
              <w:rPr>
                <w:color w:val="231F20"/>
                <w:w w:val="105"/>
                <w:sz w:val="17"/>
              </w:rPr>
              <w:t>(Jack)</w:t>
            </w:r>
          </w:p>
        </w:tc>
      </w:tr>
      <w:tr>
        <w:trPr>
          <w:trHeight w:val="354" w:hRule="exact"/>
        </w:trPr>
        <w:tc>
          <w:tcPr>
            <w:tcW w:w="1341" w:type="dxa"/>
            <w:vMerge/>
            <w:tcBorders>
              <w:left w:val="nil"/>
            </w:tcBorders>
          </w:tcPr>
          <w:p>
            <w:pPr/>
          </w:p>
        </w:tc>
        <w:tc>
          <w:tcPr>
            <w:tcW w:w="2825" w:type="dxa"/>
            <w:tcBorders>
              <w:right w:val="nil"/>
            </w:tcBorders>
          </w:tcPr>
          <w:p>
            <w:pPr>
              <w:pStyle w:val="TableParagraph"/>
              <w:ind w:left="108"/>
              <w:rPr>
                <w:sz w:val="17"/>
              </w:rPr>
            </w:pPr>
            <w:r>
              <w:rPr>
                <w:i/>
                <w:color w:val="231F20"/>
                <w:w w:val="105"/>
                <w:sz w:val="17"/>
              </w:rPr>
              <w:t>Senecio angulifolius </w:t>
            </w:r>
            <w:r>
              <w:rPr>
                <w:color w:val="231F20"/>
                <w:w w:val="105"/>
                <w:sz w:val="17"/>
              </w:rPr>
              <w:t>DC.</w:t>
            </w:r>
          </w:p>
        </w:tc>
      </w:tr>
    </w:tbl>
    <w:p>
      <w:pPr>
        <w:pStyle w:val="BodyText"/>
        <w:rPr>
          <w:sz w:val="18"/>
        </w:rPr>
      </w:pPr>
    </w:p>
    <w:p>
      <w:pPr>
        <w:pStyle w:val="BodyText"/>
        <w:spacing w:before="1"/>
      </w:pPr>
    </w:p>
    <w:p>
      <w:pPr>
        <w:spacing w:line="288" w:lineRule="auto" w:before="0"/>
        <w:ind w:left="1553" w:right="0" w:firstLine="0"/>
        <w:jc w:val="both"/>
        <w:rPr>
          <w:sz w:val="18"/>
        </w:rPr>
      </w:pPr>
      <w:r>
        <w:rPr/>
        <w:pict>
          <v:shape style="position:absolute;margin-left:77.442902pt;margin-top:31.554243pt;width:208.6pt;height:206.95pt;mso-position-horizontal-relative:page;mso-position-vertical-relative:paragraph;z-index:460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41"/>
                    <w:gridCol w:w="2815"/>
                  </w:tblGrid>
                  <w:tr>
                    <w:trPr>
                      <w:trHeight w:val="369" w:hRule="exact"/>
                    </w:trPr>
                    <w:tc>
                      <w:tcPr>
                        <w:tcW w:w="1341" w:type="dxa"/>
                        <w:tcBorders>
                          <w:left w:val="nil"/>
                        </w:tcBorders>
                      </w:tcPr>
                      <w:p>
                        <w:pPr>
                          <w:pStyle w:val="TableParagraph"/>
                          <w:spacing w:before="79"/>
                          <w:ind w:left="378"/>
                          <w:rPr>
                            <w:rFonts w:ascii="Cambria"/>
                            <w:i/>
                            <w:sz w:val="18"/>
                          </w:rPr>
                        </w:pPr>
                        <w:r>
                          <w:rPr>
                            <w:rFonts w:ascii="Cambria"/>
                            <w:i/>
                            <w:color w:val="231F20"/>
                            <w:w w:val="105"/>
                            <w:sz w:val="18"/>
                          </w:rPr>
                          <w:t>Familia</w:t>
                        </w:r>
                      </w:p>
                    </w:tc>
                    <w:tc>
                      <w:tcPr>
                        <w:tcW w:w="2815" w:type="dxa"/>
                        <w:tcBorders>
                          <w:right w:val="nil"/>
                        </w:tcBorders>
                      </w:tcPr>
                      <w:p>
                        <w:pPr>
                          <w:pStyle w:val="TableParagraph"/>
                          <w:spacing w:before="79"/>
                          <w:ind w:left="1076" w:right="1080"/>
                          <w:jc w:val="center"/>
                          <w:rPr>
                            <w:rFonts w:ascii="Cambria"/>
                            <w:i/>
                            <w:sz w:val="18"/>
                          </w:rPr>
                        </w:pPr>
                        <w:r>
                          <w:rPr>
                            <w:rFonts w:ascii="Cambria"/>
                            <w:i/>
                            <w:color w:val="231F20"/>
                            <w:w w:val="110"/>
                            <w:sz w:val="18"/>
                          </w:rPr>
                          <w:t>Especie</w:t>
                        </w:r>
                      </w:p>
                    </w:tc>
                  </w:tr>
                  <w:tr>
                    <w:trPr>
                      <w:trHeight w:val="574" w:hRule="exact"/>
                    </w:trPr>
                    <w:tc>
                      <w:tcPr>
                        <w:tcW w:w="1341" w:type="dxa"/>
                        <w:vMerge w:val="restart"/>
                        <w:tcBorders>
                          <w:left w:val="nil"/>
                        </w:tcBorders>
                      </w:tcPr>
                      <w:p>
                        <w:pPr>
                          <w:pStyle w:val="TableParagraph"/>
                          <w:spacing w:before="0"/>
                          <w:rPr>
                            <w:sz w:val="16"/>
                          </w:rPr>
                        </w:pPr>
                      </w:p>
                      <w:p>
                        <w:pPr>
                          <w:pStyle w:val="TableParagraph"/>
                          <w:spacing w:before="0"/>
                          <w:rPr>
                            <w:sz w:val="16"/>
                          </w:rPr>
                        </w:pPr>
                      </w:p>
                      <w:p>
                        <w:pPr>
                          <w:pStyle w:val="TableParagraph"/>
                          <w:spacing w:before="0"/>
                          <w:rPr>
                            <w:sz w:val="12"/>
                          </w:rPr>
                        </w:pPr>
                      </w:p>
                      <w:p>
                        <w:pPr>
                          <w:pStyle w:val="TableParagraph"/>
                          <w:spacing w:before="0"/>
                          <w:ind w:left="113"/>
                          <w:rPr>
                            <w:sz w:val="17"/>
                          </w:rPr>
                        </w:pPr>
                        <w:r>
                          <w:rPr>
                            <w:color w:val="231F20"/>
                            <w:sz w:val="17"/>
                          </w:rPr>
                          <w:t>Asteraceae</w:t>
                        </w:r>
                      </w:p>
                    </w:tc>
                    <w:tc>
                      <w:tcPr>
                        <w:tcW w:w="2815" w:type="dxa"/>
                        <w:tcBorders>
                          <w:right w:val="nil"/>
                        </w:tcBorders>
                      </w:tcPr>
                      <w:p>
                        <w:pPr>
                          <w:pStyle w:val="TableParagraph"/>
                          <w:spacing w:line="254" w:lineRule="auto"/>
                          <w:ind w:left="108" w:right="276"/>
                          <w:rPr>
                            <w:sz w:val="17"/>
                          </w:rPr>
                        </w:pPr>
                        <w:r>
                          <w:rPr>
                            <w:i/>
                            <w:color w:val="231F20"/>
                            <w:sz w:val="17"/>
                          </w:rPr>
                          <w:t>Taraxacum officinale </w:t>
                        </w:r>
                        <w:r>
                          <w:rPr>
                            <w:color w:val="231F20"/>
                            <w:sz w:val="17"/>
                          </w:rPr>
                          <w:t>G.H. Weber ex Wigg</w:t>
                        </w:r>
                      </w:p>
                    </w:tc>
                  </w:tr>
                  <w:tr>
                    <w:trPr>
                      <w:trHeight w:val="354" w:hRule="exact"/>
                    </w:trPr>
                    <w:tc>
                      <w:tcPr>
                        <w:tcW w:w="1341" w:type="dxa"/>
                        <w:vMerge/>
                        <w:tcBorders>
                          <w:left w:val="nil"/>
                        </w:tcBorders>
                      </w:tcPr>
                      <w:p>
                        <w:pPr/>
                      </w:p>
                    </w:tc>
                    <w:tc>
                      <w:tcPr>
                        <w:tcW w:w="2815" w:type="dxa"/>
                        <w:tcBorders>
                          <w:right w:val="nil"/>
                        </w:tcBorders>
                      </w:tcPr>
                      <w:p>
                        <w:pPr>
                          <w:pStyle w:val="TableParagraph"/>
                          <w:ind w:left="108" w:right="276"/>
                          <w:rPr>
                            <w:sz w:val="17"/>
                          </w:rPr>
                        </w:pPr>
                        <w:r>
                          <w:rPr>
                            <w:i/>
                            <w:color w:val="231F20"/>
                            <w:sz w:val="17"/>
                          </w:rPr>
                          <w:t>Gnaphalium  americanum  </w:t>
                        </w:r>
                        <w:r>
                          <w:rPr>
                            <w:color w:val="231F20"/>
                            <w:sz w:val="17"/>
                          </w:rPr>
                          <w:t>P. Mill.</w:t>
                        </w:r>
                      </w:p>
                    </w:tc>
                  </w:tr>
                  <w:tr>
                    <w:trPr>
                      <w:trHeight w:val="354" w:hRule="exact"/>
                    </w:trPr>
                    <w:tc>
                      <w:tcPr>
                        <w:tcW w:w="1341" w:type="dxa"/>
                        <w:vMerge/>
                        <w:tcBorders>
                          <w:left w:val="nil"/>
                        </w:tcBorders>
                      </w:tcPr>
                      <w:p>
                        <w:pPr/>
                      </w:p>
                    </w:tc>
                    <w:tc>
                      <w:tcPr>
                        <w:tcW w:w="2815" w:type="dxa"/>
                        <w:tcBorders>
                          <w:right w:val="nil"/>
                        </w:tcBorders>
                      </w:tcPr>
                      <w:p>
                        <w:pPr>
                          <w:pStyle w:val="TableParagraph"/>
                          <w:ind w:left="108" w:right="276"/>
                          <w:rPr>
                            <w:sz w:val="17"/>
                          </w:rPr>
                        </w:pPr>
                        <w:r>
                          <w:rPr>
                            <w:i/>
                            <w:color w:val="231F20"/>
                            <w:sz w:val="17"/>
                          </w:rPr>
                          <w:t>Gnaphalium  </w:t>
                        </w:r>
                        <w:r>
                          <w:rPr>
                            <w:color w:val="231F20"/>
                            <w:sz w:val="17"/>
                          </w:rPr>
                          <w:t>sp. L.</w:t>
                        </w:r>
                      </w:p>
                    </w:tc>
                  </w:tr>
                  <w:tr>
                    <w:trPr>
                      <w:trHeight w:val="354" w:hRule="exact"/>
                    </w:trPr>
                    <w:tc>
                      <w:tcPr>
                        <w:tcW w:w="1341" w:type="dxa"/>
                        <w:tcBorders>
                          <w:left w:val="nil"/>
                        </w:tcBorders>
                      </w:tcPr>
                      <w:p>
                        <w:pPr/>
                      </w:p>
                    </w:tc>
                    <w:tc>
                      <w:tcPr>
                        <w:tcW w:w="2815" w:type="dxa"/>
                        <w:tcBorders>
                          <w:right w:val="nil"/>
                        </w:tcBorders>
                      </w:tcPr>
                      <w:p>
                        <w:pPr>
                          <w:pStyle w:val="TableParagraph"/>
                          <w:ind w:left="108" w:right="276"/>
                          <w:rPr>
                            <w:sz w:val="17"/>
                          </w:rPr>
                        </w:pPr>
                        <w:r>
                          <w:rPr>
                            <w:color w:val="231F20"/>
                            <w:w w:val="105"/>
                            <w:sz w:val="17"/>
                          </w:rPr>
                          <w:t>Senecio salignus</w:t>
                        </w:r>
                      </w:p>
                    </w:tc>
                  </w:tr>
                  <w:tr>
                    <w:trPr>
                      <w:trHeight w:val="354" w:hRule="exact"/>
                    </w:trPr>
                    <w:tc>
                      <w:tcPr>
                        <w:tcW w:w="1341" w:type="dxa"/>
                        <w:tcBorders>
                          <w:left w:val="nil"/>
                        </w:tcBorders>
                      </w:tcPr>
                      <w:p>
                        <w:pPr>
                          <w:pStyle w:val="TableParagraph"/>
                          <w:ind w:left="113"/>
                          <w:rPr>
                            <w:sz w:val="17"/>
                          </w:rPr>
                        </w:pPr>
                        <w:r>
                          <w:rPr>
                            <w:color w:val="231F20"/>
                            <w:sz w:val="17"/>
                          </w:rPr>
                          <w:t>Caryophyllaceae</w:t>
                        </w:r>
                      </w:p>
                    </w:tc>
                    <w:tc>
                      <w:tcPr>
                        <w:tcW w:w="2815" w:type="dxa"/>
                        <w:tcBorders>
                          <w:right w:val="nil"/>
                        </w:tcBorders>
                      </w:tcPr>
                      <w:p>
                        <w:pPr>
                          <w:pStyle w:val="TableParagraph"/>
                          <w:ind w:left="108" w:right="276"/>
                          <w:rPr>
                            <w:sz w:val="17"/>
                          </w:rPr>
                        </w:pPr>
                        <w:r>
                          <w:rPr>
                            <w:i/>
                            <w:color w:val="231F20"/>
                            <w:sz w:val="17"/>
                          </w:rPr>
                          <w:t>Cerastium  alpinum </w:t>
                        </w:r>
                        <w:r>
                          <w:rPr>
                            <w:color w:val="231F20"/>
                            <w:sz w:val="17"/>
                          </w:rPr>
                          <w:t>L.</w:t>
                        </w:r>
                      </w:p>
                    </w:tc>
                  </w:tr>
                  <w:tr>
                    <w:trPr>
                      <w:trHeight w:val="354" w:hRule="exact"/>
                    </w:trPr>
                    <w:tc>
                      <w:tcPr>
                        <w:tcW w:w="1341" w:type="dxa"/>
                        <w:tcBorders>
                          <w:left w:val="nil"/>
                        </w:tcBorders>
                      </w:tcPr>
                      <w:p>
                        <w:pPr>
                          <w:pStyle w:val="TableParagraph"/>
                          <w:ind w:left="113"/>
                          <w:rPr>
                            <w:sz w:val="17"/>
                          </w:rPr>
                        </w:pPr>
                        <w:r>
                          <w:rPr>
                            <w:color w:val="231F20"/>
                            <w:w w:val="105"/>
                            <w:sz w:val="17"/>
                          </w:rPr>
                          <w:t>Commelinaceae</w:t>
                        </w:r>
                      </w:p>
                    </w:tc>
                    <w:tc>
                      <w:tcPr>
                        <w:tcW w:w="2815" w:type="dxa"/>
                        <w:tcBorders>
                          <w:right w:val="nil"/>
                        </w:tcBorders>
                      </w:tcPr>
                      <w:p>
                        <w:pPr>
                          <w:pStyle w:val="TableParagraph"/>
                          <w:ind w:left="108"/>
                          <w:rPr>
                            <w:sz w:val="17"/>
                          </w:rPr>
                        </w:pPr>
                        <w:r>
                          <w:rPr>
                            <w:i/>
                            <w:color w:val="231F20"/>
                            <w:spacing w:val="-4"/>
                            <w:w w:val="105"/>
                            <w:sz w:val="17"/>
                          </w:rPr>
                          <w:t>Commelina orchioides </w:t>
                        </w:r>
                        <w:r>
                          <w:rPr>
                            <w:color w:val="231F20"/>
                            <w:spacing w:val="-4"/>
                            <w:w w:val="105"/>
                            <w:sz w:val="17"/>
                          </w:rPr>
                          <w:t>Booth </w:t>
                        </w:r>
                        <w:r>
                          <w:rPr>
                            <w:color w:val="231F20"/>
                            <w:w w:val="105"/>
                            <w:sz w:val="17"/>
                          </w:rPr>
                          <w:t>ex </w:t>
                        </w:r>
                        <w:r>
                          <w:rPr>
                            <w:color w:val="231F20"/>
                            <w:spacing w:val="-4"/>
                            <w:w w:val="105"/>
                            <w:sz w:val="17"/>
                          </w:rPr>
                          <w:t>Lindl.</w:t>
                        </w:r>
                      </w:p>
                    </w:tc>
                  </w:tr>
                  <w:tr>
                    <w:trPr>
                      <w:trHeight w:val="354" w:hRule="exact"/>
                    </w:trPr>
                    <w:tc>
                      <w:tcPr>
                        <w:tcW w:w="1341" w:type="dxa"/>
                        <w:vMerge w:val="restart"/>
                        <w:tcBorders>
                          <w:left w:val="nil"/>
                        </w:tcBorders>
                      </w:tcPr>
                      <w:p>
                        <w:pPr>
                          <w:pStyle w:val="TableParagraph"/>
                          <w:spacing w:before="6"/>
                          <w:rPr>
                            <w:sz w:val="20"/>
                          </w:rPr>
                        </w:pPr>
                      </w:p>
                      <w:p>
                        <w:pPr>
                          <w:pStyle w:val="TableParagraph"/>
                          <w:spacing w:before="0"/>
                          <w:ind w:left="113"/>
                          <w:rPr>
                            <w:sz w:val="17"/>
                          </w:rPr>
                        </w:pPr>
                        <w:r>
                          <w:rPr>
                            <w:color w:val="231F20"/>
                            <w:w w:val="105"/>
                            <w:sz w:val="17"/>
                          </w:rPr>
                          <w:t>Poaceae</w:t>
                        </w:r>
                      </w:p>
                    </w:tc>
                    <w:tc>
                      <w:tcPr>
                        <w:tcW w:w="2815" w:type="dxa"/>
                        <w:tcBorders>
                          <w:right w:val="nil"/>
                        </w:tcBorders>
                      </w:tcPr>
                      <w:p>
                        <w:pPr>
                          <w:pStyle w:val="TableParagraph"/>
                          <w:ind w:left="108" w:right="276"/>
                          <w:rPr>
                            <w:sz w:val="17"/>
                          </w:rPr>
                        </w:pPr>
                        <w:r>
                          <w:rPr>
                            <w:i/>
                            <w:color w:val="231F20"/>
                            <w:sz w:val="17"/>
                          </w:rPr>
                          <w:t>Agrostis tolucensis </w:t>
                        </w:r>
                        <w:r>
                          <w:rPr>
                            <w:color w:val="231F20"/>
                            <w:sz w:val="17"/>
                          </w:rPr>
                          <w:t>Kunth</w:t>
                        </w:r>
                      </w:p>
                    </w:tc>
                  </w:tr>
                  <w:tr>
                    <w:trPr>
                      <w:trHeight w:val="354" w:hRule="exact"/>
                    </w:trPr>
                    <w:tc>
                      <w:tcPr>
                        <w:tcW w:w="1341" w:type="dxa"/>
                        <w:vMerge/>
                        <w:tcBorders>
                          <w:left w:val="nil"/>
                        </w:tcBorders>
                      </w:tcPr>
                      <w:p>
                        <w:pPr/>
                      </w:p>
                    </w:tc>
                    <w:tc>
                      <w:tcPr>
                        <w:tcW w:w="2815" w:type="dxa"/>
                        <w:tcBorders>
                          <w:right w:val="nil"/>
                        </w:tcBorders>
                      </w:tcPr>
                      <w:p>
                        <w:pPr>
                          <w:pStyle w:val="TableParagraph"/>
                          <w:ind w:left="108"/>
                          <w:rPr>
                            <w:sz w:val="17"/>
                          </w:rPr>
                        </w:pPr>
                        <w:r>
                          <w:rPr>
                            <w:i/>
                            <w:color w:val="231F20"/>
                            <w:sz w:val="17"/>
                          </w:rPr>
                          <w:t>Piptochaetium virescens </w:t>
                        </w:r>
                        <w:r>
                          <w:rPr>
                            <w:color w:val="231F20"/>
                            <w:sz w:val="17"/>
                          </w:rPr>
                          <w:t>Hinton, G.B.</w:t>
                        </w:r>
                      </w:p>
                    </w:tc>
                  </w:tr>
                  <w:tr>
                    <w:trPr>
                      <w:trHeight w:val="354" w:hRule="exact"/>
                    </w:trPr>
                    <w:tc>
                      <w:tcPr>
                        <w:tcW w:w="1341" w:type="dxa"/>
                        <w:tcBorders>
                          <w:left w:val="nil"/>
                        </w:tcBorders>
                      </w:tcPr>
                      <w:p>
                        <w:pPr>
                          <w:pStyle w:val="TableParagraph"/>
                          <w:ind w:left="113"/>
                          <w:rPr>
                            <w:sz w:val="17"/>
                          </w:rPr>
                        </w:pPr>
                        <w:r>
                          <w:rPr>
                            <w:color w:val="231F20"/>
                            <w:w w:val="105"/>
                            <w:sz w:val="17"/>
                          </w:rPr>
                          <w:t>Lamiaceae</w:t>
                        </w:r>
                      </w:p>
                    </w:tc>
                    <w:tc>
                      <w:tcPr>
                        <w:tcW w:w="2815" w:type="dxa"/>
                        <w:tcBorders>
                          <w:right w:val="nil"/>
                        </w:tcBorders>
                      </w:tcPr>
                      <w:p>
                        <w:pPr>
                          <w:pStyle w:val="TableParagraph"/>
                          <w:ind w:left="108" w:right="276"/>
                          <w:rPr>
                            <w:sz w:val="17"/>
                          </w:rPr>
                        </w:pPr>
                        <w:r>
                          <w:rPr>
                            <w:i/>
                            <w:color w:val="231F20"/>
                            <w:sz w:val="17"/>
                          </w:rPr>
                          <w:t>Mentha </w:t>
                        </w:r>
                        <w:r>
                          <w:rPr>
                            <w:color w:val="231F20"/>
                            <w:sz w:val="17"/>
                          </w:rPr>
                          <w:t>sp. L.</w:t>
                        </w:r>
                      </w:p>
                    </w:tc>
                  </w:tr>
                  <w:tr>
                    <w:trPr>
                      <w:trHeight w:val="354" w:hRule="exact"/>
                    </w:trPr>
                    <w:tc>
                      <w:tcPr>
                        <w:tcW w:w="1341" w:type="dxa"/>
                        <w:tcBorders>
                          <w:left w:val="nil"/>
                        </w:tcBorders>
                      </w:tcPr>
                      <w:p>
                        <w:pPr>
                          <w:pStyle w:val="TableParagraph"/>
                          <w:ind w:left="113"/>
                          <w:rPr>
                            <w:sz w:val="17"/>
                          </w:rPr>
                        </w:pPr>
                        <w:r>
                          <w:rPr>
                            <w:color w:val="231F20"/>
                            <w:sz w:val="17"/>
                          </w:rPr>
                          <w:t>Oxalidaceae</w:t>
                        </w:r>
                      </w:p>
                    </w:tc>
                    <w:tc>
                      <w:tcPr>
                        <w:tcW w:w="2815" w:type="dxa"/>
                        <w:tcBorders>
                          <w:right w:val="nil"/>
                        </w:tcBorders>
                      </w:tcPr>
                      <w:p>
                        <w:pPr>
                          <w:pStyle w:val="TableParagraph"/>
                          <w:ind w:left="108" w:right="276"/>
                          <w:rPr>
                            <w:sz w:val="17"/>
                          </w:rPr>
                        </w:pPr>
                        <w:r>
                          <w:rPr>
                            <w:i/>
                            <w:color w:val="231F20"/>
                            <w:sz w:val="17"/>
                          </w:rPr>
                          <w:t>Oxalis corniculata </w:t>
                        </w:r>
                        <w:r>
                          <w:rPr>
                            <w:color w:val="231F20"/>
                            <w:sz w:val="17"/>
                          </w:rPr>
                          <w:t>L.</w:t>
                        </w:r>
                      </w:p>
                    </w:tc>
                  </w:tr>
                </w:tbl>
                <w:p>
                  <w:pPr>
                    <w:pStyle w:val="BodyText"/>
                  </w:pPr>
                </w:p>
              </w:txbxContent>
            </v:textbox>
            <w10:wrap type="none"/>
          </v:shape>
        </w:pict>
      </w:r>
      <w:r>
        <w:rPr>
          <w:color w:val="231F20"/>
          <w:sz w:val="18"/>
        </w:rPr>
        <w:t>Cuadro 2. Especies presentes en  las  zonas  de  pasto- reo en el Parque Nacional Nevado de   Toluca.</w:t>
      </w:r>
    </w:p>
    <w:p>
      <w:pPr>
        <w:pStyle w:val="BodyText"/>
        <w:rPr>
          <w:sz w:val="18"/>
        </w:rPr>
      </w:pPr>
      <w:r>
        <w:rPr/>
        <w:br w:type="column"/>
      </w:r>
      <w:r>
        <w:rPr>
          <w:sz w:val="18"/>
        </w:rPr>
      </w:r>
    </w:p>
    <w:p>
      <w:pPr>
        <w:spacing w:line="288" w:lineRule="auto" w:before="129"/>
        <w:ind w:left="413" w:right="1553" w:firstLine="0"/>
        <w:jc w:val="both"/>
        <w:rPr>
          <w:sz w:val="18"/>
        </w:rPr>
      </w:pPr>
      <w:r>
        <w:rPr>
          <w:color w:val="231F20"/>
          <w:sz w:val="18"/>
        </w:rPr>
        <w:t>Cuadro 3. Análisis químico proximal de la pradera en las zonas abiertas del Parque Nacional Nevado de  Toluca.</w:t>
      </w:r>
    </w:p>
    <w:p>
      <w:pPr>
        <w:pStyle w:val="BodyText"/>
        <w:spacing w:before="6" w:after="1"/>
        <w:rPr>
          <w:sz w:val="8"/>
        </w:rPr>
      </w:pPr>
    </w:p>
    <w:tbl>
      <w:tblPr>
        <w:tblW w:w="0" w:type="auto"/>
        <w:jc w:val="left"/>
        <w:tblInd w:w="4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058"/>
        <w:gridCol w:w="624"/>
        <w:gridCol w:w="624"/>
        <w:gridCol w:w="624"/>
        <w:gridCol w:w="624"/>
        <w:gridCol w:w="624"/>
      </w:tblGrid>
      <w:tr>
        <w:trPr>
          <w:trHeight w:val="369" w:hRule="exact"/>
        </w:trPr>
        <w:tc>
          <w:tcPr>
            <w:tcW w:w="1058" w:type="dxa"/>
            <w:tcBorders>
              <w:left w:val="nil"/>
            </w:tcBorders>
          </w:tcPr>
          <w:p>
            <w:pPr/>
          </w:p>
        </w:tc>
        <w:tc>
          <w:tcPr>
            <w:tcW w:w="624" w:type="dxa"/>
          </w:tcPr>
          <w:p>
            <w:pPr>
              <w:pStyle w:val="TableParagraph"/>
              <w:spacing w:before="79"/>
              <w:ind w:left="92" w:right="92"/>
              <w:jc w:val="center"/>
              <w:rPr>
                <w:rFonts w:ascii="Cambria"/>
                <w:i/>
                <w:sz w:val="18"/>
              </w:rPr>
            </w:pPr>
            <w:r>
              <w:rPr>
                <w:rFonts w:ascii="Cambria"/>
                <w:i/>
                <w:color w:val="231F20"/>
                <w:w w:val="105"/>
                <w:sz w:val="18"/>
              </w:rPr>
              <w:t>FDN</w:t>
            </w:r>
          </w:p>
        </w:tc>
        <w:tc>
          <w:tcPr>
            <w:tcW w:w="624" w:type="dxa"/>
          </w:tcPr>
          <w:p>
            <w:pPr>
              <w:pStyle w:val="TableParagraph"/>
              <w:spacing w:before="79"/>
              <w:ind w:left="91" w:right="92"/>
              <w:jc w:val="center"/>
              <w:rPr>
                <w:rFonts w:ascii="Cambria"/>
                <w:i/>
                <w:sz w:val="18"/>
              </w:rPr>
            </w:pPr>
            <w:r>
              <w:rPr>
                <w:rFonts w:ascii="Cambria"/>
                <w:i/>
                <w:color w:val="231F20"/>
                <w:sz w:val="18"/>
              </w:rPr>
              <w:t>FDA</w:t>
            </w:r>
          </w:p>
        </w:tc>
        <w:tc>
          <w:tcPr>
            <w:tcW w:w="624" w:type="dxa"/>
          </w:tcPr>
          <w:p>
            <w:pPr>
              <w:pStyle w:val="TableParagraph"/>
              <w:spacing w:before="79"/>
              <w:ind w:right="192"/>
              <w:jc w:val="right"/>
              <w:rPr>
                <w:rFonts w:ascii="Cambria"/>
                <w:i/>
                <w:sz w:val="18"/>
              </w:rPr>
            </w:pPr>
            <w:r>
              <w:rPr>
                <w:rFonts w:ascii="Cambria"/>
                <w:i/>
                <w:color w:val="231F20"/>
                <w:w w:val="105"/>
                <w:sz w:val="18"/>
              </w:rPr>
              <w:t>PC</w:t>
            </w:r>
          </w:p>
        </w:tc>
        <w:tc>
          <w:tcPr>
            <w:tcW w:w="624" w:type="dxa"/>
          </w:tcPr>
          <w:p>
            <w:pPr>
              <w:pStyle w:val="TableParagraph"/>
              <w:spacing w:before="79"/>
              <w:ind w:right="177"/>
              <w:jc w:val="right"/>
              <w:rPr>
                <w:rFonts w:ascii="Cambria"/>
                <w:i/>
                <w:sz w:val="18"/>
              </w:rPr>
            </w:pPr>
            <w:r>
              <w:rPr>
                <w:rFonts w:ascii="Cambria"/>
                <w:i/>
                <w:color w:val="231F20"/>
                <w:w w:val="110"/>
                <w:sz w:val="18"/>
              </w:rPr>
              <w:t>MS</w:t>
            </w:r>
          </w:p>
        </w:tc>
        <w:tc>
          <w:tcPr>
            <w:tcW w:w="624" w:type="dxa"/>
            <w:tcBorders>
              <w:right w:val="nil"/>
            </w:tcBorders>
          </w:tcPr>
          <w:p>
            <w:pPr>
              <w:pStyle w:val="TableParagraph"/>
              <w:spacing w:before="79"/>
              <w:ind w:right="135"/>
              <w:jc w:val="right"/>
              <w:rPr>
                <w:rFonts w:ascii="Cambria"/>
                <w:i/>
                <w:sz w:val="18"/>
              </w:rPr>
            </w:pPr>
            <w:r>
              <w:rPr>
                <w:rFonts w:ascii="Cambria"/>
                <w:i/>
                <w:color w:val="231F20"/>
                <w:w w:val="105"/>
                <w:sz w:val="18"/>
              </w:rPr>
              <w:t>CEN</w:t>
            </w:r>
          </w:p>
        </w:tc>
      </w:tr>
      <w:tr>
        <w:trPr>
          <w:trHeight w:val="354" w:hRule="exact"/>
        </w:trPr>
        <w:tc>
          <w:tcPr>
            <w:tcW w:w="1058" w:type="dxa"/>
            <w:tcBorders>
              <w:left w:val="nil"/>
            </w:tcBorders>
          </w:tcPr>
          <w:p>
            <w:pPr>
              <w:pStyle w:val="TableParagraph"/>
              <w:ind w:left="113"/>
              <w:rPr>
                <w:sz w:val="17"/>
              </w:rPr>
            </w:pPr>
            <w:r>
              <w:rPr>
                <w:color w:val="231F20"/>
                <w:w w:val="110"/>
                <w:sz w:val="17"/>
              </w:rPr>
              <w:t>Valor (%)</w:t>
            </w:r>
          </w:p>
        </w:tc>
        <w:tc>
          <w:tcPr>
            <w:tcW w:w="624" w:type="dxa"/>
          </w:tcPr>
          <w:p>
            <w:pPr>
              <w:pStyle w:val="TableParagraph"/>
              <w:ind w:left="45" w:right="92"/>
              <w:jc w:val="center"/>
              <w:rPr>
                <w:sz w:val="17"/>
              </w:rPr>
            </w:pPr>
            <w:r>
              <w:rPr>
                <w:color w:val="231F20"/>
                <w:w w:val="110"/>
                <w:sz w:val="17"/>
              </w:rPr>
              <w:t>49,3</w:t>
            </w:r>
          </w:p>
        </w:tc>
        <w:tc>
          <w:tcPr>
            <w:tcW w:w="624" w:type="dxa"/>
          </w:tcPr>
          <w:p>
            <w:pPr>
              <w:pStyle w:val="TableParagraph"/>
              <w:ind w:left="49" w:right="92"/>
              <w:jc w:val="center"/>
              <w:rPr>
                <w:sz w:val="17"/>
              </w:rPr>
            </w:pPr>
            <w:r>
              <w:rPr>
                <w:color w:val="231F20"/>
                <w:w w:val="110"/>
                <w:sz w:val="17"/>
              </w:rPr>
              <w:t>24,6</w:t>
            </w:r>
          </w:p>
        </w:tc>
        <w:tc>
          <w:tcPr>
            <w:tcW w:w="624" w:type="dxa"/>
          </w:tcPr>
          <w:p>
            <w:pPr>
              <w:pStyle w:val="TableParagraph"/>
              <w:ind w:right="163"/>
              <w:jc w:val="right"/>
              <w:rPr>
                <w:sz w:val="17"/>
              </w:rPr>
            </w:pPr>
            <w:r>
              <w:rPr>
                <w:color w:val="231F20"/>
                <w:w w:val="110"/>
                <w:sz w:val="17"/>
              </w:rPr>
              <w:t>12,6</w:t>
            </w:r>
          </w:p>
        </w:tc>
        <w:tc>
          <w:tcPr>
            <w:tcW w:w="624" w:type="dxa"/>
          </w:tcPr>
          <w:p>
            <w:pPr>
              <w:pStyle w:val="TableParagraph"/>
              <w:ind w:right="163"/>
              <w:jc w:val="right"/>
              <w:rPr>
                <w:sz w:val="17"/>
              </w:rPr>
            </w:pPr>
            <w:r>
              <w:rPr>
                <w:color w:val="231F20"/>
                <w:w w:val="110"/>
                <w:sz w:val="17"/>
              </w:rPr>
              <w:t>94,0</w:t>
            </w:r>
          </w:p>
        </w:tc>
        <w:tc>
          <w:tcPr>
            <w:tcW w:w="624" w:type="dxa"/>
            <w:tcBorders>
              <w:right w:val="nil"/>
            </w:tcBorders>
          </w:tcPr>
          <w:p>
            <w:pPr>
              <w:pStyle w:val="TableParagraph"/>
              <w:ind w:right="168"/>
              <w:jc w:val="right"/>
              <w:rPr>
                <w:sz w:val="17"/>
              </w:rPr>
            </w:pPr>
            <w:r>
              <w:rPr>
                <w:color w:val="231F20"/>
                <w:w w:val="105"/>
                <w:sz w:val="17"/>
              </w:rPr>
              <w:t>7,7</w:t>
            </w:r>
          </w:p>
        </w:tc>
      </w:tr>
      <w:tr>
        <w:trPr>
          <w:trHeight w:val="354" w:hRule="exact"/>
        </w:trPr>
        <w:tc>
          <w:tcPr>
            <w:tcW w:w="1058" w:type="dxa"/>
            <w:tcBorders>
              <w:left w:val="nil"/>
            </w:tcBorders>
          </w:tcPr>
          <w:p>
            <w:pPr>
              <w:pStyle w:val="TableParagraph"/>
              <w:ind w:left="113"/>
              <w:rPr>
                <w:sz w:val="17"/>
              </w:rPr>
            </w:pPr>
            <w:r>
              <w:rPr>
                <w:color w:val="231F20"/>
                <w:w w:val="110"/>
                <w:sz w:val="17"/>
              </w:rPr>
              <w:t>DE</w:t>
            </w:r>
          </w:p>
        </w:tc>
        <w:tc>
          <w:tcPr>
            <w:tcW w:w="624" w:type="dxa"/>
          </w:tcPr>
          <w:p>
            <w:pPr>
              <w:pStyle w:val="TableParagraph"/>
              <w:ind w:left="97" w:right="48"/>
              <w:jc w:val="center"/>
              <w:rPr>
                <w:sz w:val="17"/>
              </w:rPr>
            </w:pPr>
            <w:r>
              <w:rPr>
                <w:color w:val="231F20"/>
                <w:w w:val="110"/>
                <w:sz w:val="17"/>
              </w:rPr>
              <w:t>8,0</w:t>
            </w:r>
          </w:p>
        </w:tc>
        <w:tc>
          <w:tcPr>
            <w:tcW w:w="624" w:type="dxa"/>
          </w:tcPr>
          <w:p>
            <w:pPr>
              <w:pStyle w:val="TableParagraph"/>
              <w:ind w:left="97" w:right="48"/>
              <w:jc w:val="center"/>
              <w:rPr>
                <w:sz w:val="17"/>
              </w:rPr>
            </w:pPr>
            <w:r>
              <w:rPr>
                <w:color w:val="231F20"/>
                <w:w w:val="110"/>
                <w:sz w:val="17"/>
              </w:rPr>
              <w:t>2,0</w:t>
            </w:r>
          </w:p>
        </w:tc>
        <w:tc>
          <w:tcPr>
            <w:tcW w:w="624" w:type="dxa"/>
          </w:tcPr>
          <w:p>
            <w:pPr>
              <w:pStyle w:val="TableParagraph"/>
              <w:ind w:right="163"/>
              <w:jc w:val="right"/>
              <w:rPr>
                <w:sz w:val="17"/>
              </w:rPr>
            </w:pPr>
            <w:r>
              <w:rPr>
                <w:color w:val="231F20"/>
                <w:w w:val="105"/>
                <w:sz w:val="17"/>
              </w:rPr>
              <w:t>2,8</w:t>
            </w:r>
          </w:p>
        </w:tc>
        <w:tc>
          <w:tcPr>
            <w:tcW w:w="624" w:type="dxa"/>
          </w:tcPr>
          <w:p>
            <w:pPr>
              <w:pStyle w:val="TableParagraph"/>
              <w:ind w:right="163"/>
              <w:jc w:val="right"/>
              <w:rPr>
                <w:sz w:val="17"/>
              </w:rPr>
            </w:pPr>
            <w:r>
              <w:rPr>
                <w:color w:val="231F20"/>
                <w:w w:val="105"/>
                <w:sz w:val="17"/>
              </w:rPr>
              <w:t>2,0</w:t>
            </w:r>
          </w:p>
        </w:tc>
        <w:tc>
          <w:tcPr>
            <w:tcW w:w="624" w:type="dxa"/>
            <w:tcBorders>
              <w:right w:val="nil"/>
            </w:tcBorders>
          </w:tcPr>
          <w:p>
            <w:pPr>
              <w:pStyle w:val="TableParagraph"/>
              <w:ind w:right="175"/>
              <w:jc w:val="right"/>
              <w:rPr>
                <w:sz w:val="17"/>
              </w:rPr>
            </w:pPr>
            <w:r>
              <w:rPr>
                <w:color w:val="231F20"/>
                <w:w w:val="105"/>
                <w:sz w:val="17"/>
              </w:rPr>
              <w:t>1,7</w:t>
            </w:r>
          </w:p>
        </w:tc>
      </w:tr>
    </w:tbl>
    <w:p>
      <w:pPr>
        <w:spacing w:line="261" w:lineRule="auto" w:before="77"/>
        <w:ind w:left="413" w:right="1542" w:firstLine="0"/>
        <w:jc w:val="both"/>
        <w:rPr>
          <w:sz w:val="15"/>
        </w:rPr>
      </w:pPr>
      <w:r>
        <w:rPr>
          <w:color w:val="231F20"/>
          <w:sz w:val="15"/>
        </w:rPr>
        <w:t>FDN: fibra detergente neutro; FDA: fibra detergente ácido; PC: pro- teína cruda; MS: materia seca; CEN: cenizas; DE: desviación es- tándar.</w:t>
      </w:r>
    </w:p>
    <w:p>
      <w:pPr>
        <w:pStyle w:val="BodyText"/>
        <w:rPr>
          <w:sz w:val="14"/>
        </w:rPr>
      </w:pPr>
    </w:p>
    <w:p>
      <w:pPr>
        <w:pStyle w:val="BodyText"/>
        <w:rPr>
          <w:sz w:val="14"/>
        </w:rPr>
      </w:pPr>
    </w:p>
    <w:p>
      <w:pPr>
        <w:pStyle w:val="BodyText"/>
        <w:spacing w:before="3"/>
        <w:rPr>
          <w:sz w:val="13"/>
        </w:rPr>
      </w:pPr>
    </w:p>
    <w:p>
      <w:pPr>
        <w:spacing w:before="0"/>
        <w:ind w:left="413" w:right="0" w:firstLine="0"/>
        <w:jc w:val="both"/>
        <w:rPr>
          <w:rFonts w:ascii="Cambria"/>
          <w:i/>
          <w:sz w:val="20"/>
        </w:rPr>
      </w:pPr>
      <w:r>
        <w:rPr>
          <w:rFonts w:ascii="Cambria"/>
          <w:i/>
          <w:color w:val="231F20"/>
          <w:w w:val="110"/>
          <w:sz w:val="20"/>
        </w:rPr>
        <w:t>Calidad del forraje disponible</w:t>
      </w:r>
    </w:p>
    <w:p>
      <w:pPr>
        <w:spacing w:before="29"/>
        <w:ind w:left="413" w:right="0" w:firstLine="0"/>
        <w:jc w:val="both"/>
        <w:rPr>
          <w:rFonts w:ascii="Cambria"/>
          <w:i/>
          <w:sz w:val="20"/>
        </w:rPr>
      </w:pPr>
      <w:r>
        <w:rPr>
          <w:rFonts w:ascii="Cambria"/>
          <w:i/>
          <w:color w:val="231F20"/>
          <w:w w:val="110"/>
          <w:sz w:val="20"/>
        </w:rPr>
        <w:t>en el Parque Nacional Nevado de Toluca</w:t>
      </w:r>
    </w:p>
    <w:p>
      <w:pPr>
        <w:pStyle w:val="BodyText"/>
        <w:spacing w:line="259" w:lineRule="auto" w:before="142"/>
        <w:ind w:left="413" w:right="1551"/>
        <w:jc w:val="both"/>
      </w:pPr>
      <w:r>
        <w:rPr>
          <w:color w:val="231F20"/>
        </w:rPr>
        <w:t>El forraje disponible en las zonas abiertas del Par- que Nacional Nevado de </w:t>
      </w:r>
      <w:r>
        <w:rPr>
          <w:color w:val="231F20"/>
          <w:spacing w:val="-4"/>
        </w:rPr>
        <w:t>Toluca </w:t>
      </w:r>
      <w:r>
        <w:rPr>
          <w:color w:val="231F20"/>
        </w:rPr>
        <w:t>refleja que su ca- lidad nutritiva es buena (Cuadro 3), en especial respecto al aporte de proteína cruda. Estos resulta- dos muestran que el forraje es de buena calidad, mejor que otros forrajes tradicionales como el ras- trojo de maíz e inclusive mejor que la avena </w:t>
      </w:r>
      <w:r>
        <w:rPr>
          <w:color w:val="231F20"/>
          <w:spacing w:val="-6"/>
        </w:rPr>
        <w:t>(To- </w:t>
      </w:r>
      <w:r>
        <w:rPr>
          <w:color w:val="231F20"/>
        </w:rPr>
        <w:t>lera y Sundstol, 1999; Estrada-Flores et al., 2006). Los contenidos de FDN y FDA son bajos, debido      al constante corte que los animales hacen al pas-  to y a que siempre hay rebrotes (Ramírez-Lozano, 2009), por lo que la energía disponible es cons- tante a lo largo del</w:t>
      </w:r>
      <w:r>
        <w:rPr>
          <w:color w:val="231F20"/>
          <w:spacing w:val="36"/>
        </w:rPr>
        <w:t> </w:t>
      </w:r>
      <w:r>
        <w:rPr>
          <w:color w:val="231F20"/>
        </w:rPr>
        <w:t>año.</w:t>
      </w:r>
    </w:p>
    <w:p>
      <w:pPr>
        <w:pStyle w:val="BodyText"/>
      </w:pPr>
    </w:p>
    <w:p>
      <w:pPr>
        <w:spacing w:before="153"/>
        <w:ind w:left="413" w:right="0" w:firstLine="0"/>
        <w:jc w:val="both"/>
        <w:rPr>
          <w:rFonts w:ascii="Cambria"/>
          <w:i/>
          <w:sz w:val="20"/>
        </w:rPr>
      </w:pPr>
      <w:r>
        <w:rPr>
          <w:rFonts w:ascii="Cambria"/>
          <w:i/>
          <w:color w:val="231F20"/>
          <w:w w:val="105"/>
          <w:sz w:val="20"/>
        </w:rPr>
        <w:t>Efectos del pastoreo</w:t>
      </w:r>
    </w:p>
    <w:p>
      <w:pPr>
        <w:spacing w:before="29"/>
        <w:ind w:left="413" w:right="0" w:firstLine="0"/>
        <w:jc w:val="both"/>
        <w:rPr>
          <w:rFonts w:ascii="Cambria"/>
          <w:i/>
          <w:sz w:val="20"/>
        </w:rPr>
      </w:pPr>
      <w:r>
        <w:rPr>
          <w:rFonts w:ascii="Cambria"/>
          <w:i/>
          <w:color w:val="231F20"/>
          <w:w w:val="110"/>
          <w:sz w:val="20"/>
        </w:rPr>
        <w:t>en el Parque Nacional Nevado de Toluca</w:t>
      </w:r>
    </w:p>
    <w:p>
      <w:pPr>
        <w:pStyle w:val="BodyText"/>
        <w:spacing w:line="259" w:lineRule="auto" w:before="142"/>
        <w:ind w:left="413" w:right="1551"/>
        <w:jc w:val="both"/>
      </w:pPr>
      <w:r>
        <w:rPr>
          <w:color w:val="231F20"/>
        </w:rPr>
        <w:t>Aunque los sistemas silvopastoriles pueden repre- sentar una opción para la producción ganadera y producir beneficios tanto para el sistema como para el componente animal, en el caso  del  Par- que Nacional Nevado de </w:t>
      </w:r>
      <w:r>
        <w:rPr>
          <w:color w:val="231F20"/>
          <w:spacing w:val="-4"/>
        </w:rPr>
        <w:t>Toluca </w:t>
      </w:r>
      <w:r>
        <w:rPr>
          <w:color w:val="231F20"/>
        </w:rPr>
        <w:t>las zonas utiliza- das para el pastoreo son aquellas que años atrás fueron desmontadas y no se han  reforestado,  y por ello es notable la presencia de arbustos indi- cadores de perturbación </w:t>
      </w:r>
      <w:r>
        <w:rPr>
          <w:i/>
          <w:color w:val="231F20"/>
        </w:rPr>
        <w:t>(Senecio salignus) </w:t>
      </w:r>
      <w:r>
        <w:rPr>
          <w:color w:val="231F20"/>
        </w:rPr>
        <w:t>que aparecen como resultado de  la  sucesión  (Cua-  dro 2 y Fig. 1) (Odum, 1995). Aunado a esto, otro indicador</w:t>
      </w:r>
      <w:r>
        <w:rPr>
          <w:color w:val="231F20"/>
          <w:spacing w:val="24"/>
        </w:rPr>
        <w:t> </w:t>
      </w:r>
      <w:r>
        <w:rPr>
          <w:color w:val="231F20"/>
        </w:rPr>
        <w:t>es</w:t>
      </w:r>
      <w:r>
        <w:rPr>
          <w:color w:val="231F20"/>
          <w:spacing w:val="24"/>
        </w:rPr>
        <w:t> </w:t>
      </w:r>
      <w:r>
        <w:rPr>
          <w:color w:val="231F20"/>
        </w:rPr>
        <w:t>si</w:t>
      </w:r>
      <w:r>
        <w:rPr>
          <w:color w:val="231F20"/>
          <w:spacing w:val="24"/>
        </w:rPr>
        <w:t> </w:t>
      </w:r>
      <w:r>
        <w:rPr>
          <w:color w:val="231F20"/>
        </w:rPr>
        <w:t>las</w:t>
      </w:r>
      <w:r>
        <w:rPr>
          <w:color w:val="231F20"/>
          <w:spacing w:val="24"/>
        </w:rPr>
        <w:t> </w:t>
      </w:r>
      <w:r>
        <w:rPr>
          <w:color w:val="231F20"/>
        </w:rPr>
        <w:t>plantas</w:t>
      </w:r>
      <w:r>
        <w:rPr>
          <w:color w:val="231F20"/>
          <w:spacing w:val="24"/>
        </w:rPr>
        <w:t> </w:t>
      </w:r>
      <w:r>
        <w:rPr>
          <w:color w:val="231F20"/>
        </w:rPr>
        <w:t>anuales</w:t>
      </w:r>
      <w:r>
        <w:rPr>
          <w:color w:val="231F20"/>
          <w:spacing w:val="24"/>
        </w:rPr>
        <w:t> </w:t>
      </w:r>
      <w:r>
        <w:rPr>
          <w:color w:val="231F20"/>
        </w:rPr>
        <w:t>crecen</w:t>
      </w:r>
      <w:r>
        <w:rPr>
          <w:color w:val="231F20"/>
          <w:spacing w:val="24"/>
        </w:rPr>
        <w:t> </w:t>
      </w:r>
      <w:r>
        <w:rPr>
          <w:color w:val="231F20"/>
        </w:rPr>
        <w:t>más</w:t>
      </w:r>
      <w:r>
        <w:rPr>
          <w:color w:val="231F20"/>
          <w:spacing w:val="24"/>
        </w:rPr>
        <w:t> </w:t>
      </w:r>
      <w:r>
        <w:rPr>
          <w:color w:val="231F20"/>
        </w:rPr>
        <w:t>rá-</w:t>
      </w:r>
    </w:p>
    <w:p>
      <w:pPr>
        <w:spacing w:after="0" w:line="259" w:lineRule="auto"/>
        <w:jc w:val="both"/>
        <w:sectPr>
          <w:type w:val="continuous"/>
          <w:pgSz w:w="11900" w:h="14450"/>
          <w:pgMar w:top="420" w:bottom="420" w:left="0" w:right="0"/>
          <w:cols w:num="2" w:equalWidth="0">
            <w:col w:w="5721" w:space="40"/>
            <w:col w:w="6139"/>
          </w:cols>
        </w:sectPr>
      </w:pPr>
    </w:p>
    <w:p>
      <w:pPr>
        <w:pStyle w:val="BodyText"/>
      </w:pPr>
    </w:p>
    <w:p>
      <w:pPr>
        <w:pStyle w:val="BodyText"/>
      </w:pPr>
    </w:p>
    <w:p>
      <w:pPr>
        <w:pStyle w:val="BodyText"/>
        <w:rPr>
          <w:sz w:val="17"/>
        </w:rPr>
      </w:pPr>
    </w:p>
    <w:p>
      <w:pPr>
        <w:tabs>
          <w:tab w:pos="7022" w:val="left" w:leader="none"/>
        </w:tabs>
        <w:spacing w:before="64"/>
        <w:ind w:left="1551" w:right="0" w:firstLine="0"/>
        <w:jc w:val="left"/>
        <w:rPr>
          <w:sz w:val="12"/>
        </w:rPr>
      </w:pPr>
      <w:r>
        <w:rPr>
          <w:color w:val="231F20"/>
          <w:spacing w:val="-3"/>
          <w:w w:val="120"/>
          <w:sz w:val="22"/>
        </w:rPr>
        <w:t>146</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7"/>
          <w:w w:val="120"/>
          <w:sz w:val="12"/>
        </w:rPr>
        <w:t> </w:t>
      </w:r>
      <w:r>
        <w:rPr>
          <w:color w:val="231F20"/>
          <w:w w:val="120"/>
          <w:sz w:val="12"/>
        </w:rPr>
        <w:t>ovinoS</w:t>
      </w:r>
    </w:p>
    <w:p>
      <w:pPr>
        <w:pStyle w:val="BodyText"/>
        <w:spacing w:before="5"/>
        <w:rPr>
          <w:sz w:val="23"/>
        </w:rPr>
      </w:pPr>
    </w:p>
    <w:p>
      <w:pPr>
        <w:spacing w:after="0"/>
        <w:rPr>
          <w:sz w:val="23"/>
        </w:rPr>
        <w:sectPr>
          <w:pgSz w:w="11900" w:h="14450"/>
          <w:pgMar w:header="0" w:footer="222" w:top="420" w:bottom="420" w:left="0" w:right="0"/>
        </w:sectPr>
      </w:pPr>
    </w:p>
    <w:p>
      <w:pPr>
        <w:pStyle w:val="BodyText"/>
        <w:spacing w:before="2"/>
        <w:rPr>
          <w:sz w:val="8"/>
        </w:rPr>
      </w:pPr>
    </w:p>
    <w:p>
      <w:pPr>
        <w:pStyle w:val="BodyText"/>
        <w:ind w:left="1551"/>
      </w:pPr>
      <w:r>
        <w:rPr/>
        <w:drawing>
          <wp:inline distT="0" distB="0" distL="0" distR="0">
            <wp:extent cx="2589469" cy="1936623"/>
            <wp:effectExtent l="0" t="0" r="0" b="0"/>
            <wp:docPr id="163" name="image224.png" descr=""/>
            <wp:cNvGraphicFramePr>
              <a:graphicFrameLocks noChangeAspect="1"/>
            </wp:cNvGraphicFramePr>
            <a:graphic>
              <a:graphicData uri="http://schemas.openxmlformats.org/drawingml/2006/picture">
                <pic:pic>
                  <pic:nvPicPr>
                    <pic:cNvPr id="164" name="image224.png"/>
                    <pic:cNvPicPr/>
                  </pic:nvPicPr>
                  <pic:blipFill>
                    <a:blip r:embed="rId282" cstate="print"/>
                    <a:stretch>
                      <a:fillRect/>
                    </a:stretch>
                  </pic:blipFill>
                  <pic:spPr>
                    <a:xfrm>
                      <a:off x="0" y="0"/>
                      <a:ext cx="2589469" cy="1936623"/>
                    </a:xfrm>
                    <a:prstGeom prst="rect">
                      <a:avLst/>
                    </a:prstGeom>
                  </pic:spPr>
                </pic:pic>
              </a:graphicData>
            </a:graphic>
          </wp:inline>
        </w:drawing>
      </w:r>
      <w:r>
        <w:rPr/>
      </w:r>
    </w:p>
    <w:p>
      <w:pPr>
        <w:pStyle w:val="BodyText"/>
        <w:spacing w:before="5"/>
        <w:rPr>
          <w:sz w:val="16"/>
        </w:rPr>
      </w:pPr>
    </w:p>
    <w:p>
      <w:pPr>
        <w:spacing w:before="0"/>
        <w:ind w:left="1553" w:right="0" w:firstLine="57"/>
        <w:jc w:val="both"/>
        <w:rPr>
          <w:sz w:val="18"/>
        </w:rPr>
      </w:pPr>
      <w:r>
        <w:rPr>
          <w:color w:val="231F20"/>
          <w:sz w:val="18"/>
        </w:rPr>
        <w:t>Figura 1.   Zona de pastoreo en el interior del   bosque.</w:t>
      </w:r>
    </w:p>
    <w:p>
      <w:pPr>
        <w:pStyle w:val="BodyText"/>
        <w:rPr>
          <w:sz w:val="18"/>
        </w:rPr>
      </w:pPr>
    </w:p>
    <w:p>
      <w:pPr>
        <w:pStyle w:val="BodyText"/>
        <w:spacing w:before="9"/>
        <w:rPr>
          <w:sz w:val="18"/>
        </w:rPr>
      </w:pPr>
    </w:p>
    <w:p>
      <w:pPr>
        <w:pStyle w:val="BodyText"/>
        <w:spacing w:line="264" w:lineRule="auto"/>
        <w:ind w:left="1553"/>
        <w:jc w:val="both"/>
      </w:pPr>
      <w:r>
        <w:rPr>
          <w:color w:val="231F20"/>
        </w:rPr>
        <w:t>pido que las perennes (plantas con un ciclo vital   de un año contra las que permanecen siempre en el sistema), éstas más rápido que los arbustos y éstos a su vez con mayor velocidad que los árbo- les, por lo que se trata de una sucesión secundaria </w:t>
      </w:r>
      <w:r>
        <w:rPr>
          <w:color w:val="231F20"/>
          <w:spacing w:val="-3"/>
        </w:rPr>
        <w:t>(Vázquez-Torres, </w:t>
      </w:r>
      <w:r>
        <w:rPr>
          <w:color w:val="231F20"/>
        </w:rPr>
        <w:t>1993). Aunque no se presentan datos, se observó que en estos espacios no hay plántulas de árboles, por lo que deben realizarse estudios más profundos que determinen la  </w:t>
      </w:r>
      <w:r>
        <w:rPr>
          <w:color w:val="231F20"/>
          <w:spacing w:val="27"/>
        </w:rPr>
        <w:t> </w:t>
      </w:r>
      <w:r>
        <w:rPr>
          <w:color w:val="231F20"/>
        </w:rPr>
        <w:t>causa.</w:t>
      </w:r>
    </w:p>
    <w:p>
      <w:pPr>
        <w:pStyle w:val="BodyText"/>
        <w:spacing w:line="264" w:lineRule="auto" w:before="112"/>
        <w:ind w:left="1553"/>
        <w:jc w:val="both"/>
      </w:pPr>
      <w:r>
        <w:rPr>
          <w:color w:val="231F20"/>
        </w:rPr>
        <w:t>Allí donde no hay presión ganadera sí se observan árboles de diversas edades. Esto se confirmó </w:t>
      </w:r>
      <w:r>
        <w:rPr>
          <w:color w:val="231F20"/>
          <w:spacing w:val="-2"/>
        </w:rPr>
        <w:t>con </w:t>
      </w:r>
      <w:r>
        <w:rPr>
          <w:color w:val="231F20"/>
        </w:rPr>
        <w:t>un muestreo forestal realizado en marzo de </w:t>
      </w:r>
      <w:r>
        <w:rPr>
          <w:color w:val="231F20"/>
          <w:spacing w:val="-7"/>
        </w:rPr>
        <w:t>2010</w:t>
      </w:r>
      <w:r>
        <w:rPr>
          <w:color w:val="231F20"/>
          <w:spacing w:val="31"/>
        </w:rPr>
        <w:t> </w:t>
      </w:r>
      <w:r>
        <w:rPr>
          <w:color w:val="231F20"/>
        </w:rPr>
        <w:t>(Cuadro 4), en el cual se demostró que a pesar de que el número de renuevos es semejante tanto en el ejido vecino como en Agua Blanca, en el otro eji- do hubo un mayor crecimiento ya que las plántulas encontradas eran de diferentes tamaños. Debido a la baja disponibilidad de forraje, los pastores se</w:t>
      </w:r>
      <w:r>
        <w:rPr>
          <w:color w:val="231F20"/>
          <w:spacing w:val="-25"/>
        </w:rPr>
        <w:t> </w:t>
      </w:r>
      <w:r>
        <w:rPr>
          <w:color w:val="231F20"/>
          <w:spacing w:val="-2"/>
        </w:rPr>
        <w:t>ven </w:t>
      </w:r>
      <w:r>
        <w:rPr>
          <w:color w:val="231F20"/>
        </w:rPr>
        <w:t>en la necesidad de llevar a los animales a pastorear a otros lugares, aunque no está</w:t>
      </w:r>
      <w:r>
        <w:rPr>
          <w:color w:val="231F20"/>
          <w:spacing w:val="-24"/>
        </w:rPr>
        <w:t> </w:t>
      </w:r>
      <w:r>
        <w:rPr>
          <w:color w:val="231F20"/>
        </w:rPr>
        <w:t>permitido.</w:t>
      </w:r>
    </w:p>
    <w:p>
      <w:pPr>
        <w:pStyle w:val="BodyText"/>
        <w:spacing w:before="8"/>
        <w:rPr>
          <w:sz w:val="24"/>
        </w:rPr>
      </w:pPr>
    </w:p>
    <w:p>
      <w:pPr>
        <w:spacing w:line="292" w:lineRule="auto" w:before="0"/>
        <w:ind w:left="1553" w:right="0" w:firstLine="0"/>
        <w:jc w:val="both"/>
        <w:rPr>
          <w:sz w:val="18"/>
        </w:rPr>
      </w:pPr>
      <w:r>
        <w:rPr/>
        <w:pict>
          <v:shape style="position:absolute;margin-left:77.442902pt;margin-top:31.976732pt;width:207.45pt;height:36.65pt;mso-position-horizontal-relative:page;mso-position-vertical-relative:paragraph;z-index:4624"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12"/>
                    <w:gridCol w:w="1361"/>
                    <w:gridCol w:w="1361"/>
                  </w:tblGrid>
                  <w:tr>
                    <w:trPr>
                      <w:trHeight w:val="369" w:hRule="exact"/>
                    </w:trPr>
                    <w:tc>
                      <w:tcPr>
                        <w:tcW w:w="1412" w:type="dxa"/>
                        <w:tcBorders>
                          <w:left w:val="nil"/>
                        </w:tcBorders>
                      </w:tcPr>
                      <w:p>
                        <w:pPr/>
                      </w:p>
                    </w:tc>
                    <w:tc>
                      <w:tcPr>
                        <w:tcW w:w="1361" w:type="dxa"/>
                      </w:tcPr>
                      <w:p>
                        <w:pPr>
                          <w:pStyle w:val="TableParagraph"/>
                          <w:spacing w:before="79"/>
                          <w:ind w:left="133" w:right="133"/>
                          <w:jc w:val="center"/>
                          <w:rPr>
                            <w:rFonts w:ascii="Cambria"/>
                            <w:i/>
                            <w:sz w:val="18"/>
                          </w:rPr>
                        </w:pPr>
                        <w:r>
                          <w:rPr>
                            <w:rFonts w:ascii="Cambria"/>
                            <w:i/>
                            <w:color w:val="231F20"/>
                            <w:w w:val="110"/>
                            <w:sz w:val="18"/>
                          </w:rPr>
                          <w:t>Agua Blanca</w:t>
                        </w:r>
                      </w:p>
                    </w:tc>
                    <w:tc>
                      <w:tcPr>
                        <w:tcW w:w="1361" w:type="dxa"/>
                        <w:tcBorders>
                          <w:right w:val="nil"/>
                        </w:tcBorders>
                      </w:tcPr>
                      <w:p>
                        <w:pPr>
                          <w:pStyle w:val="TableParagraph"/>
                          <w:spacing w:before="79"/>
                          <w:ind w:left="126" w:right="129"/>
                          <w:jc w:val="center"/>
                          <w:rPr>
                            <w:rFonts w:ascii="Cambria" w:hAnsi="Cambria"/>
                            <w:i/>
                            <w:sz w:val="18"/>
                          </w:rPr>
                        </w:pPr>
                        <w:r>
                          <w:rPr>
                            <w:rFonts w:ascii="Cambria" w:hAnsi="Cambria"/>
                            <w:i/>
                            <w:color w:val="231F20"/>
                            <w:w w:val="105"/>
                            <w:sz w:val="18"/>
                          </w:rPr>
                          <w:t>Las Lágrimas</w:t>
                        </w:r>
                      </w:p>
                    </w:tc>
                  </w:tr>
                  <w:tr>
                    <w:trPr>
                      <w:trHeight w:val="354" w:hRule="exact"/>
                    </w:trPr>
                    <w:tc>
                      <w:tcPr>
                        <w:tcW w:w="1412" w:type="dxa"/>
                        <w:tcBorders>
                          <w:left w:val="nil"/>
                        </w:tcBorders>
                      </w:tcPr>
                      <w:p>
                        <w:pPr>
                          <w:pStyle w:val="TableParagraph"/>
                          <w:ind w:left="113" w:right="300"/>
                          <w:rPr>
                            <w:sz w:val="17"/>
                          </w:rPr>
                        </w:pPr>
                        <w:r>
                          <w:rPr>
                            <w:color w:val="231F20"/>
                            <w:sz w:val="17"/>
                          </w:rPr>
                          <w:t>Promedio</w:t>
                        </w:r>
                      </w:p>
                    </w:tc>
                    <w:tc>
                      <w:tcPr>
                        <w:tcW w:w="1361" w:type="dxa"/>
                      </w:tcPr>
                      <w:p>
                        <w:pPr>
                          <w:pStyle w:val="TableParagraph"/>
                          <w:ind w:left="133" w:right="133"/>
                          <w:jc w:val="center"/>
                          <w:rPr>
                            <w:sz w:val="17"/>
                          </w:rPr>
                        </w:pPr>
                        <w:r>
                          <w:rPr>
                            <w:color w:val="231F20"/>
                            <w:w w:val="110"/>
                            <w:sz w:val="17"/>
                          </w:rPr>
                          <w:t>49,5</w:t>
                        </w:r>
                      </w:p>
                    </w:tc>
                    <w:tc>
                      <w:tcPr>
                        <w:tcW w:w="1361" w:type="dxa"/>
                        <w:tcBorders>
                          <w:right w:val="nil"/>
                        </w:tcBorders>
                      </w:tcPr>
                      <w:p>
                        <w:pPr>
                          <w:pStyle w:val="TableParagraph"/>
                          <w:ind w:left="126" w:right="129"/>
                          <w:jc w:val="center"/>
                          <w:rPr>
                            <w:sz w:val="17"/>
                          </w:rPr>
                        </w:pPr>
                        <w:r>
                          <w:rPr>
                            <w:color w:val="231F20"/>
                            <w:w w:val="110"/>
                            <w:sz w:val="17"/>
                          </w:rPr>
                          <w:t>41,5</w:t>
                        </w:r>
                      </w:p>
                    </w:tc>
                  </w:tr>
                </w:tbl>
                <w:p>
                  <w:pPr>
                    <w:pStyle w:val="BodyText"/>
                  </w:pPr>
                </w:p>
              </w:txbxContent>
            </v:textbox>
            <w10:wrap type="none"/>
          </v:shape>
        </w:pict>
      </w:r>
      <w:r>
        <w:rPr>
          <w:color w:val="231F20"/>
          <w:sz w:val="18"/>
        </w:rPr>
        <w:t>Cuadro 4. Número de renuevos presentes en los bos- ques de Agua Blanca y de Las    Lágrimas.</w:t>
      </w:r>
    </w:p>
    <w:p>
      <w:pPr>
        <w:spacing w:before="68"/>
        <w:ind w:left="413" w:right="0" w:firstLine="0"/>
        <w:jc w:val="both"/>
        <w:rPr>
          <w:rFonts w:ascii="Cambria"/>
          <w:i/>
          <w:sz w:val="20"/>
        </w:rPr>
      </w:pPr>
      <w:r>
        <w:rPr/>
        <w:br w:type="column"/>
      </w:r>
      <w:r>
        <w:rPr>
          <w:rFonts w:ascii="Cambria"/>
          <w:i/>
          <w:color w:val="231F20"/>
          <w:w w:val="110"/>
          <w:sz w:val="20"/>
        </w:rPr>
        <w:t>Carga animal en las zonas de pastoreo</w:t>
      </w:r>
    </w:p>
    <w:p>
      <w:pPr>
        <w:pStyle w:val="BodyText"/>
        <w:spacing w:line="266" w:lineRule="auto" w:before="150"/>
        <w:ind w:left="413" w:right="1551"/>
        <w:jc w:val="both"/>
      </w:pPr>
      <w:r>
        <w:rPr>
          <w:color w:val="231F20"/>
        </w:rPr>
        <w:t>Aunque no se conoce con  exactitud  el  número  de animales que pastorean en los diversos claros dentro del bosque, los cuales tienen una superfi- cie total de 3,2 ha, es evidente que la carga ani- mal se ha rebasado. La tasa de crecimiento de los pastos y de la vegetación en general es muy baja en estas zonas. En una estimación que se realizó considerando la producción de biomasa mensual (653,29 kg de materia seca) de las zonas estudia- das, la cantidad de animales que el sistema podría alimentar sería de 3 animales por hectárea y día. Sin embargo, en la práctica, el número de anima- les que son llevados a pastorear supera en mucho esta cifra, ya que aproximadamente se llevan de  40 a 60 animales al  </w:t>
      </w:r>
      <w:r>
        <w:rPr>
          <w:color w:val="231F20"/>
          <w:spacing w:val="36"/>
        </w:rPr>
        <w:t> </w:t>
      </w:r>
      <w:r>
        <w:rPr>
          <w:color w:val="231F20"/>
        </w:rPr>
        <w:t>día.</w:t>
      </w:r>
    </w:p>
    <w:p>
      <w:pPr>
        <w:pStyle w:val="BodyText"/>
        <w:spacing w:line="266" w:lineRule="auto" w:before="114"/>
        <w:ind w:left="413" w:right="1551"/>
        <w:jc w:val="both"/>
      </w:pPr>
      <w:r>
        <w:rPr>
          <w:color w:val="231F20"/>
        </w:rPr>
        <w:t>Los resultados previos indican que el sistema se encuentra en franca presión debido a la ganadería, y el pisoteo puede ser una de las causas por las  que la regeneración, el crecimiento y el estableci- miento de los árboles son muy  </w:t>
      </w:r>
      <w:r>
        <w:rPr>
          <w:color w:val="231F20"/>
          <w:spacing w:val="15"/>
        </w:rPr>
        <w:t> </w:t>
      </w:r>
      <w:r>
        <w:rPr>
          <w:color w:val="231F20"/>
        </w:rPr>
        <w:t>limitados.</w:t>
      </w:r>
    </w:p>
    <w:p>
      <w:pPr>
        <w:pStyle w:val="BodyText"/>
        <w:spacing w:before="8"/>
        <w:rPr>
          <w:sz w:val="18"/>
        </w:rPr>
      </w:pPr>
    </w:p>
    <w:p>
      <w:pPr>
        <w:spacing w:before="0"/>
        <w:ind w:left="413" w:right="0" w:firstLine="0"/>
        <w:jc w:val="both"/>
        <w:rPr>
          <w:rFonts w:ascii="Cambria"/>
          <w:i/>
          <w:sz w:val="20"/>
        </w:rPr>
      </w:pPr>
      <w:r>
        <w:rPr>
          <w:rFonts w:ascii="Cambria"/>
          <w:i/>
          <w:color w:val="231F20"/>
          <w:w w:val="105"/>
          <w:sz w:val="20"/>
        </w:rPr>
        <w:t>Problema animal</w:t>
      </w:r>
    </w:p>
    <w:p>
      <w:pPr>
        <w:pStyle w:val="BodyText"/>
        <w:spacing w:line="266" w:lineRule="auto" w:before="150"/>
        <w:ind w:left="413" w:right="1551"/>
        <w:jc w:val="both"/>
      </w:pPr>
      <w:r>
        <w:rPr>
          <w:color w:val="231F20"/>
          <w:w w:val="105"/>
        </w:rPr>
        <w:t>Aunque</w:t>
      </w:r>
      <w:r>
        <w:rPr>
          <w:color w:val="231F20"/>
          <w:spacing w:val="-11"/>
          <w:w w:val="105"/>
        </w:rPr>
        <w:t> </w:t>
      </w:r>
      <w:r>
        <w:rPr>
          <w:color w:val="231F20"/>
          <w:w w:val="105"/>
        </w:rPr>
        <w:t>la</w:t>
      </w:r>
      <w:r>
        <w:rPr>
          <w:color w:val="231F20"/>
          <w:spacing w:val="-11"/>
          <w:w w:val="105"/>
        </w:rPr>
        <w:t> </w:t>
      </w:r>
      <w:r>
        <w:rPr>
          <w:color w:val="231F20"/>
          <w:w w:val="105"/>
        </w:rPr>
        <w:t>actividad</w:t>
      </w:r>
      <w:r>
        <w:rPr>
          <w:color w:val="231F20"/>
          <w:spacing w:val="-11"/>
          <w:w w:val="105"/>
        </w:rPr>
        <w:t> </w:t>
      </w:r>
      <w:r>
        <w:rPr>
          <w:color w:val="231F20"/>
          <w:w w:val="105"/>
        </w:rPr>
        <w:t>silvopastoril</w:t>
      </w:r>
      <w:r>
        <w:rPr>
          <w:color w:val="231F20"/>
          <w:spacing w:val="-11"/>
          <w:w w:val="105"/>
        </w:rPr>
        <w:t> </w:t>
      </w:r>
      <w:r>
        <w:rPr>
          <w:color w:val="231F20"/>
          <w:w w:val="105"/>
        </w:rPr>
        <w:t>puede</w:t>
      </w:r>
      <w:r>
        <w:rPr>
          <w:color w:val="231F20"/>
          <w:spacing w:val="-11"/>
          <w:w w:val="105"/>
        </w:rPr>
        <w:t> </w:t>
      </w:r>
      <w:r>
        <w:rPr>
          <w:color w:val="231F20"/>
          <w:w w:val="105"/>
        </w:rPr>
        <w:t>represen- tar una opción para la alimentación del ganado, la condición en que se tiene a los animales no   es</w:t>
      </w:r>
      <w:r>
        <w:rPr>
          <w:color w:val="231F20"/>
          <w:spacing w:val="-7"/>
          <w:w w:val="105"/>
        </w:rPr>
        <w:t> </w:t>
      </w:r>
      <w:r>
        <w:rPr>
          <w:color w:val="231F20"/>
          <w:w w:val="105"/>
        </w:rPr>
        <w:t>la</w:t>
      </w:r>
      <w:r>
        <w:rPr>
          <w:color w:val="231F20"/>
          <w:spacing w:val="-7"/>
          <w:w w:val="105"/>
        </w:rPr>
        <w:t> </w:t>
      </w:r>
      <w:r>
        <w:rPr>
          <w:color w:val="231F20"/>
          <w:w w:val="105"/>
        </w:rPr>
        <w:t>más</w:t>
      </w:r>
      <w:r>
        <w:rPr>
          <w:color w:val="231F20"/>
          <w:spacing w:val="-7"/>
          <w:w w:val="105"/>
        </w:rPr>
        <w:t> </w:t>
      </w:r>
      <w:r>
        <w:rPr>
          <w:color w:val="231F20"/>
          <w:w w:val="105"/>
        </w:rPr>
        <w:t>adecuada</w:t>
      </w:r>
      <w:r>
        <w:rPr>
          <w:color w:val="231F20"/>
          <w:spacing w:val="-7"/>
          <w:w w:val="105"/>
        </w:rPr>
        <w:t> </w:t>
      </w:r>
      <w:r>
        <w:rPr>
          <w:color w:val="231F20"/>
          <w:w w:val="105"/>
        </w:rPr>
        <w:t>ya</w:t>
      </w:r>
      <w:r>
        <w:rPr>
          <w:color w:val="231F20"/>
          <w:spacing w:val="-7"/>
          <w:w w:val="105"/>
        </w:rPr>
        <w:t> </w:t>
      </w:r>
      <w:r>
        <w:rPr>
          <w:color w:val="231F20"/>
          <w:w w:val="105"/>
        </w:rPr>
        <w:t>que</w:t>
      </w:r>
      <w:r>
        <w:rPr>
          <w:color w:val="231F20"/>
          <w:spacing w:val="-7"/>
          <w:w w:val="105"/>
        </w:rPr>
        <w:t> </w:t>
      </w:r>
      <w:r>
        <w:rPr>
          <w:color w:val="231F20"/>
          <w:w w:val="105"/>
        </w:rPr>
        <w:t>éstos</w:t>
      </w:r>
      <w:r>
        <w:rPr>
          <w:color w:val="231F20"/>
          <w:spacing w:val="-7"/>
          <w:w w:val="105"/>
        </w:rPr>
        <w:t> </w:t>
      </w:r>
      <w:r>
        <w:rPr>
          <w:color w:val="231F20"/>
          <w:w w:val="105"/>
        </w:rPr>
        <w:t>presentan</w:t>
      </w:r>
      <w:r>
        <w:rPr>
          <w:color w:val="231F20"/>
          <w:spacing w:val="-7"/>
          <w:w w:val="105"/>
        </w:rPr>
        <w:t> </w:t>
      </w:r>
      <w:r>
        <w:rPr>
          <w:color w:val="231F20"/>
          <w:w w:val="105"/>
        </w:rPr>
        <w:t>diver- sos problemas, entre los que se encuentran bajo peso corporal, enfermedades respiratorias fre- cuentes,</w:t>
      </w:r>
      <w:r>
        <w:rPr>
          <w:color w:val="231F20"/>
          <w:spacing w:val="-13"/>
          <w:w w:val="105"/>
        </w:rPr>
        <w:t> </w:t>
      </w:r>
      <w:r>
        <w:rPr>
          <w:color w:val="231F20"/>
          <w:w w:val="105"/>
        </w:rPr>
        <w:t>bajas</w:t>
      </w:r>
      <w:r>
        <w:rPr>
          <w:color w:val="231F20"/>
          <w:spacing w:val="-13"/>
          <w:w w:val="105"/>
        </w:rPr>
        <w:t> </w:t>
      </w:r>
      <w:r>
        <w:rPr>
          <w:color w:val="231F20"/>
          <w:w w:val="105"/>
        </w:rPr>
        <w:t>tasas</w:t>
      </w:r>
      <w:r>
        <w:rPr>
          <w:color w:val="231F20"/>
          <w:spacing w:val="-13"/>
          <w:w w:val="105"/>
        </w:rPr>
        <w:t> </w:t>
      </w:r>
      <w:r>
        <w:rPr>
          <w:color w:val="231F20"/>
          <w:w w:val="105"/>
        </w:rPr>
        <w:t>de</w:t>
      </w:r>
      <w:r>
        <w:rPr>
          <w:color w:val="231F20"/>
          <w:spacing w:val="-13"/>
          <w:w w:val="105"/>
        </w:rPr>
        <w:t> </w:t>
      </w:r>
      <w:r>
        <w:rPr>
          <w:color w:val="231F20"/>
          <w:w w:val="105"/>
        </w:rPr>
        <w:t>reproducción</w:t>
      </w:r>
      <w:r>
        <w:rPr>
          <w:color w:val="231F20"/>
          <w:spacing w:val="-13"/>
          <w:w w:val="105"/>
        </w:rPr>
        <w:t> </w:t>
      </w:r>
      <w:r>
        <w:rPr>
          <w:color w:val="231F20"/>
          <w:w w:val="105"/>
        </w:rPr>
        <w:t>y</w:t>
      </w:r>
      <w:r>
        <w:rPr>
          <w:color w:val="231F20"/>
          <w:spacing w:val="-13"/>
          <w:w w:val="105"/>
        </w:rPr>
        <w:t> </w:t>
      </w:r>
      <w:r>
        <w:rPr>
          <w:color w:val="231F20"/>
          <w:w w:val="105"/>
        </w:rPr>
        <w:t>problemas para</w:t>
      </w:r>
      <w:r>
        <w:rPr>
          <w:color w:val="231F20"/>
          <w:spacing w:val="-22"/>
          <w:w w:val="105"/>
        </w:rPr>
        <w:t> </w:t>
      </w:r>
      <w:r>
        <w:rPr>
          <w:color w:val="231F20"/>
          <w:w w:val="105"/>
        </w:rPr>
        <w:t>alcanzar</w:t>
      </w:r>
      <w:r>
        <w:rPr>
          <w:color w:val="231F20"/>
          <w:spacing w:val="-22"/>
          <w:w w:val="105"/>
        </w:rPr>
        <w:t> </w:t>
      </w:r>
      <w:r>
        <w:rPr>
          <w:color w:val="231F20"/>
          <w:w w:val="105"/>
        </w:rPr>
        <w:t>el</w:t>
      </w:r>
      <w:r>
        <w:rPr>
          <w:color w:val="231F20"/>
          <w:spacing w:val="-22"/>
          <w:w w:val="105"/>
        </w:rPr>
        <w:t> </w:t>
      </w:r>
      <w:r>
        <w:rPr>
          <w:color w:val="231F20"/>
          <w:w w:val="105"/>
        </w:rPr>
        <w:t>estado</w:t>
      </w:r>
      <w:r>
        <w:rPr>
          <w:color w:val="231F20"/>
          <w:spacing w:val="-22"/>
          <w:w w:val="105"/>
        </w:rPr>
        <w:t> </w:t>
      </w:r>
      <w:r>
        <w:rPr>
          <w:color w:val="231F20"/>
          <w:w w:val="105"/>
        </w:rPr>
        <w:t>adulto</w:t>
      </w:r>
      <w:r>
        <w:rPr>
          <w:color w:val="231F20"/>
          <w:spacing w:val="-22"/>
          <w:w w:val="105"/>
        </w:rPr>
        <w:t> </w:t>
      </w:r>
      <w:r>
        <w:rPr>
          <w:color w:val="231F20"/>
          <w:w w:val="105"/>
        </w:rPr>
        <w:t>en</w:t>
      </w:r>
      <w:r>
        <w:rPr>
          <w:color w:val="231F20"/>
          <w:spacing w:val="-22"/>
          <w:w w:val="105"/>
        </w:rPr>
        <w:t> </w:t>
      </w:r>
      <w:r>
        <w:rPr>
          <w:color w:val="231F20"/>
          <w:w w:val="105"/>
        </w:rPr>
        <w:t>buenas</w:t>
      </w:r>
      <w:r>
        <w:rPr>
          <w:color w:val="231F20"/>
          <w:spacing w:val="-22"/>
          <w:w w:val="105"/>
        </w:rPr>
        <w:t> </w:t>
      </w:r>
      <w:r>
        <w:rPr>
          <w:color w:val="231F20"/>
          <w:w w:val="105"/>
        </w:rPr>
        <w:t>condicio- nes (Esquivel-Domínguez, </w:t>
      </w:r>
      <w:r>
        <w:rPr>
          <w:color w:val="231F20"/>
          <w:spacing w:val="-4"/>
          <w:w w:val="105"/>
        </w:rPr>
        <w:t>2011). </w:t>
      </w:r>
      <w:r>
        <w:rPr>
          <w:color w:val="231F20"/>
          <w:w w:val="105"/>
        </w:rPr>
        <w:t>Los resultados de la calidad nutricional del forraje hacen supo- ner</w:t>
      </w:r>
      <w:r>
        <w:rPr>
          <w:color w:val="231F20"/>
          <w:spacing w:val="-16"/>
          <w:w w:val="105"/>
        </w:rPr>
        <w:t>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animales</w:t>
      </w:r>
      <w:r>
        <w:rPr>
          <w:color w:val="231F20"/>
          <w:spacing w:val="-16"/>
          <w:w w:val="105"/>
        </w:rPr>
        <w:t> </w:t>
      </w:r>
      <w:r>
        <w:rPr>
          <w:color w:val="231F20"/>
          <w:w w:val="105"/>
        </w:rPr>
        <w:t>obtienen</w:t>
      </w:r>
      <w:r>
        <w:rPr>
          <w:color w:val="231F20"/>
          <w:spacing w:val="-16"/>
          <w:w w:val="105"/>
        </w:rPr>
        <w:t> </w:t>
      </w:r>
      <w:r>
        <w:rPr>
          <w:color w:val="231F20"/>
          <w:w w:val="105"/>
        </w:rPr>
        <w:t>alimento</w:t>
      </w:r>
      <w:r>
        <w:rPr>
          <w:color w:val="231F20"/>
          <w:spacing w:val="-16"/>
          <w:w w:val="105"/>
        </w:rPr>
        <w:t> </w:t>
      </w:r>
      <w:r>
        <w:rPr>
          <w:color w:val="231F20"/>
          <w:w w:val="105"/>
        </w:rPr>
        <w:t>suficiente para cubrir sus necesidades de mantenimiento, pero no de producción, y por lo tanto los</w:t>
      </w:r>
      <w:r>
        <w:rPr>
          <w:color w:val="231F20"/>
          <w:spacing w:val="-33"/>
          <w:w w:val="105"/>
        </w:rPr>
        <w:t> </w:t>
      </w:r>
      <w:r>
        <w:rPr>
          <w:color w:val="231F20"/>
          <w:w w:val="105"/>
        </w:rPr>
        <w:t>produc- tores</w:t>
      </w:r>
      <w:r>
        <w:rPr>
          <w:color w:val="231F20"/>
          <w:spacing w:val="-16"/>
          <w:w w:val="105"/>
        </w:rPr>
        <w:t> </w:t>
      </w:r>
      <w:r>
        <w:rPr>
          <w:color w:val="231F20"/>
          <w:w w:val="105"/>
        </w:rPr>
        <w:t>deben</w:t>
      </w:r>
      <w:r>
        <w:rPr>
          <w:color w:val="231F20"/>
          <w:spacing w:val="-16"/>
          <w:w w:val="105"/>
        </w:rPr>
        <w:t> </w:t>
      </w:r>
      <w:r>
        <w:rPr>
          <w:color w:val="231F20"/>
          <w:w w:val="105"/>
        </w:rPr>
        <w:t>completar</w:t>
      </w:r>
      <w:r>
        <w:rPr>
          <w:color w:val="231F20"/>
          <w:spacing w:val="-16"/>
          <w:w w:val="105"/>
        </w:rPr>
        <w:t> </w:t>
      </w:r>
      <w:r>
        <w:rPr>
          <w:color w:val="231F20"/>
          <w:w w:val="105"/>
        </w:rPr>
        <w:t>la</w:t>
      </w:r>
      <w:r>
        <w:rPr>
          <w:color w:val="231F20"/>
          <w:spacing w:val="-16"/>
          <w:w w:val="105"/>
        </w:rPr>
        <w:t> </w:t>
      </w:r>
      <w:r>
        <w:rPr>
          <w:color w:val="231F20"/>
          <w:w w:val="105"/>
        </w:rPr>
        <w:t>dieta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animales</w:t>
      </w:r>
      <w:r>
        <w:rPr>
          <w:color w:val="231F20"/>
          <w:spacing w:val="-16"/>
          <w:w w:val="105"/>
        </w:rPr>
        <w:t> </w:t>
      </w:r>
      <w:r>
        <w:rPr>
          <w:color w:val="231F20"/>
          <w:w w:val="105"/>
        </w:rPr>
        <w:t>su- ministrando</w:t>
      </w:r>
      <w:r>
        <w:rPr>
          <w:color w:val="231F20"/>
          <w:spacing w:val="-8"/>
          <w:w w:val="105"/>
        </w:rPr>
        <w:t> </w:t>
      </w:r>
      <w:r>
        <w:rPr>
          <w:color w:val="231F20"/>
          <w:w w:val="105"/>
        </w:rPr>
        <w:t>otros</w:t>
      </w:r>
      <w:r>
        <w:rPr>
          <w:color w:val="231F20"/>
          <w:spacing w:val="-8"/>
          <w:w w:val="105"/>
        </w:rPr>
        <w:t> </w:t>
      </w:r>
      <w:r>
        <w:rPr>
          <w:color w:val="231F20"/>
          <w:w w:val="105"/>
        </w:rPr>
        <w:t>forrajes</w:t>
      </w:r>
      <w:r>
        <w:rPr>
          <w:color w:val="231F20"/>
          <w:spacing w:val="-8"/>
          <w:w w:val="105"/>
        </w:rPr>
        <w:t> </w:t>
      </w:r>
      <w:r>
        <w:rPr>
          <w:color w:val="231F20"/>
          <w:w w:val="105"/>
        </w:rPr>
        <w:t>de</w:t>
      </w:r>
      <w:r>
        <w:rPr>
          <w:color w:val="231F20"/>
          <w:spacing w:val="-8"/>
          <w:w w:val="105"/>
        </w:rPr>
        <w:t> </w:t>
      </w:r>
      <w:r>
        <w:rPr>
          <w:color w:val="231F20"/>
          <w:w w:val="105"/>
        </w:rPr>
        <w:t>mejor</w:t>
      </w:r>
      <w:r>
        <w:rPr>
          <w:color w:val="231F20"/>
          <w:spacing w:val="-8"/>
          <w:w w:val="105"/>
        </w:rPr>
        <w:t> </w:t>
      </w:r>
      <w:r>
        <w:rPr>
          <w:color w:val="231F20"/>
          <w:w w:val="105"/>
        </w:rPr>
        <w:t>calidad</w:t>
      </w:r>
      <w:r>
        <w:rPr>
          <w:color w:val="231F20"/>
          <w:spacing w:val="-8"/>
          <w:w w:val="105"/>
        </w:rPr>
        <w:t> </w:t>
      </w:r>
      <w:r>
        <w:rPr>
          <w:color w:val="231F20"/>
          <w:w w:val="105"/>
        </w:rPr>
        <w:t>o</w:t>
      </w:r>
      <w:r>
        <w:rPr>
          <w:color w:val="231F20"/>
          <w:spacing w:val="-8"/>
          <w:w w:val="105"/>
        </w:rPr>
        <w:t> </w:t>
      </w:r>
      <w:r>
        <w:rPr>
          <w:color w:val="231F20"/>
          <w:w w:val="105"/>
        </w:rPr>
        <w:t>con concentrados (Esquivel-Domínguez, </w:t>
      </w:r>
      <w:r>
        <w:rPr>
          <w:color w:val="231F20"/>
          <w:spacing w:val="-4"/>
          <w:w w:val="105"/>
        </w:rPr>
        <w:t>2011); </w:t>
      </w:r>
      <w:r>
        <w:rPr>
          <w:color w:val="231F20"/>
          <w:w w:val="105"/>
        </w:rPr>
        <w:t>sin embargo,</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mayoría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casos</w:t>
      </w:r>
      <w:r>
        <w:rPr>
          <w:color w:val="231F20"/>
          <w:spacing w:val="-5"/>
          <w:w w:val="105"/>
        </w:rPr>
        <w:t> </w:t>
      </w:r>
      <w:r>
        <w:rPr>
          <w:color w:val="231F20"/>
          <w:w w:val="105"/>
        </w:rPr>
        <w:t>esto</w:t>
      </w:r>
      <w:r>
        <w:rPr>
          <w:color w:val="231F20"/>
          <w:spacing w:val="-5"/>
          <w:w w:val="105"/>
        </w:rPr>
        <w:t> </w:t>
      </w:r>
      <w:r>
        <w:rPr>
          <w:color w:val="231F20"/>
          <w:w w:val="105"/>
        </w:rPr>
        <w:t>no</w:t>
      </w:r>
      <w:r>
        <w:rPr>
          <w:color w:val="231F20"/>
          <w:spacing w:val="-5"/>
          <w:w w:val="105"/>
        </w:rPr>
        <w:t> </w:t>
      </w:r>
      <w:r>
        <w:rPr>
          <w:color w:val="231F20"/>
          <w:w w:val="105"/>
        </w:rPr>
        <w:t>pue-</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9.   La producción de ovinos en el Parque Nacional Nevado  </w:t>
      </w:r>
      <w:r>
        <w:rPr>
          <w:color w:val="231F20"/>
          <w:spacing w:val="33"/>
          <w:sz w:val="18"/>
        </w:rPr>
        <w:t> </w:t>
      </w:r>
      <w:r>
        <w:rPr>
          <w:color w:val="231F20"/>
          <w:sz w:val="18"/>
        </w:rPr>
        <w:t>de</w:t>
      </w:r>
      <w:r>
        <w:rPr>
          <w:color w:val="231F20"/>
          <w:spacing w:val="12"/>
          <w:sz w:val="18"/>
        </w:rPr>
        <w:t> </w:t>
      </w:r>
      <w:r>
        <w:rPr>
          <w:color w:val="231F20"/>
          <w:spacing w:val="-3"/>
          <w:sz w:val="18"/>
        </w:rPr>
        <w:t>Toluca...</w:t>
      </w:r>
      <w:r>
        <w:rPr>
          <w:color w:val="231F20"/>
          <w:spacing w:val="-3"/>
          <w:sz w:val="22"/>
        </w:rPr>
        <w:tab/>
      </w:r>
      <w:r>
        <w:rPr>
          <w:color w:val="231F20"/>
          <w:spacing w:val="-9"/>
          <w:sz w:val="22"/>
        </w:rPr>
        <w:t>147</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1" w:lineRule="auto"/>
        <w:ind w:left="1553" w:right="1"/>
        <w:jc w:val="both"/>
      </w:pPr>
      <w:r>
        <w:rPr>
          <w:color w:val="231F20"/>
        </w:rPr>
        <w:t>de llevarse a cabo debido a los limitados recursos económicos  de  los pastores.</w:t>
      </w:r>
    </w:p>
    <w:p>
      <w:pPr>
        <w:pStyle w:val="BodyText"/>
        <w:spacing w:line="261" w:lineRule="auto" w:before="113"/>
        <w:ind w:left="1553"/>
        <w:jc w:val="both"/>
      </w:pPr>
      <w:r>
        <w:rPr>
          <w:color w:val="231F20"/>
          <w:w w:val="105"/>
        </w:rPr>
        <w:t>Una opción que puede ayudar a resolver el pro- blema</w:t>
      </w:r>
      <w:r>
        <w:rPr>
          <w:color w:val="231F20"/>
          <w:spacing w:val="-20"/>
          <w:w w:val="105"/>
        </w:rPr>
        <w:t> </w:t>
      </w:r>
      <w:r>
        <w:rPr>
          <w:color w:val="231F20"/>
          <w:w w:val="105"/>
        </w:rPr>
        <w:t>ambiental,</w:t>
      </w:r>
      <w:r>
        <w:rPr>
          <w:color w:val="231F20"/>
          <w:spacing w:val="-20"/>
          <w:w w:val="105"/>
        </w:rPr>
        <w:t> </w:t>
      </w:r>
      <w:r>
        <w:rPr>
          <w:color w:val="231F20"/>
          <w:w w:val="105"/>
        </w:rPr>
        <w:t>por</w:t>
      </w:r>
      <w:r>
        <w:rPr>
          <w:color w:val="231F20"/>
          <w:spacing w:val="-20"/>
          <w:w w:val="105"/>
        </w:rPr>
        <w:t> </w:t>
      </w:r>
      <w:r>
        <w:rPr>
          <w:color w:val="231F20"/>
          <w:w w:val="105"/>
        </w:rPr>
        <w:t>un</w:t>
      </w:r>
      <w:r>
        <w:rPr>
          <w:color w:val="231F20"/>
          <w:spacing w:val="-20"/>
          <w:w w:val="105"/>
        </w:rPr>
        <w:t> </w:t>
      </w:r>
      <w:r>
        <w:rPr>
          <w:color w:val="231F20"/>
          <w:w w:val="105"/>
        </w:rPr>
        <w:t>lado,</w:t>
      </w:r>
      <w:r>
        <w:rPr>
          <w:color w:val="231F20"/>
          <w:spacing w:val="-20"/>
          <w:w w:val="105"/>
        </w:rPr>
        <w:t> </w:t>
      </w:r>
      <w:r>
        <w:rPr>
          <w:color w:val="231F20"/>
          <w:w w:val="105"/>
        </w:rPr>
        <w:t>y</w:t>
      </w:r>
      <w:r>
        <w:rPr>
          <w:color w:val="231F20"/>
          <w:spacing w:val="-20"/>
          <w:w w:val="105"/>
        </w:rPr>
        <w:t> </w:t>
      </w:r>
      <w:r>
        <w:rPr>
          <w:color w:val="231F20"/>
          <w:w w:val="105"/>
        </w:rPr>
        <w:t>por</w:t>
      </w:r>
      <w:r>
        <w:rPr>
          <w:color w:val="231F20"/>
          <w:spacing w:val="-20"/>
          <w:w w:val="105"/>
        </w:rPr>
        <w:t> </w:t>
      </w:r>
      <w:r>
        <w:rPr>
          <w:color w:val="231F20"/>
          <w:w w:val="105"/>
        </w:rPr>
        <w:t>otro</w:t>
      </w:r>
      <w:r>
        <w:rPr>
          <w:color w:val="231F20"/>
          <w:spacing w:val="-20"/>
          <w:w w:val="105"/>
        </w:rPr>
        <w:t> </w:t>
      </w:r>
      <w:r>
        <w:rPr>
          <w:color w:val="231F20"/>
          <w:w w:val="105"/>
        </w:rPr>
        <w:t>a</w:t>
      </w:r>
      <w:r>
        <w:rPr>
          <w:color w:val="231F20"/>
          <w:spacing w:val="-20"/>
          <w:w w:val="105"/>
        </w:rPr>
        <w:t> </w:t>
      </w:r>
      <w:r>
        <w:rPr>
          <w:color w:val="231F20"/>
          <w:w w:val="105"/>
        </w:rPr>
        <w:t>mejorar</w:t>
      </w:r>
      <w:r>
        <w:rPr>
          <w:color w:val="231F20"/>
          <w:w w:val="98"/>
        </w:rPr>
        <w:t> </w:t>
      </w:r>
      <w:r>
        <w:rPr>
          <w:color w:val="231F20"/>
          <w:w w:val="105"/>
        </w:rPr>
        <w:t>las condiciones de los animales,</w:t>
      </w:r>
      <w:r>
        <w:rPr>
          <w:color w:val="231F20"/>
          <w:spacing w:val="15"/>
          <w:w w:val="105"/>
        </w:rPr>
        <w:t> </w:t>
      </w:r>
      <w:r>
        <w:rPr>
          <w:color w:val="231F20"/>
          <w:w w:val="105"/>
        </w:rPr>
        <w:t>es</w:t>
      </w:r>
      <w:r>
        <w:rPr>
          <w:color w:val="231F20"/>
          <w:spacing w:val="12"/>
          <w:w w:val="105"/>
        </w:rPr>
        <w:t> </w:t>
      </w:r>
      <w:r>
        <w:rPr>
          <w:color w:val="231F20"/>
          <w:w w:val="105"/>
        </w:rPr>
        <w:t>implementar</w:t>
      </w:r>
      <w:r>
        <w:rPr>
          <w:color w:val="231F20"/>
          <w:w w:val="100"/>
        </w:rPr>
        <w:t> </w:t>
      </w:r>
      <w:r>
        <w:rPr>
          <w:color w:val="231F20"/>
          <w:w w:val="105"/>
        </w:rPr>
        <w:t>programas</w:t>
      </w:r>
      <w:r>
        <w:rPr>
          <w:color w:val="231F20"/>
          <w:spacing w:val="-7"/>
          <w:w w:val="105"/>
        </w:rPr>
        <w:t> </w:t>
      </w:r>
      <w:r>
        <w:rPr>
          <w:color w:val="231F20"/>
          <w:w w:val="105"/>
        </w:rPr>
        <w:t>de</w:t>
      </w:r>
      <w:r>
        <w:rPr>
          <w:color w:val="231F20"/>
          <w:spacing w:val="-7"/>
          <w:w w:val="105"/>
        </w:rPr>
        <w:t> </w:t>
      </w:r>
      <w:r>
        <w:rPr>
          <w:color w:val="231F20"/>
          <w:w w:val="105"/>
        </w:rPr>
        <w:t>manejo</w:t>
      </w:r>
      <w:r>
        <w:rPr>
          <w:color w:val="231F20"/>
          <w:spacing w:val="-7"/>
          <w:w w:val="105"/>
        </w:rPr>
        <w:t> </w:t>
      </w:r>
      <w:r>
        <w:rPr>
          <w:color w:val="231F20"/>
          <w:w w:val="105"/>
        </w:rPr>
        <w:t>pecuario</w:t>
      </w:r>
      <w:r>
        <w:rPr>
          <w:color w:val="231F20"/>
          <w:spacing w:val="-7"/>
          <w:w w:val="105"/>
        </w:rPr>
        <w:t> </w:t>
      </w:r>
      <w:r>
        <w:rPr>
          <w:color w:val="231F20"/>
          <w:w w:val="105"/>
        </w:rPr>
        <w:t>como</w:t>
      </w:r>
      <w:r>
        <w:rPr>
          <w:color w:val="231F20"/>
          <w:spacing w:val="-7"/>
          <w:w w:val="105"/>
        </w:rPr>
        <w:t> </w:t>
      </w:r>
      <w:r>
        <w:rPr>
          <w:color w:val="231F20"/>
          <w:w w:val="105"/>
        </w:rPr>
        <w:t>el</w:t>
      </w:r>
      <w:r>
        <w:rPr>
          <w:color w:val="231F20"/>
          <w:spacing w:val="-7"/>
          <w:w w:val="105"/>
        </w:rPr>
        <w:t> </w:t>
      </w:r>
      <w:r>
        <w:rPr>
          <w:color w:val="231F20"/>
          <w:w w:val="105"/>
        </w:rPr>
        <w:t>propues- to por Ochoa-Espinoza </w:t>
      </w:r>
      <w:r>
        <w:rPr>
          <w:i/>
          <w:color w:val="231F20"/>
          <w:w w:val="105"/>
        </w:rPr>
        <w:t>et al</w:t>
      </w:r>
      <w:r>
        <w:rPr>
          <w:color w:val="231F20"/>
          <w:w w:val="105"/>
        </w:rPr>
        <w:t>. (2009). La Comisión Nacional</w:t>
      </w:r>
      <w:r>
        <w:rPr>
          <w:color w:val="231F20"/>
          <w:spacing w:val="-28"/>
          <w:w w:val="105"/>
        </w:rPr>
        <w:t> </w:t>
      </w:r>
      <w:r>
        <w:rPr>
          <w:color w:val="231F20"/>
          <w:w w:val="105"/>
        </w:rPr>
        <w:t>de</w:t>
      </w:r>
      <w:r>
        <w:rPr>
          <w:color w:val="231F20"/>
          <w:spacing w:val="-28"/>
          <w:w w:val="105"/>
        </w:rPr>
        <w:t> </w:t>
      </w:r>
      <w:r>
        <w:rPr>
          <w:color w:val="231F20"/>
          <w:w w:val="105"/>
        </w:rPr>
        <w:t>Áreas</w:t>
      </w:r>
      <w:r>
        <w:rPr>
          <w:color w:val="231F20"/>
          <w:spacing w:val="-28"/>
          <w:w w:val="105"/>
        </w:rPr>
        <w:t> </w:t>
      </w:r>
      <w:r>
        <w:rPr>
          <w:color w:val="231F20"/>
          <w:w w:val="105"/>
        </w:rPr>
        <w:t>Naturales</w:t>
      </w:r>
      <w:r>
        <w:rPr>
          <w:color w:val="231F20"/>
          <w:spacing w:val="-28"/>
          <w:w w:val="105"/>
        </w:rPr>
        <w:t> </w:t>
      </w:r>
      <w:r>
        <w:rPr>
          <w:color w:val="231F20"/>
          <w:w w:val="105"/>
        </w:rPr>
        <w:t>protegidas</w:t>
      </w:r>
      <w:r>
        <w:rPr>
          <w:color w:val="231F20"/>
          <w:spacing w:val="-28"/>
          <w:w w:val="105"/>
        </w:rPr>
        <w:t> </w:t>
      </w:r>
      <w:r>
        <w:rPr>
          <w:color w:val="231F20"/>
          <w:w w:val="105"/>
        </w:rPr>
        <w:t>de</w:t>
      </w:r>
      <w:r>
        <w:rPr>
          <w:color w:val="231F20"/>
          <w:spacing w:val="-28"/>
          <w:w w:val="105"/>
        </w:rPr>
        <w:t> </w:t>
      </w:r>
      <w:r>
        <w:rPr>
          <w:color w:val="231F20"/>
          <w:w w:val="105"/>
        </w:rPr>
        <w:t>Coahui- la</w:t>
      </w:r>
      <w:r>
        <w:rPr>
          <w:color w:val="231F20"/>
          <w:spacing w:val="-14"/>
          <w:w w:val="105"/>
        </w:rPr>
        <w:t> </w:t>
      </w:r>
      <w:r>
        <w:rPr>
          <w:color w:val="231F20"/>
          <w:w w:val="105"/>
        </w:rPr>
        <w:t>estableció</w:t>
      </w:r>
      <w:r>
        <w:rPr>
          <w:color w:val="231F20"/>
          <w:spacing w:val="-14"/>
          <w:w w:val="105"/>
        </w:rPr>
        <w:t> </w:t>
      </w:r>
      <w:r>
        <w:rPr>
          <w:color w:val="231F20"/>
          <w:w w:val="105"/>
        </w:rPr>
        <w:t>programas</w:t>
      </w:r>
      <w:r>
        <w:rPr>
          <w:color w:val="231F20"/>
          <w:spacing w:val="-14"/>
          <w:w w:val="105"/>
        </w:rPr>
        <w:t> </w:t>
      </w:r>
      <w:r>
        <w:rPr>
          <w:color w:val="231F20"/>
          <w:w w:val="105"/>
        </w:rPr>
        <w:t>de</w:t>
      </w:r>
      <w:r>
        <w:rPr>
          <w:color w:val="231F20"/>
          <w:spacing w:val="-14"/>
          <w:w w:val="105"/>
        </w:rPr>
        <w:t> </w:t>
      </w:r>
      <w:r>
        <w:rPr>
          <w:color w:val="231F20"/>
          <w:w w:val="105"/>
        </w:rPr>
        <w:t>manejo</w:t>
      </w:r>
      <w:r>
        <w:rPr>
          <w:color w:val="231F20"/>
          <w:spacing w:val="-14"/>
          <w:w w:val="105"/>
        </w:rPr>
        <w:t> </w:t>
      </w:r>
      <w:r>
        <w:rPr>
          <w:color w:val="231F20"/>
          <w:w w:val="105"/>
        </w:rPr>
        <w:t>pecuario</w:t>
      </w:r>
      <w:r>
        <w:rPr>
          <w:color w:val="231F20"/>
          <w:spacing w:val="-14"/>
          <w:w w:val="105"/>
        </w:rPr>
        <w:t> </w:t>
      </w:r>
      <w:r>
        <w:rPr>
          <w:color w:val="231F20"/>
          <w:w w:val="105"/>
        </w:rPr>
        <w:t>y</w:t>
      </w:r>
      <w:r>
        <w:rPr>
          <w:color w:val="231F20"/>
          <w:spacing w:val="-14"/>
          <w:w w:val="105"/>
        </w:rPr>
        <w:t> </w:t>
      </w:r>
      <w:r>
        <w:rPr>
          <w:color w:val="231F20"/>
          <w:w w:val="105"/>
        </w:rPr>
        <w:t>por medio</w:t>
      </w:r>
      <w:r>
        <w:rPr>
          <w:color w:val="231F20"/>
          <w:spacing w:val="-21"/>
          <w:w w:val="105"/>
        </w:rPr>
        <w:t> </w:t>
      </w:r>
      <w:r>
        <w:rPr>
          <w:color w:val="231F20"/>
          <w:w w:val="105"/>
        </w:rPr>
        <w:t>de</w:t>
      </w:r>
      <w:r>
        <w:rPr>
          <w:color w:val="231F20"/>
          <w:spacing w:val="-21"/>
          <w:w w:val="105"/>
        </w:rPr>
        <w:t> </w:t>
      </w:r>
      <w:r>
        <w:rPr>
          <w:color w:val="231F20"/>
          <w:w w:val="105"/>
        </w:rPr>
        <w:t>ellos</w:t>
      </w:r>
      <w:r>
        <w:rPr>
          <w:color w:val="231F20"/>
          <w:spacing w:val="-21"/>
          <w:w w:val="105"/>
        </w:rPr>
        <w:t> </w:t>
      </w:r>
      <w:r>
        <w:rPr>
          <w:color w:val="231F20"/>
          <w:w w:val="105"/>
        </w:rPr>
        <w:t>se</w:t>
      </w:r>
      <w:r>
        <w:rPr>
          <w:color w:val="231F20"/>
          <w:spacing w:val="-21"/>
          <w:w w:val="105"/>
        </w:rPr>
        <w:t> </w:t>
      </w:r>
      <w:r>
        <w:rPr>
          <w:color w:val="231F20"/>
          <w:w w:val="105"/>
        </w:rPr>
        <w:t>conservan</w:t>
      </w:r>
      <w:r>
        <w:rPr>
          <w:color w:val="231F20"/>
          <w:spacing w:val="-21"/>
          <w:w w:val="105"/>
        </w:rPr>
        <w:t> </w:t>
      </w:r>
      <w:r>
        <w:rPr>
          <w:color w:val="231F20"/>
          <w:w w:val="105"/>
        </w:rPr>
        <w:t>los</w:t>
      </w:r>
      <w:r>
        <w:rPr>
          <w:color w:val="231F20"/>
          <w:spacing w:val="-21"/>
          <w:w w:val="105"/>
        </w:rPr>
        <w:t> </w:t>
      </w:r>
      <w:r>
        <w:rPr>
          <w:color w:val="231F20"/>
          <w:w w:val="105"/>
        </w:rPr>
        <w:t>recursos</w:t>
      </w:r>
      <w:r>
        <w:rPr>
          <w:color w:val="231F20"/>
          <w:spacing w:val="-21"/>
          <w:w w:val="105"/>
        </w:rPr>
        <w:t> </w:t>
      </w:r>
      <w:r>
        <w:rPr>
          <w:color w:val="231F20"/>
          <w:w w:val="105"/>
        </w:rPr>
        <w:t>naturales en</w:t>
      </w:r>
      <w:r>
        <w:rPr>
          <w:color w:val="231F20"/>
          <w:spacing w:val="-19"/>
          <w:w w:val="105"/>
        </w:rPr>
        <w:t> </w:t>
      </w:r>
      <w:r>
        <w:rPr>
          <w:color w:val="231F20"/>
          <w:w w:val="105"/>
        </w:rPr>
        <w:t>el</w:t>
      </w:r>
      <w:r>
        <w:rPr>
          <w:color w:val="231F20"/>
          <w:spacing w:val="-19"/>
          <w:w w:val="105"/>
        </w:rPr>
        <w:t> </w:t>
      </w:r>
      <w:r>
        <w:rPr>
          <w:color w:val="231F20"/>
          <w:w w:val="105"/>
        </w:rPr>
        <w:t>Área</w:t>
      </w:r>
      <w:r>
        <w:rPr>
          <w:color w:val="231F20"/>
          <w:spacing w:val="-19"/>
          <w:w w:val="105"/>
        </w:rPr>
        <w:t> </w:t>
      </w:r>
      <w:r>
        <w:rPr>
          <w:color w:val="231F20"/>
          <w:w w:val="105"/>
        </w:rPr>
        <w:t>de</w:t>
      </w:r>
      <w:r>
        <w:rPr>
          <w:color w:val="231F20"/>
          <w:spacing w:val="-19"/>
          <w:w w:val="105"/>
        </w:rPr>
        <w:t> </w:t>
      </w:r>
      <w:r>
        <w:rPr>
          <w:color w:val="231F20"/>
          <w:w w:val="105"/>
        </w:rPr>
        <w:t>Protección</w:t>
      </w:r>
      <w:r>
        <w:rPr>
          <w:color w:val="231F20"/>
          <w:spacing w:val="-19"/>
          <w:w w:val="105"/>
        </w:rPr>
        <w:t> </w:t>
      </w:r>
      <w:r>
        <w:rPr>
          <w:color w:val="231F20"/>
          <w:w w:val="105"/>
        </w:rPr>
        <w:t>de</w:t>
      </w:r>
      <w:r>
        <w:rPr>
          <w:color w:val="231F20"/>
          <w:spacing w:val="-19"/>
          <w:w w:val="105"/>
        </w:rPr>
        <w:t> </w:t>
      </w:r>
      <w:r>
        <w:rPr>
          <w:color w:val="231F20"/>
          <w:w w:val="105"/>
        </w:rPr>
        <w:t>Flora</w:t>
      </w:r>
      <w:r>
        <w:rPr>
          <w:color w:val="231F20"/>
          <w:spacing w:val="-19"/>
          <w:w w:val="105"/>
        </w:rPr>
        <w:t> </w:t>
      </w:r>
      <w:r>
        <w:rPr>
          <w:color w:val="231F20"/>
          <w:w w:val="105"/>
        </w:rPr>
        <w:t>y</w:t>
      </w:r>
      <w:r>
        <w:rPr>
          <w:color w:val="231F20"/>
          <w:spacing w:val="-19"/>
          <w:w w:val="105"/>
        </w:rPr>
        <w:t> </w:t>
      </w:r>
      <w:r>
        <w:rPr>
          <w:color w:val="231F20"/>
          <w:w w:val="105"/>
        </w:rPr>
        <w:t>Fauna</w:t>
      </w:r>
      <w:r>
        <w:rPr>
          <w:color w:val="231F20"/>
          <w:spacing w:val="-19"/>
          <w:w w:val="105"/>
        </w:rPr>
        <w:t> </w:t>
      </w:r>
      <w:r>
        <w:rPr>
          <w:color w:val="231F20"/>
          <w:w w:val="105"/>
        </w:rPr>
        <w:t>Maderas del Carmen Coahuila, donde se busca una inter- relación de hombres y naturaleza de modo que los</w:t>
      </w:r>
      <w:r>
        <w:rPr>
          <w:color w:val="231F20"/>
          <w:spacing w:val="-24"/>
          <w:w w:val="105"/>
        </w:rPr>
        <w:t> </w:t>
      </w:r>
      <w:r>
        <w:rPr>
          <w:color w:val="231F20"/>
          <w:w w:val="105"/>
        </w:rPr>
        <w:t>primeros</w:t>
      </w:r>
      <w:r>
        <w:rPr>
          <w:color w:val="231F20"/>
          <w:spacing w:val="-24"/>
          <w:w w:val="105"/>
        </w:rPr>
        <w:t> </w:t>
      </w:r>
      <w:r>
        <w:rPr>
          <w:color w:val="231F20"/>
          <w:w w:val="105"/>
        </w:rPr>
        <w:t>se</w:t>
      </w:r>
      <w:r>
        <w:rPr>
          <w:color w:val="231F20"/>
          <w:spacing w:val="-24"/>
          <w:w w:val="105"/>
        </w:rPr>
        <w:t> </w:t>
      </w:r>
      <w:r>
        <w:rPr>
          <w:color w:val="231F20"/>
          <w:w w:val="105"/>
        </w:rPr>
        <w:t>beneficien</w:t>
      </w:r>
      <w:r>
        <w:rPr>
          <w:color w:val="231F20"/>
          <w:spacing w:val="-24"/>
          <w:w w:val="105"/>
        </w:rPr>
        <w:t> </w:t>
      </w:r>
      <w:r>
        <w:rPr>
          <w:color w:val="231F20"/>
          <w:w w:val="105"/>
        </w:rPr>
        <w:t>sin</w:t>
      </w:r>
      <w:r>
        <w:rPr>
          <w:color w:val="231F20"/>
          <w:spacing w:val="-24"/>
          <w:w w:val="105"/>
        </w:rPr>
        <w:t> </w:t>
      </w:r>
      <w:r>
        <w:rPr>
          <w:color w:val="231F20"/>
          <w:w w:val="105"/>
        </w:rPr>
        <w:t>dañar</w:t>
      </w:r>
      <w:r>
        <w:rPr>
          <w:color w:val="231F20"/>
          <w:spacing w:val="-24"/>
          <w:w w:val="105"/>
        </w:rPr>
        <w:t> </w:t>
      </w:r>
      <w:r>
        <w:rPr>
          <w:color w:val="231F20"/>
          <w:w w:val="105"/>
        </w:rPr>
        <w:t>el</w:t>
      </w:r>
      <w:r>
        <w:rPr>
          <w:color w:val="231F20"/>
          <w:spacing w:val="-24"/>
          <w:w w:val="105"/>
        </w:rPr>
        <w:t> </w:t>
      </w:r>
      <w:r>
        <w:rPr>
          <w:color w:val="231F20"/>
          <w:w w:val="105"/>
        </w:rPr>
        <w:t>ecosistema.</w:t>
      </w:r>
    </w:p>
    <w:p>
      <w:pPr>
        <w:pStyle w:val="BodyText"/>
      </w:pPr>
    </w:p>
    <w:p>
      <w:pPr>
        <w:pStyle w:val="BodyText"/>
        <w:spacing w:before="153"/>
        <w:ind w:left="1553"/>
        <w:jc w:val="both"/>
      </w:pPr>
      <w:r>
        <w:rPr>
          <w:color w:val="231F20"/>
          <w:w w:val="115"/>
        </w:rPr>
        <w:t>CONCLUSIONES</w:t>
      </w:r>
    </w:p>
    <w:p>
      <w:pPr>
        <w:pStyle w:val="BodyText"/>
        <w:spacing w:line="261" w:lineRule="auto" w:before="135"/>
        <w:ind w:left="1553"/>
        <w:jc w:val="both"/>
      </w:pPr>
      <w:r>
        <w:rPr>
          <w:color w:val="231F20"/>
        </w:rPr>
        <w:t>La producción de ovinos en el Parque Nacional Ne- vado de </w:t>
      </w:r>
      <w:r>
        <w:rPr>
          <w:color w:val="231F20"/>
          <w:spacing w:val="-4"/>
        </w:rPr>
        <w:t>Toluca </w:t>
      </w:r>
      <w:r>
        <w:rPr>
          <w:color w:val="231F20"/>
        </w:rPr>
        <w:t>mediante el sistema de pastoreo, en el caso específico de Agua Blanca, representa una forma de ahorro o inversión que generalmen- te se emplea cuando los productores tienen gas- tos o alguna urgencia que cubrir. Sin embargo, el manejo del sistema silvopastoril requiere estudios más profundos que permitan conocer los efectos directos del ganado sobre todos los recursos natu- rales del sistema, y establecer un Plan de Manejo Pecuario para el Parque Nacional Nevado de </w:t>
      </w:r>
      <w:r>
        <w:rPr>
          <w:color w:val="231F20"/>
          <w:spacing w:val="-5"/>
        </w:rPr>
        <w:t>Tolu- </w:t>
      </w:r>
      <w:r>
        <w:rPr>
          <w:color w:val="231F20"/>
        </w:rPr>
        <w:t>ca que permita conservar los recursos naturales y también mantener la producción ovina como una fuente adicional de ingresos para las familias cam- pesinas.</w:t>
      </w:r>
    </w:p>
    <w:p>
      <w:pPr>
        <w:pStyle w:val="BodyText"/>
      </w:pPr>
    </w:p>
    <w:p>
      <w:pPr>
        <w:pStyle w:val="BodyText"/>
        <w:spacing w:before="153"/>
        <w:ind w:left="1553"/>
        <w:jc w:val="both"/>
      </w:pPr>
      <w:r>
        <w:rPr>
          <w:color w:val="231F20"/>
          <w:w w:val="110"/>
        </w:rPr>
        <w:t>BIBLIOGRAFÍA</w:t>
      </w:r>
    </w:p>
    <w:p>
      <w:pPr>
        <w:spacing w:line="268" w:lineRule="auto" w:before="134"/>
        <w:ind w:left="1837" w:right="0" w:hanging="284"/>
        <w:jc w:val="both"/>
        <w:rPr>
          <w:sz w:val="18"/>
        </w:rPr>
      </w:pPr>
      <w:r>
        <w:rPr>
          <w:color w:val="231F20"/>
          <w:sz w:val="18"/>
        </w:rPr>
        <w:t>AOAC (1990). Official methods of analysis. 15th ed. As- sociation of Official Agricultural Chemists, Washing- ton, USA.</w:t>
      </w:r>
    </w:p>
    <w:p>
      <w:pPr>
        <w:spacing w:line="268" w:lineRule="auto" w:before="57"/>
        <w:ind w:left="1837" w:right="0" w:hanging="284"/>
        <w:jc w:val="both"/>
        <w:rPr>
          <w:sz w:val="18"/>
        </w:rPr>
      </w:pPr>
      <w:r>
        <w:rPr>
          <w:color w:val="231F20"/>
          <w:sz w:val="18"/>
        </w:rPr>
        <w:t>Bravo-Peña L.C., Doode-Matsumoto O.S., Castellanos- Villegas A.E., Espejel-Carbajal I. (2010). Políticas ru- rales y pérdida de cobertura vegetal. Elementos para reformular  instrumentos  de  fomento agropecuario</w:t>
      </w:r>
    </w:p>
    <w:p>
      <w:pPr>
        <w:pStyle w:val="BodyText"/>
        <w:rPr>
          <w:sz w:val="18"/>
        </w:rPr>
      </w:pPr>
      <w:r>
        <w:rPr/>
        <w:br w:type="column"/>
      </w:r>
      <w:r>
        <w:rPr>
          <w:sz w:val="18"/>
        </w:rPr>
      </w:r>
    </w:p>
    <w:p>
      <w:pPr>
        <w:spacing w:line="266" w:lineRule="auto" w:before="129"/>
        <w:ind w:left="696" w:right="1551" w:firstLine="0"/>
        <w:jc w:val="both"/>
        <w:rPr>
          <w:sz w:val="18"/>
        </w:rPr>
      </w:pPr>
      <w:r>
        <w:rPr>
          <w:color w:val="231F20"/>
          <w:sz w:val="18"/>
        </w:rPr>
        <w:t>relacionados con la apertura de praderas ganaderas en el noroeste de México. </w:t>
      </w:r>
      <w:r>
        <w:rPr>
          <w:i/>
          <w:color w:val="231F20"/>
          <w:sz w:val="18"/>
        </w:rPr>
        <w:t>Región y Sociedad,  </w:t>
      </w:r>
      <w:r>
        <w:rPr>
          <w:color w:val="231F20"/>
          <w:spacing w:val="-8"/>
          <w:sz w:val="18"/>
        </w:rPr>
        <w:t>12  </w:t>
      </w:r>
      <w:r>
        <w:rPr>
          <w:color w:val="231F20"/>
          <w:sz w:val="18"/>
        </w:rPr>
        <w:t>(48):  </w:t>
      </w:r>
      <w:r>
        <w:rPr>
          <w:color w:val="231F20"/>
          <w:spacing w:val="13"/>
          <w:sz w:val="18"/>
        </w:rPr>
        <w:t> </w:t>
      </w:r>
      <w:r>
        <w:rPr>
          <w:color w:val="231F20"/>
          <w:sz w:val="18"/>
        </w:rPr>
        <w:t>3-35.</w:t>
      </w:r>
    </w:p>
    <w:p>
      <w:pPr>
        <w:spacing w:line="266" w:lineRule="auto" w:before="56"/>
        <w:ind w:left="696" w:right="1551" w:hanging="284"/>
        <w:jc w:val="both"/>
        <w:rPr>
          <w:sz w:val="18"/>
        </w:rPr>
      </w:pPr>
      <w:r>
        <w:rPr>
          <w:color w:val="231F20"/>
          <w:sz w:val="18"/>
        </w:rPr>
        <w:t>Byers A.C. (2000). Contemporary landscape change  in the Huascarán National Park and buffer zone, Cordi- llera Blanca, Peru. </w:t>
      </w:r>
      <w:r>
        <w:rPr>
          <w:i/>
          <w:color w:val="231F20"/>
          <w:sz w:val="18"/>
        </w:rPr>
        <w:t>Mountain Research and Develop­ </w:t>
      </w:r>
      <w:r>
        <w:rPr>
          <w:i/>
          <w:color w:val="231F20"/>
          <w:sz w:val="18"/>
        </w:rPr>
        <w:t>ment,  </w:t>
      </w:r>
      <w:r>
        <w:rPr>
          <w:color w:val="231F20"/>
          <w:sz w:val="18"/>
        </w:rPr>
        <w:t>20:  52-63.</w:t>
      </w:r>
    </w:p>
    <w:p>
      <w:pPr>
        <w:spacing w:line="266" w:lineRule="auto" w:before="56"/>
        <w:ind w:left="696" w:right="1551" w:hanging="284"/>
        <w:jc w:val="both"/>
        <w:rPr>
          <w:sz w:val="18"/>
        </w:rPr>
      </w:pPr>
      <w:r>
        <w:rPr>
          <w:color w:val="231F20"/>
          <w:sz w:val="18"/>
        </w:rPr>
        <w:t>Esquivel Domínguez A.L. (2011). Evaluación de la acti- vidad silvopastoril en el Parque Nacional Nevado de Toluca. El caso de la comunidad Agua Blanca (Zina- cantepec). Tesis de Licenciatura. Facultad de Planea- ción Urbana y Regional. Universidad Autónoma del Estado de México.</w:t>
      </w:r>
    </w:p>
    <w:p>
      <w:pPr>
        <w:spacing w:line="266" w:lineRule="auto" w:before="56"/>
        <w:ind w:left="696" w:right="1551" w:hanging="284"/>
        <w:jc w:val="both"/>
        <w:rPr>
          <w:sz w:val="18"/>
        </w:rPr>
      </w:pPr>
      <w:r>
        <w:rPr>
          <w:color w:val="231F20"/>
          <w:sz w:val="18"/>
        </w:rPr>
        <w:t>Estrada Flores J.G., González Ronquillo M., Mould F.L., Arriaga Jordán C.M., Castelán Ortega O.A. (2006). Chemical composition and fermentation characteris- tics of grain and different parts of the stover from maize land races harvested at different growing pe- riods in two zones of Central Mexico. </w:t>
      </w:r>
      <w:r>
        <w:rPr>
          <w:i/>
          <w:color w:val="231F20"/>
          <w:sz w:val="18"/>
        </w:rPr>
        <w:t>Animal Scien­ </w:t>
      </w:r>
      <w:r>
        <w:rPr>
          <w:i/>
          <w:color w:val="231F20"/>
          <w:sz w:val="18"/>
        </w:rPr>
        <w:t>ce,  </w:t>
      </w:r>
      <w:r>
        <w:rPr>
          <w:color w:val="231F20"/>
          <w:sz w:val="18"/>
        </w:rPr>
        <w:t>82: 1-9.</w:t>
      </w:r>
    </w:p>
    <w:p>
      <w:pPr>
        <w:spacing w:line="266" w:lineRule="auto" w:before="56"/>
        <w:ind w:left="696" w:right="1551" w:hanging="284"/>
        <w:jc w:val="both"/>
        <w:rPr>
          <w:sz w:val="18"/>
        </w:rPr>
      </w:pPr>
      <w:r>
        <w:rPr>
          <w:color w:val="231F20"/>
          <w:sz w:val="18"/>
        </w:rPr>
        <w:t>Franco Maass S., Regil García H.H., Ordoñez Díaz J.A.B. (2006). Dinámica de perturbación-recuperación de las zonas forestales en el Parque Nacional Nevado  de  </w:t>
      </w:r>
      <w:r>
        <w:rPr>
          <w:color w:val="231F20"/>
          <w:spacing w:val="-3"/>
          <w:sz w:val="18"/>
        </w:rPr>
        <w:t>Toluca.  </w:t>
      </w:r>
      <w:r>
        <w:rPr>
          <w:i/>
          <w:color w:val="231F20"/>
          <w:sz w:val="18"/>
        </w:rPr>
        <w:t>Maderas  y  Bosques,  </w:t>
      </w:r>
      <w:r>
        <w:rPr>
          <w:color w:val="231F20"/>
          <w:spacing w:val="-4"/>
          <w:sz w:val="18"/>
        </w:rPr>
        <w:t>12  </w:t>
      </w:r>
      <w:r>
        <w:rPr>
          <w:color w:val="231F20"/>
          <w:sz w:val="18"/>
        </w:rPr>
        <w:t>(1):</w:t>
      </w:r>
      <w:r>
        <w:rPr>
          <w:color w:val="231F20"/>
          <w:spacing w:val="23"/>
          <w:sz w:val="18"/>
        </w:rPr>
        <w:t> </w:t>
      </w:r>
      <w:r>
        <w:rPr>
          <w:color w:val="231F20"/>
          <w:spacing w:val="-4"/>
          <w:sz w:val="18"/>
        </w:rPr>
        <w:t>17-28.</w:t>
      </w:r>
    </w:p>
    <w:p>
      <w:pPr>
        <w:spacing w:line="266" w:lineRule="auto" w:before="56"/>
        <w:ind w:left="696" w:right="1551" w:hanging="284"/>
        <w:jc w:val="both"/>
        <w:rPr>
          <w:sz w:val="18"/>
        </w:rPr>
      </w:pPr>
      <w:r>
        <w:rPr>
          <w:color w:val="231F20"/>
          <w:sz w:val="18"/>
        </w:rPr>
        <w:t>Galicia L., García-Romero A. (2007). Land use and land cover change in highland temperate forest in the Izta-Popo National Park, Central Mexico. </w:t>
      </w:r>
      <w:r>
        <w:rPr>
          <w:i/>
          <w:color w:val="231F20"/>
          <w:sz w:val="18"/>
        </w:rPr>
        <w:t>Mountain </w:t>
      </w:r>
      <w:r>
        <w:rPr>
          <w:i/>
          <w:color w:val="231F20"/>
          <w:sz w:val="18"/>
        </w:rPr>
        <w:t>Research  and  Development,  </w:t>
      </w:r>
      <w:r>
        <w:rPr>
          <w:color w:val="231F20"/>
          <w:sz w:val="18"/>
        </w:rPr>
        <w:t>27  (1):   48-57.</w:t>
      </w:r>
    </w:p>
    <w:p>
      <w:pPr>
        <w:spacing w:line="266" w:lineRule="auto" w:before="56"/>
        <w:ind w:left="696" w:right="1551" w:hanging="284"/>
        <w:jc w:val="both"/>
        <w:rPr>
          <w:sz w:val="18"/>
        </w:rPr>
      </w:pPr>
      <w:r>
        <w:rPr>
          <w:color w:val="231F20"/>
          <w:sz w:val="18"/>
        </w:rPr>
        <w:t>García L. </w:t>
      </w:r>
      <w:r>
        <w:rPr>
          <w:color w:val="231F20"/>
          <w:spacing w:val="-3"/>
          <w:sz w:val="18"/>
        </w:rPr>
        <w:t>(2012). </w:t>
      </w:r>
      <w:r>
        <w:rPr>
          <w:color w:val="231F20"/>
          <w:sz w:val="18"/>
        </w:rPr>
        <w:t>No es suficiente el desarrollo social si  no existe una cultura ecológica. Entorno un Enlace de Comunicación. Comisión Nacional de Áreas Na- turales Protegidas, México</w:t>
      </w:r>
      <w:r>
        <w:rPr>
          <w:color w:val="231F20"/>
          <w:spacing w:val="-1"/>
          <w:sz w:val="18"/>
        </w:rPr>
        <w:t> </w:t>
      </w:r>
      <w:r>
        <w:rPr>
          <w:color w:val="231F20"/>
          <w:spacing w:val="-4"/>
          <w:sz w:val="18"/>
        </w:rPr>
        <w:t>D.F.</w:t>
      </w:r>
    </w:p>
    <w:p>
      <w:pPr>
        <w:spacing w:line="266" w:lineRule="auto" w:before="56"/>
        <w:ind w:left="696" w:right="1551" w:hanging="284"/>
        <w:jc w:val="both"/>
        <w:rPr>
          <w:sz w:val="18"/>
        </w:rPr>
      </w:pPr>
      <w:r>
        <w:rPr>
          <w:color w:val="231F20"/>
          <w:sz w:val="18"/>
        </w:rPr>
        <w:t>Giraldo L.A. (1996). Manejo y utilización sostenible de pasturas. 3ª ed. Centro de Publicaciones Universidad Nacional de Colombia, Colombia. 387    p.</w:t>
      </w:r>
    </w:p>
    <w:p>
      <w:pPr>
        <w:spacing w:line="266" w:lineRule="auto" w:before="56"/>
        <w:ind w:left="696" w:right="1551" w:hanging="284"/>
        <w:jc w:val="both"/>
        <w:rPr>
          <w:sz w:val="18"/>
        </w:rPr>
      </w:pPr>
      <w:r>
        <w:rPr>
          <w:color w:val="231F20"/>
          <w:sz w:val="18"/>
        </w:rPr>
        <w:t>Henkel Huerta S., Míreles Lezama </w:t>
      </w:r>
      <w:r>
        <w:rPr>
          <w:color w:val="231F20"/>
          <w:spacing w:val="-5"/>
          <w:sz w:val="18"/>
        </w:rPr>
        <w:t>P., </w:t>
      </w:r>
      <w:r>
        <w:rPr>
          <w:color w:val="231F20"/>
          <w:spacing w:val="-2"/>
          <w:sz w:val="18"/>
        </w:rPr>
        <w:t>Valdez </w:t>
      </w:r>
      <w:r>
        <w:rPr>
          <w:color w:val="231F20"/>
          <w:sz w:val="18"/>
        </w:rPr>
        <w:t>Pérez M.E. (2005a). Metodología para la caracterización social, cultural y económica de las comunidades del Par- que Nacional Nevado de </w:t>
      </w:r>
      <w:r>
        <w:rPr>
          <w:color w:val="231F20"/>
          <w:spacing w:val="-3"/>
          <w:sz w:val="18"/>
        </w:rPr>
        <w:t>Toluca, </w:t>
      </w:r>
      <w:r>
        <w:rPr>
          <w:color w:val="231F20"/>
          <w:sz w:val="18"/>
        </w:rPr>
        <w:t>dentro de la cuen-  ca alta del Balsas como base para la conservación      y manejo del ecosistema de montaña. II Simposio Nacional. Ecología, Manejo y Conservación de los Ecosistemas de Montaña de México. Universidad de Guadalajara,</w:t>
      </w:r>
      <w:r>
        <w:rPr>
          <w:color w:val="231F20"/>
          <w:spacing w:val="-17"/>
          <w:sz w:val="18"/>
        </w:rPr>
        <w:t> </w:t>
      </w:r>
      <w:r>
        <w:rPr>
          <w:color w:val="231F20"/>
          <w:sz w:val="18"/>
        </w:rPr>
        <w:t>México.</w:t>
      </w:r>
    </w:p>
    <w:p>
      <w:pPr>
        <w:spacing w:after="0" w:line="26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22" w:val="left" w:leader="none"/>
        </w:tabs>
        <w:spacing w:before="64"/>
        <w:ind w:left="1551" w:right="0" w:firstLine="0"/>
        <w:jc w:val="left"/>
        <w:rPr>
          <w:sz w:val="12"/>
        </w:rPr>
      </w:pPr>
      <w:r>
        <w:rPr>
          <w:color w:val="231F20"/>
          <w:spacing w:val="-3"/>
          <w:w w:val="120"/>
          <w:sz w:val="22"/>
        </w:rPr>
        <w:t>148</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7"/>
          <w:w w:val="120"/>
          <w:sz w:val="12"/>
        </w:rPr>
        <w:t> </w:t>
      </w:r>
      <w:r>
        <w:rPr>
          <w:color w:val="231F20"/>
          <w:w w:val="120"/>
          <w:sz w:val="12"/>
        </w:rPr>
        <w:t>ovinoS</w:t>
      </w:r>
    </w:p>
    <w:p>
      <w:pPr>
        <w:pStyle w:val="BodyText"/>
        <w:spacing w:before="10"/>
        <w:rPr>
          <w:sz w:val="22"/>
        </w:rPr>
      </w:pPr>
    </w:p>
    <w:p>
      <w:pPr>
        <w:spacing w:after="0"/>
        <w:rPr>
          <w:sz w:val="22"/>
        </w:rPr>
        <w:sectPr>
          <w:footerReference w:type="default" r:id="rId283"/>
          <w:pgSz w:w="11900" w:h="14450"/>
          <w:pgMar w:footer="222" w:header="0" w:top="420" w:bottom="420" w:left="0" w:right="0"/>
        </w:sectPr>
      </w:pPr>
    </w:p>
    <w:p>
      <w:pPr>
        <w:spacing w:line="264" w:lineRule="auto" w:before="70"/>
        <w:ind w:left="1837" w:right="0" w:hanging="284"/>
        <w:jc w:val="both"/>
        <w:rPr>
          <w:sz w:val="18"/>
        </w:rPr>
      </w:pPr>
      <w:r>
        <w:rPr>
          <w:color w:val="231F20"/>
          <w:sz w:val="18"/>
        </w:rPr>
        <w:t>Henkel Huerta S., Míreles Lezama </w:t>
      </w:r>
      <w:r>
        <w:rPr>
          <w:color w:val="231F20"/>
          <w:spacing w:val="-5"/>
          <w:sz w:val="18"/>
        </w:rPr>
        <w:t>P., </w:t>
      </w:r>
      <w:r>
        <w:rPr>
          <w:color w:val="231F20"/>
          <w:spacing w:val="-2"/>
          <w:sz w:val="18"/>
        </w:rPr>
        <w:t>Valdez </w:t>
      </w:r>
      <w:r>
        <w:rPr>
          <w:color w:val="231F20"/>
          <w:sz w:val="18"/>
        </w:rPr>
        <w:t>Pérez M.E., Cuevas </w:t>
      </w:r>
      <w:r>
        <w:rPr>
          <w:color w:val="231F20"/>
          <w:spacing w:val="-4"/>
          <w:sz w:val="18"/>
        </w:rPr>
        <w:t>Torres </w:t>
      </w:r>
      <w:r>
        <w:rPr>
          <w:color w:val="231F20"/>
          <w:sz w:val="18"/>
        </w:rPr>
        <w:t>C.M. (2005b). Análisis  socioespacial  de la cuenca del Balsas dentro del Parque Nacional Nevado de </w:t>
      </w:r>
      <w:r>
        <w:rPr>
          <w:color w:val="231F20"/>
          <w:spacing w:val="-3"/>
          <w:sz w:val="18"/>
        </w:rPr>
        <w:t>Toluca. </w:t>
      </w:r>
      <w:r>
        <w:rPr>
          <w:color w:val="231F20"/>
          <w:sz w:val="18"/>
        </w:rPr>
        <w:t>II Simposio Nacional. Ecología, Manejo y Conservación de los Ecosistemas de Mon- taña de México. Universidad de Guadalajara,</w:t>
      </w:r>
      <w:r>
        <w:rPr>
          <w:color w:val="231F20"/>
          <w:spacing w:val="-19"/>
          <w:sz w:val="18"/>
        </w:rPr>
        <w:t> </w:t>
      </w:r>
      <w:r>
        <w:rPr>
          <w:color w:val="231F20"/>
          <w:sz w:val="18"/>
        </w:rPr>
        <w:t>México.</w:t>
      </w:r>
    </w:p>
    <w:p>
      <w:pPr>
        <w:spacing w:line="264" w:lineRule="auto" w:before="55"/>
        <w:ind w:left="1837" w:right="0" w:hanging="284"/>
        <w:jc w:val="both"/>
        <w:rPr>
          <w:sz w:val="18"/>
        </w:rPr>
      </w:pPr>
      <w:r>
        <w:rPr>
          <w:color w:val="231F20"/>
          <w:spacing w:val="-3"/>
          <w:sz w:val="18"/>
        </w:rPr>
        <w:t>Herrera-Tapia </w:t>
      </w:r>
      <w:r>
        <w:rPr>
          <w:color w:val="231F20"/>
          <w:spacing w:val="-5"/>
          <w:sz w:val="18"/>
        </w:rPr>
        <w:t>F., </w:t>
      </w:r>
      <w:r>
        <w:rPr>
          <w:color w:val="231F20"/>
          <w:sz w:val="18"/>
        </w:rPr>
        <w:t>Lutz-Bachère B. (2008). Instituciones y procesos políticos en el desarrollo rural en el caso  del programa Alianza para el campo en México. </w:t>
      </w:r>
      <w:r>
        <w:rPr>
          <w:i/>
          <w:color w:val="231F20"/>
          <w:sz w:val="18"/>
        </w:rPr>
        <w:t>Ga­ </w:t>
      </w:r>
      <w:r>
        <w:rPr>
          <w:i/>
          <w:color w:val="231F20"/>
          <w:sz w:val="18"/>
        </w:rPr>
        <w:t>ceta  Laboral,  </w:t>
      </w:r>
      <w:r>
        <w:rPr>
          <w:color w:val="231F20"/>
          <w:spacing w:val="-4"/>
          <w:sz w:val="18"/>
        </w:rPr>
        <w:t>14   </w:t>
      </w:r>
      <w:r>
        <w:rPr>
          <w:color w:val="231F20"/>
          <w:sz w:val="18"/>
        </w:rPr>
        <w:t>(1): </w:t>
      </w:r>
      <w:r>
        <w:rPr>
          <w:color w:val="231F20"/>
          <w:spacing w:val="14"/>
          <w:sz w:val="18"/>
        </w:rPr>
        <w:t> </w:t>
      </w:r>
      <w:r>
        <w:rPr>
          <w:color w:val="231F20"/>
          <w:spacing w:val="-3"/>
          <w:sz w:val="18"/>
        </w:rPr>
        <w:t>102-129.</w:t>
      </w:r>
    </w:p>
    <w:p>
      <w:pPr>
        <w:spacing w:line="264" w:lineRule="auto" w:before="55"/>
        <w:ind w:left="1837" w:right="1" w:hanging="284"/>
        <w:jc w:val="both"/>
        <w:rPr>
          <w:sz w:val="18"/>
        </w:rPr>
      </w:pPr>
      <w:r>
        <w:rPr>
          <w:color w:val="231F20"/>
          <w:sz w:val="18"/>
        </w:rPr>
        <w:t>Lesur L. (2009). Manual de cría y manejo de borregos: una guía paso a paso. Trillas, México  D.F.</w:t>
      </w:r>
    </w:p>
    <w:p>
      <w:pPr>
        <w:spacing w:line="264" w:lineRule="auto" w:before="55"/>
        <w:ind w:left="1837" w:right="0" w:hanging="284"/>
        <w:jc w:val="both"/>
        <w:rPr>
          <w:sz w:val="18"/>
        </w:rPr>
      </w:pPr>
      <w:r>
        <w:rPr>
          <w:color w:val="231F20"/>
          <w:sz w:val="18"/>
        </w:rPr>
        <w:t>Martínez-Loperena R., Castelán-Ortega O.A., Gonzá- lez-Ronquillo M., Estrada-Flores J.G. </w:t>
      </w:r>
      <w:r>
        <w:rPr>
          <w:color w:val="231F20"/>
          <w:spacing w:val="-3"/>
          <w:sz w:val="18"/>
        </w:rPr>
        <w:t>(2011). </w:t>
      </w:r>
      <w:r>
        <w:rPr>
          <w:color w:val="231F20"/>
          <w:sz w:val="18"/>
        </w:rPr>
        <w:t>Deter- minación</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calidad</w:t>
      </w:r>
      <w:r>
        <w:rPr>
          <w:color w:val="231F20"/>
          <w:spacing w:val="-6"/>
          <w:sz w:val="18"/>
        </w:rPr>
        <w:t> </w:t>
      </w:r>
      <w:r>
        <w:rPr>
          <w:color w:val="231F20"/>
          <w:sz w:val="18"/>
        </w:rPr>
        <w:t>nutritiva,</w:t>
      </w:r>
      <w:r>
        <w:rPr>
          <w:color w:val="231F20"/>
          <w:spacing w:val="-6"/>
          <w:sz w:val="18"/>
        </w:rPr>
        <w:t> </w:t>
      </w:r>
      <w:r>
        <w:rPr>
          <w:color w:val="231F20"/>
          <w:sz w:val="18"/>
        </w:rPr>
        <w:t>fermentación</w:t>
      </w:r>
      <w:r>
        <w:rPr>
          <w:color w:val="231F20"/>
          <w:spacing w:val="-6"/>
          <w:sz w:val="18"/>
        </w:rPr>
        <w:t> </w:t>
      </w:r>
      <w:r>
        <w:rPr>
          <w:color w:val="231F20"/>
          <w:sz w:val="18"/>
        </w:rPr>
        <w:t>in</w:t>
      </w:r>
      <w:r>
        <w:rPr>
          <w:color w:val="231F20"/>
          <w:spacing w:val="-6"/>
          <w:sz w:val="18"/>
        </w:rPr>
        <w:t> </w:t>
      </w:r>
      <w:r>
        <w:rPr>
          <w:color w:val="231F20"/>
          <w:sz w:val="18"/>
        </w:rPr>
        <w:t>vitro y metabolitos secundarios en arvenses y rastrojo de maíz utilizados para la alimentación del ganado le- chero. </w:t>
      </w:r>
      <w:r>
        <w:rPr>
          <w:i/>
          <w:color w:val="231F20"/>
          <w:sz w:val="18"/>
        </w:rPr>
        <w:t>Tropical and Subtropical Agroecosystems, </w:t>
      </w:r>
      <w:r>
        <w:rPr>
          <w:color w:val="231F20"/>
          <w:spacing w:val="-8"/>
          <w:sz w:val="18"/>
        </w:rPr>
        <w:t>14 </w:t>
      </w:r>
      <w:r>
        <w:rPr>
          <w:color w:val="231F20"/>
          <w:sz w:val="18"/>
        </w:rPr>
        <w:t>(2):  </w:t>
      </w:r>
      <w:r>
        <w:rPr>
          <w:color w:val="231F20"/>
          <w:spacing w:val="29"/>
          <w:sz w:val="18"/>
        </w:rPr>
        <w:t> </w:t>
      </w:r>
      <w:r>
        <w:rPr>
          <w:color w:val="231F20"/>
          <w:sz w:val="18"/>
        </w:rPr>
        <w:t>525-536.</w:t>
      </w:r>
    </w:p>
    <w:p>
      <w:pPr>
        <w:spacing w:line="264" w:lineRule="auto" w:before="55"/>
        <w:ind w:left="1837" w:right="0" w:hanging="284"/>
        <w:jc w:val="both"/>
        <w:rPr>
          <w:sz w:val="18"/>
        </w:rPr>
      </w:pPr>
      <w:r>
        <w:rPr>
          <w:color w:val="231F20"/>
          <w:sz w:val="18"/>
        </w:rPr>
        <w:t>Ochoa Espinoza J.J., Sifuentes Lugo C.A., Zamarrón Ro- dríguez E.M. (2009). Programa de manejo  pecua-  rio: una herramienta para la conservación. Comisión Nacional de Áreas Naturales Protegidas. Coahuila, México.</w:t>
      </w:r>
    </w:p>
    <w:p>
      <w:pPr>
        <w:spacing w:line="264" w:lineRule="auto" w:before="55"/>
        <w:ind w:left="1837" w:right="0" w:hanging="284"/>
        <w:jc w:val="both"/>
        <w:rPr>
          <w:sz w:val="18"/>
        </w:rPr>
      </w:pPr>
      <w:r>
        <w:rPr>
          <w:color w:val="231F20"/>
          <w:sz w:val="18"/>
        </w:rPr>
        <w:t>Odum E. (1995). Ecología, peligra la vida. 2ª ed. Inter- americana Mac Graw-Hill, México.</w:t>
      </w:r>
    </w:p>
    <w:p>
      <w:pPr>
        <w:spacing w:line="271" w:lineRule="auto" w:before="70"/>
        <w:ind w:left="696" w:right="1551" w:hanging="284"/>
        <w:jc w:val="both"/>
        <w:rPr>
          <w:sz w:val="18"/>
        </w:rPr>
      </w:pPr>
      <w:r>
        <w:rPr/>
        <w:br w:type="column"/>
      </w:r>
      <w:r>
        <w:rPr>
          <w:color w:val="231F20"/>
          <w:sz w:val="18"/>
        </w:rPr>
        <w:t>Ramírez-Lozano R.G. (2009). Forrajes nativos. Una alter- nativa sustentable de la alimentación de rumiantes. </w:t>
      </w:r>
      <w:r>
        <w:rPr>
          <w:i/>
          <w:color w:val="231F20"/>
          <w:sz w:val="18"/>
        </w:rPr>
        <w:t>Ciencia  UANL,  </w:t>
      </w:r>
      <w:r>
        <w:rPr>
          <w:color w:val="231F20"/>
          <w:sz w:val="18"/>
        </w:rPr>
        <w:t>12  (1):  4-5.</w:t>
      </w:r>
    </w:p>
    <w:p>
      <w:pPr>
        <w:spacing w:line="271" w:lineRule="auto" w:before="56"/>
        <w:ind w:left="696" w:right="1551" w:hanging="284"/>
        <w:jc w:val="both"/>
        <w:rPr>
          <w:sz w:val="18"/>
        </w:rPr>
      </w:pPr>
      <w:r>
        <w:rPr>
          <w:color w:val="231F20"/>
          <w:sz w:val="18"/>
        </w:rPr>
        <w:t>Schelhas D. (1991). A methodology for assessment of external issues facing National Parks with applica- tion in Costa Rica. </w:t>
      </w:r>
      <w:r>
        <w:rPr>
          <w:i/>
          <w:color w:val="231F20"/>
          <w:sz w:val="18"/>
        </w:rPr>
        <w:t>Environmental Conservation, </w:t>
      </w:r>
      <w:r>
        <w:rPr>
          <w:color w:val="231F20"/>
          <w:sz w:val="18"/>
        </w:rPr>
        <w:t>18: 323-330.</w:t>
      </w:r>
    </w:p>
    <w:p>
      <w:pPr>
        <w:spacing w:line="271" w:lineRule="auto" w:before="56"/>
        <w:ind w:left="696" w:right="1551" w:hanging="284"/>
        <w:jc w:val="both"/>
        <w:rPr>
          <w:sz w:val="18"/>
        </w:rPr>
      </w:pPr>
      <w:r>
        <w:rPr>
          <w:color w:val="231F20"/>
          <w:sz w:val="18"/>
        </w:rPr>
        <w:t>Secretaría de Agricultura, Ganadería, Desarrollo Rural, Pesca y Alimentación. (2000). Sistemas silvopastori- les. Disponible en línea en: </w:t>
      </w:r>
      <w:hyperlink r:id="rId284">
        <w:r>
          <w:rPr>
            <w:color w:val="231F20"/>
            <w:sz w:val="18"/>
          </w:rPr>
          <w:t>www.sagarpa.gob.mx/.../</w:t>
        </w:r>
      </w:hyperlink>
      <w:r>
        <w:rPr>
          <w:color w:val="231F20"/>
          <w:sz w:val="18"/>
        </w:rPr>
        <w:t> fichasaapt/Sistemas%20silvopastoriles.pdf</w:t>
      </w:r>
    </w:p>
    <w:p>
      <w:pPr>
        <w:spacing w:line="271" w:lineRule="auto" w:before="56"/>
        <w:ind w:left="696" w:right="1551" w:hanging="284"/>
        <w:jc w:val="both"/>
        <w:rPr>
          <w:sz w:val="18"/>
        </w:rPr>
      </w:pPr>
      <w:r>
        <w:rPr>
          <w:color w:val="231F20"/>
          <w:sz w:val="18"/>
        </w:rPr>
        <w:t>Tanner T. (2003). Peopling mountain environments: changing Andean livelihoods in north-west Argenti- na.  </w:t>
      </w:r>
      <w:r>
        <w:rPr>
          <w:i/>
          <w:color w:val="231F20"/>
          <w:sz w:val="18"/>
        </w:rPr>
        <w:t>The  Geographical  Journal,  </w:t>
      </w:r>
      <w:r>
        <w:rPr>
          <w:color w:val="231F20"/>
          <w:sz w:val="18"/>
        </w:rPr>
        <w:t>169: 205-214.</w:t>
      </w:r>
    </w:p>
    <w:p>
      <w:pPr>
        <w:spacing w:line="271" w:lineRule="auto" w:before="56"/>
        <w:ind w:left="696" w:right="1551" w:hanging="284"/>
        <w:jc w:val="both"/>
        <w:rPr>
          <w:sz w:val="18"/>
        </w:rPr>
      </w:pPr>
      <w:r>
        <w:rPr>
          <w:color w:val="231F20"/>
          <w:spacing w:val="-4"/>
          <w:sz w:val="18"/>
        </w:rPr>
        <w:t>Tolera </w:t>
      </w:r>
      <w:r>
        <w:rPr>
          <w:color w:val="231F20"/>
          <w:sz w:val="18"/>
        </w:rPr>
        <w:t>A., Sundstol </w:t>
      </w:r>
      <w:r>
        <w:rPr>
          <w:color w:val="231F20"/>
          <w:spacing w:val="-8"/>
          <w:sz w:val="18"/>
        </w:rPr>
        <w:t>F. </w:t>
      </w:r>
      <w:r>
        <w:rPr>
          <w:color w:val="231F20"/>
          <w:sz w:val="18"/>
        </w:rPr>
        <w:t>(1999). Morphological fractions of maize stover harvested at different stages of grain maturity and nutritive value at different fractions </w:t>
      </w:r>
      <w:r>
        <w:rPr>
          <w:color w:val="231F20"/>
          <w:spacing w:val="-4"/>
          <w:sz w:val="18"/>
        </w:rPr>
        <w:t>01 </w:t>
      </w:r>
      <w:r>
        <w:rPr>
          <w:color w:val="231F20"/>
          <w:sz w:val="18"/>
        </w:rPr>
        <w:t>the stover. </w:t>
      </w:r>
      <w:r>
        <w:rPr>
          <w:i/>
          <w:color w:val="231F20"/>
          <w:sz w:val="18"/>
        </w:rPr>
        <w:t>Animal Feed  Science  and  </w:t>
      </w:r>
      <w:r>
        <w:rPr>
          <w:i/>
          <w:color w:val="231F20"/>
          <w:spacing w:val="-3"/>
          <w:sz w:val="18"/>
        </w:rPr>
        <w:t>Technology,  </w:t>
      </w:r>
      <w:r>
        <w:rPr>
          <w:color w:val="231F20"/>
          <w:spacing w:val="-3"/>
          <w:sz w:val="18"/>
        </w:rPr>
        <w:t>81: </w:t>
      </w:r>
      <w:r>
        <w:rPr>
          <w:color w:val="231F20"/>
          <w:spacing w:val="33"/>
          <w:sz w:val="18"/>
        </w:rPr>
        <w:t> </w:t>
      </w:r>
      <w:r>
        <w:rPr>
          <w:color w:val="231F20"/>
          <w:spacing w:val="-4"/>
          <w:sz w:val="18"/>
        </w:rPr>
        <w:t>1-16.</w:t>
      </w:r>
    </w:p>
    <w:p>
      <w:pPr>
        <w:spacing w:line="271" w:lineRule="auto" w:before="56"/>
        <w:ind w:left="696" w:right="1551" w:hanging="284"/>
        <w:jc w:val="both"/>
        <w:rPr>
          <w:sz w:val="18"/>
        </w:rPr>
      </w:pPr>
      <w:r>
        <w:rPr>
          <w:color w:val="231F20"/>
          <w:sz w:val="18"/>
        </w:rPr>
        <w:t>Vázquez Torres G.A. (1993). Ecología y formación am- biental. 2ª ed. McGraw Hill, México D.F.</w:t>
      </w:r>
    </w:p>
    <w:p>
      <w:pPr>
        <w:spacing w:line="271" w:lineRule="auto" w:before="56"/>
        <w:ind w:left="696" w:right="1551" w:hanging="284"/>
        <w:jc w:val="both"/>
        <w:rPr>
          <w:sz w:val="18"/>
        </w:rPr>
      </w:pPr>
      <w:r>
        <w:rPr>
          <w:color w:val="231F20"/>
          <w:sz w:val="18"/>
        </w:rPr>
        <w:t>Villers Ruiz L., García del Valle L., López Blanco J. (1998). Evaluación de los bosques templados en México. Una aplicación en el Parque Nacional Nevado de </w:t>
      </w:r>
      <w:r>
        <w:rPr>
          <w:color w:val="231F20"/>
          <w:spacing w:val="-3"/>
          <w:sz w:val="18"/>
        </w:rPr>
        <w:t>Toluca.  </w:t>
      </w:r>
      <w:r>
        <w:rPr>
          <w:color w:val="231F20"/>
          <w:sz w:val="18"/>
        </w:rPr>
        <w:t>Investigaciones  Geográficas  (Mx),36:</w:t>
      </w:r>
      <w:r>
        <w:rPr>
          <w:color w:val="231F20"/>
          <w:spacing w:val="8"/>
          <w:sz w:val="18"/>
        </w:rPr>
        <w:t> </w:t>
      </w:r>
      <w:r>
        <w:rPr>
          <w:color w:val="231F20"/>
          <w:spacing w:val="-4"/>
          <w:sz w:val="18"/>
        </w:rPr>
        <w:t>7-19.</w:t>
      </w:r>
    </w:p>
    <w:p>
      <w:pPr>
        <w:spacing w:after="0" w:line="271"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pPr>
    </w:p>
    <w:p>
      <w:pPr>
        <w:pStyle w:val="BodyText"/>
      </w:pPr>
    </w:p>
    <w:p>
      <w:pPr>
        <w:pStyle w:val="BodyText"/>
        <w:spacing w:before="11"/>
        <w:rPr>
          <w:sz w:val="25"/>
        </w:rPr>
      </w:pPr>
    </w:p>
    <w:p>
      <w:pPr>
        <w:spacing w:before="12"/>
        <w:ind w:left="1553" w:right="0" w:firstLine="0"/>
        <w:jc w:val="both"/>
        <w:rPr>
          <w:sz w:val="28"/>
        </w:rPr>
      </w:pPr>
      <w:r>
        <w:rPr>
          <w:color w:val="6D6E71"/>
          <w:w w:val="120"/>
          <w:sz w:val="54"/>
        </w:rPr>
        <w:t>A. </w:t>
      </w:r>
      <w:r>
        <w:rPr>
          <w:color w:val="6D6E71"/>
          <w:w w:val="120"/>
          <w:sz w:val="40"/>
        </w:rPr>
        <w:t>S</w:t>
      </w:r>
      <w:r>
        <w:rPr>
          <w:color w:val="6D6E71"/>
          <w:w w:val="120"/>
          <w:sz w:val="28"/>
        </w:rPr>
        <w:t>iStemAS productoreS de ovinoS</w:t>
      </w:r>
    </w:p>
    <w:p>
      <w:pPr>
        <w:pStyle w:val="Heading3"/>
        <w:spacing w:before="290"/>
        <w:rPr>
          <w:sz w:val="60"/>
        </w:rPr>
      </w:pPr>
      <w:bookmarkStart w:name="_TOC_250005" w:id="7"/>
      <w:r>
        <w:rPr>
          <w:color w:val="231F20"/>
          <w:w w:val="110"/>
        </w:rPr>
        <w:t>CAPÍTULO </w:t>
      </w:r>
      <w:bookmarkEnd w:id="7"/>
      <w:r>
        <w:rPr>
          <w:color w:val="231F20"/>
          <w:spacing w:val="-25"/>
          <w:w w:val="110"/>
          <w:sz w:val="60"/>
        </w:rPr>
        <w:t>10</w:t>
      </w:r>
    </w:p>
    <w:p>
      <w:pPr>
        <w:spacing w:before="219"/>
        <w:ind w:left="1553" w:right="0" w:firstLine="0"/>
        <w:jc w:val="both"/>
        <w:rPr>
          <w:sz w:val="36"/>
        </w:rPr>
      </w:pPr>
      <w:r>
        <w:rPr>
          <w:color w:val="231F20"/>
          <w:w w:val="105"/>
          <w:sz w:val="36"/>
        </w:rPr>
        <w:t>LA OVINOCULTURA DEL NEVADO DE  TOLUCA:</w:t>
      </w:r>
    </w:p>
    <w:p>
      <w:pPr>
        <w:spacing w:before="0"/>
        <w:ind w:left="1553" w:right="1521" w:firstLine="0"/>
        <w:jc w:val="left"/>
        <w:rPr>
          <w:sz w:val="36"/>
        </w:rPr>
      </w:pPr>
      <w:r>
        <w:rPr>
          <w:color w:val="231F20"/>
          <w:spacing w:val="-12"/>
          <w:w w:val="105"/>
          <w:sz w:val="36"/>
        </w:rPr>
        <w:t>FACTOR </w:t>
      </w:r>
      <w:r>
        <w:rPr>
          <w:color w:val="231F20"/>
          <w:w w:val="105"/>
          <w:sz w:val="36"/>
        </w:rPr>
        <w:t>DE </w:t>
      </w:r>
      <w:r>
        <w:rPr>
          <w:color w:val="231F20"/>
          <w:spacing w:val="-4"/>
          <w:w w:val="105"/>
          <w:sz w:val="36"/>
        </w:rPr>
        <w:t>DETERIORO </w:t>
      </w:r>
      <w:r>
        <w:rPr>
          <w:color w:val="231F20"/>
          <w:w w:val="105"/>
          <w:sz w:val="36"/>
        </w:rPr>
        <w:t>O </w:t>
      </w:r>
      <w:r>
        <w:rPr>
          <w:color w:val="231F20"/>
          <w:spacing w:val="-6"/>
          <w:w w:val="105"/>
          <w:sz w:val="36"/>
        </w:rPr>
        <w:t>ELEMENTO </w:t>
      </w:r>
      <w:r>
        <w:rPr>
          <w:color w:val="231F20"/>
          <w:w w:val="105"/>
          <w:sz w:val="36"/>
        </w:rPr>
        <w:t>DE </w:t>
      </w:r>
      <w:r>
        <w:rPr>
          <w:color w:val="231F20"/>
          <w:spacing w:val="-5"/>
          <w:w w:val="105"/>
          <w:sz w:val="36"/>
        </w:rPr>
        <w:t>DESARROLLO </w:t>
      </w:r>
      <w:r>
        <w:rPr>
          <w:color w:val="231F20"/>
          <w:w w:val="105"/>
          <w:sz w:val="36"/>
        </w:rPr>
        <w:t>Y </w:t>
      </w:r>
      <w:r>
        <w:rPr>
          <w:color w:val="231F20"/>
          <w:spacing w:val="-3"/>
          <w:w w:val="105"/>
          <w:sz w:val="36"/>
        </w:rPr>
        <w:t>MANEJO </w:t>
      </w:r>
      <w:r>
        <w:rPr>
          <w:color w:val="231F20"/>
          <w:spacing w:val="-5"/>
          <w:w w:val="105"/>
          <w:sz w:val="36"/>
        </w:rPr>
        <w:t>AMBIENTAL </w:t>
      </w:r>
      <w:r>
        <w:rPr>
          <w:color w:val="231F20"/>
          <w:w w:val="105"/>
          <w:sz w:val="36"/>
        </w:rPr>
        <w:t>EN </w:t>
      </w:r>
      <w:r>
        <w:rPr>
          <w:color w:val="231F20"/>
          <w:spacing w:val="-5"/>
          <w:w w:val="105"/>
          <w:sz w:val="36"/>
        </w:rPr>
        <w:t>ZONAS </w:t>
      </w:r>
      <w:r>
        <w:rPr>
          <w:color w:val="231F20"/>
          <w:spacing w:val="-6"/>
          <w:w w:val="105"/>
          <w:sz w:val="36"/>
        </w:rPr>
        <w:t>NATURALES </w:t>
      </w:r>
      <w:r>
        <w:rPr>
          <w:color w:val="231F20"/>
          <w:spacing w:val="-7"/>
          <w:w w:val="105"/>
          <w:sz w:val="36"/>
        </w:rPr>
        <w:t>PROTEGIDAS</w:t>
      </w:r>
    </w:p>
    <w:p>
      <w:pPr>
        <w:pStyle w:val="Heading4"/>
        <w:spacing w:line="331" w:lineRule="exact" w:before="183"/>
        <w:rPr>
          <w:i/>
        </w:rPr>
      </w:pPr>
      <w:r>
        <w:rPr>
          <w:i/>
          <w:color w:val="231F20"/>
        </w:rPr>
        <w:t>Gustavo  Maldonado-Ferrucho</w:t>
      </w:r>
      <w:r>
        <w:rPr>
          <w:i/>
          <w:color w:val="231F20"/>
          <w:position w:val="9"/>
          <w:sz w:val="16"/>
        </w:rPr>
        <w:t>a</w:t>
      </w:r>
      <w:r>
        <w:rPr>
          <w:i/>
          <w:color w:val="231F20"/>
        </w:rPr>
        <w:t>,  Sergio Franco-Maass</w:t>
      </w:r>
      <w:r>
        <w:rPr>
          <w:i/>
          <w:color w:val="231F20"/>
          <w:position w:val="9"/>
          <w:sz w:val="16"/>
        </w:rPr>
        <w:t>a,*</w:t>
      </w:r>
      <w:r>
        <w:rPr>
          <w:i/>
          <w:color w:val="231F20"/>
        </w:rPr>
        <w:t>,</w:t>
      </w:r>
    </w:p>
    <w:p>
      <w:pPr>
        <w:spacing w:line="331" w:lineRule="exact" w:before="0"/>
        <w:ind w:left="1553" w:right="0" w:firstLine="0"/>
        <w:jc w:val="both"/>
        <w:rPr>
          <w:i/>
          <w:sz w:val="16"/>
        </w:rPr>
      </w:pPr>
      <w:r>
        <w:rPr>
          <w:i/>
          <w:color w:val="231F20"/>
          <w:sz w:val="28"/>
        </w:rPr>
        <w:t>Gabino  Nava-Bernal</w:t>
      </w:r>
      <w:r>
        <w:rPr>
          <w:i/>
          <w:color w:val="231F20"/>
          <w:position w:val="9"/>
          <w:sz w:val="16"/>
        </w:rPr>
        <w:t>a   </w:t>
      </w:r>
      <w:r>
        <w:rPr>
          <w:i/>
          <w:color w:val="231F20"/>
          <w:sz w:val="28"/>
        </w:rPr>
        <w:t>y  Anastasio García-Martínez</w:t>
      </w:r>
      <w:r>
        <w:rPr>
          <w:i/>
          <w:color w:val="231F20"/>
          <w:position w:val="9"/>
          <w:sz w:val="16"/>
        </w:rPr>
        <w:t>b</w:t>
      </w:r>
    </w:p>
    <w:p>
      <w:pPr>
        <w:pStyle w:val="BodyText"/>
        <w:spacing w:before="164"/>
        <w:ind w:left="1553"/>
        <w:jc w:val="both"/>
      </w:pPr>
      <w:r>
        <w:rPr>
          <w:color w:val="231F20"/>
          <w:position w:val="7"/>
          <w:sz w:val="11"/>
        </w:rPr>
        <w:t>a  </w:t>
      </w:r>
      <w:r>
        <w:rPr>
          <w:color w:val="231F20"/>
        </w:rPr>
        <w:t>Instituto de Ciencias Agropecuarias y Rurales, Universidad Autónoma del Estado de    México.</w:t>
      </w:r>
    </w:p>
    <w:p>
      <w:pPr>
        <w:pStyle w:val="BodyText"/>
        <w:spacing w:before="16"/>
        <w:ind w:left="1553"/>
        <w:jc w:val="both"/>
      </w:pPr>
      <w:r>
        <w:rPr>
          <w:color w:val="231F20"/>
        </w:rPr>
        <w:t>Km 12,5  Carretera Toluca-Atlacomulco. San Cayetano de Morelos, Estado de México, México,    C.P.  50200.</w:t>
      </w:r>
    </w:p>
    <w:p>
      <w:pPr>
        <w:pStyle w:val="BodyText"/>
        <w:spacing w:before="129"/>
        <w:ind w:left="1553"/>
        <w:jc w:val="both"/>
      </w:pPr>
      <w:r>
        <w:rPr>
          <w:color w:val="231F20"/>
          <w:position w:val="7"/>
          <w:sz w:val="11"/>
        </w:rPr>
        <w:t>b  </w:t>
      </w:r>
      <w:r>
        <w:rPr>
          <w:color w:val="231F20"/>
        </w:rPr>
        <w:t>Centro Universitario Temascaltepec, Universidad Autónoma del Estado de   México.</w:t>
      </w:r>
    </w:p>
    <w:p>
      <w:pPr>
        <w:pStyle w:val="BodyText"/>
        <w:spacing w:before="16"/>
        <w:ind w:left="1553"/>
        <w:jc w:val="both"/>
      </w:pPr>
      <w:r>
        <w:rPr/>
        <w:pict>
          <v:line style="position:absolute;mso-position-horizontal-relative:page;mso-position-vertical-relative:paragraph;z-index:4648;mso-wrap-distance-left:0;mso-wrap-distance-right:0" from="77.692902pt,16.300697pt" to="517.062902pt,16.300697pt" stroked="true" strokeweight=".5pt" strokecolor="#231f20">
            <w10:wrap type="topAndBottom"/>
          </v:line>
        </w:pict>
      </w:r>
      <w:r>
        <w:rPr>
          <w:color w:val="231F20"/>
        </w:rPr>
        <w:t>Km 67,5  Carretera Toluca-Temascaltepec.  UAEM. Barrio de Santiago, México, C.P.    51300.</w: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1"/>
        <w:jc w:val="both"/>
      </w:pPr>
      <w:r>
        <w:rPr>
          <w:color w:val="231F20"/>
          <w:spacing w:val="-4"/>
        </w:rPr>
        <w:t>Solucionar </w:t>
      </w:r>
      <w:r>
        <w:rPr>
          <w:color w:val="231F20"/>
        </w:rPr>
        <w:t>el </w:t>
      </w:r>
      <w:r>
        <w:rPr>
          <w:color w:val="231F20"/>
          <w:spacing w:val="-4"/>
        </w:rPr>
        <w:t>dilema entre </w:t>
      </w:r>
      <w:r>
        <w:rPr>
          <w:color w:val="231F20"/>
        </w:rPr>
        <w:t>la </w:t>
      </w:r>
      <w:r>
        <w:rPr>
          <w:color w:val="231F20"/>
          <w:spacing w:val="-4"/>
        </w:rPr>
        <w:t>conservación </w:t>
      </w:r>
      <w:r>
        <w:rPr>
          <w:color w:val="231F20"/>
        </w:rPr>
        <w:t>de </w:t>
      </w:r>
      <w:r>
        <w:rPr>
          <w:color w:val="231F20"/>
          <w:spacing w:val="-3"/>
        </w:rPr>
        <w:t>los </w:t>
      </w:r>
      <w:r>
        <w:rPr>
          <w:color w:val="231F20"/>
          <w:spacing w:val="-4"/>
        </w:rPr>
        <w:t>recursos naturales </w:t>
      </w:r>
      <w:r>
        <w:rPr>
          <w:color w:val="231F20"/>
        </w:rPr>
        <w:t>y su </w:t>
      </w:r>
      <w:r>
        <w:rPr>
          <w:color w:val="231F20"/>
          <w:spacing w:val="-4"/>
        </w:rPr>
        <w:t>utilización </w:t>
      </w:r>
      <w:r>
        <w:rPr>
          <w:color w:val="231F20"/>
        </w:rPr>
        <w:t>en la </w:t>
      </w:r>
      <w:r>
        <w:rPr>
          <w:color w:val="231F20"/>
          <w:spacing w:val="-4"/>
        </w:rPr>
        <w:t>producción </w:t>
      </w:r>
      <w:r>
        <w:rPr>
          <w:color w:val="231F20"/>
          <w:spacing w:val="-3"/>
        </w:rPr>
        <w:t>agrope- </w:t>
      </w:r>
      <w:r>
        <w:rPr>
          <w:color w:val="231F20"/>
          <w:spacing w:val="-4"/>
        </w:rPr>
        <w:t>cuaria supone conocer </w:t>
      </w:r>
      <w:r>
        <w:rPr>
          <w:color w:val="231F20"/>
          <w:spacing w:val="-3"/>
        </w:rPr>
        <w:t>las </w:t>
      </w:r>
      <w:r>
        <w:rPr>
          <w:color w:val="231F20"/>
          <w:spacing w:val="-4"/>
        </w:rPr>
        <w:t>formas </w:t>
      </w:r>
      <w:r>
        <w:rPr>
          <w:color w:val="231F20"/>
        </w:rPr>
        <w:t>de </w:t>
      </w:r>
      <w:r>
        <w:rPr>
          <w:color w:val="231F20"/>
          <w:spacing w:val="-4"/>
        </w:rPr>
        <w:t>producción, </w:t>
      </w:r>
      <w:r>
        <w:rPr>
          <w:color w:val="231F20"/>
        </w:rPr>
        <w:t>la </w:t>
      </w:r>
      <w:r>
        <w:rPr>
          <w:color w:val="231F20"/>
          <w:spacing w:val="-4"/>
        </w:rPr>
        <w:t>percepción </w:t>
      </w:r>
      <w:r>
        <w:rPr>
          <w:color w:val="231F20"/>
        </w:rPr>
        <w:t>de </w:t>
      </w:r>
      <w:r>
        <w:rPr>
          <w:color w:val="231F20"/>
          <w:spacing w:val="-3"/>
        </w:rPr>
        <w:t>los </w:t>
      </w:r>
      <w:r>
        <w:rPr>
          <w:color w:val="231F20"/>
          <w:spacing w:val="-4"/>
        </w:rPr>
        <w:t>productores acerca </w:t>
      </w:r>
      <w:r>
        <w:rPr>
          <w:color w:val="231F20"/>
        </w:rPr>
        <w:t>de su </w:t>
      </w:r>
      <w:r>
        <w:rPr>
          <w:color w:val="231F20"/>
          <w:spacing w:val="-4"/>
        </w:rPr>
        <w:t>entorno </w:t>
      </w:r>
      <w:r>
        <w:rPr>
          <w:color w:val="231F20"/>
        </w:rPr>
        <w:t>y </w:t>
      </w:r>
      <w:r>
        <w:rPr>
          <w:color w:val="231F20"/>
          <w:spacing w:val="-4"/>
        </w:rPr>
        <w:t>la valoración </w:t>
      </w:r>
      <w:r>
        <w:rPr>
          <w:color w:val="231F20"/>
        </w:rPr>
        <w:t>de </w:t>
      </w:r>
      <w:r>
        <w:rPr>
          <w:color w:val="231F20"/>
          <w:spacing w:val="-3"/>
        </w:rPr>
        <w:t>las </w:t>
      </w:r>
      <w:r>
        <w:rPr>
          <w:color w:val="231F20"/>
          <w:spacing w:val="-4"/>
        </w:rPr>
        <w:t>actividades productivas </w:t>
      </w:r>
      <w:r>
        <w:rPr>
          <w:color w:val="231F20"/>
          <w:spacing w:val="-3"/>
        </w:rPr>
        <w:t>como parte del modo </w:t>
      </w:r>
      <w:r>
        <w:rPr>
          <w:color w:val="231F20"/>
        </w:rPr>
        <w:t>de </w:t>
      </w:r>
      <w:r>
        <w:rPr>
          <w:color w:val="231F20"/>
          <w:spacing w:val="-3"/>
        </w:rPr>
        <w:t>vida </w:t>
      </w:r>
      <w:r>
        <w:rPr>
          <w:color w:val="231F20"/>
        </w:rPr>
        <w:t>de </w:t>
      </w:r>
      <w:r>
        <w:rPr>
          <w:color w:val="231F20"/>
          <w:spacing w:val="-3"/>
        </w:rPr>
        <w:t>las </w:t>
      </w:r>
      <w:r>
        <w:rPr>
          <w:color w:val="231F20"/>
          <w:spacing w:val="-4"/>
        </w:rPr>
        <w:t>comunidades. </w:t>
      </w:r>
      <w:r>
        <w:rPr>
          <w:color w:val="231F20"/>
        </w:rPr>
        <w:t>Se </w:t>
      </w:r>
      <w:r>
        <w:rPr>
          <w:color w:val="231F20"/>
          <w:spacing w:val="-4"/>
        </w:rPr>
        <w:t>realizó </w:t>
      </w:r>
      <w:r>
        <w:rPr>
          <w:color w:val="231F20"/>
        </w:rPr>
        <w:t>el </w:t>
      </w:r>
      <w:r>
        <w:rPr>
          <w:color w:val="231F20"/>
          <w:spacing w:val="-4"/>
        </w:rPr>
        <w:t>estudio </w:t>
      </w:r>
      <w:r>
        <w:rPr>
          <w:color w:val="231F20"/>
          <w:spacing w:val="-3"/>
        </w:rPr>
        <w:t>del </w:t>
      </w:r>
      <w:r>
        <w:rPr>
          <w:color w:val="231F20"/>
          <w:spacing w:val="-4"/>
        </w:rPr>
        <w:t>sistema </w:t>
      </w:r>
      <w:r>
        <w:rPr>
          <w:color w:val="231F20"/>
        </w:rPr>
        <w:t>de </w:t>
      </w:r>
      <w:r>
        <w:rPr>
          <w:color w:val="231F20"/>
          <w:spacing w:val="-4"/>
        </w:rPr>
        <w:t>producción ovina </w:t>
      </w:r>
      <w:r>
        <w:rPr>
          <w:color w:val="231F20"/>
        </w:rPr>
        <w:t>en </w:t>
      </w:r>
      <w:r>
        <w:rPr>
          <w:color w:val="231F20"/>
          <w:spacing w:val="-4"/>
        </w:rPr>
        <w:t>cuatro localidades </w:t>
      </w:r>
      <w:r>
        <w:rPr>
          <w:color w:val="231F20"/>
          <w:spacing w:val="-3"/>
        </w:rPr>
        <w:t>del </w:t>
      </w:r>
      <w:r>
        <w:rPr>
          <w:color w:val="231F20"/>
          <w:spacing w:val="-4"/>
        </w:rPr>
        <w:t>Parque Nacional Nevado </w:t>
      </w:r>
      <w:r>
        <w:rPr>
          <w:color w:val="231F20"/>
        </w:rPr>
        <w:t>de </w:t>
      </w:r>
      <w:r>
        <w:rPr>
          <w:color w:val="231F20"/>
          <w:spacing w:val="-7"/>
        </w:rPr>
        <w:t>Toluca, </w:t>
      </w:r>
      <w:r>
        <w:rPr>
          <w:color w:val="231F20"/>
        </w:rPr>
        <w:t>la </w:t>
      </w:r>
      <w:r>
        <w:rPr>
          <w:color w:val="231F20"/>
          <w:spacing w:val="-4"/>
        </w:rPr>
        <w:t>percepción de </w:t>
      </w:r>
      <w:r>
        <w:rPr>
          <w:color w:val="231F20"/>
          <w:spacing w:val="-3"/>
        </w:rPr>
        <w:t>los </w:t>
      </w:r>
      <w:r>
        <w:rPr>
          <w:color w:val="231F20"/>
          <w:spacing w:val="-4"/>
        </w:rPr>
        <w:t>productores sobre </w:t>
      </w:r>
      <w:r>
        <w:rPr>
          <w:color w:val="231F20"/>
        </w:rPr>
        <w:t>el </w:t>
      </w:r>
      <w:r>
        <w:rPr>
          <w:color w:val="231F20"/>
          <w:spacing w:val="-4"/>
        </w:rPr>
        <w:t>entorno </w:t>
      </w:r>
      <w:r>
        <w:rPr>
          <w:color w:val="231F20"/>
        </w:rPr>
        <w:t>y el </w:t>
      </w:r>
      <w:r>
        <w:rPr>
          <w:color w:val="231F20"/>
          <w:spacing w:val="-3"/>
        </w:rPr>
        <w:t>uso del </w:t>
      </w:r>
      <w:r>
        <w:rPr>
          <w:color w:val="231F20"/>
          <w:spacing w:val="-4"/>
        </w:rPr>
        <w:t>medio natural, </w:t>
      </w:r>
      <w:r>
        <w:rPr>
          <w:color w:val="231F20"/>
        </w:rPr>
        <w:t>y </w:t>
      </w:r>
      <w:r>
        <w:rPr>
          <w:color w:val="231F20"/>
          <w:spacing w:val="-3"/>
        </w:rPr>
        <w:t>los </w:t>
      </w:r>
      <w:r>
        <w:rPr>
          <w:color w:val="231F20"/>
          <w:spacing w:val="-4"/>
        </w:rPr>
        <w:t>costos </w:t>
      </w:r>
      <w:r>
        <w:rPr>
          <w:color w:val="231F20"/>
        </w:rPr>
        <w:t>e </w:t>
      </w:r>
      <w:r>
        <w:rPr>
          <w:color w:val="231F20"/>
          <w:spacing w:val="-4"/>
        </w:rPr>
        <w:t>ingresos, analizados </w:t>
      </w:r>
      <w:r>
        <w:rPr>
          <w:color w:val="231F20"/>
        </w:rPr>
        <w:t>de </w:t>
      </w:r>
      <w:r>
        <w:rPr>
          <w:color w:val="231F20"/>
          <w:spacing w:val="-4"/>
        </w:rPr>
        <w:t>manera des- criptiva </w:t>
      </w:r>
      <w:r>
        <w:rPr>
          <w:color w:val="231F20"/>
        </w:rPr>
        <w:t>y </w:t>
      </w:r>
      <w:r>
        <w:rPr>
          <w:color w:val="231F20"/>
          <w:spacing w:val="-4"/>
        </w:rPr>
        <w:t>cualitativa. </w:t>
      </w:r>
      <w:r>
        <w:rPr>
          <w:color w:val="231F20"/>
        </w:rPr>
        <w:t>El </w:t>
      </w:r>
      <w:r>
        <w:rPr>
          <w:color w:val="231F20"/>
          <w:spacing w:val="-4"/>
        </w:rPr>
        <w:t>sistema </w:t>
      </w:r>
      <w:r>
        <w:rPr>
          <w:color w:val="231F20"/>
        </w:rPr>
        <w:t>se </w:t>
      </w:r>
      <w:r>
        <w:rPr>
          <w:color w:val="231F20"/>
          <w:spacing w:val="-3"/>
        </w:rPr>
        <w:t>basa </w:t>
      </w:r>
      <w:r>
        <w:rPr>
          <w:color w:val="231F20"/>
        </w:rPr>
        <w:t>en el </w:t>
      </w:r>
      <w:r>
        <w:rPr>
          <w:color w:val="231F20"/>
          <w:spacing w:val="-4"/>
        </w:rPr>
        <w:t>pastoreo </w:t>
      </w:r>
      <w:r>
        <w:rPr>
          <w:color w:val="231F20"/>
        </w:rPr>
        <w:t>en </w:t>
      </w:r>
      <w:r>
        <w:rPr>
          <w:color w:val="231F20"/>
          <w:spacing w:val="-4"/>
        </w:rPr>
        <w:t>áreas comunales </w:t>
      </w:r>
      <w:r>
        <w:rPr>
          <w:color w:val="231F20"/>
        </w:rPr>
        <w:t>y de </w:t>
      </w:r>
      <w:r>
        <w:rPr>
          <w:color w:val="231F20"/>
          <w:spacing w:val="-4"/>
        </w:rPr>
        <w:t>bosque, </w:t>
      </w:r>
      <w:r>
        <w:rPr>
          <w:color w:val="231F20"/>
        </w:rPr>
        <w:t>el </w:t>
      </w:r>
      <w:r>
        <w:rPr>
          <w:color w:val="231F20"/>
          <w:spacing w:val="-4"/>
        </w:rPr>
        <w:t>suministro </w:t>
      </w:r>
      <w:r>
        <w:rPr>
          <w:color w:val="231F20"/>
        </w:rPr>
        <w:t>de</w:t>
      </w:r>
      <w:r>
        <w:rPr>
          <w:color w:val="231F20"/>
          <w:spacing w:val="-25"/>
        </w:rPr>
        <w:t> </w:t>
      </w:r>
      <w:r>
        <w:rPr>
          <w:color w:val="231F20"/>
          <w:spacing w:val="-4"/>
        </w:rPr>
        <w:t>forrajes cultivados </w:t>
      </w:r>
      <w:r>
        <w:rPr>
          <w:color w:val="231F20"/>
        </w:rPr>
        <w:t>y </w:t>
      </w:r>
      <w:r>
        <w:rPr>
          <w:color w:val="231F20"/>
          <w:spacing w:val="-4"/>
        </w:rPr>
        <w:t>residuos </w:t>
      </w:r>
      <w:r>
        <w:rPr>
          <w:color w:val="231F20"/>
        </w:rPr>
        <w:t>de </w:t>
      </w:r>
      <w:r>
        <w:rPr>
          <w:color w:val="231F20"/>
          <w:spacing w:val="-4"/>
        </w:rPr>
        <w:t>cosechas, </w:t>
      </w:r>
      <w:r>
        <w:rPr>
          <w:color w:val="231F20"/>
          <w:spacing w:val="-3"/>
        </w:rPr>
        <w:t>por </w:t>
      </w:r>
      <w:r>
        <w:rPr>
          <w:color w:val="231F20"/>
        </w:rPr>
        <w:t>lo </w:t>
      </w:r>
      <w:r>
        <w:rPr>
          <w:color w:val="231F20"/>
          <w:spacing w:val="-3"/>
        </w:rPr>
        <w:t>que </w:t>
      </w:r>
      <w:r>
        <w:rPr>
          <w:color w:val="231F20"/>
        </w:rPr>
        <w:t>es </w:t>
      </w:r>
      <w:r>
        <w:rPr>
          <w:color w:val="231F20"/>
          <w:spacing w:val="-4"/>
        </w:rPr>
        <w:t>extensivo tradicional. </w:t>
      </w:r>
      <w:r>
        <w:rPr>
          <w:color w:val="231F20"/>
        </w:rPr>
        <w:t>El </w:t>
      </w:r>
      <w:r>
        <w:rPr>
          <w:color w:val="231F20"/>
          <w:spacing w:val="-4"/>
        </w:rPr>
        <w:t>manejo </w:t>
      </w:r>
      <w:r>
        <w:rPr>
          <w:color w:val="231F20"/>
        </w:rPr>
        <w:t>es </w:t>
      </w:r>
      <w:r>
        <w:rPr>
          <w:color w:val="231F20"/>
          <w:spacing w:val="-4"/>
        </w:rPr>
        <w:t>deficiente. </w:t>
      </w:r>
      <w:r>
        <w:rPr>
          <w:color w:val="231F20"/>
        </w:rPr>
        <w:t>La </w:t>
      </w:r>
      <w:r>
        <w:rPr>
          <w:color w:val="231F20"/>
          <w:spacing w:val="-4"/>
        </w:rPr>
        <w:t>percepción de componentes ambientales, </w:t>
      </w:r>
      <w:r>
        <w:rPr>
          <w:color w:val="231F20"/>
          <w:spacing w:val="-3"/>
        </w:rPr>
        <w:t>como </w:t>
      </w:r>
      <w:r>
        <w:rPr>
          <w:color w:val="231F20"/>
          <w:spacing w:val="-4"/>
        </w:rPr>
        <w:t>suelo, bosque </w:t>
      </w:r>
      <w:r>
        <w:rPr>
          <w:color w:val="231F20"/>
        </w:rPr>
        <w:t>o </w:t>
      </w:r>
      <w:r>
        <w:rPr>
          <w:color w:val="231F20"/>
          <w:spacing w:val="-4"/>
        </w:rPr>
        <w:t>agua, </w:t>
      </w:r>
      <w:r>
        <w:rPr>
          <w:color w:val="231F20"/>
          <w:spacing w:val="-3"/>
        </w:rPr>
        <w:t>fue muy </w:t>
      </w:r>
      <w:r>
        <w:rPr>
          <w:color w:val="231F20"/>
          <w:spacing w:val="-4"/>
        </w:rPr>
        <w:t>baja. Respecto </w:t>
      </w:r>
      <w:r>
        <w:rPr>
          <w:color w:val="231F20"/>
        </w:rPr>
        <w:t>al </w:t>
      </w:r>
      <w:r>
        <w:rPr>
          <w:color w:val="231F20"/>
          <w:spacing w:val="-4"/>
        </w:rPr>
        <w:t>pastoreo </w:t>
      </w:r>
      <w:r>
        <w:rPr>
          <w:color w:val="231F20"/>
        </w:rPr>
        <w:t>y el </w:t>
      </w:r>
      <w:r>
        <w:rPr>
          <w:color w:val="231F20"/>
          <w:spacing w:val="-3"/>
        </w:rPr>
        <w:t>uso </w:t>
      </w:r>
      <w:r>
        <w:rPr>
          <w:color w:val="231F20"/>
        </w:rPr>
        <w:t>de </w:t>
      </w:r>
      <w:r>
        <w:rPr>
          <w:color w:val="231F20"/>
          <w:spacing w:val="-4"/>
        </w:rPr>
        <w:t>recursos </w:t>
      </w:r>
      <w:r>
        <w:rPr>
          <w:color w:val="231F20"/>
          <w:spacing w:val="-3"/>
        </w:rPr>
        <w:t>del </w:t>
      </w:r>
      <w:r>
        <w:rPr>
          <w:color w:val="231F20"/>
          <w:spacing w:val="-4"/>
        </w:rPr>
        <w:t>bosque, </w:t>
      </w:r>
      <w:r>
        <w:rPr>
          <w:color w:val="231F20"/>
        </w:rPr>
        <w:t>se </w:t>
      </w:r>
      <w:r>
        <w:rPr>
          <w:color w:val="231F20"/>
          <w:spacing w:val="-4"/>
        </w:rPr>
        <w:t>mencionaron </w:t>
      </w:r>
      <w:r>
        <w:rPr>
          <w:color w:val="231F20"/>
          <w:spacing w:val="-3"/>
        </w:rPr>
        <w:t>los </w:t>
      </w:r>
      <w:r>
        <w:rPr>
          <w:color w:val="231F20"/>
          <w:spacing w:val="-4"/>
        </w:rPr>
        <w:t>hongos comestibles, </w:t>
      </w:r>
      <w:r>
        <w:rPr>
          <w:color w:val="231F20"/>
          <w:spacing w:val="-3"/>
        </w:rPr>
        <w:t>las </w:t>
      </w:r>
      <w:r>
        <w:rPr>
          <w:color w:val="231F20"/>
          <w:spacing w:val="-4"/>
        </w:rPr>
        <w:t>plantas comestibles </w:t>
      </w:r>
      <w:r>
        <w:rPr>
          <w:color w:val="231F20"/>
        </w:rPr>
        <w:t>y </w:t>
      </w:r>
      <w:r>
        <w:rPr>
          <w:color w:val="231F20"/>
          <w:spacing w:val="-4"/>
        </w:rPr>
        <w:t>medicinales silvestres, </w:t>
      </w:r>
      <w:r>
        <w:rPr>
          <w:color w:val="231F20"/>
        </w:rPr>
        <w:t>y la </w:t>
      </w:r>
      <w:r>
        <w:rPr>
          <w:color w:val="231F20"/>
          <w:spacing w:val="-4"/>
        </w:rPr>
        <w:t>leña.   </w:t>
      </w:r>
      <w:r>
        <w:rPr>
          <w:color w:val="231F20"/>
        </w:rPr>
        <w:t>La </w:t>
      </w:r>
      <w:r>
        <w:rPr>
          <w:color w:val="231F20"/>
          <w:spacing w:val="-4"/>
        </w:rPr>
        <w:t>percepción </w:t>
      </w:r>
      <w:r>
        <w:rPr>
          <w:color w:val="231F20"/>
          <w:spacing w:val="-3"/>
        </w:rPr>
        <w:t>del </w:t>
      </w:r>
      <w:r>
        <w:rPr>
          <w:color w:val="231F20"/>
          <w:spacing w:val="-4"/>
        </w:rPr>
        <w:t>efecto </w:t>
      </w:r>
      <w:r>
        <w:rPr>
          <w:color w:val="231F20"/>
          <w:spacing w:val="-3"/>
        </w:rPr>
        <w:t>del </w:t>
      </w:r>
      <w:r>
        <w:rPr>
          <w:color w:val="231F20"/>
          <w:spacing w:val="-4"/>
        </w:rPr>
        <w:t>pastoreo sobre </w:t>
      </w:r>
      <w:r>
        <w:rPr>
          <w:color w:val="231F20"/>
        </w:rPr>
        <w:t>el </w:t>
      </w:r>
      <w:r>
        <w:rPr>
          <w:color w:val="231F20"/>
          <w:spacing w:val="-4"/>
        </w:rPr>
        <w:t>medio </w:t>
      </w:r>
      <w:r>
        <w:rPr>
          <w:color w:val="231F20"/>
          <w:spacing w:val="-3"/>
        </w:rPr>
        <w:t>fue </w:t>
      </w:r>
      <w:r>
        <w:rPr>
          <w:color w:val="231F20"/>
          <w:spacing w:val="-4"/>
        </w:rPr>
        <w:t>baja. </w:t>
      </w:r>
      <w:r>
        <w:rPr>
          <w:color w:val="231F20"/>
        </w:rPr>
        <w:t>Se </w:t>
      </w:r>
      <w:r>
        <w:rPr>
          <w:color w:val="231F20"/>
          <w:spacing w:val="-4"/>
        </w:rPr>
        <w:t>identificaron costos </w:t>
      </w:r>
      <w:r>
        <w:rPr>
          <w:color w:val="231F20"/>
        </w:rPr>
        <w:t>e </w:t>
      </w:r>
      <w:r>
        <w:rPr>
          <w:color w:val="231F20"/>
          <w:spacing w:val="-4"/>
        </w:rPr>
        <w:t>ingresos. </w:t>
      </w:r>
      <w:r>
        <w:rPr>
          <w:color w:val="231F20"/>
        </w:rPr>
        <w:t>El </w:t>
      </w:r>
      <w:r>
        <w:rPr>
          <w:color w:val="231F20"/>
          <w:spacing w:val="-4"/>
        </w:rPr>
        <w:t>rebaño supera </w:t>
      </w:r>
      <w:r>
        <w:rPr>
          <w:color w:val="231F20"/>
        </w:rPr>
        <w:t>el </w:t>
      </w:r>
      <w:r>
        <w:rPr>
          <w:color w:val="231F20"/>
          <w:spacing w:val="-6"/>
        </w:rPr>
        <w:t>70% </w:t>
      </w:r>
      <w:r>
        <w:rPr>
          <w:color w:val="231F20"/>
        </w:rPr>
        <w:t>de la </w:t>
      </w:r>
      <w:r>
        <w:rPr>
          <w:color w:val="231F20"/>
          <w:spacing w:val="-4"/>
        </w:rPr>
        <w:t>inversión, mientras </w:t>
      </w:r>
      <w:r>
        <w:rPr>
          <w:color w:val="231F20"/>
          <w:spacing w:val="-3"/>
        </w:rPr>
        <w:t>que </w:t>
      </w:r>
      <w:r>
        <w:rPr>
          <w:color w:val="231F20"/>
        </w:rPr>
        <w:t>el </w:t>
      </w:r>
      <w:r>
        <w:rPr>
          <w:color w:val="231F20"/>
          <w:spacing w:val="-3"/>
        </w:rPr>
        <w:t>ingreso </w:t>
      </w:r>
      <w:r>
        <w:rPr>
          <w:color w:val="231F20"/>
          <w:spacing w:val="-4"/>
        </w:rPr>
        <w:t>depende </w:t>
      </w:r>
      <w:r>
        <w:rPr>
          <w:color w:val="231F20"/>
          <w:spacing w:val="-3"/>
        </w:rPr>
        <w:t>sólo del </w:t>
      </w:r>
      <w:r>
        <w:rPr>
          <w:color w:val="231F20"/>
          <w:spacing w:val="-4"/>
        </w:rPr>
        <w:t>valor </w:t>
      </w:r>
      <w:r>
        <w:rPr>
          <w:color w:val="231F20"/>
        </w:rPr>
        <w:t>de </w:t>
      </w:r>
      <w:r>
        <w:rPr>
          <w:color w:val="231F20"/>
          <w:spacing w:val="-3"/>
        </w:rPr>
        <w:t>las </w:t>
      </w:r>
      <w:r>
        <w:rPr>
          <w:color w:val="231F20"/>
          <w:spacing w:val="-4"/>
        </w:rPr>
        <w:t>crías. </w:t>
      </w:r>
      <w:r>
        <w:rPr>
          <w:color w:val="231F20"/>
          <w:spacing w:val="-3"/>
        </w:rPr>
        <w:t>Los </w:t>
      </w:r>
      <w:r>
        <w:rPr>
          <w:color w:val="231F20"/>
          <w:spacing w:val="-4"/>
        </w:rPr>
        <w:t>productores no asignan</w:t>
      </w:r>
      <w:r>
        <w:rPr>
          <w:color w:val="231F20"/>
          <w:spacing w:val="-5"/>
        </w:rPr>
        <w:t> </w:t>
      </w:r>
      <w:r>
        <w:rPr>
          <w:color w:val="231F20"/>
          <w:spacing w:val="-4"/>
        </w:rPr>
        <w:t>valor</w:t>
      </w:r>
      <w:r>
        <w:rPr>
          <w:color w:val="231F20"/>
          <w:spacing w:val="-5"/>
        </w:rPr>
        <w:t> </w:t>
      </w:r>
      <w:r>
        <w:rPr>
          <w:color w:val="231F20"/>
        </w:rPr>
        <w:t>al</w:t>
      </w:r>
      <w:r>
        <w:rPr>
          <w:color w:val="231F20"/>
          <w:spacing w:val="-5"/>
        </w:rPr>
        <w:t> </w:t>
      </w:r>
      <w:r>
        <w:rPr>
          <w:color w:val="231F20"/>
          <w:spacing w:val="-4"/>
        </w:rPr>
        <w:t>terreno</w:t>
      </w:r>
      <w:r>
        <w:rPr>
          <w:color w:val="231F20"/>
          <w:spacing w:val="-5"/>
        </w:rPr>
        <w:t> </w:t>
      </w:r>
      <w:r>
        <w:rPr>
          <w:color w:val="231F20"/>
        </w:rPr>
        <w:t>ni</w:t>
      </w:r>
      <w:r>
        <w:rPr>
          <w:color w:val="231F20"/>
          <w:spacing w:val="-5"/>
        </w:rPr>
        <w:t> </w:t>
      </w:r>
      <w:r>
        <w:rPr>
          <w:color w:val="231F20"/>
        </w:rPr>
        <w:t>a</w:t>
      </w:r>
      <w:r>
        <w:rPr>
          <w:color w:val="231F20"/>
          <w:spacing w:val="-5"/>
        </w:rPr>
        <w:t> </w:t>
      </w:r>
      <w:r>
        <w:rPr>
          <w:color w:val="231F20"/>
        </w:rPr>
        <w:t>la</w:t>
      </w:r>
      <w:r>
        <w:rPr>
          <w:color w:val="231F20"/>
          <w:spacing w:val="-5"/>
        </w:rPr>
        <w:t> </w:t>
      </w:r>
      <w:r>
        <w:rPr>
          <w:color w:val="231F20"/>
          <w:spacing w:val="-3"/>
        </w:rPr>
        <w:t>mano</w:t>
      </w:r>
      <w:r>
        <w:rPr>
          <w:color w:val="231F20"/>
          <w:spacing w:val="-5"/>
        </w:rPr>
        <w:t> </w:t>
      </w:r>
      <w:r>
        <w:rPr>
          <w:color w:val="231F20"/>
        </w:rPr>
        <w:t>de</w:t>
      </w:r>
      <w:r>
        <w:rPr>
          <w:color w:val="231F20"/>
          <w:spacing w:val="-5"/>
        </w:rPr>
        <w:t> </w:t>
      </w:r>
      <w:r>
        <w:rPr>
          <w:color w:val="231F20"/>
          <w:spacing w:val="-3"/>
        </w:rPr>
        <w:t>obra</w:t>
      </w:r>
      <w:r>
        <w:rPr>
          <w:color w:val="231F20"/>
          <w:spacing w:val="-5"/>
        </w:rPr>
        <w:t> </w:t>
      </w:r>
      <w:r>
        <w:rPr>
          <w:color w:val="231F20"/>
          <w:spacing w:val="-4"/>
        </w:rPr>
        <w:t>dedicada</w:t>
      </w:r>
      <w:r>
        <w:rPr>
          <w:color w:val="231F20"/>
          <w:spacing w:val="-5"/>
        </w:rPr>
        <w:t> </w:t>
      </w:r>
      <w:r>
        <w:rPr>
          <w:color w:val="231F20"/>
        </w:rPr>
        <w:t>al</w:t>
      </w:r>
      <w:r>
        <w:rPr>
          <w:color w:val="231F20"/>
          <w:spacing w:val="-5"/>
        </w:rPr>
        <w:t> </w:t>
      </w:r>
      <w:r>
        <w:rPr>
          <w:color w:val="231F20"/>
          <w:spacing w:val="-4"/>
        </w:rPr>
        <w:t>pastoreo,</w:t>
      </w:r>
      <w:r>
        <w:rPr>
          <w:color w:val="231F20"/>
          <w:spacing w:val="-5"/>
        </w:rPr>
        <w:t> </w:t>
      </w:r>
      <w:r>
        <w:rPr>
          <w:color w:val="231F20"/>
        </w:rPr>
        <w:t>lo</w:t>
      </w:r>
      <w:r>
        <w:rPr>
          <w:color w:val="231F20"/>
          <w:spacing w:val="-5"/>
        </w:rPr>
        <w:t> </w:t>
      </w:r>
      <w:r>
        <w:rPr>
          <w:color w:val="231F20"/>
          <w:spacing w:val="-3"/>
        </w:rPr>
        <w:t>cual</w:t>
      </w:r>
      <w:r>
        <w:rPr>
          <w:color w:val="231F20"/>
          <w:spacing w:val="-5"/>
        </w:rPr>
        <w:t> </w:t>
      </w:r>
      <w:r>
        <w:rPr>
          <w:color w:val="231F20"/>
          <w:spacing w:val="-4"/>
        </w:rPr>
        <w:t>puede</w:t>
      </w:r>
      <w:r>
        <w:rPr>
          <w:color w:val="231F20"/>
          <w:spacing w:val="-5"/>
        </w:rPr>
        <w:t> </w:t>
      </w:r>
      <w:r>
        <w:rPr>
          <w:color w:val="231F20"/>
          <w:spacing w:val="-4"/>
        </w:rPr>
        <w:t>considerarse</w:t>
      </w:r>
      <w:r>
        <w:rPr>
          <w:color w:val="231F20"/>
          <w:spacing w:val="-5"/>
        </w:rPr>
        <w:t> </w:t>
      </w:r>
      <w:r>
        <w:rPr>
          <w:color w:val="231F20"/>
          <w:spacing w:val="-3"/>
        </w:rPr>
        <w:t>como</w:t>
      </w:r>
      <w:r>
        <w:rPr>
          <w:color w:val="231F20"/>
          <w:spacing w:val="-5"/>
        </w:rPr>
        <w:t> </w:t>
      </w:r>
      <w:r>
        <w:rPr>
          <w:color w:val="231F20"/>
          <w:spacing w:val="-3"/>
        </w:rPr>
        <w:t>una</w:t>
      </w:r>
      <w:r>
        <w:rPr>
          <w:color w:val="231F20"/>
          <w:spacing w:val="-5"/>
        </w:rPr>
        <w:t> </w:t>
      </w:r>
      <w:r>
        <w:rPr>
          <w:color w:val="231F20"/>
          <w:spacing w:val="-4"/>
        </w:rPr>
        <w:t>transfe- rencia</w:t>
      </w:r>
      <w:r>
        <w:rPr>
          <w:color w:val="231F20"/>
          <w:spacing w:val="-7"/>
        </w:rPr>
        <w:t> </w:t>
      </w:r>
      <w:r>
        <w:rPr>
          <w:color w:val="231F20"/>
          <w:spacing w:val="-4"/>
        </w:rPr>
        <w:t>desde</w:t>
      </w:r>
      <w:r>
        <w:rPr>
          <w:color w:val="231F20"/>
          <w:spacing w:val="-7"/>
        </w:rPr>
        <w:t> </w:t>
      </w:r>
      <w:r>
        <w:rPr>
          <w:color w:val="231F20"/>
        </w:rPr>
        <w:t>la</w:t>
      </w:r>
      <w:r>
        <w:rPr>
          <w:color w:val="231F20"/>
          <w:spacing w:val="-7"/>
        </w:rPr>
        <w:t> </w:t>
      </w:r>
      <w:r>
        <w:rPr>
          <w:color w:val="231F20"/>
          <w:spacing w:val="-4"/>
        </w:rPr>
        <w:t>actividad</w:t>
      </w:r>
      <w:r>
        <w:rPr>
          <w:color w:val="231F20"/>
          <w:spacing w:val="-7"/>
        </w:rPr>
        <w:t> </w:t>
      </w:r>
      <w:r>
        <w:rPr>
          <w:color w:val="231F20"/>
          <w:spacing w:val="-4"/>
        </w:rPr>
        <w:t>pastoril</w:t>
      </w:r>
      <w:r>
        <w:rPr>
          <w:color w:val="231F20"/>
          <w:spacing w:val="-7"/>
        </w:rPr>
        <w:t> </w:t>
      </w:r>
      <w:r>
        <w:rPr>
          <w:color w:val="231F20"/>
          <w:spacing w:val="-4"/>
        </w:rPr>
        <w:t>hacia</w:t>
      </w:r>
      <w:r>
        <w:rPr>
          <w:color w:val="231F20"/>
          <w:spacing w:val="-7"/>
        </w:rPr>
        <w:t> </w:t>
      </w:r>
      <w:r>
        <w:rPr>
          <w:color w:val="231F20"/>
        </w:rPr>
        <w:t>el</w:t>
      </w:r>
      <w:r>
        <w:rPr>
          <w:color w:val="231F20"/>
          <w:spacing w:val="-7"/>
        </w:rPr>
        <w:t> </w:t>
      </w:r>
      <w:r>
        <w:rPr>
          <w:color w:val="231F20"/>
          <w:spacing w:val="-4"/>
        </w:rPr>
        <w:t>entorno</w:t>
      </w:r>
      <w:r>
        <w:rPr>
          <w:color w:val="231F20"/>
          <w:spacing w:val="-7"/>
        </w:rPr>
        <w:t> </w:t>
      </w:r>
      <w:r>
        <w:rPr>
          <w:color w:val="231F20"/>
          <w:spacing w:val="-4"/>
        </w:rPr>
        <w:t>social.</w:t>
      </w:r>
      <w:r>
        <w:rPr>
          <w:color w:val="231F20"/>
          <w:spacing w:val="-7"/>
        </w:rPr>
        <w:t> </w:t>
      </w:r>
      <w:r>
        <w:rPr>
          <w:color w:val="231F20"/>
          <w:spacing w:val="-3"/>
        </w:rPr>
        <w:t>Las</w:t>
      </w:r>
      <w:r>
        <w:rPr>
          <w:color w:val="231F20"/>
          <w:spacing w:val="-7"/>
        </w:rPr>
        <w:t> </w:t>
      </w:r>
      <w:r>
        <w:rPr>
          <w:color w:val="231F20"/>
          <w:spacing w:val="-4"/>
        </w:rPr>
        <w:t>características,</w:t>
      </w:r>
      <w:r>
        <w:rPr>
          <w:color w:val="231F20"/>
          <w:spacing w:val="-7"/>
        </w:rPr>
        <w:t> </w:t>
      </w:r>
      <w:r>
        <w:rPr>
          <w:color w:val="231F20"/>
        </w:rPr>
        <w:t>la</w:t>
      </w:r>
      <w:r>
        <w:rPr>
          <w:color w:val="231F20"/>
          <w:spacing w:val="-7"/>
        </w:rPr>
        <w:t> </w:t>
      </w:r>
      <w:r>
        <w:rPr>
          <w:color w:val="231F20"/>
          <w:spacing w:val="-4"/>
        </w:rPr>
        <w:t>percepción</w:t>
      </w:r>
      <w:r>
        <w:rPr>
          <w:color w:val="231F20"/>
          <w:spacing w:val="-7"/>
        </w:rPr>
        <w:t> </w:t>
      </w:r>
      <w:r>
        <w:rPr>
          <w:color w:val="231F20"/>
        </w:rPr>
        <w:t>y</w:t>
      </w:r>
      <w:r>
        <w:rPr>
          <w:color w:val="231F20"/>
          <w:spacing w:val="-7"/>
        </w:rPr>
        <w:t> </w:t>
      </w:r>
      <w:r>
        <w:rPr>
          <w:color w:val="231F20"/>
        </w:rPr>
        <w:t>la</w:t>
      </w:r>
      <w:r>
        <w:rPr>
          <w:color w:val="231F20"/>
          <w:spacing w:val="-7"/>
        </w:rPr>
        <w:t> </w:t>
      </w:r>
      <w:r>
        <w:rPr>
          <w:color w:val="231F20"/>
          <w:spacing w:val="-4"/>
        </w:rPr>
        <w:t>valoración</w:t>
      </w:r>
      <w:r>
        <w:rPr>
          <w:color w:val="231F20"/>
          <w:spacing w:val="-7"/>
        </w:rPr>
        <w:t> </w:t>
      </w:r>
      <w:r>
        <w:rPr>
          <w:color w:val="231F20"/>
          <w:spacing w:val="-4"/>
        </w:rPr>
        <w:t>descritas pueden contribuir </w:t>
      </w:r>
      <w:r>
        <w:rPr>
          <w:color w:val="231F20"/>
        </w:rPr>
        <w:t>a </w:t>
      </w:r>
      <w:r>
        <w:rPr>
          <w:color w:val="231F20"/>
          <w:spacing w:val="-4"/>
        </w:rPr>
        <w:t>propuestas </w:t>
      </w:r>
      <w:r>
        <w:rPr>
          <w:color w:val="231F20"/>
          <w:spacing w:val="-3"/>
        </w:rPr>
        <w:t>para </w:t>
      </w:r>
      <w:r>
        <w:rPr>
          <w:color w:val="231F20"/>
          <w:spacing w:val="-4"/>
        </w:rPr>
        <w:t>mejorar </w:t>
      </w:r>
      <w:r>
        <w:rPr>
          <w:color w:val="231F20"/>
        </w:rPr>
        <w:t>e </w:t>
      </w:r>
      <w:r>
        <w:rPr>
          <w:color w:val="231F20"/>
          <w:spacing w:val="-3"/>
        </w:rPr>
        <w:t>integrar </w:t>
      </w:r>
      <w:r>
        <w:rPr>
          <w:color w:val="231F20"/>
        </w:rPr>
        <w:t>la </w:t>
      </w:r>
      <w:r>
        <w:rPr>
          <w:color w:val="231F20"/>
          <w:spacing w:val="-4"/>
        </w:rPr>
        <w:t>producción ovina </w:t>
      </w:r>
      <w:r>
        <w:rPr>
          <w:color w:val="231F20"/>
        </w:rPr>
        <w:t>y la </w:t>
      </w:r>
      <w:r>
        <w:rPr>
          <w:color w:val="231F20"/>
          <w:spacing w:val="-4"/>
        </w:rPr>
        <w:t>conservación </w:t>
      </w:r>
      <w:r>
        <w:rPr>
          <w:color w:val="231F20"/>
        </w:rPr>
        <w:t>de </w:t>
      </w:r>
      <w:r>
        <w:rPr>
          <w:color w:val="231F20"/>
          <w:spacing w:val="-3"/>
        </w:rPr>
        <w:t>los </w:t>
      </w:r>
      <w:r>
        <w:rPr>
          <w:color w:val="231F20"/>
          <w:spacing w:val="-4"/>
        </w:rPr>
        <w:t>recursos naturales, </w:t>
      </w:r>
      <w:r>
        <w:rPr>
          <w:color w:val="231F20"/>
          <w:spacing w:val="-3"/>
        </w:rPr>
        <w:t>como </w:t>
      </w:r>
      <w:r>
        <w:rPr>
          <w:color w:val="231F20"/>
          <w:spacing w:val="-4"/>
        </w:rPr>
        <w:t>instrumento </w:t>
      </w:r>
      <w:r>
        <w:rPr>
          <w:color w:val="231F20"/>
        </w:rPr>
        <w:t>de </w:t>
      </w:r>
      <w:r>
        <w:rPr>
          <w:color w:val="231F20"/>
          <w:spacing w:val="-4"/>
        </w:rPr>
        <w:t>desarrollo rural local, reduciendo </w:t>
      </w:r>
      <w:r>
        <w:rPr>
          <w:color w:val="231F20"/>
          <w:spacing w:val="-3"/>
        </w:rPr>
        <w:t>los </w:t>
      </w:r>
      <w:r>
        <w:rPr>
          <w:color w:val="231F20"/>
          <w:spacing w:val="-4"/>
        </w:rPr>
        <w:t>factores negativos sobre </w:t>
      </w:r>
      <w:r>
        <w:rPr>
          <w:color w:val="231F20"/>
        </w:rPr>
        <w:t>el </w:t>
      </w:r>
      <w:r>
        <w:rPr>
          <w:color w:val="231F20"/>
          <w:spacing w:val="-3"/>
        </w:rPr>
        <w:t>área </w:t>
      </w:r>
      <w:r>
        <w:rPr>
          <w:color w:val="231F20"/>
          <w:spacing w:val="6"/>
        </w:rPr>
        <w:t> </w:t>
      </w:r>
      <w:r>
        <w:rPr>
          <w:color w:val="231F20"/>
          <w:spacing w:val="-4"/>
        </w:rPr>
        <w:t>protegida.</w:t>
      </w:r>
    </w:p>
    <w:p>
      <w:pPr>
        <w:pStyle w:val="BodyText"/>
        <w:spacing w:before="114"/>
        <w:ind w:left="1553"/>
        <w:jc w:val="both"/>
      </w:pPr>
      <w:r>
        <w:rPr>
          <w:color w:val="231F20"/>
        </w:rPr>
        <w:t>Palabras clave: Áreas protegidas - Sistemas agropecuarios - Percepción y valoración de recursos naturales</w:t>
      </w:r>
    </w:p>
    <w:p>
      <w:pPr>
        <w:pStyle w:val="BodyText"/>
        <w:spacing w:before="16"/>
        <w:ind w:left="1553"/>
        <w:jc w:val="both"/>
      </w:pPr>
      <w:r>
        <w:rPr>
          <w:color w:val="231F20"/>
        </w:rPr>
        <w:t>- Desarrollo rural.</w:t>
      </w:r>
    </w:p>
    <w:p>
      <w:pPr>
        <w:pStyle w:val="BodyText"/>
        <w:spacing w:before="3"/>
      </w:pPr>
      <w:r>
        <w:rPr/>
        <w:pict>
          <v:line style="position:absolute;mso-position-horizontal-relative:page;mso-position-vertical-relative:paragraph;z-index:4672;mso-wrap-distance-left:0;mso-wrap-distance-right:0" from="77.692902pt,14.572355pt" to="517.062902pt,14.572355pt" stroked="true" strokeweight=".5pt" strokecolor="#231f20">
            <w10:wrap type="topAndBottom"/>
          </v:line>
        </w:pict>
      </w:r>
    </w:p>
    <w:p>
      <w:pPr>
        <w:pStyle w:val="BodyText"/>
        <w:spacing w:before="6"/>
        <w:rPr>
          <w:sz w:val="4"/>
        </w:rPr>
      </w:pPr>
    </w:p>
    <w:p>
      <w:pPr>
        <w:pStyle w:val="BodyText"/>
        <w:spacing w:line="20" w:lineRule="exact"/>
        <w:ind w:left="1553"/>
        <w:rPr>
          <w:sz w:val="2"/>
        </w:rPr>
      </w:pPr>
      <w:r>
        <w:rPr>
          <w:sz w:val="2"/>
        </w:rPr>
        <w:pict>
          <v:group style="width:70.9pt;height:.5pt;mso-position-horizontal-relative:char;mso-position-vertical-relative:line" coordorigin="0,0" coordsize="1418,10">
            <v:line style="position:absolute" from="35,5" to="1397,5" stroked="true" strokeweight=".5pt" strokecolor="#231f20">
              <v:stroke dashstyle="dash"/>
            </v:line>
            <v:line style="position:absolute" from="5,5" to="5,5" stroked="true" strokeweight=".5pt" strokecolor="#231f20"/>
            <v:line style="position:absolute" from="1412,5" to="1412,5" stroked="true" strokeweight=".5pt" strokecolor="#231f20"/>
          </v:group>
        </w:pict>
      </w:r>
      <w:r>
        <w:rPr>
          <w:sz w:val="2"/>
        </w:rPr>
      </w:r>
    </w:p>
    <w:p>
      <w:pPr>
        <w:pStyle w:val="BodyText"/>
        <w:spacing w:before="8"/>
        <w:rPr>
          <w:sz w:val="5"/>
        </w:rPr>
      </w:pPr>
    </w:p>
    <w:p>
      <w:pPr>
        <w:spacing w:after="0"/>
        <w:rPr>
          <w:sz w:val="5"/>
        </w:rPr>
        <w:sectPr>
          <w:pgSz w:w="11900" w:h="14450"/>
          <w:pgMar w:header="0" w:footer="222" w:top="420" w:bottom="420" w:left="0" w:right="0"/>
        </w:sectPr>
      </w:pPr>
    </w:p>
    <w:p>
      <w:pPr>
        <w:pStyle w:val="ListParagraph"/>
        <w:numPr>
          <w:ilvl w:val="0"/>
          <w:numId w:val="14"/>
        </w:numPr>
        <w:tabs>
          <w:tab w:pos="1671" w:val="left" w:leader="none"/>
        </w:tabs>
        <w:spacing w:line="240" w:lineRule="auto" w:before="21" w:after="0"/>
        <w:ind w:left="1670" w:right="0" w:hanging="117"/>
        <w:jc w:val="left"/>
        <w:rPr>
          <w:sz w:val="16"/>
        </w:rPr>
      </w:pPr>
      <w:r>
        <w:rPr>
          <w:color w:val="231F20"/>
          <w:sz w:val="16"/>
        </w:rPr>
        <w:t>Para correspondencia:</w:t>
      </w:r>
      <w:r>
        <w:rPr>
          <w:color w:val="231F20"/>
          <w:spacing w:val="33"/>
          <w:sz w:val="16"/>
        </w:rPr>
        <w:t> </w:t>
      </w:r>
      <w:hyperlink r:id="rId285">
        <w:r>
          <w:rPr>
            <w:color w:val="231F20"/>
            <w:sz w:val="16"/>
          </w:rPr>
          <w:t>sfrancom@uaemex.mx</w:t>
        </w:r>
      </w:hyperlink>
    </w:p>
    <w:p>
      <w:pPr>
        <w:pStyle w:val="BodyText"/>
        <w:spacing w:before="6"/>
        <w:rPr>
          <w:sz w:val="22"/>
        </w:rPr>
      </w:pPr>
      <w:r>
        <w:rPr/>
        <w:br w:type="column"/>
      </w:r>
      <w:r>
        <w:rPr>
          <w:sz w:val="22"/>
        </w:rPr>
      </w:r>
    </w:p>
    <w:p>
      <w:pPr>
        <w:pStyle w:val="Heading5"/>
        <w:ind w:left="1530" w:right="1530"/>
        <w:jc w:val="center"/>
      </w:pPr>
      <w:r>
        <w:rPr>
          <w:color w:val="231F20"/>
          <w:w w:val="115"/>
        </w:rPr>
        <w:t>149</w:t>
      </w:r>
    </w:p>
    <w:p>
      <w:pPr>
        <w:spacing w:after="0"/>
        <w:jc w:val="center"/>
        <w:sectPr>
          <w:type w:val="continuous"/>
          <w:pgSz w:w="11900" w:h="14450"/>
          <w:pgMar w:top="420" w:bottom="420" w:left="0" w:right="0"/>
          <w:cols w:num="2" w:equalWidth="0">
            <w:col w:w="4706" w:space="3706"/>
            <w:col w:w="348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5"/>
          <w:w w:val="120"/>
          <w:sz w:val="22"/>
        </w:rPr>
        <w:t>150</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ANTECEDENTES</w:t>
      </w:r>
    </w:p>
    <w:p>
      <w:pPr>
        <w:pStyle w:val="BodyText"/>
        <w:spacing w:line="259" w:lineRule="auto" w:before="133"/>
        <w:ind w:left="1553"/>
        <w:jc w:val="both"/>
      </w:pPr>
      <w:r>
        <w:rPr>
          <w:color w:val="231F20"/>
        </w:rPr>
        <w:t>A los sistemas de pastoreo extensivo, en particu- lar los que se encuentran en tierras y praderas marginales, no se les ha concedido la importan-   cia que hoy revisten. Estos sistemas, denomina- dos de manera general como “pastoralismo”, han sido calificados como muy vulnerables, con muy bajos aportes a la economía  y  como  una  forma de producción incapaz de alcanzar los niveles de inversión que permitan su desarrollo </w:t>
      </w:r>
      <w:r>
        <w:rPr>
          <w:color w:val="231F20"/>
          <w:spacing w:val="-4"/>
        </w:rPr>
        <w:t>(FAO, </w:t>
      </w:r>
      <w:r>
        <w:rPr>
          <w:color w:val="231F20"/>
          <w:spacing w:val="-3"/>
        </w:rPr>
        <w:t>2001; </w:t>
      </w:r>
      <w:r>
        <w:rPr>
          <w:color w:val="231F20"/>
        </w:rPr>
        <w:t>Rodríguez, 2008). Por otra parte, la producción pastoril se considera una forma arcaica de produc- ción que degrada el ambiente, que no responde a principios de manejo y cuya contribución a la eco- nomía no es significativa; no obstante, se trata de un manera especializada de pastoreo que implica conocimientos acerca de la variación ambiental, la oferta y la demanda de forrajes, y el manejo de  una estructura de los hatos, aunque no se tengan documentados la función y el desempeño econó- mico   (Blench, </w:t>
      </w:r>
      <w:r>
        <w:rPr>
          <w:color w:val="231F20"/>
          <w:spacing w:val="6"/>
        </w:rPr>
        <w:t> </w:t>
      </w:r>
      <w:r>
        <w:rPr>
          <w:color w:val="231F20"/>
          <w:spacing w:val="-3"/>
        </w:rPr>
        <w:t>2001).</w:t>
      </w:r>
    </w:p>
    <w:p>
      <w:pPr>
        <w:pStyle w:val="BodyText"/>
        <w:spacing w:line="259" w:lineRule="auto" w:before="113"/>
        <w:ind w:left="1553"/>
        <w:jc w:val="both"/>
      </w:pPr>
      <w:r>
        <w:rPr>
          <w:color w:val="231F20"/>
        </w:rPr>
        <w:t>En México, los sistemas pecuarios  son  la  forma de uso del suelo más común. Cubren alrededor de 1,09 millones de km</w:t>
      </w:r>
      <w:r>
        <w:rPr>
          <w:color w:val="231F20"/>
          <w:position w:val="7"/>
          <w:sz w:val="11"/>
        </w:rPr>
        <w:t>2</w:t>
      </w:r>
      <w:r>
        <w:rPr>
          <w:color w:val="231F20"/>
        </w:rPr>
        <w:t>, que representan el </w:t>
      </w:r>
      <w:r>
        <w:rPr>
          <w:color w:val="231F20"/>
          <w:spacing w:val="-3"/>
        </w:rPr>
        <w:t>56% </w:t>
      </w:r>
      <w:r>
        <w:rPr>
          <w:color w:val="231F20"/>
          <w:spacing w:val="-2"/>
        </w:rPr>
        <w:t>del </w:t>
      </w:r>
      <w:r>
        <w:rPr>
          <w:color w:val="231F20"/>
        </w:rPr>
        <w:t>país. No obstante, las zonas con aptitud de uso ga- nadero, de pastizal natural o inducido, sólo supo- nen el </w:t>
      </w:r>
      <w:r>
        <w:rPr>
          <w:color w:val="231F20"/>
          <w:spacing w:val="-5"/>
        </w:rPr>
        <w:t>15% </w:t>
      </w:r>
      <w:r>
        <w:rPr>
          <w:color w:val="231F20"/>
        </w:rPr>
        <w:t>del territorio, lo que permite inferir </w:t>
      </w:r>
      <w:r>
        <w:rPr>
          <w:color w:val="231F20"/>
          <w:spacing w:val="-2"/>
        </w:rPr>
        <w:t>que </w:t>
      </w:r>
      <w:r>
        <w:rPr>
          <w:color w:val="231F20"/>
        </w:rPr>
        <w:t>el </w:t>
      </w:r>
      <w:r>
        <w:rPr>
          <w:color w:val="231F20"/>
          <w:spacing w:val="-8"/>
        </w:rPr>
        <w:t>41% </w:t>
      </w:r>
      <w:r>
        <w:rPr>
          <w:color w:val="231F20"/>
        </w:rPr>
        <w:t>de las superficies  empleadas  en  ganade- ría, como resultado de la presión generada por la población animal, corresponden a zonas naturales intervenidas  </w:t>
      </w:r>
      <w:r>
        <w:rPr>
          <w:color w:val="231F20"/>
          <w:spacing w:val="-5"/>
        </w:rPr>
        <w:t>(SEMARNAT, </w:t>
      </w:r>
      <w:r>
        <w:rPr>
          <w:color w:val="231F20"/>
          <w:spacing w:val="3"/>
        </w:rPr>
        <w:t> </w:t>
      </w:r>
      <w:r>
        <w:rPr>
          <w:color w:val="231F20"/>
          <w:spacing w:val="-3"/>
        </w:rPr>
        <w:t>2008).</w:t>
      </w:r>
    </w:p>
    <w:p>
      <w:pPr>
        <w:pStyle w:val="BodyText"/>
        <w:spacing w:line="259" w:lineRule="auto" w:before="113"/>
        <w:ind w:left="1553"/>
        <w:jc w:val="both"/>
      </w:pPr>
      <w:r>
        <w:rPr>
          <w:color w:val="231F20"/>
        </w:rPr>
        <w:t>En cuanto a la ganadería ovino-caprina, pese a la gran tolerancia ecológica de este tipo de anima- les, su producción se halla concentrada en climas templados y semiáridos. En general, los sistemas de producción se basan en pequeños rebaños de baja productividad, con problemas sanitarios y escasa organización de los productores. Sólo un 20% de las explotaciones se consideran tecnifi- cadas o semitecnificadas, y el resto corresponde    a</w:t>
      </w:r>
      <w:r>
        <w:rPr>
          <w:color w:val="231F20"/>
          <w:spacing w:val="31"/>
        </w:rPr>
        <w:t> </w:t>
      </w:r>
      <w:r>
        <w:rPr>
          <w:color w:val="231F20"/>
        </w:rPr>
        <w:t>un</w:t>
      </w:r>
      <w:r>
        <w:rPr>
          <w:color w:val="231F20"/>
          <w:spacing w:val="31"/>
        </w:rPr>
        <w:t> </w:t>
      </w:r>
      <w:r>
        <w:rPr>
          <w:color w:val="231F20"/>
        </w:rPr>
        <w:t>sistema</w:t>
      </w:r>
      <w:r>
        <w:rPr>
          <w:color w:val="231F20"/>
          <w:spacing w:val="31"/>
        </w:rPr>
        <w:t> </w:t>
      </w:r>
      <w:r>
        <w:rPr>
          <w:color w:val="231F20"/>
        </w:rPr>
        <w:t>tradicional.</w:t>
      </w:r>
      <w:r>
        <w:rPr>
          <w:color w:val="231F20"/>
          <w:spacing w:val="31"/>
        </w:rPr>
        <w:t> </w:t>
      </w:r>
      <w:r>
        <w:rPr>
          <w:color w:val="231F20"/>
        </w:rPr>
        <w:t>La</w:t>
      </w:r>
      <w:r>
        <w:rPr>
          <w:color w:val="231F20"/>
          <w:spacing w:val="31"/>
        </w:rPr>
        <w:t> </w:t>
      </w:r>
      <w:r>
        <w:rPr>
          <w:color w:val="231F20"/>
        </w:rPr>
        <w:t>zona</w:t>
      </w:r>
      <w:r>
        <w:rPr>
          <w:color w:val="231F20"/>
          <w:spacing w:val="31"/>
        </w:rPr>
        <w:t> </w:t>
      </w:r>
      <w:r>
        <w:rPr>
          <w:color w:val="231F20"/>
        </w:rPr>
        <w:t>central</w:t>
      </w:r>
      <w:r>
        <w:rPr>
          <w:color w:val="231F20"/>
          <w:spacing w:val="31"/>
        </w:rPr>
        <w:t> </w:t>
      </w:r>
      <w:r>
        <w:rPr>
          <w:color w:val="231F20"/>
        </w:rPr>
        <w:t>del</w:t>
      </w:r>
      <w:r>
        <w:rPr>
          <w:color w:val="231F20"/>
          <w:spacing w:val="31"/>
        </w:rPr>
        <w:t> </w:t>
      </w:r>
      <w:r>
        <w:rPr>
          <w:color w:val="231F20"/>
        </w:rPr>
        <w:t>país</w:t>
      </w:r>
    </w:p>
    <w:p>
      <w:pPr>
        <w:pStyle w:val="BodyText"/>
        <w:spacing w:line="256" w:lineRule="auto" w:before="67"/>
        <w:ind w:left="413" w:right="1551"/>
        <w:jc w:val="both"/>
      </w:pPr>
      <w:r>
        <w:rPr/>
        <w:br w:type="column"/>
      </w:r>
      <w:r>
        <w:rPr>
          <w:color w:val="231F20"/>
        </w:rPr>
        <w:t>es la de mayor contribución, con el 53,1% de la producción de carne (Cuellar, 2008; Soto </w:t>
      </w:r>
      <w:r>
        <w:rPr>
          <w:i/>
          <w:color w:val="231F20"/>
        </w:rPr>
        <w:t>et al</w:t>
      </w:r>
      <w:r>
        <w:rPr>
          <w:color w:val="231F20"/>
        </w:rPr>
        <w:t>., 2006).</w:t>
      </w:r>
    </w:p>
    <w:p>
      <w:pPr>
        <w:pStyle w:val="BodyText"/>
        <w:spacing w:line="256" w:lineRule="auto" w:before="112"/>
        <w:ind w:left="413" w:right="1551"/>
        <w:jc w:val="both"/>
      </w:pPr>
      <w:r>
        <w:rPr>
          <w:color w:val="231F20"/>
        </w:rPr>
        <w:t>Entre los sistemas ecológicos más afectados por la ganadería se encuentran los macizos  de  bosque en el centro de México, que en su mayor parte coinciden con la provincia fisiográfica del Sistema Volcánico Transversal, localizados en altitudes de </w:t>
      </w:r>
      <w:r>
        <w:rPr>
          <w:color w:val="231F20"/>
          <w:spacing w:val="-4"/>
        </w:rPr>
        <w:t>1200 </w:t>
      </w:r>
      <w:r>
        <w:rPr>
          <w:color w:val="231F20"/>
        </w:rPr>
        <w:t>a 3600 m sobre el nivel del </w:t>
      </w:r>
      <w:r>
        <w:rPr>
          <w:color w:val="231F20"/>
          <w:spacing w:val="-3"/>
        </w:rPr>
        <w:t>mar. </w:t>
      </w:r>
      <w:r>
        <w:rPr>
          <w:color w:val="231F20"/>
        </w:rPr>
        <w:t>Tienen una precipitación media anual de </w:t>
      </w:r>
      <w:r>
        <w:rPr>
          <w:color w:val="231F20"/>
          <w:spacing w:val="-3"/>
        </w:rPr>
        <w:t>350 </w:t>
      </w:r>
      <w:r>
        <w:rPr>
          <w:color w:val="231F20"/>
        </w:rPr>
        <w:t>a </w:t>
      </w:r>
      <w:r>
        <w:rPr>
          <w:color w:val="231F20"/>
          <w:spacing w:val="-4"/>
        </w:rPr>
        <w:t>1200  </w:t>
      </w:r>
      <w:r>
        <w:rPr>
          <w:color w:val="231F20"/>
        </w:rPr>
        <w:t>mm</w:t>
      </w:r>
      <w:r>
        <w:rPr>
          <w:color w:val="231F20"/>
          <w:position w:val="7"/>
          <w:sz w:val="11"/>
        </w:rPr>
        <w:t>3</w:t>
      </w:r>
      <w:r>
        <w:rPr>
          <w:color w:val="231F20"/>
        </w:rPr>
        <w:t>, y  las temperaturas medias oscilan entre 6° C y 28° C a lo largo del año. En altitudes superiores a los 2500 m se encuentra el  bosque  puro  de  pinos, en el noreste de Michoacán, en el sur del Estado  de México, en Valle de Bravo y en Toluca-Lerma (Rzedowsky, 1983). La reducción de la cubierta forestal para destinar el terreno a actividades agro- pecuarias, los incendios periódicos y el pastoreo desordenado, así como la explotación comercial del bosque y  el  aprovechamiento  doméstico  de la leña, han ocasionado en estos ecosistemas el desarrollo secundario de manchones aislados de bosque y la disminución de la superficie forestal (Orozco  </w:t>
      </w:r>
      <w:r>
        <w:rPr>
          <w:i/>
          <w:color w:val="231F20"/>
        </w:rPr>
        <w:t>et  al</w:t>
      </w:r>
      <w:r>
        <w:rPr>
          <w:color w:val="231F20"/>
        </w:rPr>
        <w:t>.,</w:t>
      </w:r>
      <w:r>
        <w:rPr>
          <w:color w:val="231F20"/>
          <w:spacing w:val="25"/>
        </w:rPr>
        <w:t> </w:t>
      </w:r>
      <w:r>
        <w:rPr>
          <w:color w:val="231F20"/>
        </w:rPr>
        <w:t>2009).</w:t>
      </w:r>
    </w:p>
    <w:p>
      <w:pPr>
        <w:pStyle w:val="BodyText"/>
        <w:spacing w:line="256" w:lineRule="auto" w:before="112"/>
        <w:ind w:left="413" w:right="1551"/>
        <w:jc w:val="both"/>
      </w:pPr>
      <w:r>
        <w:rPr>
          <w:color w:val="231F20"/>
        </w:rPr>
        <w:t>Una zona de gran relevancia para el Estado de México es el Parque Nacional Nevado de </w:t>
      </w:r>
      <w:r>
        <w:rPr>
          <w:color w:val="231F20"/>
          <w:spacing w:val="-3"/>
        </w:rPr>
        <w:t>Toluca, </w:t>
      </w:r>
      <w:r>
        <w:rPr>
          <w:color w:val="231F20"/>
        </w:rPr>
        <w:t>donde desde antes de ser  decretado  área  natu- ral protegida, en  </w:t>
      </w:r>
      <w:r>
        <w:rPr>
          <w:color w:val="231F20"/>
          <w:spacing w:val="-3"/>
        </w:rPr>
        <w:t>1936,  </w:t>
      </w:r>
      <w:r>
        <w:rPr>
          <w:color w:val="231F20"/>
        </w:rPr>
        <w:t>sus  habitantes  practican  la agricultura de temporal, la colecta de hongos y plantas</w:t>
      </w:r>
      <w:r>
        <w:rPr>
          <w:color w:val="231F20"/>
          <w:spacing w:val="-14"/>
        </w:rPr>
        <w:t> </w:t>
      </w:r>
      <w:r>
        <w:rPr>
          <w:color w:val="231F20"/>
        </w:rPr>
        <w:t>silvestres,</w:t>
      </w:r>
      <w:r>
        <w:rPr>
          <w:color w:val="231F20"/>
          <w:spacing w:val="-14"/>
        </w:rPr>
        <w:t> </w:t>
      </w:r>
      <w:r>
        <w:rPr>
          <w:color w:val="231F20"/>
        </w:rPr>
        <w:t>el</w:t>
      </w:r>
      <w:r>
        <w:rPr>
          <w:color w:val="231F20"/>
          <w:spacing w:val="-14"/>
        </w:rPr>
        <w:t> </w:t>
      </w:r>
      <w:r>
        <w:rPr>
          <w:color w:val="231F20"/>
        </w:rPr>
        <w:t>pastoreo</w:t>
      </w:r>
      <w:r>
        <w:rPr>
          <w:color w:val="231F20"/>
          <w:spacing w:val="-14"/>
        </w:rPr>
        <w:t> </w:t>
      </w:r>
      <w:r>
        <w:rPr>
          <w:color w:val="231F20"/>
        </w:rPr>
        <w:t>extensivo</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explota- ción extractiva de madera y leña (Abasolo, 2006), situación que ha generado un proceso de cambio del uso del suelo debido  a  la  pérdida  de  áreas  de cobertura forestal densa. Así, en el año 2000    ya había una reducción del 40% en la cobertura   de bosque denso de pino y una reducción en la densidad de los bosques de oyamel, pino y latifo- liadas (aile y encino), relacionada con los patrones de apropiación y uso de las áreas abiertas y su posible dedicación al pastoreo extensivo (Franco  </w:t>
      </w:r>
      <w:r>
        <w:rPr>
          <w:i/>
          <w:color w:val="231F20"/>
        </w:rPr>
        <w:t>et al</w:t>
      </w:r>
      <w:r>
        <w:rPr>
          <w:color w:val="231F20"/>
        </w:rPr>
        <w:t>., 2006). Esta situación evidencia la contra- dicción entre la destinación legal y la situación   </w:t>
      </w:r>
      <w:r>
        <w:rPr>
          <w:color w:val="231F20"/>
          <w:spacing w:val="14"/>
        </w:rPr>
        <w:t> </w:t>
      </w:r>
      <w:r>
        <w:rPr>
          <w:color w:val="231F20"/>
        </w:rPr>
        <w:t>de</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3"/>
          <w:sz w:val="18"/>
        </w:rPr>
        <w:t>10.     </w:t>
      </w:r>
      <w:r>
        <w:rPr>
          <w:color w:val="231F20"/>
          <w:spacing w:val="29"/>
          <w:sz w:val="18"/>
        </w:rPr>
        <w:t> </w:t>
      </w:r>
      <w:r>
        <w:rPr>
          <w:color w:val="231F20"/>
          <w:sz w:val="18"/>
        </w:rPr>
        <w:t>La ovinocultura del Nevado de </w:t>
      </w:r>
      <w:r>
        <w:rPr>
          <w:color w:val="231F20"/>
          <w:spacing w:val="-3"/>
          <w:sz w:val="18"/>
        </w:rPr>
        <w:t>Toluca: </w:t>
      </w:r>
      <w:r>
        <w:rPr>
          <w:color w:val="231F20"/>
          <w:sz w:val="18"/>
        </w:rPr>
        <w:t>factor de deterioro o elemento de</w:t>
      </w:r>
      <w:r>
        <w:rPr>
          <w:color w:val="231F20"/>
          <w:spacing w:val="12"/>
          <w:sz w:val="18"/>
        </w:rPr>
        <w:t> </w:t>
      </w:r>
      <w:r>
        <w:rPr>
          <w:color w:val="231F20"/>
          <w:sz w:val="18"/>
        </w:rPr>
        <w:t>desarrollo...</w:t>
      </w:r>
      <w:r>
        <w:rPr>
          <w:color w:val="231F20"/>
          <w:sz w:val="22"/>
        </w:rPr>
        <w:tab/>
      </w:r>
      <w:r>
        <w:rPr>
          <w:color w:val="231F20"/>
          <w:spacing w:val="-5"/>
          <w:sz w:val="22"/>
        </w:rPr>
        <w:t>151</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1" w:lineRule="auto"/>
        <w:ind w:left="1553"/>
        <w:jc w:val="both"/>
      </w:pPr>
      <w:r>
        <w:rPr>
          <w:color w:val="231F20"/>
        </w:rPr>
        <w:t>tenencia de la tierra por parte de posesionarios y ejidatarios, quienes dependen de las labores agro- pecuarias y extractivas (Candeau y </w:t>
      </w:r>
      <w:r>
        <w:rPr>
          <w:color w:val="231F20"/>
          <w:spacing w:val="-3"/>
        </w:rPr>
        <w:t>Franco, </w:t>
      </w:r>
      <w:r>
        <w:rPr>
          <w:color w:val="231F20"/>
          <w:spacing w:val="-4"/>
        </w:rPr>
        <w:t>2007), </w:t>
      </w:r>
      <w:r>
        <w:rPr>
          <w:color w:val="231F20"/>
        </w:rPr>
        <w:t>a lo cual se ha sumado recientemente el desarrollo de acciones de reforestación, actividades turísticas o de recreación, que generan presión en el sentido de</w:t>
      </w:r>
      <w:r>
        <w:rPr>
          <w:color w:val="231F20"/>
          <w:spacing w:val="-9"/>
        </w:rPr>
        <w:t> </w:t>
      </w:r>
      <w:r>
        <w:rPr>
          <w:color w:val="231F20"/>
        </w:rPr>
        <w:t>conservación,</w:t>
      </w:r>
      <w:r>
        <w:rPr>
          <w:color w:val="231F20"/>
          <w:spacing w:val="-9"/>
        </w:rPr>
        <w:t> </w:t>
      </w:r>
      <w:r>
        <w:rPr>
          <w:color w:val="231F20"/>
        </w:rPr>
        <w:t>pero</w:t>
      </w:r>
      <w:r>
        <w:rPr>
          <w:color w:val="231F20"/>
          <w:spacing w:val="-9"/>
        </w:rPr>
        <w:t> </w:t>
      </w:r>
      <w:r>
        <w:rPr>
          <w:color w:val="231F20"/>
        </w:rPr>
        <w:t>que</w:t>
      </w:r>
      <w:r>
        <w:rPr>
          <w:color w:val="231F20"/>
          <w:spacing w:val="-9"/>
        </w:rPr>
        <w:t> </w:t>
      </w:r>
      <w:r>
        <w:rPr>
          <w:color w:val="231F20"/>
        </w:rPr>
        <w:t>implican</w:t>
      </w:r>
      <w:r>
        <w:rPr>
          <w:color w:val="231F20"/>
          <w:spacing w:val="-9"/>
        </w:rPr>
        <w:t> </w:t>
      </w:r>
      <w:r>
        <w:rPr>
          <w:color w:val="231F20"/>
        </w:rPr>
        <w:t>la</w:t>
      </w:r>
      <w:r>
        <w:rPr>
          <w:color w:val="231F20"/>
          <w:spacing w:val="-9"/>
        </w:rPr>
        <w:t> </w:t>
      </w:r>
      <w:r>
        <w:rPr>
          <w:color w:val="231F20"/>
        </w:rPr>
        <w:t>restricción</w:t>
      </w:r>
      <w:r>
        <w:rPr>
          <w:color w:val="231F20"/>
          <w:spacing w:val="-9"/>
        </w:rPr>
        <w:t> </w:t>
      </w:r>
      <w:r>
        <w:rPr>
          <w:color w:val="231F20"/>
        </w:rPr>
        <w:t>de uso</w:t>
      </w:r>
      <w:r>
        <w:rPr>
          <w:color w:val="231F20"/>
          <w:spacing w:val="-6"/>
        </w:rPr>
        <w:t> </w:t>
      </w:r>
      <w:r>
        <w:rPr>
          <w:color w:val="231F20"/>
        </w:rPr>
        <w:t>o</w:t>
      </w:r>
      <w:r>
        <w:rPr>
          <w:color w:val="231F20"/>
          <w:spacing w:val="-6"/>
        </w:rPr>
        <w:t> </w:t>
      </w:r>
      <w:r>
        <w:rPr>
          <w:color w:val="231F20"/>
        </w:rPr>
        <w:t>el</w:t>
      </w:r>
      <w:r>
        <w:rPr>
          <w:color w:val="231F20"/>
          <w:spacing w:val="-6"/>
        </w:rPr>
        <w:t> </w:t>
      </w:r>
      <w:r>
        <w:rPr>
          <w:color w:val="231F20"/>
        </w:rPr>
        <w:t>ajuste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prácticas</w:t>
      </w:r>
      <w:r>
        <w:rPr>
          <w:color w:val="231F20"/>
          <w:spacing w:val="-6"/>
        </w:rPr>
        <w:t> </w:t>
      </w:r>
      <w:r>
        <w:rPr>
          <w:color w:val="231F20"/>
        </w:rPr>
        <w:t>productivas</w:t>
      </w:r>
      <w:r>
        <w:rPr>
          <w:color w:val="231F20"/>
          <w:spacing w:val="-6"/>
        </w:rPr>
        <w:t> </w:t>
      </w:r>
      <w:r>
        <w:rPr>
          <w:color w:val="231F20"/>
        </w:rPr>
        <w:t>en</w:t>
      </w:r>
      <w:r>
        <w:rPr>
          <w:color w:val="231F20"/>
          <w:spacing w:val="-6"/>
        </w:rPr>
        <w:t> </w:t>
      </w:r>
      <w:r>
        <w:rPr>
          <w:color w:val="231F20"/>
        </w:rPr>
        <w:t>zonas de  montaña  (Lasanta,</w:t>
      </w:r>
      <w:r>
        <w:rPr>
          <w:color w:val="231F20"/>
          <w:spacing w:val="8"/>
        </w:rPr>
        <w:t> </w:t>
      </w:r>
      <w:r>
        <w:rPr>
          <w:color w:val="231F20"/>
          <w:spacing w:val="-6"/>
        </w:rPr>
        <w:t>2010).</w:t>
      </w:r>
    </w:p>
    <w:p>
      <w:pPr>
        <w:pStyle w:val="BodyText"/>
        <w:spacing w:line="261" w:lineRule="auto" w:before="112"/>
        <w:ind w:left="1553"/>
        <w:jc w:val="both"/>
      </w:pPr>
      <w:r>
        <w:rPr>
          <w:color w:val="231F20"/>
        </w:rPr>
        <w:t>Aunque se dispone de información sobre la diná- mica de la cobertura forestal en el Parque Nacio- nal Nevado de </w:t>
      </w:r>
      <w:r>
        <w:rPr>
          <w:color w:val="231F20"/>
          <w:spacing w:val="-3"/>
        </w:rPr>
        <w:t>Toluca,  </w:t>
      </w:r>
      <w:r>
        <w:rPr>
          <w:color w:val="231F20"/>
        </w:rPr>
        <w:t>se conoce poco acerca de  las características de los sistemas de producción agropecuaria, las formas de manejo y</w:t>
      </w:r>
      <w:r>
        <w:rPr>
          <w:color w:val="231F20"/>
          <w:spacing w:val="17"/>
        </w:rPr>
        <w:t> </w:t>
      </w:r>
      <w:r>
        <w:rPr>
          <w:color w:val="231F20"/>
        </w:rPr>
        <w:t>sus</w:t>
      </w:r>
      <w:r>
        <w:rPr>
          <w:color w:val="231F20"/>
          <w:spacing w:val="25"/>
        </w:rPr>
        <w:t> </w:t>
      </w:r>
      <w:r>
        <w:rPr>
          <w:color w:val="231F20"/>
        </w:rPr>
        <w:t>efectos</w:t>
      </w:r>
      <w:r>
        <w:rPr>
          <w:color w:val="231F20"/>
          <w:w w:val="100"/>
        </w:rPr>
        <w:t> </w:t>
      </w:r>
      <w:r>
        <w:rPr>
          <w:color w:val="231F20"/>
        </w:rPr>
        <w:t>sobre el ecosistema, los niveles de producción, la función social y su contribución al modo de vida     y al desarrollo rural en las localidades ubicadas en el área de influencia de la zona de  </w:t>
      </w:r>
      <w:r>
        <w:rPr>
          <w:color w:val="231F20"/>
          <w:spacing w:val="36"/>
        </w:rPr>
        <w:t> </w:t>
      </w:r>
      <w:r>
        <w:rPr>
          <w:color w:val="231F20"/>
        </w:rPr>
        <w:t>conservación.</w:t>
      </w:r>
    </w:p>
    <w:p>
      <w:pPr>
        <w:pStyle w:val="BodyText"/>
        <w:spacing w:before="6"/>
        <w:rPr>
          <w:sz w:val="18"/>
        </w:rPr>
      </w:pPr>
    </w:p>
    <w:p>
      <w:pPr>
        <w:spacing w:before="0"/>
        <w:ind w:left="1553" w:right="0" w:firstLine="0"/>
        <w:jc w:val="both"/>
        <w:rPr>
          <w:rFonts w:ascii="Cambria" w:hAnsi="Cambria"/>
          <w:i/>
          <w:sz w:val="20"/>
        </w:rPr>
      </w:pPr>
      <w:r>
        <w:rPr>
          <w:rFonts w:ascii="Cambria" w:hAnsi="Cambria"/>
          <w:i/>
          <w:color w:val="231F20"/>
          <w:w w:val="105"/>
          <w:sz w:val="20"/>
        </w:rPr>
        <w:t>Sistemas  agropecuarios  y  áreas protegidas</w:t>
      </w:r>
    </w:p>
    <w:p>
      <w:pPr>
        <w:pStyle w:val="BodyText"/>
        <w:spacing w:line="261" w:lineRule="auto" w:before="143"/>
        <w:ind w:left="1553"/>
        <w:jc w:val="both"/>
      </w:pPr>
      <w:r>
        <w:rPr>
          <w:color w:val="231F20"/>
        </w:rPr>
        <w:t>La orientación actual en el manejo de áreas prote- gidas enfrenta el reto de conciliar la conservación con el desarrollo de las comunidades y de impul- sar el desarrollo social y la democratización de los beneficios ambientales derivados de la preserva- ción de ecosistemas estratégicos. Esto no sólo im- plica involucrar a los habitantes en un ámbito de respeto por los derechos humanos, reconocimien- to de la diversidad cultural y fortalecimiento de las comunidades locales, sino también incorporar el propósito de generación de beneficios para la so- ciedad  en  general  (Philips, 2003).</w:t>
      </w:r>
    </w:p>
    <w:p>
      <w:pPr>
        <w:pStyle w:val="BodyText"/>
        <w:spacing w:line="261" w:lineRule="auto" w:before="112"/>
        <w:ind w:left="1553"/>
        <w:jc w:val="both"/>
      </w:pPr>
      <w:r>
        <w:rPr>
          <w:color w:val="231F20"/>
        </w:rPr>
        <w:t>Una dificultad inicial para alcanzar esta conciliación en México y América Central consiste en que las áreas naturales protegidas han sido declaradas y recategorizadas mediante múltiples normas y de- cretos, sin una adecuada definición de</w:t>
      </w:r>
      <w:r>
        <w:rPr>
          <w:color w:val="231F20"/>
          <w:spacing w:val="3"/>
        </w:rPr>
        <w:t> </w:t>
      </w:r>
      <w:r>
        <w:rPr>
          <w:color w:val="231F20"/>
        </w:rPr>
        <w:t>sus</w:t>
      </w:r>
      <w:r>
        <w:rPr>
          <w:color w:val="231F20"/>
          <w:spacing w:val="23"/>
        </w:rPr>
        <w:t> </w:t>
      </w:r>
      <w:r>
        <w:rPr>
          <w:color w:val="231F20"/>
        </w:rPr>
        <w:t>límites</w:t>
      </w:r>
      <w:r>
        <w:rPr>
          <w:color w:val="231F20"/>
          <w:w w:val="99"/>
        </w:rPr>
        <w:t> </w:t>
      </w:r>
      <w:r>
        <w:rPr>
          <w:color w:val="231F20"/>
        </w:rPr>
        <w:t>ni del tipo de actividades permitidas </w:t>
      </w:r>
      <w:r>
        <w:rPr>
          <w:color w:val="231F20"/>
          <w:spacing w:val="11"/>
        </w:rPr>
        <w:t> </w:t>
      </w:r>
      <w:r>
        <w:rPr>
          <w:color w:val="231F20"/>
        </w:rPr>
        <w:t>o</w:t>
      </w:r>
      <w:r>
        <w:rPr>
          <w:color w:val="231F20"/>
          <w:spacing w:val="17"/>
        </w:rPr>
        <w:t> </w:t>
      </w:r>
      <w:r>
        <w:rPr>
          <w:color w:val="231F20"/>
        </w:rPr>
        <w:t>prohibidas,</w:t>
      </w:r>
      <w:r>
        <w:rPr>
          <w:color w:val="231F20"/>
          <w:w w:val="99"/>
        </w:rPr>
        <w:t> </w:t>
      </w:r>
      <w:r>
        <w:rPr>
          <w:color w:val="231F20"/>
        </w:rPr>
        <w:t>y menos aún de la condición o estatus legal de     las poblaciones que viven en ellas, lo cual ha ge- nerado  distintos  niveles  de  administración  y  </w:t>
      </w:r>
      <w:r>
        <w:rPr>
          <w:color w:val="231F20"/>
          <w:spacing w:val="24"/>
        </w:rPr>
        <w:t> </w:t>
      </w:r>
      <w:r>
        <w:rPr>
          <w:color w:val="231F20"/>
        </w:rPr>
        <w:t>de</w:t>
      </w:r>
    </w:p>
    <w:p>
      <w:pPr>
        <w:pStyle w:val="BodyText"/>
        <w:spacing w:before="3"/>
        <w:rPr>
          <w:sz w:val="28"/>
        </w:rPr>
      </w:pPr>
      <w:r>
        <w:rPr/>
        <w:br w:type="column"/>
      </w:r>
      <w:r>
        <w:rPr>
          <w:sz w:val="28"/>
        </w:rPr>
      </w:r>
    </w:p>
    <w:p>
      <w:pPr>
        <w:pStyle w:val="BodyText"/>
        <w:spacing w:line="256" w:lineRule="auto"/>
        <w:ind w:left="412" w:right="1551"/>
        <w:jc w:val="both"/>
      </w:pPr>
      <w:r>
        <w:rPr>
          <w:color w:val="231F20"/>
        </w:rPr>
        <w:t>injerencia institucional que impiden alcanzar unas apropiadas concertación y gestión, y que, por el contario, llevan a acciones contradictorias, como   la parcelación de tierras comunales, el apoyo a la ganadería en áreas de interés para la conserva- ción, los subsidios para producción que favorecen la desforestación, y los procedimientos legales y  los trámites difíciles de cumplir por parte de las co- munidades interesadas en conservar y aprovechar de una manera sustentable sus recursos (Edouard, </w:t>
      </w:r>
      <w:r>
        <w:rPr>
          <w:color w:val="231F20"/>
          <w:spacing w:val="-4"/>
        </w:rPr>
        <w:t>2010).</w:t>
      </w:r>
    </w:p>
    <w:p>
      <w:pPr>
        <w:pStyle w:val="BodyText"/>
        <w:spacing w:line="256" w:lineRule="auto" w:before="112"/>
        <w:ind w:left="412" w:right="1551"/>
        <w:jc w:val="both"/>
      </w:pPr>
      <w:r>
        <w:rPr>
          <w:color w:val="231F20"/>
        </w:rPr>
        <w:t>Otra limitación es la aplicación de estructuras ver- ticales de gobierno que afectan  la  participación  de la población para abordar situaciones especí- ficas y propician acciones arbitrarias por parte de las autoridades o los representantes del Estado, u oportunistas por parte de las poblaciones y comu- nidades, ante las cuales se hace urgente el desa- rrollo de mecanismos que generen alianzas, como las redes  sociales  basadas  en  la  autorregulación y la cooperación (Garayo, </w:t>
      </w:r>
      <w:r>
        <w:rPr>
          <w:color w:val="231F20"/>
          <w:spacing w:val="-3"/>
        </w:rPr>
        <w:t>2001), </w:t>
      </w:r>
      <w:r>
        <w:rPr>
          <w:color w:val="231F20"/>
        </w:rPr>
        <w:t>la aplicación de métodos participativos en la selección de bene- ficiarios, los esquemas horizontales de asistencia técnica, los encadenamientos productivos y la inclusión del control social; todos ellos tienen en común que congregan recursos de saber local, ca- pital social, distribución del poder y fomento de la corresponsabilidad  (Sotomayor, </w:t>
      </w:r>
      <w:r>
        <w:rPr>
          <w:color w:val="231F20"/>
          <w:spacing w:val="19"/>
        </w:rPr>
        <w:t> </w:t>
      </w:r>
      <w:r>
        <w:rPr>
          <w:color w:val="231F20"/>
          <w:spacing w:val="-4"/>
        </w:rPr>
        <w:t>2010).</w:t>
      </w:r>
    </w:p>
    <w:p>
      <w:pPr>
        <w:pStyle w:val="BodyText"/>
        <w:spacing w:line="256" w:lineRule="auto" w:before="112"/>
        <w:ind w:left="412" w:right="1551"/>
        <w:jc w:val="both"/>
      </w:pPr>
      <w:r>
        <w:rPr>
          <w:color w:val="231F20"/>
        </w:rPr>
        <w:t>La reducción en la presión sobre los sistemas de producción y los ecosistemas clave requiere el desarrollo de instrumentos como el pago por ser- vicios ambientales y la aplicación de tecnologías apropiadas de producción que incorporen el saber local, de manera que se proporcionen estímulos     a los habitantes de zonas de alta fragilidad y bio- diversidad para su conservación (Herrero </w:t>
      </w:r>
      <w:r>
        <w:rPr>
          <w:i/>
          <w:color w:val="231F20"/>
        </w:rPr>
        <w:t>et al</w:t>
      </w:r>
      <w:r>
        <w:rPr>
          <w:color w:val="231F20"/>
        </w:rPr>
        <w:t>., 2009). La solución de las mencionadas limitacio- nes impone el reto de fortalecer el vínculo entre    la comunidad y el área natural protegida, sobre la base de conocer e interpretar las formas de in- teracción para modificar o proponer maneras de producir  acordes  con  la  finalidad  de   </w:t>
      </w:r>
      <w:r>
        <w:rPr>
          <w:color w:val="231F20"/>
          <w:spacing w:val="6"/>
        </w:rPr>
        <w:t> </w:t>
      </w:r>
      <w:r>
        <w:rPr>
          <w:color w:val="231F20"/>
        </w:rPr>
        <w:t>conservar,</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5"/>
          <w:w w:val="120"/>
          <w:sz w:val="22"/>
        </w:rPr>
        <w:t>152</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w w:val="105"/>
        </w:rPr>
        <w:t>pero</w:t>
      </w:r>
      <w:r>
        <w:rPr>
          <w:color w:val="231F20"/>
          <w:spacing w:val="-18"/>
          <w:w w:val="105"/>
        </w:rPr>
        <w:t> </w:t>
      </w:r>
      <w:r>
        <w:rPr>
          <w:color w:val="231F20"/>
          <w:w w:val="105"/>
        </w:rPr>
        <w:t>también</w:t>
      </w:r>
      <w:r>
        <w:rPr>
          <w:color w:val="231F20"/>
          <w:spacing w:val="-18"/>
          <w:w w:val="105"/>
        </w:rPr>
        <w:t> </w:t>
      </w:r>
      <w:r>
        <w:rPr>
          <w:color w:val="231F20"/>
          <w:w w:val="105"/>
        </w:rPr>
        <w:t>de</w:t>
      </w:r>
      <w:r>
        <w:rPr>
          <w:color w:val="231F20"/>
          <w:spacing w:val="-18"/>
          <w:w w:val="105"/>
        </w:rPr>
        <w:t> </w:t>
      </w:r>
      <w:r>
        <w:rPr>
          <w:color w:val="231F20"/>
          <w:w w:val="105"/>
        </w:rPr>
        <w:t>responder</w:t>
      </w:r>
      <w:r>
        <w:rPr>
          <w:color w:val="231F20"/>
          <w:spacing w:val="-18"/>
          <w:w w:val="105"/>
        </w:rPr>
        <w:t> </w:t>
      </w:r>
      <w:r>
        <w:rPr>
          <w:color w:val="231F20"/>
          <w:w w:val="105"/>
        </w:rPr>
        <w:t>a</w:t>
      </w:r>
      <w:r>
        <w:rPr>
          <w:color w:val="231F20"/>
          <w:spacing w:val="-18"/>
          <w:w w:val="105"/>
        </w:rPr>
        <w:t> </w:t>
      </w:r>
      <w:r>
        <w:rPr>
          <w:color w:val="231F20"/>
          <w:w w:val="105"/>
        </w:rPr>
        <w:t>las</w:t>
      </w:r>
      <w:r>
        <w:rPr>
          <w:color w:val="231F20"/>
          <w:spacing w:val="-18"/>
          <w:w w:val="105"/>
        </w:rPr>
        <w:t> </w:t>
      </w:r>
      <w:r>
        <w:rPr>
          <w:color w:val="231F20"/>
          <w:w w:val="105"/>
        </w:rPr>
        <w:t>expectativas</w:t>
      </w:r>
      <w:r>
        <w:rPr>
          <w:color w:val="231F20"/>
          <w:spacing w:val="-18"/>
          <w:w w:val="105"/>
        </w:rPr>
        <w:t> </w:t>
      </w:r>
      <w:r>
        <w:rPr>
          <w:color w:val="231F20"/>
          <w:w w:val="105"/>
        </w:rPr>
        <w:t>y</w:t>
      </w:r>
      <w:r>
        <w:rPr>
          <w:color w:val="231F20"/>
          <w:spacing w:val="-18"/>
          <w:w w:val="105"/>
        </w:rPr>
        <w:t> </w:t>
      </w:r>
      <w:r>
        <w:rPr>
          <w:color w:val="231F20"/>
          <w:w w:val="105"/>
        </w:rPr>
        <w:t>las necesidades de los actores locales, incluyendo el ingreso económico (Brunel,</w:t>
      </w:r>
      <w:r>
        <w:rPr>
          <w:color w:val="231F20"/>
          <w:spacing w:val="15"/>
          <w:w w:val="105"/>
        </w:rPr>
        <w:t> </w:t>
      </w:r>
      <w:r>
        <w:rPr>
          <w:color w:val="231F20"/>
          <w:w w:val="105"/>
        </w:rPr>
        <w:t>2008).</w:t>
      </w:r>
    </w:p>
    <w:p>
      <w:pPr>
        <w:pStyle w:val="BodyText"/>
        <w:spacing w:line="259" w:lineRule="auto" w:before="114"/>
        <w:ind w:left="1553"/>
        <w:jc w:val="both"/>
      </w:pPr>
      <w:r>
        <w:rPr>
          <w:color w:val="231F20"/>
        </w:rPr>
        <w:t>Por otra parte, el análisis de la actividad pastoril requiere la visualización de los aspectos positivos   y negativos para el ambiente. De manera global, la ganadería genera el </w:t>
      </w:r>
      <w:r>
        <w:rPr>
          <w:color w:val="231F20"/>
          <w:spacing w:val="-3"/>
        </w:rPr>
        <w:t>16% </w:t>
      </w:r>
      <w:r>
        <w:rPr>
          <w:color w:val="231F20"/>
        </w:rPr>
        <w:t>de las emisiones de ga- ses de efecto invernadero, del cual un 9% puede atribuirse a la degradación de pastizales, la desfo- restación y la conversión de tierras agrícolas o de reserva en potreros; sin embargo, esto en sí no permite explicar y comprender dichos fenómenos en el ámbito local. En cuanto a las ovejas y las cabras, se han extendido a territorios marginales, tierras áridas y escarpadas, y su efecto se consi- dera dañino para la cubierta vegetal y el</w:t>
      </w:r>
      <w:r>
        <w:rPr>
          <w:color w:val="231F20"/>
          <w:spacing w:val="24"/>
        </w:rPr>
        <w:t> </w:t>
      </w:r>
      <w:r>
        <w:rPr>
          <w:color w:val="231F20"/>
        </w:rPr>
        <w:t>suelo</w:t>
      </w:r>
      <w:r>
        <w:rPr>
          <w:color w:val="231F20"/>
          <w:spacing w:val="20"/>
        </w:rPr>
        <w:t> </w:t>
      </w:r>
      <w:r>
        <w:rPr>
          <w:color w:val="231F20"/>
        </w:rPr>
        <w:t>en</w:t>
      </w:r>
      <w:r>
        <w:rPr>
          <w:color w:val="231F20"/>
          <w:w w:val="103"/>
        </w:rPr>
        <w:t> </w:t>
      </w:r>
      <w:r>
        <w:rPr>
          <w:color w:val="231F20"/>
        </w:rPr>
        <w:t>casos de excesiva población, pero no se considera que contribuyan de manera significativa a la des- forestación, como ocurre con la ganadería bovina (Steinfeld  </w:t>
      </w:r>
      <w:r>
        <w:rPr>
          <w:i/>
          <w:color w:val="231F20"/>
        </w:rPr>
        <w:t>et  al</w:t>
      </w:r>
      <w:r>
        <w:rPr>
          <w:color w:val="231F20"/>
        </w:rPr>
        <w:t>.,</w:t>
      </w:r>
      <w:r>
        <w:rPr>
          <w:color w:val="231F20"/>
          <w:spacing w:val="13"/>
        </w:rPr>
        <w:t> </w:t>
      </w:r>
      <w:r>
        <w:rPr>
          <w:color w:val="231F20"/>
        </w:rPr>
        <w:t>2009).</w:t>
      </w:r>
    </w:p>
    <w:p>
      <w:pPr>
        <w:pStyle w:val="BodyText"/>
        <w:spacing w:line="259" w:lineRule="auto" w:before="114"/>
        <w:ind w:left="1553"/>
        <w:jc w:val="both"/>
      </w:pPr>
      <w:r>
        <w:rPr>
          <w:color w:val="231F20"/>
        </w:rPr>
        <w:t>Entre los aspectos positivos, se estima que </w:t>
      </w:r>
      <w:r>
        <w:rPr>
          <w:color w:val="231F20"/>
          <w:spacing w:val="-6"/>
        </w:rPr>
        <w:t>675 </w:t>
      </w:r>
      <w:r>
        <w:rPr>
          <w:color w:val="231F20"/>
        </w:rPr>
        <w:t>mi- llones de personas pobres del sector rural depen- den de la ganadería para su subsistencia, cifra que incluye alrededor de 200 millones de pastores y </w:t>
      </w:r>
      <w:r>
        <w:rPr>
          <w:color w:val="231F20"/>
          <w:spacing w:val="-3"/>
        </w:rPr>
        <w:t>100 </w:t>
      </w:r>
      <w:r>
        <w:rPr>
          <w:color w:val="231F20"/>
        </w:rPr>
        <w:t>millones de ganaderos sin tierras en el mun-  do </w:t>
      </w:r>
      <w:r>
        <w:rPr>
          <w:color w:val="231F20"/>
          <w:spacing w:val="-4"/>
        </w:rPr>
        <w:t>(FAO, </w:t>
      </w:r>
      <w:r>
        <w:rPr>
          <w:color w:val="231F20"/>
        </w:rPr>
        <w:t>2003). De aquí el aporte de la actividad pastoril a la fijación de la población y el manteni- miento del tejido social en</w:t>
      </w:r>
      <w:r>
        <w:rPr>
          <w:color w:val="231F20"/>
          <w:spacing w:val="10"/>
        </w:rPr>
        <w:t> </w:t>
      </w:r>
      <w:r>
        <w:rPr>
          <w:color w:val="231F20"/>
        </w:rPr>
        <w:t>regiones</w:t>
      </w:r>
      <w:r>
        <w:rPr>
          <w:color w:val="231F20"/>
          <w:spacing w:val="11"/>
        </w:rPr>
        <w:t> </w:t>
      </w:r>
      <w:r>
        <w:rPr>
          <w:color w:val="231F20"/>
        </w:rPr>
        <w:t>caracterizadas</w:t>
      </w:r>
      <w:r>
        <w:rPr>
          <w:color w:val="231F20"/>
          <w:w w:val="98"/>
        </w:rPr>
        <w:t> </w:t>
      </w:r>
      <w:r>
        <w:rPr>
          <w:color w:val="231F20"/>
        </w:rPr>
        <w:t>por la dificultad y las limitaciones del medio na- tural. Así mismo, la ganadería extensiva aporta al sector rural a través de estructuras de consumo, conformando un esquema de uso y manejo de recursos que permite la generación de  produc-  tos y materias primas, la provisión de medios de movilización, transporte  y  reserva  de  alimentos, y la formación y la conservación de capital, aho-  rro, ocupación y protección contra eventualidades (Hatfield  y  Davies,</w:t>
      </w:r>
      <w:r>
        <w:rPr>
          <w:color w:val="231F20"/>
          <w:spacing w:val="32"/>
        </w:rPr>
        <w:t> </w:t>
      </w:r>
      <w:r>
        <w:rPr>
          <w:color w:val="231F20"/>
        </w:rPr>
        <w:t>2006).</w:t>
      </w:r>
    </w:p>
    <w:p>
      <w:pPr>
        <w:pStyle w:val="BodyText"/>
        <w:spacing w:line="259" w:lineRule="auto" w:before="114"/>
        <w:ind w:left="1553"/>
        <w:jc w:val="both"/>
      </w:pPr>
      <w:r>
        <w:rPr>
          <w:color w:val="231F20"/>
        </w:rPr>
        <w:t>Conciliar la  protección  de  los  recursos  naturales y la producción agropecuaria, que es parte del modo de vida de las poblaciones vinculadas a las</w:t>
      </w:r>
    </w:p>
    <w:p>
      <w:pPr>
        <w:pStyle w:val="BodyText"/>
        <w:spacing w:line="261" w:lineRule="auto" w:before="67"/>
        <w:ind w:left="412" w:right="1551"/>
        <w:jc w:val="both"/>
      </w:pPr>
      <w:r>
        <w:rPr/>
        <w:br w:type="column"/>
      </w:r>
      <w:r>
        <w:rPr>
          <w:color w:val="231F20"/>
        </w:rPr>
        <w:t>áreas protegidas, supone conocer tanto las formas de producción como la percepción de los pro- ductores sobre el ambiente y la valoración de las actividades productivas, elementos que en el pre- sente trabajo se exploraron y analizaron con miras a identificar componentes que puedan contribuir  al desarrollo de las comunidades y aportar a su articulación con la conservación</w:t>
      </w:r>
      <w:r>
        <w:rPr>
          <w:color w:val="231F20"/>
          <w:spacing w:val="41"/>
        </w:rPr>
        <w:t> </w:t>
      </w:r>
      <w:r>
        <w:rPr>
          <w:color w:val="231F20"/>
        </w:rPr>
        <w:t>ambiental.</w:t>
      </w:r>
    </w:p>
    <w:p>
      <w:pPr>
        <w:pStyle w:val="BodyText"/>
        <w:spacing w:before="6"/>
        <w:rPr>
          <w:sz w:val="18"/>
        </w:rPr>
      </w:pPr>
    </w:p>
    <w:p>
      <w:pPr>
        <w:spacing w:before="0"/>
        <w:ind w:left="412" w:right="0" w:firstLine="0"/>
        <w:jc w:val="both"/>
        <w:rPr>
          <w:rFonts w:ascii="Cambria" w:hAnsi="Cambria"/>
          <w:i/>
          <w:sz w:val="20"/>
        </w:rPr>
      </w:pPr>
      <w:r>
        <w:rPr>
          <w:rFonts w:ascii="Cambria" w:hAnsi="Cambria"/>
          <w:i/>
          <w:color w:val="231F20"/>
          <w:w w:val="110"/>
          <w:sz w:val="20"/>
        </w:rPr>
        <w:t>Ubicación y marco de evaluación</w:t>
      </w:r>
    </w:p>
    <w:p>
      <w:pPr>
        <w:pStyle w:val="BodyText"/>
        <w:spacing w:line="261" w:lineRule="auto" w:before="143"/>
        <w:ind w:left="412" w:right="1551"/>
        <w:jc w:val="both"/>
      </w:pPr>
      <w:r>
        <w:rPr>
          <w:color w:val="231F20"/>
        </w:rPr>
        <w:t>El área de estudio comprendió las localidades de  La Puerta, Loma Alta, La Peñuela y Agua Blanca, ubicadas entre los </w:t>
      </w:r>
      <w:r>
        <w:rPr>
          <w:color w:val="231F20"/>
          <w:spacing w:val="-3"/>
        </w:rPr>
        <w:t>18° </w:t>
      </w:r>
      <w:r>
        <w:rPr>
          <w:color w:val="231F20"/>
        </w:rPr>
        <w:t>57’ y </w:t>
      </w:r>
      <w:r>
        <w:rPr>
          <w:color w:val="231F20"/>
          <w:spacing w:val="-3"/>
        </w:rPr>
        <w:t>19°13’ </w:t>
      </w:r>
      <w:r>
        <w:rPr>
          <w:color w:val="231F20"/>
        </w:rPr>
        <w:t>de latitud Nor- te y los 99° 37’ y 99° 58’ de longitud Oeste, mu- nicipio de Zinacantepec, Estado de México (Fig. 1). Los suelos son de tipo andosol úmbrico y feozem háplico, con un alto contenido de hierro y alumi- nio, un bajo contenido de bases y una alta reten- ción de fosfatos. El clima en la región corresponde a templado y templado semifrío, con una tempe- ratura media anual de 5° C a </w:t>
      </w:r>
      <w:r>
        <w:rPr>
          <w:color w:val="231F20"/>
          <w:spacing w:val="-5"/>
        </w:rPr>
        <w:t>18 </w:t>
      </w:r>
      <w:r>
        <w:rPr>
          <w:color w:val="231F20"/>
        </w:rPr>
        <w:t>°C y una precipita- ción anual de 200 a </w:t>
      </w:r>
      <w:r>
        <w:rPr>
          <w:color w:val="231F20"/>
          <w:spacing w:val="-3"/>
        </w:rPr>
        <w:t>1800 </w:t>
      </w:r>
      <w:r>
        <w:rPr>
          <w:color w:val="231F20"/>
        </w:rPr>
        <w:t>mm</w:t>
      </w:r>
      <w:r>
        <w:rPr>
          <w:color w:val="231F20"/>
          <w:position w:val="7"/>
          <w:sz w:val="11"/>
        </w:rPr>
        <w:t>3</w:t>
      </w:r>
      <w:r>
        <w:rPr>
          <w:color w:val="231F20"/>
        </w:rPr>
        <w:t>, con la temporada de  lluvias  en  verano  (INEGI,</w:t>
      </w:r>
      <w:r>
        <w:rPr>
          <w:color w:val="231F20"/>
          <w:spacing w:val="-12"/>
        </w:rPr>
        <w:t> </w:t>
      </w:r>
      <w:r>
        <w:rPr>
          <w:color w:val="231F20"/>
        </w:rPr>
        <w:t>2005).</w:t>
      </w:r>
    </w:p>
    <w:p>
      <w:pPr>
        <w:pStyle w:val="BodyText"/>
        <w:spacing w:line="261" w:lineRule="auto" w:before="112"/>
        <w:ind w:left="412" w:right="1551"/>
        <w:jc w:val="both"/>
      </w:pPr>
      <w:r>
        <w:rPr>
          <w:color w:val="231F20"/>
          <w:w w:val="105"/>
        </w:rPr>
        <w:t>Debido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falta</w:t>
      </w:r>
      <w:r>
        <w:rPr>
          <w:color w:val="231F20"/>
          <w:spacing w:val="-5"/>
          <w:w w:val="105"/>
        </w:rPr>
        <w:t> </w:t>
      </w:r>
      <w:r>
        <w:rPr>
          <w:color w:val="231F20"/>
          <w:w w:val="105"/>
        </w:rPr>
        <w:t>de</w:t>
      </w:r>
      <w:r>
        <w:rPr>
          <w:color w:val="231F20"/>
          <w:spacing w:val="-5"/>
          <w:w w:val="105"/>
        </w:rPr>
        <w:t> </w:t>
      </w:r>
      <w:r>
        <w:rPr>
          <w:color w:val="231F20"/>
          <w:w w:val="105"/>
        </w:rPr>
        <w:t>información</w:t>
      </w:r>
      <w:r>
        <w:rPr>
          <w:color w:val="231F20"/>
          <w:spacing w:val="-5"/>
          <w:w w:val="105"/>
        </w:rPr>
        <w:t> </w:t>
      </w:r>
      <w:r>
        <w:rPr>
          <w:color w:val="231F20"/>
          <w:w w:val="105"/>
        </w:rPr>
        <w:t>local,</w:t>
      </w:r>
      <w:r>
        <w:rPr>
          <w:color w:val="231F20"/>
          <w:spacing w:val="-5"/>
          <w:w w:val="105"/>
        </w:rPr>
        <w:t> </w:t>
      </w:r>
      <w:r>
        <w:rPr>
          <w:color w:val="231F20"/>
          <w:w w:val="105"/>
        </w:rPr>
        <w:t>a</w:t>
      </w:r>
      <w:r>
        <w:rPr>
          <w:color w:val="231F20"/>
          <w:spacing w:val="-5"/>
          <w:w w:val="105"/>
        </w:rPr>
        <w:t> </w:t>
      </w:r>
      <w:r>
        <w:rPr>
          <w:color w:val="231F20"/>
          <w:w w:val="105"/>
        </w:rPr>
        <w:t>partir</w:t>
      </w:r>
      <w:r>
        <w:rPr>
          <w:color w:val="231F20"/>
          <w:spacing w:val="-5"/>
          <w:w w:val="105"/>
        </w:rPr>
        <w:t> </w:t>
      </w:r>
      <w:r>
        <w:rPr>
          <w:color w:val="231F20"/>
          <w:w w:val="105"/>
        </w:rPr>
        <w:t>del contacto con las juntas ejidales y los delegados municipales se identificación 67 productores, de los cuales 40 aceptaron responder a un cuestio- nario</w:t>
      </w:r>
      <w:r>
        <w:rPr>
          <w:color w:val="231F20"/>
          <w:spacing w:val="-10"/>
          <w:w w:val="105"/>
        </w:rPr>
        <w:t> </w:t>
      </w:r>
      <w:r>
        <w:rPr>
          <w:color w:val="231F20"/>
          <w:w w:val="105"/>
        </w:rPr>
        <w:t>sobre</w:t>
      </w:r>
      <w:r>
        <w:rPr>
          <w:color w:val="231F20"/>
          <w:spacing w:val="-10"/>
          <w:w w:val="105"/>
        </w:rPr>
        <w:t> </w:t>
      </w:r>
      <w:r>
        <w:rPr>
          <w:color w:val="231F20"/>
          <w:w w:val="105"/>
        </w:rPr>
        <w:t>la</w:t>
      </w:r>
      <w:r>
        <w:rPr>
          <w:color w:val="231F20"/>
          <w:spacing w:val="-10"/>
          <w:w w:val="105"/>
        </w:rPr>
        <w:t> </w:t>
      </w:r>
      <w:r>
        <w:rPr>
          <w:color w:val="231F20"/>
          <w:w w:val="105"/>
        </w:rPr>
        <w:t>actividad</w:t>
      </w:r>
      <w:r>
        <w:rPr>
          <w:color w:val="231F20"/>
          <w:spacing w:val="-10"/>
          <w:w w:val="105"/>
        </w:rPr>
        <w:t> </w:t>
      </w:r>
      <w:r>
        <w:rPr>
          <w:color w:val="231F20"/>
          <w:w w:val="105"/>
        </w:rPr>
        <w:t>pastoril</w:t>
      </w:r>
      <w:r>
        <w:rPr>
          <w:color w:val="231F20"/>
          <w:spacing w:val="-10"/>
          <w:w w:val="105"/>
        </w:rPr>
        <w:t> </w:t>
      </w:r>
      <w:r>
        <w:rPr>
          <w:color w:val="231F20"/>
          <w:w w:val="105"/>
        </w:rPr>
        <w:t>con</w:t>
      </w:r>
      <w:r>
        <w:rPr>
          <w:color w:val="231F20"/>
          <w:spacing w:val="-10"/>
          <w:w w:val="105"/>
        </w:rPr>
        <w:t> </w:t>
      </w:r>
      <w:r>
        <w:rPr>
          <w:color w:val="231F20"/>
          <w:w w:val="105"/>
        </w:rPr>
        <w:t>ovinos,</w:t>
      </w:r>
      <w:r>
        <w:rPr>
          <w:color w:val="231F20"/>
          <w:spacing w:val="-10"/>
          <w:w w:val="105"/>
        </w:rPr>
        <w:t> </w:t>
      </w:r>
      <w:r>
        <w:rPr>
          <w:color w:val="231F20"/>
          <w:w w:val="105"/>
        </w:rPr>
        <w:t>el</w:t>
      </w:r>
      <w:r>
        <w:rPr>
          <w:color w:val="231F20"/>
          <w:spacing w:val="-10"/>
          <w:w w:val="105"/>
        </w:rPr>
        <w:t> </w:t>
      </w:r>
      <w:r>
        <w:rPr>
          <w:color w:val="231F20"/>
          <w:w w:val="105"/>
        </w:rPr>
        <w:t>uso de recursos y la percepción del medio natural, que se aplicó entre octubre de 2009 y abril de </w:t>
      </w:r>
      <w:r>
        <w:rPr>
          <w:color w:val="231F20"/>
          <w:spacing w:val="-5"/>
          <w:w w:val="105"/>
        </w:rPr>
        <w:t>2010. </w:t>
      </w:r>
      <w:r>
        <w:rPr>
          <w:color w:val="231F20"/>
          <w:w w:val="105"/>
        </w:rPr>
        <w:t>A la </w:t>
      </w:r>
      <w:r>
        <w:rPr>
          <w:color w:val="231F20"/>
          <w:spacing w:val="-3"/>
          <w:w w:val="105"/>
        </w:rPr>
        <w:t>par, </w:t>
      </w:r>
      <w:r>
        <w:rPr>
          <w:color w:val="231F20"/>
          <w:w w:val="105"/>
        </w:rPr>
        <w:t>se efectuó una revisión de fuentes secundarias de información sobre las localidades consideradas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estudio.</w:t>
      </w:r>
      <w:r>
        <w:rPr>
          <w:color w:val="231F20"/>
          <w:spacing w:val="-8"/>
          <w:w w:val="105"/>
        </w:rPr>
        <w:t> </w:t>
      </w:r>
      <w:r>
        <w:rPr>
          <w:color w:val="231F20"/>
          <w:w w:val="105"/>
        </w:rPr>
        <w:t>La</w:t>
      </w:r>
      <w:r>
        <w:rPr>
          <w:color w:val="231F20"/>
          <w:spacing w:val="-8"/>
          <w:w w:val="105"/>
        </w:rPr>
        <w:t> </w:t>
      </w:r>
      <w:r>
        <w:rPr>
          <w:color w:val="231F20"/>
          <w:w w:val="105"/>
        </w:rPr>
        <w:t>proporción</w:t>
      </w:r>
      <w:r>
        <w:rPr>
          <w:color w:val="231F20"/>
          <w:spacing w:val="-8"/>
          <w:w w:val="105"/>
        </w:rPr>
        <w:t> </w:t>
      </w:r>
      <w:r>
        <w:rPr>
          <w:color w:val="231F20"/>
          <w:w w:val="105"/>
        </w:rPr>
        <w:t>de</w:t>
      </w:r>
      <w:r>
        <w:rPr>
          <w:color w:val="231F20"/>
          <w:spacing w:val="-8"/>
          <w:w w:val="105"/>
        </w:rPr>
        <w:t> </w:t>
      </w:r>
      <w:r>
        <w:rPr>
          <w:color w:val="231F20"/>
          <w:w w:val="105"/>
        </w:rPr>
        <w:t>pro- ductores entrevistados fue de un 65% hombres  y un 35% mujeres, con una edad promedio de  55 ± </w:t>
      </w:r>
      <w:r>
        <w:rPr>
          <w:color w:val="231F20"/>
          <w:spacing w:val="-5"/>
          <w:w w:val="105"/>
        </w:rPr>
        <w:t>11 </w:t>
      </w:r>
      <w:r>
        <w:rPr>
          <w:color w:val="231F20"/>
          <w:w w:val="105"/>
        </w:rPr>
        <w:t>años (la mayoría entre los 45 y 60 años)  y un nivel de escolaridad entre nulo (12,5%) y la primaria incompleta</w:t>
      </w:r>
      <w:r>
        <w:rPr>
          <w:color w:val="231F20"/>
          <w:spacing w:val="7"/>
          <w:w w:val="105"/>
        </w:rPr>
        <w:t> </w:t>
      </w:r>
      <w:r>
        <w:rPr>
          <w:color w:val="231F20"/>
          <w:spacing w:val="-4"/>
          <w:w w:val="105"/>
        </w:rPr>
        <w:t>(67,5%).</w:t>
      </w:r>
    </w:p>
    <w:p>
      <w:pPr>
        <w:pStyle w:val="BodyText"/>
        <w:spacing w:line="261" w:lineRule="auto" w:before="112"/>
        <w:ind w:left="412" w:right="1551"/>
        <w:jc w:val="both"/>
      </w:pPr>
      <w:r>
        <w:rPr>
          <w:color w:val="231F20"/>
        </w:rPr>
        <w:t>La percepción sobre el área protegida se estable- ció basándose en los interrogantes sobre la iden- tificación y la asociación de elementos del     medio</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3"/>
          <w:sz w:val="18"/>
        </w:rPr>
        <w:t>10.     </w:t>
      </w:r>
      <w:r>
        <w:rPr>
          <w:color w:val="231F20"/>
          <w:spacing w:val="29"/>
          <w:sz w:val="18"/>
        </w:rPr>
        <w:t> </w:t>
      </w:r>
      <w:r>
        <w:rPr>
          <w:color w:val="231F20"/>
          <w:sz w:val="18"/>
        </w:rPr>
        <w:t>La ovinocultura del Nevado de </w:t>
      </w:r>
      <w:r>
        <w:rPr>
          <w:color w:val="231F20"/>
          <w:spacing w:val="-3"/>
          <w:sz w:val="18"/>
        </w:rPr>
        <w:t>Toluca: </w:t>
      </w:r>
      <w:r>
        <w:rPr>
          <w:color w:val="231F20"/>
          <w:sz w:val="18"/>
        </w:rPr>
        <w:t>factor de deterioro o elemento de</w:t>
      </w:r>
      <w:r>
        <w:rPr>
          <w:color w:val="231F20"/>
          <w:spacing w:val="12"/>
          <w:sz w:val="18"/>
        </w:rPr>
        <w:t> </w:t>
      </w:r>
      <w:r>
        <w:rPr>
          <w:color w:val="231F20"/>
          <w:sz w:val="18"/>
        </w:rPr>
        <w:t>desarrollo...</w:t>
      </w:r>
      <w:r>
        <w:rPr>
          <w:color w:val="231F20"/>
          <w:sz w:val="22"/>
        </w:rPr>
        <w:tab/>
      </w:r>
      <w:r>
        <w:rPr>
          <w:color w:val="231F20"/>
          <w:spacing w:val="-5"/>
          <w:sz w:val="22"/>
        </w:rPr>
        <w:t>153</w:t>
      </w:r>
    </w:p>
    <w:p>
      <w:pPr>
        <w:pStyle w:val="BodyText"/>
        <w:spacing w:before="5"/>
        <w:rPr>
          <w:sz w:val="28"/>
        </w:rPr>
      </w:pPr>
      <w:r>
        <w:rPr/>
        <w:drawing>
          <wp:anchor distT="0" distB="0" distL="0" distR="0" allowOverlap="1" layoutInCell="1" locked="0" behindDoc="0" simplePos="0" relativeHeight="4720">
            <wp:simplePos x="0" y="0"/>
            <wp:positionH relativeFrom="page">
              <wp:posOffset>991487</wp:posOffset>
            </wp:positionH>
            <wp:positionV relativeFrom="paragraph">
              <wp:posOffset>244986</wp:posOffset>
            </wp:positionV>
            <wp:extent cx="5580232" cy="3343655"/>
            <wp:effectExtent l="0" t="0" r="0" b="0"/>
            <wp:wrapTopAndBottom/>
            <wp:docPr id="165" name="image225.png" descr=""/>
            <wp:cNvGraphicFramePr>
              <a:graphicFrameLocks noChangeAspect="1"/>
            </wp:cNvGraphicFramePr>
            <a:graphic>
              <a:graphicData uri="http://schemas.openxmlformats.org/drawingml/2006/picture">
                <pic:pic>
                  <pic:nvPicPr>
                    <pic:cNvPr id="166" name="image225.png"/>
                    <pic:cNvPicPr/>
                  </pic:nvPicPr>
                  <pic:blipFill>
                    <a:blip r:embed="rId286" cstate="print"/>
                    <a:stretch>
                      <a:fillRect/>
                    </a:stretch>
                  </pic:blipFill>
                  <pic:spPr>
                    <a:xfrm>
                      <a:off x="0" y="0"/>
                      <a:ext cx="5580232" cy="3343655"/>
                    </a:xfrm>
                    <a:prstGeom prst="rect">
                      <a:avLst/>
                    </a:prstGeom>
                  </pic:spPr>
                </pic:pic>
              </a:graphicData>
            </a:graphic>
          </wp:anchor>
        </w:drawing>
      </w:r>
    </w:p>
    <w:p>
      <w:pPr>
        <w:spacing w:before="116"/>
        <w:ind w:left="135" w:right="128" w:firstLine="0"/>
        <w:jc w:val="center"/>
        <w:rPr>
          <w:sz w:val="18"/>
        </w:rPr>
      </w:pPr>
      <w:r>
        <w:rPr>
          <w:color w:val="231F20"/>
          <w:sz w:val="18"/>
        </w:rPr>
        <w:t>Figura 1.        Ubicación geográfica del área de estudio en el Parque Nacional Nevado de Toluca,  Estado de México.</w:t>
      </w:r>
    </w:p>
    <w:p>
      <w:pPr>
        <w:pStyle w:val="BodyText"/>
      </w:pPr>
    </w:p>
    <w:p>
      <w:pPr>
        <w:pStyle w:val="BodyText"/>
        <w:spacing w:before="1"/>
        <w:rPr>
          <w:sz w:val="16"/>
        </w:rPr>
      </w:pPr>
    </w:p>
    <w:p>
      <w:pPr>
        <w:spacing w:after="0"/>
        <w:rPr>
          <w:sz w:val="16"/>
        </w:rPr>
        <w:sectPr>
          <w:pgSz w:w="11900" w:h="14450"/>
          <w:pgMar w:header="0" w:footer="222" w:top="420" w:bottom="420" w:left="0" w:right="0"/>
        </w:sectPr>
      </w:pPr>
    </w:p>
    <w:p>
      <w:pPr>
        <w:pStyle w:val="BodyText"/>
        <w:spacing w:line="266" w:lineRule="auto" w:before="68"/>
        <w:ind w:left="1553"/>
        <w:jc w:val="both"/>
      </w:pPr>
      <w:r>
        <w:rPr>
          <w:color w:val="231F20"/>
        </w:rPr>
        <w:t>natural a la actividad del pastoreo. Para el análisis se utilizó el porcentaje de identificación y asocia- ción relativa (PIAR) de los recursos naturales a la producción ovina. Para el efecto, las respuestas se clasificaron según el orden de</w:t>
      </w:r>
      <w:r>
        <w:rPr>
          <w:color w:val="231F20"/>
          <w:spacing w:val="29"/>
        </w:rPr>
        <w:t> </w:t>
      </w:r>
      <w:r>
        <w:rPr>
          <w:color w:val="231F20"/>
        </w:rPr>
        <w:t>importancia,</w:t>
      </w:r>
      <w:r>
        <w:rPr>
          <w:color w:val="231F20"/>
          <w:spacing w:val="23"/>
        </w:rPr>
        <w:t> </w:t>
      </w:r>
      <w:r>
        <w:rPr>
          <w:color w:val="231F20"/>
        </w:rPr>
        <w:t>desde</w:t>
      </w:r>
      <w:r>
        <w:rPr>
          <w:color w:val="231F20"/>
          <w:w w:val="104"/>
        </w:rPr>
        <w:t> </w:t>
      </w:r>
      <w:r>
        <w:rPr>
          <w:color w:val="231F20"/>
        </w:rPr>
        <w:t>la primera hasta la cuarta mención, y se estableció como ponderador para cada grupo de menciones el cociente entre el total de cada grupo y el total de menciones. Luego se obtuvo el valor pondera- do por mención para cada recurso como el pro- ducto entre el número de menciones del recurso    y el ponderador para cada mención, y se sumaron para obtener el valor ponderado por recurso. Por último, el PIAR se obtuvo como el porcentaje del valor ponderado de cada recurso respecto al valor ponderado relativo</w:t>
      </w:r>
      <w:r>
        <w:rPr>
          <w:color w:val="231F20"/>
          <w:spacing w:val="-26"/>
        </w:rPr>
        <w:t> </w:t>
      </w:r>
      <w:r>
        <w:rPr>
          <w:color w:val="231F20"/>
        </w:rPr>
        <w:t>total.</w:t>
      </w:r>
    </w:p>
    <w:p>
      <w:pPr>
        <w:pStyle w:val="BodyText"/>
        <w:spacing w:line="266" w:lineRule="auto" w:before="113"/>
        <w:ind w:left="1553"/>
        <w:jc w:val="both"/>
      </w:pPr>
      <w:r>
        <w:rPr>
          <w:color w:val="231F20"/>
        </w:rPr>
        <w:t>La valoración de las actividades productivas se ex- ploró a partir del cuestionario y de la estimación</w:t>
      </w:r>
      <w:r>
        <w:rPr>
          <w:color w:val="231F20"/>
          <w:spacing w:val="-8"/>
        </w:rPr>
        <w:t> </w:t>
      </w:r>
      <w:r>
        <w:rPr>
          <w:color w:val="231F20"/>
        </w:rPr>
        <w:t>de</w:t>
      </w:r>
    </w:p>
    <w:p>
      <w:pPr>
        <w:pStyle w:val="BodyText"/>
        <w:spacing w:line="268" w:lineRule="auto" w:before="68"/>
        <w:ind w:left="412" w:right="1551"/>
        <w:jc w:val="both"/>
      </w:pPr>
      <w:r>
        <w:rPr/>
        <w:br w:type="column"/>
      </w:r>
      <w:r>
        <w:rPr>
          <w:color w:val="231F20"/>
        </w:rPr>
        <w:t>los costos e ingresos generados durante el desa- rrollo</w:t>
      </w:r>
      <w:r>
        <w:rPr>
          <w:color w:val="231F20"/>
          <w:spacing w:val="-8"/>
        </w:rPr>
        <w:t> </w:t>
      </w:r>
      <w:r>
        <w:rPr>
          <w:color w:val="231F20"/>
        </w:rPr>
        <w:t>de</w:t>
      </w:r>
      <w:r>
        <w:rPr>
          <w:color w:val="231F20"/>
          <w:spacing w:val="-8"/>
        </w:rPr>
        <w:t> </w:t>
      </w:r>
      <w:r>
        <w:rPr>
          <w:color w:val="231F20"/>
        </w:rPr>
        <w:t>siete</w:t>
      </w:r>
      <w:r>
        <w:rPr>
          <w:color w:val="231F20"/>
          <w:spacing w:val="-8"/>
        </w:rPr>
        <w:t> </w:t>
      </w:r>
      <w:r>
        <w:rPr>
          <w:color w:val="231F20"/>
        </w:rPr>
        <w:t>talleres</w:t>
      </w:r>
      <w:r>
        <w:rPr>
          <w:color w:val="231F20"/>
          <w:spacing w:val="-8"/>
        </w:rPr>
        <w:t> </w:t>
      </w:r>
      <w:r>
        <w:rPr>
          <w:color w:val="231F20"/>
        </w:rPr>
        <w:t>participativos</w:t>
      </w:r>
      <w:r>
        <w:rPr>
          <w:color w:val="231F20"/>
          <w:spacing w:val="-8"/>
        </w:rPr>
        <w:t> </w:t>
      </w:r>
      <w:r>
        <w:rPr>
          <w:color w:val="231F20"/>
        </w:rPr>
        <w:t>efectuados</w:t>
      </w:r>
      <w:r>
        <w:rPr>
          <w:color w:val="231F20"/>
          <w:spacing w:val="-8"/>
        </w:rPr>
        <w:t> </w:t>
      </w:r>
      <w:r>
        <w:rPr>
          <w:color w:val="231F20"/>
        </w:rPr>
        <w:t>con pastores e integrantes de la comunidad. El análisis de la información tuvo un carácter descriptivo y cualitativo.</w:t>
      </w:r>
    </w:p>
    <w:p>
      <w:pPr>
        <w:pStyle w:val="BodyText"/>
        <w:spacing w:before="8"/>
        <w:rPr>
          <w:sz w:val="18"/>
        </w:rPr>
      </w:pPr>
    </w:p>
    <w:p>
      <w:pPr>
        <w:spacing w:before="0"/>
        <w:ind w:left="412" w:right="0" w:firstLine="0"/>
        <w:jc w:val="both"/>
        <w:rPr>
          <w:rFonts w:ascii="Cambria" w:hAnsi="Cambria"/>
          <w:i/>
          <w:sz w:val="20"/>
        </w:rPr>
      </w:pPr>
      <w:r>
        <w:rPr>
          <w:rFonts w:ascii="Cambria" w:hAnsi="Cambria"/>
          <w:i/>
          <w:color w:val="231F20"/>
          <w:w w:val="105"/>
          <w:sz w:val="20"/>
        </w:rPr>
        <w:t>Ocupación  y  aspectos productivos</w:t>
      </w:r>
    </w:p>
    <w:p>
      <w:pPr>
        <w:pStyle w:val="BodyText"/>
        <w:spacing w:line="268" w:lineRule="auto" w:before="152"/>
        <w:ind w:left="412" w:right="1551"/>
        <w:jc w:val="both"/>
      </w:pPr>
      <w:r>
        <w:rPr>
          <w:color w:val="231F20"/>
        </w:rPr>
        <w:t>Respecto a las localidades, en Loma Alta y La Puer- ta se desarrolla una agricultura de temporal con cultivos de papa (</w:t>
      </w:r>
      <w:r>
        <w:rPr>
          <w:i/>
          <w:color w:val="231F20"/>
        </w:rPr>
        <w:t>Solanum tuberosum  </w:t>
      </w:r>
      <w:r>
        <w:rPr>
          <w:color w:val="231F20"/>
        </w:rPr>
        <w:t>L.)  y  ave- na (</w:t>
      </w:r>
      <w:r>
        <w:rPr>
          <w:i/>
          <w:color w:val="231F20"/>
        </w:rPr>
        <w:t>Avena sativa </w:t>
      </w:r>
      <w:r>
        <w:rPr>
          <w:color w:val="231F20"/>
        </w:rPr>
        <w:t>L.), y el pastoreo de ovinos y bovinos, con una población ocupada en el sector primario del 69,7% y  el  64,8%,  respectivamen-  te. En La Peñuela hay un mayor desarrollo de la agricultura, tanto de temporal como de riego, con cultivos de papa, avena y plantas silvestres comes- tibles (</w:t>
      </w:r>
      <w:r>
        <w:rPr>
          <w:i/>
          <w:color w:val="231F20"/>
        </w:rPr>
        <w:t>Chenopodium </w:t>
      </w:r>
      <w:r>
        <w:rPr>
          <w:color w:val="231F20"/>
        </w:rPr>
        <w:t>spp. </w:t>
      </w:r>
      <w:r>
        <w:rPr>
          <w:i/>
          <w:color w:val="231F20"/>
        </w:rPr>
        <w:t>y Amaranthus </w:t>
      </w:r>
      <w:r>
        <w:rPr>
          <w:color w:val="231F20"/>
        </w:rPr>
        <w:t>spp.),  junto</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pastoreo</w:t>
      </w:r>
      <w:r>
        <w:rPr>
          <w:color w:val="231F20"/>
          <w:spacing w:val="20"/>
        </w:rPr>
        <w:t> </w:t>
      </w:r>
      <w:r>
        <w:rPr>
          <w:color w:val="231F20"/>
        </w:rPr>
        <w:t>de</w:t>
      </w:r>
      <w:r>
        <w:rPr>
          <w:color w:val="231F20"/>
          <w:spacing w:val="20"/>
        </w:rPr>
        <w:t> </w:t>
      </w:r>
      <w:r>
        <w:rPr>
          <w:color w:val="231F20"/>
        </w:rPr>
        <w:t>ovinos</w:t>
      </w:r>
      <w:r>
        <w:rPr>
          <w:color w:val="231F20"/>
          <w:spacing w:val="20"/>
        </w:rPr>
        <w:t> </w:t>
      </w:r>
      <w:r>
        <w:rPr>
          <w:color w:val="231F20"/>
        </w:rPr>
        <w:t>y</w:t>
      </w:r>
      <w:r>
        <w:rPr>
          <w:color w:val="231F20"/>
          <w:spacing w:val="20"/>
        </w:rPr>
        <w:t> </w:t>
      </w:r>
      <w:r>
        <w:rPr>
          <w:color w:val="231F20"/>
        </w:rPr>
        <w:t>bovinos;</w:t>
      </w:r>
      <w:r>
        <w:rPr>
          <w:color w:val="231F20"/>
          <w:spacing w:val="20"/>
        </w:rPr>
        <w:t> </w:t>
      </w:r>
      <w:r>
        <w:rPr>
          <w:color w:val="231F20"/>
        </w:rPr>
        <w:t>las</w:t>
      </w:r>
      <w:r>
        <w:rPr>
          <w:color w:val="231F20"/>
          <w:spacing w:val="20"/>
        </w:rPr>
        <w:t> </w:t>
      </w:r>
      <w:r>
        <w:rPr>
          <w:color w:val="231F20"/>
        </w:rPr>
        <w:t>ac-</w:t>
      </w:r>
    </w:p>
    <w:p>
      <w:pPr>
        <w:spacing w:after="0" w:line="268"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5"/>
          <w:w w:val="120"/>
          <w:sz w:val="22"/>
        </w:rPr>
        <w:t>154</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71" w:lineRule="auto" w:before="67"/>
        <w:ind w:left="1553"/>
        <w:jc w:val="both"/>
      </w:pPr>
      <w:r>
        <w:rPr>
          <w:color w:val="231F20"/>
        </w:rPr>
        <w:t>tividades del sector primario ocupan a un 80,7%  de la población. En Agua Blanca, un </w:t>
      </w:r>
      <w:r>
        <w:rPr>
          <w:color w:val="231F20"/>
          <w:spacing w:val="-3"/>
        </w:rPr>
        <w:t>30,7% </w:t>
      </w:r>
      <w:r>
        <w:rPr>
          <w:color w:val="231F20"/>
        </w:rPr>
        <w:t>de sus habitantes trabaja en el sector primario, principal- mente en el pastoreo de ovinos y bovinos, en la extracción de productos del bosque y en el sector secundario  (INEGI, </w:t>
      </w:r>
      <w:r>
        <w:rPr>
          <w:color w:val="231F20"/>
          <w:spacing w:val="43"/>
        </w:rPr>
        <w:t> </w:t>
      </w:r>
      <w:r>
        <w:rPr>
          <w:color w:val="231F20"/>
        </w:rPr>
        <w:t>2000).</w:t>
      </w:r>
    </w:p>
    <w:p>
      <w:pPr>
        <w:pStyle w:val="BodyText"/>
        <w:spacing w:line="271" w:lineRule="auto" w:before="112"/>
        <w:ind w:left="1553"/>
        <w:jc w:val="both"/>
      </w:pPr>
      <w:r>
        <w:rPr>
          <w:color w:val="231F20"/>
          <w:w w:val="105"/>
        </w:rPr>
        <w:t>Los</w:t>
      </w:r>
      <w:r>
        <w:rPr>
          <w:color w:val="231F20"/>
          <w:spacing w:val="-15"/>
          <w:w w:val="105"/>
        </w:rPr>
        <w:t> </w:t>
      </w:r>
      <w:r>
        <w:rPr>
          <w:color w:val="231F20"/>
          <w:w w:val="105"/>
        </w:rPr>
        <w:t>productores</w:t>
      </w:r>
      <w:r>
        <w:rPr>
          <w:color w:val="231F20"/>
          <w:spacing w:val="-15"/>
          <w:w w:val="105"/>
        </w:rPr>
        <w:t> </w:t>
      </w:r>
      <w:r>
        <w:rPr>
          <w:color w:val="231F20"/>
          <w:w w:val="105"/>
        </w:rPr>
        <w:t>utilizan</w:t>
      </w:r>
      <w:r>
        <w:rPr>
          <w:color w:val="231F20"/>
          <w:spacing w:val="-15"/>
          <w:w w:val="105"/>
        </w:rPr>
        <w:t>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pastoreo</w:t>
      </w:r>
      <w:r>
        <w:rPr>
          <w:color w:val="231F20"/>
          <w:spacing w:val="-15"/>
          <w:w w:val="105"/>
        </w:rPr>
        <w:t> </w:t>
      </w:r>
      <w:r>
        <w:rPr>
          <w:color w:val="231F20"/>
          <w:w w:val="105"/>
        </w:rPr>
        <w:t>las</w:t>
      </w:r>
      <w:r>
        <w:rPr>
          <w:color w:val="231F20"/>
          <w:spacing w:val="-15"/>
          <w:w w:val="105"/>
        </w:rPr>
        <w:t> </w:t>
      </w:r>
      <w:r>
        <w:rPr>
          <w:color w:val="231F20"/>
          <w:w w:val="105"/>
        </w:rPr>
        <w:t>áreas</w:t>
      </w:r>
      <w:r>
        <w:rPr>
          <w:color w:val="231F20"/>
          <w:w w:val="99"/>
        </w:rPr>
        <w:t> </w:t>
      </w:r>
      <w:r>
        <w:rPr>
          <w:color w:val="231F20"/>
          <w:w w:val="105"/>
        </w:rPr>
        <w:t>de</w:t>
      </w:r>
      <w:r>
        <w:rPr>
          <w:color w:val="231F20"/>
          <w:spacing w:val="-16"/>
          <w:w w:val="105"/>
        </w:rPr>
        <w:t> </w:t>
      </w:r>
      <w:r>
        <w:rPr>
          <w:color w:val="231F20"/>
          <w:w w:val="105"/>
        </w:rPr>
        <w:t>carácter</w:t>
      </w:r>
      <w:r>
        <w:rPr>
          <w:color w:val="231F20"/>
          <w:spacing w:val="-16"/>
          <w:w w:val="105"/>
        </w:rPr>
        <w:t> </w:t>
      </w:r>
      <w:r>
        <w:rPr>
          <w:color w:val="231F20"/>
          <w:w w:val="105"/>
        </w:rPr>
        <w:t>ejidal,</w:t>
      </w:r>
      <w:r>
        <w:rPr>
          <w:color w:val="231F20"/>
          <w:spacing w:val="-16"/>
          <w:w w:val="105"/>
        </w:rPr>
        <w:t> </w:t>
      </w:r>
      <w:r>
        <w:rPr>
          <w:color w:val="231F20"/>
          <w:w w:val="105"/>
        </w:rPr>
        <w:t>aunque</w:t>
      </w:r>
      <w:r>
        <w:rPr>
          <w:color w:val="231F20"/>
          <w:spacing w:val="-16"/>
          <w:w w:val="105"/>
        </w:rPr>
        <w:t> </w:t>
      </w:r>
      <w:r>
        <w:rPr>
          <w:color w:val="231F20"/>
          <w:w w:val="105"/>
        </w:rPr>
        <w:t>poseen</w:t>
      </w:r>
      <w:r>
        <w:rPr>
          <w:color w:val="231F20"/>
          <w:spacing w:val="-16"/>
          <w:w w:val="105"/>
        </w:rPr>
        <w:t> </w:t>
      </w:r>
      <w:r>
        <w:rPr>
          <w:color w:val="231F20"/>
          <w:w w:val="105"/>
        </w:rPr>
        <w:t>terrenos</w:t>
      </w:r>
      <w:r>
        <w:rPr>
          <w:color w:val="231F20"/>
          <w:spacing w:val="-16"/>
          <w:w w:val="105"/>
        </w:rPr>
        <w:t> </w:t>
      </w:r>
      <w:r>
        <w:rPr>
          <w:color w:val="231F20"/>
          <w:w w:val="105"/>
        </w:rPr>
        <w:t>de</w:t>
      </w:r>
      <w:r>
        <w:rPr>
          <w:color w:val="231F20"/>
          <w:spacing w:val="-16"/>
          <w:w w:val="105"/>
        </w:rPr>
        <w:t> </w:t>
      </w:r>
      <w:r>
        <w:rPr>
          <w:color w:val="231F20"/>
          <w:w w:val="105"/>
        </w:rPr>
        <w:t>uso</w:t>
      </w:r>
      <w:r>
        <w:rPr>
          <w:color w:val="231F20"/>
          <w:w w:val="103"/>
        </w:rPr>
        <w:t> </w:t>
      </w:r>
      <w:r>
        <w:rPr>
          <w:color w:val="231F20"/>
          <w:w w:val="105"/>
        </w:rPr>
        <w:t>exclusivo</w:t>
      </w:r>
      <w:r>
        <w:rPr>
          <w:color w:val="231F20"/>
          <w:spacing w:val="-27"/>
          <w:w w:val="105"/>
        </w:rPr>
        <w:t> </w:t>
      </w:r>
      <w:r>
        <w:rPr>
          <w:color w:val="231F20"/>
          <w:w w:val="105"/>
        </w:rPr>
        <w:t>que</w:t>
      </w:r>
      <w:r>
        <w:rPr>
          <w:color w:val="231F20"/>
          <w:spacing w:val="-27"/>
          <w:w w:val="105"/>
        </w:rPr>
        <w:t> </w:t>
      </w:r>
      <w:r>
        <w:rPr>
          <w:color w:val="231F20"/>
          <w:w w:val="105"/>
        </w:rPr>
        <w:t>emplean</w:t>
      </w:r>
      <w:r>
        <w:rPr>
          <w:color w:val="231F20"/>
          <w:spacing w:val="-27"/>
          <w:w w:val="105"/>
        </w:rPr>
        <w:t> </w:t>
      </w:r>
      <w:r>
        <w:rPr>
          <w:color w:val="231F20"/>
          <w:w w:val="105"/>
        </w:rPr>
        <w:t>tanto</w:t>
      </w:r>
      <w:r>
        <w:rPr>
          <w:color w:val="231F20"/>
          <w:spacing w:val="-27"/>
          <w:w w:val="105"/>
        </w:rPr>
        <w:t> </w:t>
      </w:r>
      <w:r>
        <w:rPr>
          <w:color w:val="231F20"/>
          <w:w w:val="105"/>
        </w:rPr>
        <w:t>para</w:t>
      </w:r>
      <w:r>
        <w:rPr>
          <w:color w:val="231F20"/>
          <w:spacing w:val="-27"/>
          <w:w w:val="105"/>
        </w:rPr>
        <w:t> </w:t>
      </w:r>
      <w:r>
        <w:rPr>
          <w:color w:val="231F20"/>
          <w:w w:val="105"/>
        </w:rPr>
        <w:t>actividades</w:t>
      </w:r>
      <w:r>
        <w:rPr>
          <w:color w:val="231F20"/>
          <w:spacing w:val="-27"/>
          <w:w w:val="105"/>
        </w:rPr>
        <w:t> </w:t>
      </w:r>
      <w:r>
        <w:rPr>
          <w:color w:val="231F20"/>
          <w:w w:val="105"/>
        </w:rPr>
        <w:t>agrí- colas</w:t>
      </w:r>
      <w:r>
        <w:rPr>
          <w:color w:val="231F20"/>
          <w:spacing w:val="-9"/>
          <w:w w:val="105"/>
        </w:rPr>
        <w:t> </w:t>
      </w:r>
      <w:r>
        <w:rPr>
          <w:color w:val="231F20"/>
          <w:w w:val="105"/>
        </w:rPr>
        <w:t>como</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w w:val="105"/>
        </w:rPr>
        <w:t>pastoreo;</w:t>
      </w:r>
      <w:r>
        <w:rPr>
          <w:color w:val="231F20"/>
          <w:spacing w:val="-9"/>
          <w:w w:val="105"/>
        </w:rPr>
        <w:t> </w:t>
      </w:r>
      <w:r>
        <w:rPr>
          <w:color w:val="231F20"/>
          <w:w w:val="105"/>
        </w:rPr>
        <w:t>así,</w:t>
      </w:r>
      <w:r>
        <w:rPr>
          <w:color w:val="231F20"/>
          <w:spacing w:val="-9"/>
          <w:w w:val="105"/>
        </w:rPr>
        <w:t> </w:t>
      </w:r>
      <w:r>
        <w:rPr>
          <w:color w:val="231F20"/>
          <w:w w:val="105"/>
        </w:rPr>
        <w:t>el</w:t>
      </w:r>
      <w:r>
        <w:rPr>
          <w:color w:val="231F20"/>
          <w:spacing w:val="-9"/>
          <w:w w:val="105"/>
        </w:rPr>
        <w:t> </w:t>
      </w:r>
      <w:r>
        <w:rPr>
          <w:color w:val="231F20"/>
          <w:w w:val="105"/>
        </w:rPr>
        <w:t>35%</w:t>
      </w:r>
      <w:r>
        <w:rPr>
          <w:color w:val="231F20"/>
          <w:spacing w:val="-9"/>
          <w:w w:val="105"/>
        </w:rPr>
        <w:t> </w:t>
      </w:r>
      <w:r>
        <w:rPr>
          <w:color w:val="231F20"/>
          <w:w w:val="105"/>
        </w:rPr>
        <w:t>disponen </w:t>
      </w:r>
      <w:r>
        <w:rPr>
          <w:color w:val="231F20"/>
          <w:w w:val="110"/>
        </w:rPr>
        <w:t>de</w:t>
      </w:r>
      <w:r>
        <w:rPr>
          <w:color w:val="231F20"/>
          <w:spacing w:val="-25"/>
          <w:w w:val="110"/>
        </w:rPr>
        <w:t> </w:t>
      </w:r>
      <w:r>
        <w:rPr>
          <w:color w:val="231F20"/>
          <w:w w:val="110"/>
        </w:rPr>
        <w:t>1</w:t>
      </w:r>
      <w:r>
        <w:rPr>
          <w:color w:val="231F20"/>
          <w:spacing w:val="-25"/>
          <w:w w:val="110"/>
        </w:rPr>
        <w:t> </w:t>
      </w:r>
      <w:r>
        <w:rPr>
          <w:color w:val="231F20"/>
          <w:w w:val="110"/>
        </w:rPr>
        <w:t>ha,</w:t>
      </w:r>
      <w:r>
        <w:rPr>
          <w:color w:val="231F20"/>
          <w:spacing w:val="-25"/>
          <w:w w:val="110"/>
        </w:rPr>
        <w:t> </w:t>
      </w:r>
      <w:r>
        <w:rPr>
          <w:color w:val="231F20"/>
          <w:w w:val="110"/>
        </w:rPr>
        <w:t>el</w:t>
      </w:r>
      <w:r>
        <w:rPr>
          <w:color w:val="231F20"/>
          <w:spacing w:val="-25"/>
          <w:w w:val="110"/>
        </w:rPr>
        <w:t> </w:t>
      </w:r>
      <w:r>
        <w:rPr>
          <w:color w:val="231F20"/>
          <w:w w:val="110"/>
        </w:rPr>
        <w:t>22,5%</w:t>
      </w:r>
      <w:r>
        <w:rPr>
          <w:color w:val="231F20"/>
          <w:spacing w:val="-25"/>
          <w:w w:val="110"/>
        </w:rPr>
        <w:t> </w:t>
      </w:r>
      <w:r>
        <w:rPr>
          <w:color w:val="231F20"/>
          <w:w w:val="110"/>
        </w:rPr>
        <w:t>entre</w:t>
      </w:r>
      <w:r>
        <w:rPr>
          <w:color w:val="231F20"/>
          <w:spacing w:val="-25"/>
          <w:w w:val="110"/>
        </w:rPr>
        <w:t> </w:t>
      </w:r>
      <w:r>
        <w:rPr>
          <w:color w:val="231F20"/>
          <w:w w:val="110"/>
        </w:rPr>
        <w:t>1</w:t>
      </w:r>
      <w:r>
        <w:rPr>
          <w:color w:val="231F20"/>
          <w:spacing w:val="-25"/>
          <w:w w:val="110"/>
        </w:rPr>
        <w:t> </w:t>
      </w:r>
      <w:r>
        <w:rPr>
          <w:color w:val="231F20"/>
          <w:w w:val="110"/>
        </w:rPr>
        <w:t>y</w:t>
      </w:r>
      <w:r>
        <w:rPr>
          <w:color w:val="231F20"/>
          <w:spacing w:val="-25"/>
          <w:w w:val="110"/>
        </w:rPr>
        <w:t> </w:t>
      </w:r>
      <w:r>
        <w:rPr>
          <w:color w:val="231F20"/>
          <w:w w:val="110"/>
        </w:rPr>
        <w:t>2</w:t>
      </w:r>
      <w:r>
        <w:rPr>
          <w:color w:val="231F20"/>
          <w:spacing w:val="-25"/>
          <w:w w:val="110"/>
        </w:rPr>
        <w:t> </w:t>
      </w:r>
      <w:r>
        <w:rPr>
          <w:color w:val="231F20"/>
          <w:w w:val="110"/>
        </w:rPr>
        <w:t>ha,</w:t>
      </w:r>
      <w:r>
        <w:rPr>
          <w:color w:val="231F20"/>
          <w:spacing w:val="-25"/>
          <w:w w:val="110"/>
        </w:rPr>
        <w:t> </w:t>
      </w:r>
      <w:r>
        <w:rPr>
          <w:color w:val="231F20"/>
          <w:w w:val="110"/>
        </w:rPr>
        <w:t>y</w:t>
      </w:r>
      <w:r>
        <w:rPr>
          <w:color w:val="231F20"/>
          <w:spacing w:val="-25"/>
          <w:w w:val="110"/>
        </w:rPr>
        <w:t> </w:t>
      </w:r>
      <w:r>
        <w:rPr>
          <w:color w:val="231F20"/>
          <w:w w:val="110"/>
        </w:rPr>
        <w:t>el</w:t>
      </w:r>
      <w:r>
        <w:rPr>
          <w:color w:val="231F20"/>
          <w:spacing w:val="-25"/>
          <w:w w:val="110"/>
        </w:rPr>
        <w:t> </w:t>
      </w:r>
      <w:r>
        <w:rPr>
          <w:color w:val="231F20"/>
          <w:w w:val="110"/>
        </w:rPr>
        <w:t>12,5%</w:t>
      </w:r>
      <w:r>
        <w:rPr>
          <w:color w:val="231F20"/>
          <w:spacing w:val="-25"/>
          <w:w w:val="110"/>
        </w:rPr>
        <w:t> </w:t>
      </w:r>
      <w:r>
        <w:rPr>
          <w:color w:val="231F20"/>
          <w:w w:val="110"/>
        </w:rPr>
        <w:t>más</w:t>
      </w:r>
      <w:r>
        <w:rPr>
          <w:color w:val="231F20"/>
          <w:spacing w:val="-25"/>
          <w:w w:val="110"/>
        </w:rPr>
        <w:t> </w:t>
      </w:r>
      <w:r>
        <w:rPr>
          <w:color w:val="231F20"/>
          <w:w w:val="110"/>
        </w:rPr>
        <w:t>de </w:t>
      </w:r>
      <w:r>
        <w:rPr>
          <w:color w:val="231F20"/>
          <w:w w:val="105"/>
        </w:rPr>
        <w:t>3</w:t>
      </w:r>
      <w:r>
        <w:rPr>
          <w:color w:val="231F20"/>
          <w:spacing w:val="-15"/>
          <w:w w:val="105"/>
        </w:rPr>
        <w:t> </w:t>
      </w:r>
      <w:r>
        <w:rPr>
          <w:color w:val="231F20"/>
          <w:w w:val="105"/>
        </w:rPr>
        <w:t>ha.</w:t>
      </w:r>
      <w:r>
        <w:rPr>
          <w:color w:val="231F20"/>
          <w:spacing w:val="-15"/>
          <w:w w:val="105"/>
        </w:rPr>
        <w:t> </w:t>
      </w:r>
      <w:r>
        <w:rPr>
          <w:color w:val="231F20"/>
          <w:w w:val="105"/>
        </w:rPr>
        <w:t>En</w:t>
      </w:r>
      <w:r>
        <w:rPr>
          <w:color w:val="231F20"/>
          <w:spacing w:val="-15"/>
          <w:w w:val="105"/>
        </w:rPr>
        <w:t> </w:t>
      </w:r>
      <w:r>
        <w:rPr>
          <w:color w:val="231F20"/>
          <w:w w:val="105"/>
        </w:rPr>
        <w:t>dichos</w:t>
      </w:r>
      <w:r>
        <w:rPr>
          <w:color w:val="231F20"/>
          <w:spacing w:val="-15"/>
          <w:w w:val="105"/>
        </w:rPr>
        <w:t> </w:t>
      </w:r>
      <w:r>
        <w:rPr>
          <w:color w:val="231F20"/>
          <w:w w:val="105"/>
        </w:rPr>
        <w:t>terrenos,</w:t>
      </w:r>
      <w:r>
        <w:rPr>
          <w:color w:val="231F20"/>
          <w:spacing w:val="-15"/>
          <w:w w:val="105"/>
        </w:rPr>
        <w:t> </w:t>
      </w:r>
      <w:r>
        <w:rPr>
          <w:color w:val="231F20"/>
          <w:w w:val="105"/>
        </w:rPr>
        <w:t>los</w:t>
      </w:r>
      <w:r>
        <w:rPr>
          <w:color w:val="231F20"/>
          <w:spacing w:val="-15"/>
          <w:w w:val="105"/>
        </w:rPr>
        <w:t> </w:t>
      </w:r>
      <w:r>
        <w:rPr>
          <w:color w:val="231F20"/>
          <w:w w:val="105"/>
        </w:rPr>
        <w:t>productores</w:t>
      </w:r>
      <w:r>
        <w:rPr>
          <w:color w:val="231F20"/>
          <w:spacing w:val="-15"/>
          <w:w w:val="105"/>
        </w:rPr>
        <w:t> </w:t>
      </w:r>
      <w:r>
        <w:rPr>
          <w:color w:val="231F20"/>
          <w:w w:val="105"/>
        </w:rPr>
        <w:t>destinan</w:t>
      </w:r>
      <w:r>
        <w:rPr>
          <w:color w:val="231F20"/>
          <w:w w:val="100"/>
        </w:rPr>
        <w:t> </w:t>
      </w:r>
      <w:r>
        <w:rPr>
          <w:color w:val="231F20"/>
          <w:w w:val="110"/>
        </w:rPr>
        <w:t>zonas que van desde 0,25 ha hasta 2 ha para</w:t>
      </w:r>
      <w:r>
        <w:rPr>
          <w:color w:val="231F20"/>
          <w:spacing w:val="-29"/>
          <w:w w:val="110"/>
        </w:rPr>
        <w:t> </w:t>
      </w:r>
      <w:r>
        <w:rPr>
          <w:color w:val="231F20"/>
          <w:w w:val="110"/>
        </w:rPr>
        <w:t>la </w:t>
      </w:r>
      <w:r>
        <w:rPr>
          <w:color w:val="231F20"/>
          <w:w w:val="105"/>
        </w:rPr>
        <w:t>agricultura</w:t>
      </w:r>
      <w:r>
        <w:rPr>
          <w:color w:val="231F20"/>
          <w:spacing w:val="-25"/>
          <w:w w:val="105"/>
        </w:rPr>
        <w:t> </w:t>
      </w:r>
      <w:r>
        <w:rPr>
          <w:color w:val="231F20"/>
          <w:w w:val="105"/>
        </w:rPr>
        <w:t>de</w:t>
      </w:r>
      <w:r>
        <w:rPr>
          <w:color w:val="231F20"/>
          <w:spacing w:val="-25"/>
          <w:w w:val="105"/>
        </w:rPr>
        <w:t> </w:t>
      </w:r>
      <w:r>
        <w:rPr>
          <w:color w:val="231F20"/>
          <w:w w:val="105"/>
        </w:rPr>
        <w:t>temporal</w:t>
      </w:r>
      <w:r>
        <w:rPr>
          <w:color w:val="231F20"/>
          <w:spacing w:val="-25"/>
          <w:w w:val="105"/>
        </w:rPr>
        <w:t> </w:t>
      </w:r>
      <w:r>
        <w:rPr>
          <w:color w:val="231F20"/>
          <w:w w:val="105"/>
        </w:rPr>
        <w:t>con</w:t>
      </w:r>
      <w:r>
        <w:rPr>
          <w:color w:val="231F20"/>
          <w:spacing w:val="-25"/>
          <w:w w:val="105"/>
        </w:rPr>
        <w:t> </w:t>
      </w:r>
      <w:r>
        <w:rPr>
          <w:color w:val="231F20"/>
          <w:w w:val="105"/>
        </w:rPr>
        <w:t>cultivos</w:t>
      </w:r>
      <w:r>
        <w:rPr>
          <w:color w:val="231F20"/>
          <w:spacing w:val="-25"/>
          <w:w w:val="105"/>
        </w:rPr>
        <w:t> </w:t>
      </w:r>
      <w:r>
        <w:rPr>
          <w:color w:val="231F20"/>
          <w:w w:val="105"/>
        </w:rPr>
        <w:t>de</w:t>
      </w:r>
      <w:r>
        <w:rPr>
          <w:color w:val="231F20"/>
          <w:spacing w:val="-25"/>
          <w:w w:val="105"/>
        </w:rPr>
        <w:t> </w:t>
      </w:r>
      <w:r>
        <w:rPr>
          <w:color w:val="231F20"/>
          <w:w w:val="105"/>
        </w:rPr>
        <w:t>papa</w:t>
      </w:r>
      <w:r>
        <w:rPr>
          <w:color w:val="231F20"/>
          <w:spacing w:val="-25"/>
          <w:w w:val="105"/>
        </w:rPr>
        <w:t> </w:t>
      </w:r>
      <w:r>
        <w:rPr>
          <w:color w:val="231F20"/>
          <w:w w:val="105"/>
        </w:rPr>
        <w:t>y</w:t>
      </w:r>
      <w:r>
        <w:rPr>
          <w:color w:val="231F20"/>
          <w:spacing w:val="-25"/>
          <w:w w:val="105"/>
        </w:rPr>
        <w:t> </w:t>
      </w:r>
      <w:r>
        <w:rPr>
          <w:color w:val="231F20"/>
          <w:w w:val="105"/>
        </w:rPr>
        <w:t>ave- </w:t>
      </w:r>
      <w:r>
        <w:rPr>
          <w:color w:val="231F20"/>
          <w:w w:val="110"/>
        </w:rPr>
        <w:t>na</w:t>
      </w:r>
      <w:r>
        <w:rPr>
          <w:color w:val="231F20"/>
          <w:spacing w:val="-24"/>
          <w:w w:val="110"/>
        </w:rPr>
        <w:t> </w:t>
      </w:r>
      <w:r>
        <w:rPr>
          <w:color w:val="231F20"/>
          <w:w w:val="110"/>
        </w:rPr>
        <w:t>en</w:t>
      </w:r>
      <w:r>
        <w:rPr>
          <w:color w:val="231F20"/>
          <w:spacing w:val="-24"/>
          <w:w w:val="110"/>
        </w:rPr>
        <w:t> </w:t>
      </w:r>
      <w:r>
        <w:rPr>
          <w:color w:val="231F20"/>
          <w:w w:val="110"/>
        </w:rPr>
        <w:t>las</w:t>
      </w:r>
      <w:r>
        <w:rPr>
          <w:color w:val="231F20"/>
          <w:spacing w:val="-24"/>
          <w:w w:val="110"/>
        </w:rPr>
        <w:t> </w:t>
      </w:r>
      <w:r>
        <w:rPr>
          <w:color w:val="231F20"/>
          <w:w w:val="110"/>
        </w:rPr>
        <w:t>localidades</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Puerta,</w:t>
      </w:r>
      <w:r>
        <w:rPr>
          <w:color w:val="231F20"/>
          <w:spacing w:val="-24"/>
          <w:w w:val="110"/>
        </w:rPr>
        <w:t> </w:t>
      </w:r>
      <w:r>
        <w:rPr>
          <w:color w:val="231F20"/>
          <w:w w:val="110"/>
        </w:rPr>
        <w:t>Loma</w:t>
      </w:r>
      <w:r>
        <w:rPr>
          <w:color w:val="231F20"/>
          <w:spacing w:val="-24"/>
          <w:w w:val="110"/>
        </w:rPr>
        <w:t> </w:t>
      </w:r>
      <w:r>
        <w:rPr>
          <w:color w:val="231F20"/>
          <w:w w:val="110"/>
        </w:rPr>
        <w:t>Alta</w:t>
      </w:r>
      <w:r>
        <w:rPr>
          <w:color w:val="231F20"/>
          <w:spacing w:val="-24"/>
          <w:w w:val="110"/>
        </w:rPr>
        <w:t> </w:t>
      </w:r>
      <w:r>
        <w:rPr>
          <w:color w:val="231F20"/>
          <w:w w:val="110"/>
        </w:rPr>
        <w:t>y</w:t>
      </w:r>
      <w:r>
        <w:rPr>
          <w:color w:val="231F20"/>
          <w:spacing w:val="-24"/>
          <w:w w:val="110"/>
        </w:rPr>
        <w:t> </w:t>
      </w:r>
      <w:r>
        <w:rPr>
          <w:color w:val="231F20"/>
          <w:w w:val="110"/>
        </w:rPr>
        <w:t>La</w:t>
      </w:r>
      <w:r>
        <w:rPr>
          <w:color w:val="231F20"/>
          <w:w w:val="104"/>
        </w:rPr>
        <w:t> </w:t>
      </w:r>
      <w:r>
        <w:rPr>
          <w:color w:val="231F20"/>
          <w:w w:val="105"/>
        </w:rPr>
        <w:t>Peñuela.</w:t>
      </w:r>
      <w:r>
        <w:rPr>
          <w:color w:val="231F20"/>
          <w:spacing w:val="-10"/>
          <w:w w:val="105"/>
        </w:rPr>
        <w:t> </w:t>
      </w:r>
      <w:r>
        <w:rPr>
          <w:color w:val="231F20"/>
          <w:w w:val="105"/>
        </w:rPr>
        <w:t>En</w:t>
      </w:r>
      <w:r>
        <w:rPr>
          <w:color w:val="231F20"/>
          <w:spacing w:val="-10"/>
          <w:w w:val="105"/>
        </w:rPr>
        <w:t> </w:t>
      </w:r>
      <w:r>
        <w:rPr>
          <w:color w:val="231F20"/>
          <w:w w:val="105"/>
        </w:rPr>
        <w:t>esta</w:t>
      </w:r>
      <w:r>
        <w:rPr>
          <w:color w:val="231F20"/>
          <w:spacing w:val="-10"/>
          <w:w w:val="105"/>
        </w:rPr>
        <w:t> </w:t>
      </w:r>
      <w:r>
        <w:rPr>
          <w:color w:val="231F20"/>
          <w:w w:val="105"/>
        </w:rPr>
        <w:t>última</w:t>
      </w:r>
      <w:r>
        <w:rPr>
          <w:color w:val="231F20"/>
          <w:spacing w:val="-10"/>
          <w:w w:val="105"/>
        </w:rPr>
        <w:t> </w:t>
      </w:r>
      <w:r>
        <w:rPr>
          <w:color w:val="231F20"/>
          <w:w w:val="105"/>
        </w:rPr>
        <w:t>se</w:t>
      </w:r>
      <w:r>
        <w:rPr>
          <w:color w:val="231F20"/>
          <w:spacing w:val="-10"/>
          <w:w w:val="105"/>
        </w:rPr>
        <w:t> </w:t>
      </w:r>
      <w:r>
        <w:rPr>
          <w:color w:val="231F20"/>
          <w:w w:val="105"/>
        </w:rPr>
        <w:t>cultivan</w:t>
      </w:r>
      <w:r>
        <w:rPr>
          <w:color w:val="231F20"/>
          <w:spacing w:val="-10"/>
          <w:w w:val="105"/>
        </w:rPr>
        <w:t> </w:t>
      </w:r>
      <w:r>
        <w:rPr>
          <w:color w:val="231F20"/>
          <w:w w:val="105"/>
        </w:rPr>
        <w:t>también</w:t>
      </w:r>
      <w:r>
        <w:rPr>
          <w:color w:val="231F20"/>
          <w:spacing w:val="-10"/>
          <w:w w:val="105"/>
        </w:rPr>
        <w:t> </w:t>
      </w:r>
      <w:r>
        <w:rPr>
          <w:color w:val="231F20"/>
          <w:w w:val="105"/>
        </w:rPr>
        <w:t>haba,</w:t>
      </w:r>
      <w:r>
        <w:rPr>
          <w:color w:val="231F20"/>
          <w:w w:val="99"/>
        </w:rPr>
        <w:t> </w:t>
      </w:r>
      <w:r>
        <w:rPr>
          <w:color w:val="231F20"/>
          <w:w w:val="110"/>
        </w:rPr>
        <w:t>chícharos y vegetales</w:t>
      </w:r>
      <w:r>
        <w:rPr>
          <w:color w:val="231F20"/>
          <w:spacing w:val="30"/>
          <w:w w:val="110"/>
        </w:rPr>
        <w:t> </w:t>
      </w:r>
      <w:r>
        <w:rPr>
          <w:color w:val="231F20"/>
          <w:w w:val="110"/>
        </w:rPr>
        <w:t>silvestres</w:t>
      </w:r>
      <w:r>
        <w:rPr>
          <w:color w:val="231F20"/>
          <w:spacing w:val="10"/>
          <w:w w:val="110"/>
        </w:rPr>
        <w:t> </w:t>
      </w:r>
      <w:r>
        <w:rPr>
          <w:color w:val="231F20"/>
          <w:w w:val="110"/>
        </w:rPr>
        <w:t>(</w:t>
      </w:r>
      <w:r>
        <w:rPr>
          <w:i/>
          <w:color w:val="231F20"/>
          <w:w w:val="110"/>
        </w:rPr>
        <w:t>Chenopodium</w:t>
      </w:r>
      <w:r>
        <w:rPr>
          <w:i/>
          <w:color w:val="231F20"/>
          <w:w w:val="106"/>
        </w:rPr>
        <w:t> </w:t>
      </w:r>
      <w:r>
        <w:rPr>
          <w:color w:val="231F20"/>
          <w:w w:val="110"/>
        </w:rPr>
        <w:t>sp.).</w:t>
      </w:r>
      <w:r>
        <w:rPr>
          <w:color w:val="231F20"/>
          <w:spacing w:val="-7"/>
          <w:w w:val="110"/>
        </w:rPr>
        <w:t> </w:t>
      </w:r>
      <w:r>
        <w:rPr>
          <w:color w:val="231F20"/>
          <w:w w:val="110"/>
        </w:rPr>
        <w:t>Ninguno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productores</w:t>
      </w:r>
      <w:r>
        <w:rPr>
          <w:color w:val="231F20"/>
          <w:spacing w:val="-7"/>
          <w:w w:val="110"/>
        </w:rPr>
        <w:t> </w:t>
      </w:r>
      <w:r>
        <w:rPr>
          <w:color w:val="231F20"/>
          <w:w w:val="110"/>
        </w:rPr>
        <w:t>lleva</w:t>
      </w:r>
      <w:r>
        <w:rPr>
          <w:color w:val="231F20"/>
          <w:spacing w:val="-7"/>
          <w:w w:val="110"/>
        </w:rPr>
        <w:t> </w:t>
      </w:r>
      <w:r>
        <w:rPr>
          <w:color w:val="231F20"/>
          <w:w w:val="110"/>
        </w:rPr>
        <w:t>registros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actividades</w:t>
      </w:r>
      <w:r>
        <w:rPr>
          <w:color w:val="231F20"/>
          <w:spacing w:val="-16"/>
          <w:w w:val="105"/>
        </w:rPr>
        <w:t> </w:t>
      </w:r>
      <w:r>
        <w:rPr>
          <w:color w:val="231F20"/>
          <w:w w:val="105"/>
        </w:rPr>
        <w:t>productivas.</w:t>
      </w:r>
      <w:r>
        <w:rPr>
          <w:color w:val="231F20"/>
          <w:spacing w:val="-16"/>
          <w:w w:val="105"/>
        </w:rPr>
        <w:t> </w:t>
      </w:r>
      <w:r>
        <w:rPr>
          <w:color w:val="231F20"/>
          <w:w w:val="105"/>
        </w:rPr>
        <w:t>Las</w:t>
      </w:r>
      <w:r>
        <w:rPr>
          <w:color w:val="231F20"/>
          <w:spacing w:val="-16"/>
          <w:w w:val="105"/>
        </w:rPr>
        <w:t> </w:t>
      </w:r>
      <w:r>
        <w:rPr>
          <w:color w:val="231F20"/>
          <w:w w:val="105"/>
        </w:rPr>
        <w:t>razas</w:t>
      </w:r>
      <w:r>
        <w:rPr>
          <w:color w:val="231F20"/>
          <w:spacing w:val="-16"/>
          <w:w w:val="105"/>
        </w:rPr>
        <w:t> </w:t>
      </w:r>
      <w:r>
        <w:rPr>
          <w:color w:val="231F20"/>
          <w:w w:val="105"/>
        </w:rPr>
        <w:t>de</w:t>
      </w:r>
      <w:r>
        <w:rPr>
          <w:color w:val="231F20"/>
          <w:spacing w:val="-16"/>
          <w:w w:val="105"/>
        </w:rPr>
        <w:t> </w:t>
      </w:r>
      <w:r>
        <w:rPr>
          <w:color w:val="231F20"/>
          <w:w w:val="105"/>
        </w:rPr>
        <w:t>ovinos </w:t>
      </w:r>
      <w:r>
        <w:rPr>
          <w:color w:val="231F20"/>
          <w:w w:val="110"/>
        </w:rPr>
        <w:t>son Suffolk (40%), cruces</w:t>
      </w:r>
      <w:r>
        <w:rPr>
          <w:color w:val="231F20"/>
          <w:spacing w:val="-33"/>
          <w:w w:val="110"/>
        </w:rPr>
        <w:t> </w:t>
      </w:r>
      <w:r>
        <w:rPr>
          <w:color w:val="231F20"/>
          <w:w w:val="110"/>
        </w:rPr>
        <w:t>de</w:t>
      </w:r>
      <w:r>
        <w:rPr>
          <w:color w:val="231F20"/>
          <w:spacing w:val="-9"/>
          <w:w w:val="110"/>
        </w:rPr>
        <w:t> </w:t>
      </w:r>
      <w:r>
        <w:rPr>
          <w:color w:val="231F20"/>
          <w:w w:val="110"/>
        </w:rPr>
        <w:t>Suffolk-Hampshire</w:t>
      </w:r>
      <w:r>
        <w:rPr>
          <w:color w:val="231F20"/>
          <w:w w:val="101"/>
        </w:rPr>
        <w:t> </w:t>
      </w:r>
      <w:r>
        <w:rPr>
          <w:color w:val="231F20"/>
          <w:w w:val="110"/>
        </w:rPr>
        <w:t>(40%) o Hampshire (10%), y criollo local (10%). En</w:t>
      </w:r>
      <w:r>
        <w:rPr>
          <w:color w:val="231F20"/>
          <w:spacing w:val="-5"/>
          <w:w w:val="110"/>
        </w:rPr>
        <w:t> </w:t>
      </w:r>
      <w:r>
        <w:rPr>
          <w:color w:val="231F20"/>
          <w:w w:val="110"/>
        </w:rPr>
        <w:t>general</w:t>
      </w:r>
      <w:r>
        <w:rPr>
          <w:color w:val="231F20"/>
          <w:spacing w:val="-5"/>
          <w:w w:val="110"/>
        </w:rPr>
        <w:t> </w:t>
      </w:r>
      <w:r>
        <w:rPr>
          <w:color w:val="231F20"/>
          <w:w w:val="110"/>
        </w:rPr>
        <w:t>se</w:t>
      </w:r>
      <w:r>
        <w:rPr>
          <w:color w:val="231F20"/>
          <w:spacing w:val="-5"/>
          <w:w w:val="110"/>
        </w:rPr>
        <w:t> </w:t>
      </w:r>
      <w:r>
        <w:rPr>
          <w:color w:val="231F20"/>
          <w:w w:val="110"/>
        </w:rPr>
        <w:t>encontró</w:t>
      </w:r>
      <w:r>
        <w:rPr>
          <w:color w:val="231F20"/>
          <w:spacing w:val="-5"/>
          <w:w w:val="110"/>
        </w:rPr>
        <w:t> </w:t>
      </w:r>
      <w:r>
        <w:rPr>
          <w:color w:val="231F20"/>
          <w:w w:val="110"/>
        </w:rPr>
        <w:t>una</w:t>
      </w:r>
      <w:r>
        <w:rPr>
          <w:color w:val="231F20"/>
          <w:spacing w:val="-5"/>
          <w:w w:val="110"/>
        </w:rPr>
        <w:t> </w:t>
      </w:r>
      <w:r>
        <w:rPr>
          <w:color w:val="231F20"/>
          <w:w w:val="110"/>
        </w:rPr>
        <w:t>gran</w:t>
      </w:r>
      <w:r>
        <w:rPr>
          <w:color w:val="231F20"/>
          <w:spacing w:val="-5"/>
          <w:w w:val="110"/>
        </w:rPr>
        <w:t> </w:t>
      </w:r>
      <w:r>
        <w:rPr>
          <w:color w:val="231F20"/>
          <w:w w:val="110"/>
        </w:rPr>
        <w:t>variedad</w:t>
      </w:r>
      <w:r>
        <w:rPr>
          <w:color w:val="231F20"/>
          <w:spacing w:val="-5"/>
          <w:w w:val="110"/>
        </w:rPr>
        <w:t> </w:t>
      </w:r>
      <w:r>
        <w:rPr>
          <w:color w:val="231F20"/>
          <w:w w:val="110"/>
        </w:rPr>
        <w:t>en</w:t>
      </w:r>
      <w:r>
        <w:rPr>
          <w:color w:val="231F20"/>
          <w:spacing w:val="-5"/>
          <w:w w:val="110"/>
        </w:rPr>
        <w:t> </w:t>
      </w:r>
      <w:r>
        <w:rPr>
          <w:color w:val="231F20"/>
          <w:w w:val="110"/>
        </w:rPr>
        <w:t>el tamaño del rebaño y un bajo porcentaje de</w:t>
      </w:r>
      <w:r>
        <w:rPr>
          <w:color w:val="231F20"/>
          <w:spacing w:val="-20"/>
          <w:w w:val="110"/>
        </w:rPr>
        <w:t> </w:t>
      </w:r>
      <w:r>
        <w:rPr>
          <w:color w:val="231F20"/>
          <w:w w:val="110"/>
        </w:rPr>
        <w:t>su- pervivencia</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crías</w:t>
      </w:r>
      <w:r>
        <w:rPr>
          <w:color w:val="231F20"/>
          <w:spacing w:val="-11"/>
          <w:w w:val="110"/>
        </w:rPr>
        <w:t> </w:t>
      </w:r>
      <w:r>
        <w:rPr>
          <w:color w:val="231F20"/>
          <w:w w:val="110"/>
        </w:rPr>
        <w:t>(48%),</w:t>
      </w:r>
      <w:r>
        <w:rPr>
          <w:color w:val="231F20"/>
          <w:spacing w:val="-11"/>
          <w:w w:val="110"/>
        </w:rPr>
        <w:t> </w:t>
      </w:r>
      <w:r>
        <w:rPr>
          <w:color w:val="231F20"/>
          <w:w w:val="110"/>
        </w:rPr>
        <w:t>que</w:t>
      </w:r>
      <w:r>
        <w:rPr>
          <w:color w:val="231F20"/>
          <w:spacing w:val="-11"/>
          <w:w w:val="110"/>
        </w:rPr>
        <w:t> </w:t>
      </w:r>
      <w:r>
        <w:rPr>
          <w:color w:val="231F20"/>
          <w:w w:val="110"/>
        </w:rPr>
        <w:t>es</w:t>
      </w:r>
      <w:r>
        <w:rPr>
          <w:color w:val="231F20"/>
          <w:spacing w:val="-11"/>
          <w:w w:val="110"/>
        </w:rPr>
        <w:t> </w:t>
      </w:r>
      <w:r>
        <w:rPr>
          <w:color w:val="231F20"/>
          <w:w w:val="110"/>
        </w:rPr>
        <w:t>una</w:t>
      </w:r>
      <w:r>
        <w:rPr>
          <w:color w:val="231F20"/>
          <w:spacing w:val="-11"/>
          <w:w w:val="110"/>
        </w:rPr>
        <w:t> </w:t>
      </w:r>
      <w:r>
        <w:rPr>
          <w:color w:val="231F20"/>
          <w:w w:val="110"/>
        </w:rPr>
        <w:t>de</w:t>
      </w:r>
      <w:r>
        <w:rPr>
          <w:color w:val="231F20"/>
          <w:spacing w:val="-11"/>
          <w:w w:val="110"/>
        </w:rPr>
        <w:t> </w:t>
      </w:r>
      <w:r>
        <w:rPr>
          <w:color w:val="231F20"/>
          <w:w w:val="110"/>
        </w:rPr>
        <w:t>las </w:t>
      </w:r>
      <w:r>
        <w:rPr>
          <w:color w:val="231F20"/>
          <w:w w:val="105"/>
        </w:rPr>
        <w:t>limitaciones</w:t>
      </w:r>
      <w:r>
        <w:rPr>
          <w:color w:val="231F20"/>
          <w:spacing w:val="-20"/>
          <w:w w:val="105"/>
        </w:rPr>
        <w:t> </w:t>
      </w:r>
      <w:r>
        <w:rPr>
          <w:color w:val="231F20"/>
          <w:w w:val="105"/>
        </w:rPr>
        <w:t>más</w:t>
      </w:r>
      <w:r>
        <w:rPr>
          <w:color w:val="231F20"/>
          <w:spacing w:val="-20"/>
          <w:w w:val="105"/>
        </w:rPr>
        <w:t> </w:t>
      </w:r>
      <w:r>
        <w:rPr>
          <w:color w:val="231F20"/>
          <w:w w:val="105"/>
        </w:rPr>
        <w:t>importantes.</w:t>
      </w:r>
      <w:r>
        <w:rPr>
          <w:color w:val="231F20"/>
          <w:spacing w:val="-20"/>
          <w:w w:val="105"/>
        </w:rPr>
        <w:t> </w:t>
      </w:r>
      <w:r>
        <w:rPr>
          <w:color w:val="231F20"/>
          <w:w w:val="105"/>
        </w:rPr>
        <w:t>El</w:t>
      </w:r>
      <w:r>
        <w:rPr>
          <w:color w:val="231F20"/>
          <w:spacing w:val="-20"/>
          <w:w w:val="105"/>
        </w:rPr>
        <w:t> </w:t>
      </w:r>
      <w:r>
        <w:rPr>
          <w:color w:val="231F20"/>
          <w:w w:val="105"/>
        </w:rPr>
        <w:t>promedio</w:t>
      </w:r>
      <w:r>
        <w:rPr>
          <w:color w:val="231F20"/>
          <w:spacing w:val="-20"/>
          <w:w w:val="105"/>
        </w:rPr>
        <w:t> </w:t>
      </w:r>
      <w:r>
        <w:rPr>
          <w:color w:val="231F20"/>
          <w:w w:val="105"/>
        </w:rPr>
        <w:t>de</w:t>
      </w:r>
      <w:r>
        <w:rPr>
          <w:color w:val="231F20"/>
          <w:spacing w:val="-20"/>
          <w:w w:val="105"/>
        </w:rPr>
        <w:t> </w:t>
      </w:r>
      <w:r>
        <w:rPr>
          <w:color w:val="231F20"/>
          <w:w w:val="105"/>
        </w:rPr>
        <w:t>ovi- </w:t>
      </w:r>
      <w:r>
        <w:rPr>
          <w:color w:val="231F20"/>
          <w:w w:val="110"/>
        </w:rPr>
        <w:t>nos</w:t>
      </w:r>
      <w:r>
        <w:rPr>
          <w:color w:val="231F20"/>
          <w:spacing w:val="-26"/>
          <w:w w:val="110"/>
        </w:rPr>
        <w:t> </w:t>
      </w:r>
      <w:r>
        <w:rPr>
          <w:color w:val="231F20"/>
          <w:w w:val="110"/>
        </w:rPr>
        <w:t>por</w:t>
      </w:r>
      <w:r>
        <w:rPr>
          <w:color w:val="231F20"/>
          <w:spacing w:val="-26"/>
          <w:w w:val="110"/>
        </w:rPr>
        <w:t> </w:t>
      </w:r>
      <w:r>
        <w:rPr>
          <w:color w:val="231F20"/>
          <w:w w:val="110"/>
        </w:rPr>
        <w:t>rebaño</w:t>
      </w:r>
      <w:r>
        <w:rPr>
          <w:color w:val="231F20"/>
          <w:spacing w:val="-26"/>
          <w:w w:val="110"/>
        </w:rPr>
        <w:t> </w:t>
      </w:r>
      <w:r>
        <w:rPr>
          <w:color w:val="231F20"/>
          <w:w w:val="110"/>
        </w:rPr>
        <w:t>fue</w:t>
      </w:r>
      <w:r>
        <w:rPr>
          <w:color w:val="231F20"/>
          <w:spacing w:val="-26"/>
          <w:w w:val="110"/>
        </w:rPr>
        <w:t> </w:t>
      </w:r>
      <w:r>
        <w:rPr>
          <w:color w:val="231F20"/>
          <w:w w:val="110"/>
        </w:rPr>
        <w:t>de</w:t>
      </w:r>
      <w:r>
        <w:rPr>
          <w:color w:val="231F20"/>
          <w:spacing w:val="-26"/>
          <w:w w:val="110"/>
        </w:rPr>
        <w:t> </w:t>
      </w:r>
      <w:r>
        <w:rPr>
          <w:color w:val="231F20"/>
          <w:w w:val="110"/>
        </w:rPr>
        <w:t>34,2</w:t>
      </w:r>
      <w:r>
        <w:rPr>
          <w:color w:val="231F20"/>
          <w:spacing w:val="-26"/>
          <w:w w:val="110"/>
        </w:rPr>
        <w:t> </w:t>
      </w:r>
      <w:r>
        <w:rPr>
          <w:color w:val="231F20"/>
          <w:w w:val="110"/>
        </w:rPr>
        <w:t>±</w:t>
      </w:r>
      <w:r>
        <w:rPr>
          <w:color w:val="231F20"/>
          <w:spacing w:val="-26"/>
          <w:w w:val="110"/>
        </w:rPr>
        <w:t> </w:t>
      </w:r>
      <w:r>
        <w:rPr>
          <w:color w:val="231F20"/>
          <w:spacing w:val="-8"/>
          <w:w w:val="110"/>
        </w:rPr>
        <w:t>21,7,</w:t>
      </w:r>
      <w:r>
        <w:rPr>
          <w:color w:val="231F20"/>
          <w:spacing w:val="-26"/>
          <w:w w:val="110"/>
        </w:rPr>
        <w:t> </w:t>
      </w:r>
      <w:r>
        <w:rPr>
          <w:color w:val="231F20"/>
          <w:w w:val="110"/>
        </w:rPr>
        <w:t>con</w:t>
      </w:r>
      <w:r>
        <w:rPr>
          <w:color w:val="231F20"/>
          <w:spacing w:val="-26"/>
          <w:w w:val="110"/>
        </w:rPr>
        <w:t> </w:t>
      </w:r>
      <w:r>
        <w:rPr>
          <w:color w:val="231F20"/>
          <w:w w:val="110"/>
        </w:rPr>
        <w:t>una</w:t>
      </w:r>
      <w:r>
        <w:rPr>
          <w:color w:val="231F20"/>
          <w:spacing w:val="-26"/>
          <w:w w:val="110"/>
        </w:rPr>
        <w:t> </w:t>
      </w:r>
      <w:r>
        <w:rPr>
          <w:color w:val="231F20"/>
          <w:w w:val="110"/>
        </w:rPr>
        <w:t>mayor frecuencia</w:t>
      </w:r>
      <w:r>
        <w:rPr>
          <w:color w:val="231F20"/>
          <w:spacing w:val="-21"/>
          <w:w w:val="110"/>
        </w:rPr>
        <w:t> </w:t>
      </w:r>
      <w:r>
        <w:rPr>
          <w:color w:val="231F20"/>
          <w:w w:val="110"/>
        </w:rPr>
        <w:t>de</w:t>
      </w:r>
      <w:r>
        <w:rPr>
          <w:color w:val="231F20"/>
          <w:spacing w:val="-21"/>
          <w:w w:val="110"/>
        </w:rPr>
        <w:t> </w:t>
      </w:r>
      <w:r>
        <w:rPr>
          <w:color w:val="231F20"/>
          <w:w w:val="110"/>
        </w:rPr>
        <w:t>rebaños</w:t>
      </w:r>
      <w:r>
        <w:rPr>
          <w:color w:val="231F20"/>
          <w:spacing w:val="-21"/>
          <w:w w:val="110"/>
        </w:rPr>
        <w:t> </w:t>
      </w:r>
      <w:r>
        <w:rPr>
          <w:color w:val="231F20"/>
          <w:w w:val="110"/>
        </w:rPr>
        <w:t>de</w:t>
      </w:r>
      <w:r>
        <w:rPr>
          <w:color w:val="231F20"/>
          <w:spacing w:val="-21"/>
          <w:w w:val="110"/>
        </w:rPr>
        <w:t> </w:t>
      </w:r>
      <w:r>
        <w:rPr>
          <w:color w:val="231F20"/>
          <w:w w:val="110"/>
        </w:rPr>
        <w:t>menos</w:t>
      </w:r>
      <w:r>
        <w:rPr>
          <w:color w:val="231F20"/>
          <w:spacing w:val="-21"/>
          <w:w w:val="110"/>
        </w:rPr>
        <w:t> </w:t>
      </w:r>
      <w:r>
        <w:rPr>
          <w:color w:val="231F20"/>
          <w:w w:val="110"/>
        </w:rPr>
        <w:t>de</w:t>
      </w:r>
      <w:r>
        <w:rPr>
          <w:color w:val="231F20"/>
          <w:spacing w:val="-21"/>
          <w:w w:val="110"/>
        </w:rPr>
        <w:t> </w:t>
      </w:r>
      <w:r>
        <w:rPr>
          <w:color w:val="231F20"/>
          <w:w w:val="110"/>
        </w:rPr>
        <w:t>30</w:t>
      </w:r>
      <w:r>
        <w:rPr>
          <w:color w:val="231F20"/>
          <w:spacing w:val="-21"/>
          <w:w w:val="110"/>
        </w:rPr>
        <w:t> </w:t>
      </w:r>
      <w:r>
        <w:rPr>
          <w:color w:val="231F20"/>
          <w:w w:val="110"/>
        </w:rPr>
        <w:t>animales</w:t>
      </w:r>
      <w:r>
        <w:rPr>
          <w:color w:val="231F20"/>
          <w:w w:val="102"/>
        </w:rPr>
        <w:t> </w:t>
      </w:r>
      <w:r>
        <w:rPr>
          <w:color w:val="231F20"/>
          <w:w w:val="110"/>
        </w:rPr>
        <w:t>(n = 22), seguidos por los de 31 a 50 (n = </w:t>
      </w:r>
      <w:r>
        <w:rPr>
          <w:color w:val="231F20"/>
          <w:spacing w:val="-3"/>
          <w:w w:val="110"/>
        </w:rPr>
        <w:t>14) </w:t>
      </w:r>
      <w:r>
        <w:rPr>
          <w:color w:val="231F20"/>
          <w:w w:val="110"/>
        </w:rPr>
        <w:t>y los de más de 51 (n =</w:t>
      </w:r>
      <w:r>
        <w:rPr>
          <w:color w:val="231F20"/>
          <w:spacing w:val="37"/>
          <w:w w:val="110"/>
        </w:rPr>
        <w:t> </w:t>
      </w:r>
      <w:r>
        <w:rPr>
          <w:color w:val="231F20"/>
          <w:w w:val="110"/>
        </w:rPr>
        <w:t>4).</w:t>
      </w:r>
    </w:p>
    <w:p>
      <w:pPr>
        <w:pStyle w:val="BodyText"/>
        <w:spacing w:before="6"/>
        <w:rPr>
          <w:sz w:val="18"/>
        </w:rPr>
      </w:pPr>
    </w:p>
    <w:p>
      <w:pPr>
        <w:spacing w:before="0"/>
        <w:ind w:left="1553" w:right="0" w:firstLine="0"/>
        <w:jc w:val="both"/>
        <w:rPr>
          <w:rFonts w:ascii="Cambria" w:hAnsi="Cambria"/>
          <w:i/>
          <w:sz w:val="20"/>
        </w:rPr>
      </w:pPr>
      <w:r>
        <w:rPr>
          <w:rFonts w:ascii="Cambria" w:hAnsi="Cambria"/>
          <w:i/>
          <w:color w:val="231F20"/>
          <w:w w:val="105"/>
          <w:sz w:val="20"/>
        </w:rPr>
        <w:t>Alimentación animal</w:t>
      </w:r>
    </w:p>
    <w:p>
      <w:pPr>
        <w:pStyle w:val="BodyText"/>
        <w:spacing w:line="271" w:lineRule="auto" w:before="153"/>
        <w:ind w:left="1553"/>
        <w:jc w:val="both"/>
      </w:pPr>
      <w:r>
        <w:rPr>
          <w:color w:val="231F20"/>
        </w:rPr>
        <w:t>El pastoreo es continuo mediante recorridos en terrenos comunales y áreas con cobertura de bosque. El número de rutas depende de muchas variables, como el tamaño del rebaño, la disponi- bilidad de forraje, el clima y el propio ánimo de    los productores. Así, el 22,5% de los productores realizan un recorrido diario, el 45% cinco recorri- dos a la semana, el 20% tres recorridos y el </w:t>
      </w:r>
      <w:r>
        <w:rPr>
          <w:color w:val="231F20"/>
          <w:spacing w:val="-3"/>
        </w:rPr>
        <w:t>15% </w:t>
      </w:r>
      <w:r>
        <w:rPr>
          <w:color w:val="231F20"/>
        </w:rPr>
        <w:t>sólo</w:t>
      </w:r>
      <w:r>
        <w:rPr>
          <w:color w:val="231F20"/>
          <w:spacing w:val="20"/>
        </w:rPr>
        <w:t> </w:t>
      </w:r>
      <w:r>
        <w:rPr>
          <w:color w:val="231F20"/>
        </w:rPr>
        <w:t>uno.</w:t>
      </w:r>
    </w:p>
    <w:p>
      <w:pPr>
        <w:spacing w:line="264" w:lineRule="auto" w:before="67"/>
        <w:ind w:left="412" w:right="1550" w:firstLine="0"/>
        <w:jc w:val="both"/>
        <w:rPr>
          <w:sz w:val="20"/>
        </w:rPr>
      </w:pPr>
      <w:r>
        <w:rPr/>
        <w:br w:type="column"/>
      </w:r>
      <w:r>
        <w:rPr>
          <w:color w:val="231F20"/>
          <w:w w:val="105"/>
          <w:sz w:val="20"/>
        </w:rPr>
        <w:t>Como forraje adicional emplean caña seca de maíz (67%), avena (62,5%) y residuos de culti- vos </w:t>
      </w:r>
      <w:r>
        <w:rPr>
          <w:color w:val="231F20"/>
          <w:spacing w:val="-3"/>
          <w:w w:val="105"/>
          <w:sz w:val="20"/>
        </w:rPr>
        <w:t>(37,5%). </w:t>
      </w:r>
      <w:r>
        <w:rPr>
          <w:color w:val="231F20"/>
          <w:w w:val="105"/>
          <w:sz w:val="20"/>
        </w:rPr>
        <w:t>El conocimiento sobre las especies que consumen los ovinos en los potreros es li- mitado; en contraste, tienen nociones sobre las plantas que consumen durante los recorridos en el bosque, ya que el 50% de los productores mencionaron dos especies, el 30% hasta tres, el 8% cuatro y el </w:t>
      </w:r>
      <w:r>
        <w:rPr>
          <w:color w:val="231F20"/>
          <w:spacing w:val="-3"/>
          <w:w w:val="105"/>
          <w:sz w:val="20"/>
        </w:rPr>
        <w:t>12% </w:t>
      </w:r>
      <w:r>
        <w:rPr>
          <w:color w:val="231F20"/>
          <w:w w:val="105"/>
          <w:sz w:val="20"/>
        </w:rPr>
        <w:t>hasta cinco especies, entre las que se encontraron hojancha (</w:t>
      </w:r>
      <w:r>
        <w:rPr>
          <w:i/>
          <w:color w:val="231F20"/>
          <w:w w:val="105"/>
          <w:sz w:val="20"/>
        </w:rPr>
        <w:t>Senecio</w:t>
      </w:r>
      <w:r>
        <w:rPr>
          <w:i/>
          <w:color w:val="231F20"/>
          <w:spacing w:val="-11"/>
          <w:w w:val="105"/>
          <w:sz w:val="20"/>
        </w:rPr>
        <w:t> </w:t>
      </w:r>
      <w:r>
        <w:rPr>
          <w:i/>
          <w:color w:val="231F20"/>
          <w:w w:val="105"/>
          <w:sz w:val="20"/>
        </w:rPr>
        <w:t>anguli- </w:t>
      </w:r>
      <w:r>
        <w:rPr>
          <w:i/>
          <w:color w:val="231F20"/>
          <w:w w:val="105"/>
          <w:sz w:val="20"/>
        </w:rPr>
        <w:t>folius </w:t>
      </w:r>
      <w:r>
        <w:rPr>
          <w:color w:val="231F20"/>
          <w:w w:val="105"/>
          <w:sz w:val="20"/>
        </w:rPr>
        <w:t>D.C.; 20%), perlilla (</w:t>
      </w:r>
      <w:r>
        <w:rPr>
          <w:i/>
          <w:color w:val="231F20"/>
          <w:w w:val="105"/>
          <w:sz w:val="20"/>
        </w:rPr>
        <w:t>Symphoricarpos micro- </w:t>
      </w:r>
      <w:r>
        <w:rPr>
          <w:i/>
          <w:color w:val="231F20"/>
          <w:w w:val="105"/>
          <w:sz w:val="20"/>
        </w:rPr>
        <w:t>phyllus </w:t>
      </w:r>
      <w:r>
        <w:rPr>
          <w:color w:val="231F20"/>
          <w:w w:val="105"/>
          <w:sz w:val="20"/>
        </w:rPr>
        <w:t>H.B.K.; 18%), garrapatilla (</w:t>
      </w:r>
      <w:r>
        <w:rPr>
          <w:i/>
          <w:color w:val="231F20"/>
          <w:w w:val="105"/>
          <w:sz w:val="20"/>
        </w:rPr>
        <w:t>Brachypodium </w:t>
      </w:r>
      <w:r>
        <w:rPr>
          <w:color w:val="231F20"/>
          <w:w w:val="105"/>
          <w:sz w:val="20"/>
        </w:rPr>
        <w:t>sp.; 14%), jazmín (</w:t>
      </w:r>
      <w:r>
        <w:rPr>
          <w:i/>
          <w:color w:val="231F20"/>
          <w:w w:val="105"/>
          <w:sz w:val="20"/>
        </w:rPr>
        <w:t>Buddleia </w:t>
      </w:r>
      <w:r>
        <w:rPr>
          <w:color w:val="231F20"/>
          <w:w w:val="105"/>
          <w:sz w:val="20"/>
        </w:rPr>
        <w:t>sp.; 12%), huajote (</w:t>
      </w:r>
      <w:r>
        <w:rPr>
          <w:i/>
          <w:color w:val="231F20"/>
          <w:w w:val="105"/>
          <w:sz w:val="20"/>
        </w:rPr>
        <w:t>Salix oxylepis </w:t>
      </w:r>
      <w:r>
        <w:rPr>
          <w:color w:val="231F20"/>
          <w:w w:val="105"/>
          <w:sz w:val="20"/>
        </w:rPr>
        <w:t>Schl.; 9%), carricillo (</w:t>
      </w:r>
      <w:r>
        <w:rPr>
          <w:i/>
          <w:color w:val="231F20"/>
          <w:w w:val="105"/>
          <w:sz w:val="20"/>
        </w:rPr>
        <w:t>Lasiacis </w:t>
      </w:r>
      <w:r>
        <w:rPr>
          <w:color w:val="231F20"/>
          <w:w w:val="105"/>
          <w:sz w:val="20"/>
        </w:rPr>
        <w:t>sp.; 8%), cantuez (</w:t>
      </w:r>
      <w:r>
        <w:rPr>
          <w:i/>
          <w:color w:val="231F20"/>
          <w:w w:val="105"/>
          <w:sz w:val="20"/>
        </w:rPr>
        <w:t>Lupinus montanus </w:t>
      </w:r>
      <w:r>
        <w:rPr>
          <w:color w:val="231F20"/>
          <w:w w:val="105"/>
          <w:sz w:val="20"/>
        </w:rPr>
        <w:t>H.B.K.;  5%),  jara negra (</w:t>
      </w:r>
      <w:r>
        <w:rPr>
          <w:i/>
          <w:color w:val="231F20"/>
          <w:w w:val="105"/>
          <w:sz w:val="20"/>
        </w:rPr>
        <w:t>Senecio salignus </w:t>
      </w:r>
      <w:r>
        <w:rPr>
          <w:color w:val="231F20"/>
          <w:w w:val="105"/>
          <w:sz w:val="20"/>
        </w:rPr>
        <w:t>D.C.; 3%) y pastos  de</w:t>
      </w:r>
      <w:r>
        <w:rPr>
          <w:color w:val="231F20"/>
          <w:spacing w:val="-10"/>
          <w:w w:val="105"/>
          <w:sz w:val="20"/>
        </w:rPr>
        <w:t> </w:t>
      </w:r>
      <w:r>
        <w:rPr>
          <w:color w:val="231F20"/>
          <w:w w:val="105"/>
          <w:sz w:val="20"/>
        </w:rPr>
        <w:t>los</w:t>
      </w:r>
      <w:r>
        <w:rPr>
          <w:color w:val="231F20"/>
          <w:spacing w:val="-10"/>
          <w:w w:val="105"/>
          <w:sz w:val="20"/>
        </w:rPr>
        <w:t> </w:t>
      </w:r>
      <w:r>
        <w:rPr>
          <w:color w:val="231F20"/>
          <w:w w:val="105"/>
          <w:sz w:val="20"/>
        </w:rPr>
        <w:t>géneros</w:t>
      </w:r>
      <w:r>
        <w:rPr>
          <w:color w:val="231F20"/>
          <w:spacing w:val="-10"/>
          <w:w w:val="105"/>
          <w:sz w:val="20"/>
        </w:rPr>
        <w:t> </w:t>
      </w:r>
      <w:r>
        <w:rPr>
          <w:i/>
          <w:color w:val="231F20"/>
          <w:w w:val="105"/>
          <w:sz w:val="20"/>
        </w:rPr>
        <w:t>Festuca,</w:t>
      </w:r>
      <w:r>
        <w:rPr>
          <w:i/>
          <w:color w:val="231F20"/>
          <w:spacing w:val="-10"/>
          <w:w w:val="105"/>
          <w:sz w:val="20"/>
        </w:rPr>
        <w:t> </w:t>
      </w:r>
      <w:r>
        <w:rPr>
          <w:i/>
          <w:color w:val="231F20"/>
          <w:w w:val="105"/>
          <w:sz w:val="20"/>
        </w:rPr>
        <w:t>Muhlenbergia,</w:t>
      </w:r>
      <w:r>
        <w:rPr>
          <w:i/>
          <w:color w:val="231F20"/>
          <w:spacing w:val="-10"/>
          <w:w w:val="105"/>
          <w:sz w:val="20"/>
        </w:rPr>
        <w:t> </w:t>
      </w:r>
      <w:r>
        <w:rPr>
          <w:i/>
          <w:color w:val="231F20"/>
          <w:w w:val="105"/>
          <w:sz w:val="20"/>
        </w:rPr>
        <w:t>Stipa</w:t>
      </w:r>
      <w:r>
        <w:rPr>
          <w:i/>
          <w:color w:val="231F20"/>
          <w:spacing w:val="-10"/>
          <w:w w:val="105"/>
          <w:sz w:val="20"/>
        </w:rPr>
        <w:t> </w:t>
      </w:r>
      <w:r>
        <w:rPr>
          <w:color w:val="231F20"/>
          <w:w w:val="105"/>
          <w:sz w:val="20"/>
        </w:rPr>
        <w:t>y</w:t>
      </w:r>
      <w:r>
        <w:rPr>
          <w:color w:val="231F20"/>
          <w:spacing w:val="-10"/>
          <w:w w:val="105"/>
          <w:sz w:val="20"/>
        </w:rPr>
        <w:t> </w:t>
      </w:r>
      <w:r>
        <w:rPr>
          <w:i/>
          <w:color w:val="231F20"/>
          <w:w w:val="105"/>
          <w:sz w:val="20"/>
        </w:rPr>
        <w:t>Ca- </w:t>
      </w:r>
      <w:r>
        <w:rPr>
          <w:i/>
          <w:color w:val="231F20"/>
          <w:w w:val="105"/>
          <w:sz w:val="20"/>
        </w:rPr>
        <w:t>lamagrostis </w:t>
      </w:r>
      <w:r>
        <w:rPr>
          <w:color w:val="231F20"/>
          <w:w w:val="105"/>
          <w:sz w:val="20"/>
        </w:rPr>
        <w:t>(Fig.</w:t>
      </w:r>
      <w:r>
        <w:rPr>
          <w:color w:val="231F20"/>
          <w:spacing w:val="17"/>
          <w:w w:val="105"/>
          <w:sz w:val="20"/>
        </w:rPr>
        <w:t> </w:t>
      </w:r>
      <w:r>
        <w:rPr>
          <w:color w:val="231F20"/>
          <w:w w:val="105"/>
          <w:sz w:val="20"/>
        </w:rPr>
        <w:t>2).</w:t>
      </w:r>
    </w:p>
    <w:p>
      <w:pPr>
        <w:pStyle w:val="BodyText"/>
        <w:spacing w:line="264" w:lineRule="auto" w:before="113"/>
        <w:ind w:left="412" w:right="1551"/>
        <w:jc w:val="both"/>
      </w:pPr>
      <w:r>
        <w:rPr>
          <w:color w:val="231F20"/>
        </w:rPr>
        <w:t>No se usan suplementos concentrados, y sólo un productor mencionó el suministro ocasional de residuos de maíz. El 82,5% de los productores suministra sal, aunque varía su tipo; la sal mineral natural es la más empleada (32,5%), seguida de    su mezcla con sal blanca (20%) y de sólo sal blan-  ca (12,5%). La frecuencia de suministro es ocasio- nal en un 42,5%, diaria en el 27%, mensual en el </w:t>
      </w:r>
      <w:r>
        <w:rPr>
          <w:color w:val="231F20"/>
          <w:spacing w:val="-7"/>
        </w:rPr>
        <w:t>7,5%  </w:t>
      </w:r>
      <w:r>
        <w:rPr>
          <w:color w:val="231F20"/>
        </w:rPr>
        <w:t>y cada tres días en el   </w:t>
      </w:r>
      <w:r>
        <w:rPr>
          <w:color w:val="231F20"/>
          <w:spacing w:val="38"/>
        </w:rPr>
        <w:t> </w:t>
      </w:r>
      <w:r>
        <w:rPr>
          <w:color w:val="231F20"/>
        </w:rPr>
        <w:t>5%.</w:t>
      </w:r>
    </w:p>
    <w:p>
      <w:pPr>
        <w:pStyle w:val="BodyText"/>
        <w:spacing w:before="6"/>
        <w:rPr>
          <w:sz w:val="18"/>
        </w:rPr>
      </w:pPr>
    </w:p>
    <w:p>
      <w:pPr>
        <w:spacing w:before="1"/>
        <w:ind w:left="412" w:right="0" w:firstLine="0"/>
        <w:jc w:val="both"/>
        <w:rPr>
          <w:rFonts w:ascii="Cambria"/>
          <w:i/>
          <w:sz w:val="20"/>
        </w:rPr>
      </w:pPr>
      <w:r>
        <w:rPr>
          <w:rFonts w:ascii="Cambria"/>
          <w:i/>
          <w:color w:val="231F20"/>
          <w:w w:val="110"/>
          <w:sz w:val="20"/>
        </w:rPr>
        <w:t>Salud animal</w:t>
      </w:r>
    </w:p>
    <w:p>
      <w:pPr>
        <w:pStyle w:val="BodyText"/>
        <w:spacing w:line="264" w:lineRule="auto" w:before="146"/>
        <w:ind w:left="412" w:right="1551"/>
        <w:jc w:val="both"/>
      </w:pPr>
      <w:r>
        <w:rPr>
          <w:color w:val="231F20"/>
        </w:rPr>
        <w:t>Son comunes las enfermedades respiratorias </w:t>
      </w:r>
      <w:r>
        <w:rPr>
          <w:color w:val="231F20"/>
          <w:spacing w:val="-5"/>
        </w:rPr>
        <w:t>(47,5%), </w:t>
      </w:r>
      <w:r>
        <w:rPr>
          <w:color w:val="231F20"/>
        </w:rPr>
        <w:t>con una mayor ocurrencia durante la  época fría y una mayor incidencia sobre las crías (42,5%), seguidas por las cojeras (15%), el mo- quillo (12,5%) y las diarreas (5%), que se pre- sentan tanto en época fría (diciembre a febrero) como durante la estación lluviosa (junio a agosto). El 20% de los productores indicaron no conocer   las enfermedades que afectan a los animales y un </w:t>
      </w:r>
      <w:r>
        <w:rPr>
          <w:color w:val="231F20"/>
          <w:spacing w:val="-7"/>
        </w:rPr>
        <w:t>17,5% </w:t>
      </w:r>
      <w:r>
        <w:rPr>
          <w:color w:val="231F20"/>
        </w:rPr>
        <w:t>no identificó una época de mayor inciden- cia. Sin embargo, aplican vacunas (55%) y anti- parasitarios (77%), suministrados bajo criterios  </w:t>
      </w:r>
      <w:r>
        <w:rPr>
          <w:color w:val="231F20"/>
          <w:spacing w:val="14"/>
        </w:rPr>
        <w:t> </w:t>
      </w:r>
      <w:r>
        <w:rPr>
          <w:color w:val="231F20"/>
        </w:rPr>
        <w:t>de</w:t>
      </w:r>
    </w:p>
    <w:p>
      <w:pPr>
        <w:spacing w:after="0" w:line="264"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3"/>
          <w:sz w:val="18"/>
        </w:rPr>
        <w:t>10.     </w:t>
      </w:r>
      <w:r>
        <w:rPr>
          <w:color w:val="231F20"/>
          <w:spacing w:val="29"/>
          <w:sz w:val="18"/>
        </w:rPr>
        <w:t> </w:t>
      </w:r>
      <w:r>
        <w:rPr>
          <w:color w:val="231F20"/>
          <w:sz w:val="18"/>
        </w:rPr>
        <w:t>La ovinocultura del Nevado de </w:t>
      </w:r>
      <w:r>
        <w:rPr>
          <w:color w:val="231F20"/>
          <w:spacing w:val="-3"/>
          <w:sz w:val="18"/>
        </w:rPr>
        <w:t>Toluca: </w:t>
      </w:r>
      <w:r>
        <w:rPr>
          <w:color w:val="231F20"/>
          <w:sz w:val="18"/>
        </w:rPr>
        <w:t>factor de deterioro o elemento de</w:t>
      </w:r>
      <w:r>
        <w:rPr>
          <w:color w:val="231F20"/>
          <w:spacing w:val="12"/>
          <w:sz w:val="18"/>
        </w:rPr>
        <w:t> </w:t>
      </w:r>
      <w:r>
        <w:rPr>
          <w:color w:val="231F20"/>
          <w:sz w:val="18"/>
        </w:rPr>
        <w:t>desarrollo...</w:t>
      </w:r>
      <w:r>
        <w:rPr>
          <w:color w:val="231F20"/>
          <w:sz w:val="22"/>
        </w:rPr>
        <w:tab/>
      </w:r>
      <w:r>
        <w:rPr>
          <w:color w:val="231F20"/>
          <w:spacing w:val="-5"/>
          <w:sz w:val="22"/>
        </w:rPr>
        <w:t>155</w:t>
      </w:r>
    </w:p>
    <w:p>
      <w:pPr>
        <w:pStyle w:val="BodyText"/>
        <w:spacing w:before="5"/>
        <w:rPr>
          <w:sz w:val="28"/>
        </w:rPr>
      </w:pPr>
      <w:r>
        <w:rPr/>
        <w:pict>
          <v:group style="position:absolute;margin-left:80.011353pt;margin-top:19.290344pt;width:436.7pt;height:166.4pt;mso-position-horizontal-relative:page;mso-position-vertical-relative:paragraph;z-index:4792;mso-wrap-distance-left:0;mso-wrap-distance-right:0" coordorigin="1600,386" coordsize="8734,3328">
            <v:shape style="position:absolute;left:1600;top:386;width:8733;height:3327" type="#_x0000_t75" stroked="false">
              <v:imagedata r:id="rId287" o:title=""/>
            </v:shape>
            <v:shape style="position:absolute;left:1714;top:499;width:109;height:180" type="#_x0000_t202" filled="false" stroked="false">
              <v:textbox inset="0,0,0,0">
                <w:txbxContent>
                  <w:p>
                    <w:pPr>
                      <w:spacing w:line="180" w:lineRule="exact" w:before="0"/>
                      <w:ind w:left="0" w:right="0" w:firstLine="0"/>
                      <w:jc w:val="left"/>
                      <w:rPr>
                        <w:sz w:val="18"/>
                      </w:rPr>
                    </w:pPr>
                    <w:r>
                      <w:rPr>
                        <w:color w:val="FFFFFF"/>
                        <w:w w:val="104"/>
                        <w:sz w:val="18"/>
                      </w:rPr>
                      <w:t>A</w:t>
                    </w:r>
                  </w:p>
                </w:txbxContent>
              </v:textbox>
              <w10:wrap type="none"/>
            </v:shape>
            <v:shape style="position:absolute;left:6093;top:499;width:113;height:180" type="#_x0000_t202" filled="false" stroked="false">
              <v:textbox inset="0,0,0,0">
                <w:txbxContent>
                  <w:p>
                    <w:pPr>
                      <w:spacing w:line="180" w:lineRule="exact" w:before="0"/>
                      <w:ind w:left="0" w:right="0" w:firstLine="0"/>
                      <w:jc w:val="left"/>
                      <w:rPr>
                        <w:sz w:val="18"/>
                      </w:rPr>
                    </w:pPr>
                    <w:r>
                      <w:rPr>
                        <w:color w:val="FFFFFF"/>
                        <w:w w:val="114"/>
                        <w:sz w:val="18"/>
                      </w:rPr>
                      <w:t>B</w:t>
                    </w:r>
                  </w:p>
                </w:txbxContent>
              </v:textbox>
              <w10:wrap type="none"/>
            </v:shape>
            <w10:wrap type="topAndBottom"/>
          </v:group>
        </w:pict>
      </w:r>
    </w:p>
    <w:p>
      <w:pPr>
        <w:spacing w:line="283" w:lineRule="auto" w:before="116"/>
        <w:ind w:left="1553" w:right="1816" w:firstLine="0"/>
        <w:jc w:val="left"/>
        <w:rPr>
          <w:sz w:val="18"/>
        </w:rPr>
      </w:pPr>
      <w:r>
        <w:rPr>
          <w:color w:val="231F20"/>
          <w:sz w:val="18"/>
        </w:rPr>
        <w:t>Figura 2.   A) Pastoreo de ovinos en una zona de bosque en la localidad de La Peñuela. B) Pastoreo en áreas abiertas       a la agricultura en la localidad de Loma </w:t>
      </w:r>
      <w:r>
        <w:rPr>
          <w:color w:val="231F20"/>
          <w:spacing w:val="20"/>
          <w:sz w:val="18"/>
        </w:rPr>
        <w:t> </w:t>
      </w:r>
      <w:r>
        <w:rPr>
          <w:color w:val="231F20"/>
          <w:sz w:val="18"/>
        </w:rPr>
        <w:t>Alta.</w:t>
      </w:r>
    </w:p>
    <w:p>
      <w:pPr>
        <w:pStyle w:val="BodyText"/>
      </w:pPr>
    </w:p>
    <w:p>
      <w:pPr>
        <w:pStyle w:val="BodyText"/>
      </w:pPr>
    </w:p>
    <w:p>
      <w:pPr>
        <w:pStyle w:val="BodyText"/>
        <w:spacing w:before="8"/>
        <w:rPr>
          <w:sz w:val="19"/>
        </w:rPr>
      </w:pPr>
    </w:p>
    <w:p>
      <w:pPr>
        <w:spacing w:after="0"/>
        <w:rPr>
          <w:sz w:val="19"/>
        </w:rPr>
        <w:sectPr>
          <w:pgSz w:w="11900" w:h="14450"/>
          <w:pgMar w:header="0" w:footer="222" w:top="420" w:bottom="420" w:left="0" w:right="0"/>
        </w:sectPr>
      </w:pPr>
    </w:p>
    <w:p>
      <w:pPr>
        <w:pStyle w:val="BodyText"/>
        <w:spacing w:line="261" w:lineRule="auto" w:before="67"/>
        <w:ind w:left="1553"/>
        <w:jc w:val="both"/>
      </w:pPr>
      <w:r>
        <w:rPr>
          <w:color w:val="231F20"/>
        </w:rPr>
        <w:t>experiencia. Sólo un </w:t>
      </w:r>
      <w:r>
        <w:rPr>
          <w:color w:val="231F20"/>
          <w:spacing w:val="-6"/>
        </w:rPr>
        <w:t>27,5%  </w:t>
      </w:r>
      <w:r>
        <w:rPr>
          <w:color w:val="231F20"/>
        </w:rPr>
        <w:t>consulta a un técnico    y un </w:t>
      </w:r>
      <w:r>
        <w:rPr>
          <w:color w:val="231F20"/>
          <w:spacing w:val="-3"/>
        </w:rPr>
        <w:t>15%  </w:t>
      </w:r>
      <w:r>
        <w:rPr>
          <w:color w:val="231F20"/>
        </w:rPr>
        <w:t>a un veterinario en caso de   </w:t>
      </w:r>
      <w:r>
        <w:rPr>
          <w:color w:val="231F20"/>
          <w:spacing w:val="10"/>
        </w:rPr>
        <w:t> </w:t>
      </w:r>
      <w:r>
        <w:rPr>
          <w:color w:val="231F20"/>
        </w:rPr>
        <w:t>urgencia.</w:t>
      </w:r>
    </w:p>
    <w:p>
      <w:pPr>
        <w:pStyle w:val="BodyText"/>
        <w:spacing w:line="261" w:lineRule="auto" w:before="113"/>
        <w:ind w:left="1553"/>
        <w:jc w:val="both"/>
      </w:pPr>
      <w:r>
        <w:rPr>
          <w:color w:val="231F20"/>
          <w:w w:val="105"/>
        </w:rPr>
        <w:t>Esta situación parece generalizada en los</w:t>
      </w:r>
      <w:r>
        <w:rPr>
          <w:color w:val="231F20"/>
          <w:spacing w:val="-32"/>
          <w:w w:val="105"/>
        </w:rPr>
        <w:t> </w:t>
      </w:r>
      <w:r>
        <w:rPr>
          <w:color w:val="231F20"/>
          <w:w w:val="105"/>
        </w:rPr>
        <w:t>produc- tores de ovinos de los sistemas tradicionales, en quienes es común la escasa aplicación de trata- mientos</w:t>
      </w:r>
      <w:r>
        <w:rPr>
          <w:color w:val="231F20"/>
          <w:spacing w:val="-20"/>
          <w:w w:val="105"/>
        </w:rPr>
        <w:t> </w:t>
      </w:r>
      <w:r>
        <w:rPr>
          <w:color w:val="231F20"/>
          <w:w w:val="105"/>
        </w:rPr>
        <w:t>y</w:t>
      </w:r>
      <w:r>
        <w:rPr>
          <w:color w:val="231F20"/>
          <w:spacing w:val="-20"/>
          <w:w w:val="105"/>
        </w:rPr>
        <w:t> </w:t>
      </w:r>
      <w:r>
        <w:rPr>
          <w:color w:val="231F20"/>
          <w:w w:val="105"/>
        </w:rPr>
        <w:t>las</w:t>
      </w:r>
      <w:r>
        <w:rPr>
          <w:color w:val="231F20"/>
          <w:spacing w:val="-20"/>
          <w:w w:val="105"/>
        </w:rPr>
        <w:t> </w:t>
      </w:r>
      <w:r>
        <w:rPr>
          <w:color w:val="231F20"/>
          <w:w w:val="105"/>
        </w:rPr>
        <w:t>deficiencias</w:t>
      </w:r>
      <w:r>
        <w:rPr>
          <w:color w:val="231F20"/>
          <w:spacing w:val="-20"/>
          <w:w w:val="105"/>
        </w:rPr>
        <w:t> </w:t>
      </w:r>
      <w:r>
        <w:rPr>
          <w:color w:val="231F20"/>
          <w:w w:val="105"/>
        </w:rPr>
        <w:t>en</w:t>
      </w:r>
      <w:r>
        <w:rPr>
          <w:color w:val="231F20"/>
          <w:spacing w:val="-20"/>
          <w:w w:val="105"/>
        </w:rPr>
        <w:t> </w:t>
      </w:r>
      <w:r>
        <w:rPr>
          <w:color w:val="231F20"/>
          <w:w w:val="105"/>
        </w:rPr>
        <w:t>diagnóstico</w:t>
      </w:r>
      <w:r>
        <w:rPr>
          <w:color w:val="231F20"/>
          <w:spacing w:val="-20"/>
          <w:w w:val="105"/>
        </w:rPr>
        <w:t> </w:t>
      </w:r>
      <w:r>
        <w:rPr>
          <w:color w:val="231F20"/>
          <w:w w:val="105"/>
        </w:rPr>
        <w:t>y</w:t>
      </w:r>
      <w:r>
        <w:rPr>
          <w:color w:val="231F20"/>
          <w:spacing w:val="-20"/>
          <w:w w:val="105"/>
        </w:rPr>
        <w:t> </w:t>
      </w:r>
      <w:r>
        <w:rPr>
          <w:color w:val="231F20"/>
          <w:w w:val="105"/>
        </w:rPr>
        <w:t>preven-</w:t>
      </w:r>
      <w:r>
        <w:rPr>
          <w:color w:val="231F20"/>
          <w:w w:val="95"/>
        </w:rPr>
        <w:t> </w:t>
      </w:r>
      <w:r>
        <w:rPr>
          <w:color w:val="231F20"/>
          <w:w w:val="105"/>
        </w:rPr>
        <w:t>ción (Alemán </w:t>
      </w:r>
      <w:r>
        <w:rPr>
          <w:i/>
          <w:color w:val="231F20"/>
          <w:w w:val="105"/>
        </w:rPr>
        <w:t>et al</w:t>
      </w:r>
      <w:r>
        <w:rPr>
          <w:color w:val="231F20"/>
          <w:w w:val="105"/>
        </w:rPr>
        <w:t>., 2005; Nuncio </w:t>
      </w:r>
      <w:r>
        <w:rPr>
          <w:i/>
          <w:color w:val="231F20"/>
          <w:w w:val="105"/>
        </w:rPr>
        <w:t>et al</w:t>
      </w:r>
      <w:r>
        <w:rPr>
          <w:color w:val="231F20"/>
          <w:w w:val="105"/>
        </w:rPr>
        <w:t>., </w:t>
      </w:r>
      <w:r>
        <w:rPr>
          <w:color w:val="231F20"/>
          <w:spacing w:val="-3"/>
          <w:w w:val="105"/>
        </w:rPr>
        <w:t>2001). </w:t>
      </w:r>
      <w:r>
        <w:rPr>
          <w:color w:val="231F20"/>
          <w:w w:val="105"/>
        </w:rPr>
        <w:t>De</w:t>
      </w:r>
      <w:r>
        <w:rPr>
          <w:color w:val="231F20"/>
          <w:spacing w:val="-13"/>
          <w:w w:val="105"/>
        </w:rPr>
        <w:t> </w:t>
      </w:r>
      <w:r>
        <w:rPr>
          <w:color w:val="231F20"/>
          <w:w w:val="105"/>
        </w:rPr>
        <w:t>otro</w:t>
      </w:r>
      <w:r>
        <w:rPr>
          <w:color w:val="231F20"/>
          <w:spacing w:val="-13"/>
          <w:w w:val="105"/>
        </w:rPr>
        <w:t> </w:t>
      </w:r>
      <w:r>
        <w:rPr>
          <w:color w:val="231F20"/>
          <w:w w:val="105"/>
        </w:rPr>
        <w:t>lado,</w:t>
      </w:r>
      <w:r>
        <w:rPr>
          <w:color w:val="231F20"/>
          <w:spacing w:val="-13"/>
          <w:w w:val="105"/>
        </w:rPr>
        <w:t> </w:t>
      </w:r>
      <w:r>
        <w:rPr>
          <w:color w:val="231F20"/>
          <w:w w:val="105"/>
        </w:rPr>
        <w:t>la</w:t>
      </w:r>
      <w:r>
        <w:rPr>
          <w:color w:val="231F20"/>
          <w:spacing w:val="-13"/>
          <w:w w:val="105"/>
        </w:rPr>
        <w:t> </w:t>
      </w:r>
      <w:r>
        <w:rPr>
          <w:color w:val="231F20"/>
          <w:w w:val="105"/>
        </w:rPr>
        <w:t>neumonía</w:t>
      </w:r>
      <w:r>
        <w:rPr>
          <w:color w:val="231F20"/>
          <w:spacing w:val="-13"/>
          <w:w w:val="105"/>
        </w:rPr>
        <w:t> </w:t>
      </w:r>
      <w:r>
        <w:rPr>
          <w:color w:val="231F20"/>
          <w:w w:val="105"/>
        </w:rPr>
        <w:t>es</w:t>
      </w:r>
      <w:r>
        <w:rPr>
          <w:color w:val="231F20"/>
          <w:spacing w:val="-13"/>
          <w:w w:val="105"/>
        </w:rPr>
        <w:t> </w:t>
      </w:r>
      <w:r>
        <w:rPr>
          <w:color w:val="231F20"/>
          <w:w w:val="105"/>
        </w:rPr>
        <w:t>considerada</w:t>
      </w:r>
      <w:r>
        <w:rPr>
          <w:color w:val="231F20"/>
          <w:spacing w:val="-13"/>
          <w:w w:val="105"/>
        </w:rPr>
        <w:t> </w:t>
      </w:r>
      <w:r>
        <w:rPr>
          <w:color w:val="231F20"/>
          <w:w w:val="105"/>
        </w:rPr>
        <w:t>como</w:t>
      </w:r>
      <w:r>
        <w:rPr>
          <w:color w:val="231F20"/>
          <w:spacing w:val="-13"/>
          <w:w w:val="105"/>
        </w:rPr>
        <w:t> </w:t>
      </w:r>
      <w:r>
        <w:rPr>
          <w:color w:val="231F20"/>
          <w:w w:val="105"/>
        </w:rPr>
        <w:t>la principal</w:t>
      </w:r>
      <w:r>
        <w:rPr>
          <w:color w:val="231F20"/>
          <w:spacing w:val="-12"/>
          <w:w w:val="105"/>
        </w:rPr>
        <w:t> </w:t>
      </w:r>
      <w:r>
        <w:rPr>
          <w:color w:val="231F20"/>
          <w:w w:val="105"/>
        </w:rPr>
        <w:t>limitante</w:t>
      </w:r>
      <w:r>
        <w:rPr>
          <w:color w:val="231F20"/>
          <w:spacing w:val="-12"/>
          <w:w w:val="105"/>
        </w:rPr>
        <w:t> </w:t>
      </w:r>
      <w:r>
        <w:rPr>
          <w:color w:val="231F20"/>
          <w:w w:val="105"/>
        </w:rPr>
        <w:t>en</w:t>
      </w:r>
      <w:r>
        <w:rPr>
          <w:color w:val="231F20"/>
          <w:spacing w:val="-12"/>
          <w:w w:val="105"/>
        </w:rPr>
        <w:t> </w:t>
      </w:r>
      <w:r>
        <w:rPr>
          <w:color w:val="231F20"/>
          <w:w w:val="105"/>
        </w:rPr>
        <w:t>las</w:t>
      </w:r>
      <w:r>
        <w:rPr>
          <w:color w:val="231F20"/>
          <w:spacing w:val="-12"/>
          <w:w w:val="105"/>
        </w:rPr>
        <w:t> </w:t>
      </w:r>
      <w:r>
        <w:rPr>
          <w:color w:val="231F20"/>
          <w:w w:val="105"/>
        </w:rPr>
        <w:t>zonas</w:t>
      </w:r>
      <w:r>
        <w:rPr>
          <w:color w:val="231F20"/>
          <w:spacing w:val="-12"/>
          <w:w w:val="105"/>
        </w:rPr>
        <w:t> </w:t>
      </w:r>
      <w:r>
        <w:rPr>
          <w:color w:val="231F20"/>
          <w:w w:val="105"/>
        </w:rPr>
        <w:t>frías,</w:t>
      </w:r>
      <w:r>
        <w:rPr>
          <w:color w:val="231F20"/>
          <w:spacing w:val="-12"/>
          <w:w w:val="105"/>
        </w:rPr>
        <w:t> </w:t>
      </w:r>
      <w:r>
        <w:rPr>
          <w:color w:val="231F20"/>
          <w:w w:val="105"/>
        </w:rPr>
        <w:t>donde</w:t>
      </w:r>
      <w:r>
        <w:rPr>
          <w:color w:val="231F20"/>
          <w:spacing w:val="-12"/>
          <w:w w:val="105"/>
        </w:rPr>
        <w:t> </w:t>
      </w:r>
      <w:r>
        <w:rPr>
          <w:color w:val="231F20"/>
          <w:w w:val="105"/>
        </w:rPr>
        <w:t>alcan-</w:t>
      </w:r>
      <w:r>
        <w:rPr>
          <w:color w:val="231F20"/>
          <w:w w:val="95"/>
        </w:rPr>
        <w:t> </w:t>
      </w:r>
      <w:r>
        <w:rPr>
          <w:color w:val="231F20"/>
          <w:w w:val="105"/>
        </w:rPr>
        <w:t>za hasta un 24% de incidencia </w:t>
      </w:r>
      <w:r>
        <w:rPr>
          <w:color w:val="231F20"/>
          <w:spacing w:val="-4"/>
          <w:w w:val="105"/>
        </w:rPr>
        <w:t>(Trigo </w:t>
      </w:r>
      <w:r>
        <w:rPr>
          <w:color w:val="231F20"/>
          <w:w w:val="105"/>
        </w:rPr>
        <w:t>y Romero, 1986), en comparación con el  37%  encontra-  do en Yucatán (Góngora-Pérez </w:t>
      </w:r>
      <w:r>
        <w:rPr>
          <w:i/>
          <w:color w:val="231F20"/>
          <w:w w:val="105"/>
        </w:rPr>
        <w:t>et al., </w:t>
      </w:r>
      <w:r>
        <w:rPr>
          <w:color w:val="231F20"/>
          <w:spacing w:val="-5"/>
          <w:w w:val="105"/>
        </w:rPr>
        <w:t>2010) </w:t>
      </w:r>
      <w:r>
        <w:rPr>
          <w:color w:val="231F20"/>
          <w:w w:val="105"/>
        </w:rPr>
        <w:t>y el 27% para ovinos de pelo en </w:t>
      </w:r>
      <w:r>
        <w:rPr>
          <w:color w:val="231F20"/>
          <w:spacing w:val="-3"/>
          <w:w w:val="105"/>
        </w:rPr>
        <w:t>Tabasco </w:t>
      </w:r>
      <w:r>
        <w:rPr>
          <w:color w:val="231F20"/>
          <w:w w:val="105"/>
        </w:rPr>
        <w:t>(Nava </w:t>
      </w:r>
      <w:r>
        <w:rPr>
          <w:i/>
          <w:color w:val="231F20"/>
          <w:w w:val="105"/>
        </w:rPr>
        <w:t>et al</w:t>
      </w:r>
      <w:r>
        <w:rPr>
          <w:color w:val="231F20"/>
          <w:w w:val="105"/>
        </w:rPr>
        <w:t>., 2006).</w:t>
      </w:r>
    </w:p>
    <w:p>
      <w:pPr>
        <w:pStyle w:val="BodyText"/>
        <w:spacing w:line="261" w:lineRule="auto" w:before="113"/>
        <w:ind w:left="1553"/>
        <w:jc w:val="both"/>
      </w:pPr>
      <w:r>
        <w:rPr>
          <w:color w:val="231F20"/>
        </w:rPr>
        <w:t>Del mismo modo, la ocurrencia de enfermedades   y cojeras, y la alta mortalidad de las crías, podrían relacionarse con deficiencias nutricionales y con el bajo uso de suplementos minerales, pues desequi- librios en elementos como el hierro y el fósforo, y deficiencias de cobre, pueden llevar a alopecias, diarreas, deformaciones óseas y mala dentadura en los ovinos (Domínguez y Huerta, 2008), y las deficiencias de selenio pueden producir   </w:t>
      </w:r>
      <w:r>
        <w:rPr>
          <w:color w:val="231F20"/>
          <w:spacing w:val="6"/>
        </w:rPr>
        <w:t> </w:t>
      </w:r>
      <w:r>
        <w:rPr>
          <w:color w:val="231F20"/>
        </w:rPr>
        <w:t>distrofias</w:t>
      </w:r>
    </w:p>
    <w:p>
      <w:pPr>
        <w:pStyle w:val="BodyText"/>
        <w:spacing w:before="79"/>
        <w:ind w:left="412"/>
        <w:jc w:val="both"/>
      </w:pPr>
      <w:r>
        <w:rPr/>
        <w:br w:type="column"/>
      </w:r>
      <w:r>
        <w:rPr>
          <w:color w:val="231F20"/>
        </w:rPr>
        <w:t>musculares y la muerte de los corderos (Ramírez</w:t>
      </w:r>
    </w:p>
    <w:p>
      <w:pPr>
        <w:spacing w:before="16"/>
        <w:ind w:left="412" w:right="0" w:firstLine="0"/>
        <w:jc w:val="both"/>
        <w:rPr>
          <w:sz w:val="20"/>
        </w:rPr>
      </w:pPr>
      <w:r>
        <w:rPr>
          <w:i/>
          <w:color w:val="231F20"/>
          <w:sz w:val="20"/>
        </w:rPr>
        <w:t>et  al</w:t>
      </w:r>
      <w:r>
        <w:rPr>
          <w:color w:val="231F20"/>
          <w:sz w:val="20"/>
        </w:rPr>
        <w:t>., 2004).</w:t>
      </w:r>
    </w:p>
    <w:p>
      <w:pPr>
        <w:pStyle w:val="BodyText"/>
        <w:spacing w:before="11"/>
        <w:rPr>
          <w:sz w:val="19"/>
        </w:rPr>
      </w:pPr>
    </w:p>
    <w:p>
      <w:pPr>
        <w:spacing w:before="0"/>
        <w:ind w:left="412" w:right="0" w:firstLine="0"/>
        <w:jc w:val="both"/>
        <w:rPr>
          <w:rFonts w:ascii="Cambria"/>
          <w:i/>
          <w:sz w:val="20"/>
        </w:rPr>
      </w:pPr>
      <w:r>
        <w:rPr>
          <w:rFonts w:ascii="Cambria"/>
          <w:i/>
          <w:color w:val="231F20"/>
          <w:w w:val="105"/>
          <w:sz w:val="20"/>
        </w:rPr>
        <w:t>Manejo reproductivo</w:t>
      </w:r>
    </w:p>
    <w:p>
      <w:pPr>
        <w:pStyle w:val="BodyText"/>
        <w:spacing w:line="254" w:lineRule="auto" w:before="138"/>
        <w:ind w:left="412" w:right="1551"/>
        <w:jc w:val="both"/>
      </w:pPr>
      <w:r>
        <w:rPr>
          <w:color w:val="231F20"/>
          <w:w w:val="105"/>
        </w:rPr>
        <w:t>Predomina</w:t>
      </w:r>
      <w:r>
        <w:rPr>
          <w:color w:val="231F20"/>
          <w:spacing w:val="-7"/>
          <w:w w:val="105"/>
        </w:rPr>
        <w:t> </w:t>
      </w:r>
      <w:r>
        <w:rPr>
          <w:color w:val="231F20"/>
          <w:w w:val="105"/>
        </w:rPr>
        <w:t>la</w:t>
      </w:r>
      <w:r>
        <w:rPr>
          <w:color w:val="231F20"/>
          <w:spacing w:val="-7"/>
          <w:w w:val="105"/>
        </w:rPr>
        <w:t> </w:t>
      </w:r>
      <w:r>
        <w:rPr>
          <w:color w:val="231F20"/>
          <w:w w:val="105"/>
        </w:rPr>
        <w:t>monta</w:t>
      </w:r>
      <w:r>
        <w:rPr>
          <w:color w:val="231F20"/>
          <w:spacing w:val="-7"/>
          <w:w w:val="105"/>
        </w:rPr>
        <w:t> </w:t>
      </w:r>
      <w:r>
        <w:rPr>
          <w:color w:val="231F20"/>
          <w:w w:val="105"/>
        </w:rPr>
        <w:t>natural,</w:t>
      </w:r>
      <w:r>
        <w:rPr>
          <w:color w:val="231F20"/>
          <w:spacing w:val="-7"/>
          <w:w w:val="105"/>
        </w:rPr>
        <w:t> </w:t>
      </w:r>
      <w:r>
        <w:rPr>
          <w:color w:val="231F20"/>
          <w:w w:val="105"/>
        </w:rPr>
        <w:t>con</w:t>
      </w:r>
      <w:r>
        <w:rPr>
          <w:color w:val="231F20"/>
          <w:spacing w:val="-7"/>
          <w:w w:val="105"/>
        </w:rPr>
        <w:t> </w:t>
      </w:r>
      <w:r>
        <w:rPr>
          <w:color w:val="231F20"/>
          <w:w w:val="105"/>
        </w:rPr>
        <w:t>los</w:t>
      </w:r>
      <w:r>
        <w:rPr>
          <w:color w:val="231F20"/>
          <w:spacing w:val="-7"/>
          <w:w w:val="105"/>
        </w:rPr>
        <w:t> </w:t>
      </w:r>
      <w:r>
        <w:rPr>
          <w:color w:val="231F20"/>
          <w:w w:val="105"/>
        </w:rPr>
        <w:t>meses</w:t>
      </w:r>
      <w:r>
        <w:rPr>
          <w:color w:val="231F20"/>
          <w:spacing w:val="-7"/>
          <w:w w:val="105"/>
        </w:rPr>
        <w:t> </w:t>
      </w:r>
      <w:r>
        <w:rPr>
          <w:color w:val="231F20"/>
          <w:w w:val="105"/>
        </w:rPr>
        <w:t>de</w:t>
      </w:r>
      <w:r>
        <w:rPr>
          <w:color w:val="231F20"/>
          <w:spacing w:val="-7"/>
          <w:w w:val="105"/>
        </w:rPr>
        <w:t> </w:t>
      </w:r>
      <w:r>
        <w:rPr>
          <w:color w:val="231F20"/>
          <w:w w:val="105"/>
        </w:rPr>
        <w:t>ju- </w:t>
      </w:r>
      <w:r>
        <w:rPr>
          <w:color w:val="231F20"/>
          <w:w w:val="110"/>
        </w:rPr>
        <w:t>lio</w:t>
      </w:r>
      <w:r>
        <w:rPr>
          <w:color w:val="231F20"/>
          <w:spacing w:val="-14"/>
          <w:w w:val="110"/>
        </w:rPr>
        <w:t> </w:t>
      </w:r>
      <w:r>
        <w:rPr>
          <w:color w:val="231F20"/>
          <w:w w:val="110"/>
        </w:rPr>
        <w:t>a</w:t>
      </w:r>
      <w:r>
        <w:rPr>
          <w:color w:val="231F20"/>
          <w:spacing w:val="-14"/>
          <w:w w:val="110"/>
        </w:rPr>
        <w:t> </w:t>
      </w:r>
      <w:r>
        <w:rPr>
          <w:color w:val="231F20"/>
          <w:w w:val="110"/>
        </w:rPr>
        <w:t>septiembre</w:t>
      </w:r>
      <w:r>
        <w:rPr>
          <w:color w:val="231F20"/>
          <w:spacing w:val="-14"/>
          <w:w w:val="110"/>
        </w:rPr>
        <w:t> </w:t>
      </w:r>
      <w:r>
        <w:rPr>
          <w:color w:val="231F20"/>
          <w:w w:val="110"/>
        </w:rPr>
        <w:t>señalados</w:t>
      </w:r>
      <w:r>
        <w:rPr>
          <w:color w:val="231F20"/>
          <w:spacing w:val="-14"/>
          <w:w w:val="110"/>
        </w:rPr>
        <w:t> </w:t>
      </w:r>
      <w:r>
        <w:rPr>
          <w:color w:val="231F20"/>
          <w:w w:val="110"/>
        </w:rPr>
        <w:t>por</w:t>
      </w:r>
      <w:r>
        <w:rPr>
          <w:color w:val="231F20"/>
          <w:spacing w:val="-14"/>
          <w:w w:val="110"/>
        </w:rPr>
        <w:t> </w:t>
      </w:r>
      <w:r>
        <w:rPr>
          <w:color w:val="231F20"/>
          <w:w w:val="110"/>
        </w:rPr>
        <w:t>el</w:t>
      </w:r>
      <w:r>
        <w:rPr>
          <w:color w:val="231F20"/>
          <w:spacing w:val="-14"/>
          <w:w w:val="110"/>
        </w:rPr>
        <w:t> </w:t>
      </w:r>
      <w:r>
        <w:rPr>
          <w:color w:val="231F20"/>
          <w:w w:val="110"/>
        </w:rPr>
        <w:t>45%</w:t>
      </w:r>
      <w:r>
        <w:rPr>
          <w:color w:val="231F20"/>
          <w:spacing w:val="-14"/>
          <w:w w:val="110"/>
        </w:rPr>
        <w:t> </w:t>
      </w:r>
      <w:r>
        <w:rPr>
          <w:color w:val="231F20"/>
          <w:w w:val="110"/>
        </w:rPr>
        <w:t>como</w:t>
      </w:r>
      <w:r>
        <w:rPr>
          <w:color w:val="231F20"/>
          <w:spacing w:val="-14"/>
          <w:w w:val="110"/>
        </w:rPr>
        <w:t> </w:t>
      </w:r>
      <w:r>
        <w:rPr>
          <w:color w:val="231F20"/>
          <w:w w:val="110"/>
        </w:rPr>
        <w:t>pe- riodo</w:t>
      </w:r>
      <w:r>
        <w:rPr>
          <w:color w:val="231F20"/>
          <w:spacing w:val="-10"/>
          <w:w w:val="110"/>
        </w:rPr>
        <w:t> </w:t>
      </w:r>
      <w:r>
        <w:rPr>
          <w:color w:val="231F20"/>
          <w:w w:val="110"/>
        </w:rPr>
        <w:t>de</w:t>
      </w:r>
      <w:r>
        <w:rPr>
          <w:color w:val="231F20"/>
          <w:spacing w:val="-10"/>
          <w:w w:val="110"/>
        </w:rPr>
        <w:t> </w:t>
      </w:r>
      <w:r>
        <w:rPr>
          <w:color w:val="231F20"/>
          <w:w w:val="110"/>
        </w:rPr>
        <w:t>apareamiento.</w:t>
      </w:r>
      <w:r>
        <w:rPr>
          <w:color w:val="231F20"/>
          <w:spacing w:val="-10"/>
          <w:w w:val="110"/>
        </w:rPr>
        <w:t> </w:t>
      </w:r>
      <w:r>
        <w:rPr>
          <w:color w:val="231F20"/>
          <w:w w:val="110"/>
        </w:rPr>
        <w:t>El</w:t>
      </w:r>
      <w:r>
        <w:rPr>
          <w:color w:val="231F20"/>
          <w:spacing w:val="-10"/>
          <w:w w:val="110"/>
        </w:rPr>
        <w:t> </w:t>
      </w:r>
      <w:r>
        <w:rPr>
          <w:color w:val="231F20"/>
          <w:spacing w:val="-6"/>
          <w:w w:val="110"/>
        </w:rPr>
        <w:t>27,5%</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rebaños presentó</w:t>
      </w:r>
      <w:r>
        <w:rPr>
          <w:color w:val="231F20"/>
          <w:spacing w:val="-10"/>
          <w:w w:val="110"/>
        </w:rPr>
        <w:t> </w:t>
      </w:r>
      <w:r>
        <w:rPr>
          <w:color w:val="231F20"/>
          <w:w w:val="110"/>
        </w:rPr>
        <w:t>una</w:t>
      </w:r>
      <w:r>
        <w:rPr>
          <w:color w:val="231F20"/>
          <w:spacing w:val="-10"/>
          <w:w w:val="110"/>
        </w:rPr>
        <w:t> </w:t>
      </w:r>
      <w:r>
        <w:rPr>
          <w:color w:val="231F20"/>
          <w:w w:val="110"/>
        </w:rPr>
        <w:t>proporción</w:t>
      </w:r>
      <w:r>
        <w:rPr>
          <w:color w:val="231F20"/>
          <w:spacing w:val="-10"/>
          <w:w w:val="110"/>
        </w:rPr>
        <w:t> </w:t>
      </w:r>
      <w:r>
        <w:rPr>
          <w:color w:val="231F20"/>
          <w:w w:val="110"/>
        </w:rPr>
        <w:t>de</w:t>
      </w:r>
      <w:r>
        <w:rPr>
          <w:color w:val="231F20"/>
          <w:spacing w:val="-10"/>
          <w:w w:val="110"/>
        </w:rPr>
        <w:t> </w:t>
      </w:r>
      <w:r>
        <w:rPr>
          <w:color w:val="231F20"/>
          <w:w w:val="110"/>
        </w:rPr>
        <w:t>machos</w:t>
      </w:r>
      <w:r>
        <w:rPr>
          <w:color w:val="231F20"/>
          <w:spacing w:val="-10"/>
          <w:w w:val="110"/>
        </w:rPr>
        <w:t> </w:t>
      </w:r>
      <w:r>
        <w:rPr>
          <w:color w:val="231F20"/>
          <w:w w:val="110"/>
        </w:rPr>
        <w:t>y</w:t>
      </w:r>
      <w:r>
        <w:rPr>
          <w:color w:val="231F20"/>
          <w:spacing w:val="-10"/>
          <w:w w:val="110"/>
        </w:rPr>
        <w:t> </w:t>
      </w:r>
      <w:r>
        <w:rPr>
          <w:color w:val="231F20"/>
          <w:w w:val="110"/>
        </w:rPr>
        <w:t>hembras menor de 1:15, el 25% una relación de </w:t>
      </w:r>
      <w:r>
        <w:rPr>
          <w:color w:val="231F20"/>
          <w:spacing w:val="-3"/>
          <w:w w:val="110"/>
        </w:rPr>
        <w:t>1:16 </w:t>
      </w:r>
      <w:r>
        <w:rPr>
          <w:color w:val="231F20"/>
          <w:w w:val="110"/>
        </w:rPr>
        <w:t>y 1:30, y el </w:t>
      </w:r>
      <w:r>
        <w:rPr>
          <w:color w:val="231F20"/>
          <w:spacing w:val="-3"/>
          <w:w w:val="110"/>
        </w:rPr>
        <w:t>15% </w:t>
      </w:r>
      <w:r>
        <w:rPr>
          <w:color w:val="231F20"/>
          <w:w w:val="110"/>
        </w:rPr>
        <w:t>una relación mayor de 1:30. La edad</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procedencia</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machos</w:t>
      </w:r>
      <w:r>
        <w:rPr>
          <w:color w:val="231F20"/>
          <w:spacing w:val="-6"/>
          <w:w w:val="110"/>
        </w:rPr>
        <w:t> </w:t>
      </w:r>
      <w:r>
        <w:rPr>
          <w:color w:val="231F20"/>
          <w:w w:val="110"/>
        </w:rPr>
        <w:t>reproduc- tores</w:t>
      </w:r>
      <w:r>
        <w:rPr>
          <w:color w:val="231F20"/>
          <w:spacing w:val="-25"/>
          <w:w w:val="110"/>
        </w:rPr>
        <w:t> </w:t>
      </w:r>
      <w:r>
        <w:rPr>
          <w:color w:val="231F20"/>
          <w:w w:val="110"/>
        </w:rPr>
        <w:t>es</w:t>
      </w:r>
      <w:r>
        <w:rPr>
          <w:color w:val="231F20"/>
          <w:spacing w:val="-25"/>
          <w:w w:val="110"/>
        </w:rPr>
        <w:t> </w:t>
      </w:r>
      <w:r>
        <w:rPr>
          <w:color w:val="231F20"/>
          <w:w w:val="110"/>
        </w:rPr>
        <w:t>variable,</w:t>
      </w:r>
      <w:r>
        <w:rPr>
          <w:color w:val="231F20"/>
          <w:spacing w:val="-25"/>
          <w:w w:val="110"/>
        </w:rPr>
        <w:t> </w:t>
      </w:r>
      <w:r>
        <w:rPr>
          <w:color w:val="231F20"/>
          <w:w w:val="110"/>
        </w:rPr>
        <w:t>y</w:t>
      </w:r>
      <w:r>
        <w:rPr>
          <w:color w:val="231F20"/>
          <w:spacing w:val="-25"/>
          <w:w w:val="110"/>
        </w:rPr>
        <w:t> </w:t>
      </w:r>
      <w:r>
        <w:rPr>
          <w:color w:val="231F20"/>
          <w:w w:val="110"/>
        </w:rPr>
        <w:t>se</w:t>
      </w:r>
      <w:r>
        <w:rPr>
          <w:color w:val="231F20"/>
          <w:spacing w:val="-25"/>
          <w:w w:val="110"/>
        </w:rPr>
        <w:t> </w:t>
      </w:r>
      <w:r>
        <w:rPr>
          <w:color w:val="231F20"/>
          <w:w w:val="110"/>
        </w:rPr>
        <w:t>mantienen</w:t>
      </w:r>
      <w:r>
        <w:rPr>
          <w:color w:val="231F20"/>
          <w:spacing w:val="-25"/>
          <w:w w:val="110"/>
        </w:rPr>
        <w:t> </w:t>
      </w:r>
      <w:r>
        <w:rPr>
          <w:color w:val="231F20"/>
          <w:w w:val="110"/>
        </w:rPr>
        <w:t>en</w:t>
      </w:r>
      <w:r>
        <w:rPr>
          <w:color w:val="231F20"/>
          <w:spacing w:val="-25"/>
          <w:w w:val="110"/>
        </w:rPr>
        <w:t> </w:t>
      </w:r>
      <w:r>
        <w:rPr>
          <w:color w:val="231F20"/>
          <w:w w:val="110"/>
        </w:rPr>
        <w:t>el</w:t>
      </w:r>
      <w:r>
        <w:rPr>
          <w:color w:val="231F20"/>
          <w:spacing w:val="-25"/>
          <w:w w:val="110"/>
        </w:rPr>
        <w:t> </w:t>
      </w:r>
      <w:r>
        <w:rPr>
          <w:color w:val="231F20"/>
          <w:w w:val="110"/>
        </w:rPr>
        <w:t>rebaño</w:t>
      </w:r>
      <w:r>
        <w:rPr>
          <w:color w:val="231F20"/>
          <w:spacing w:val="-25"/>
          <w:w w:val="110"/>
        </w:rPr>
        <w:t> </w:t>
      </w:r>
      <w:r>
        <w:rPr>
          <w:color w:val="231F20"/>
          <w:w w:val="110"/>
        </w:rPr>
        <w:t>un </w:t>
      </w:r>
      <w:r>
        <w:rPr>
          <w:color w:val="231F20"/>
          <w:w w:val="105"/>
        </w:rPr>
        <w:t>máximo</w:t>
      </w:r>
      <w:r>
        <w:rPr>
          <w:color w:val="231F20"/>
          <w:spacing w:val="-12"/>
          <w:w w:val="105"/>
        </w:rPr>
        <w:t> </w:t>
      </w:r>
      <w:r>
        <w:rPr>
          <w:color w:val="231F20"/>
          <w:w w:val="105"/>
        </w:rPr>
        <w:t>de</w:t>
      </w:r>
      <w:r>
        <w:rPr>
          <w:color w:val="231F20"/>
          <w:spacing w:val="-12"/>
          <w:w w:val="105"/>
        </w:rPr>
        <w:t> </w:t>
      </w:r>
      <w:r>
        <w:rPr>
          <w:color w:val="231F20"/>
          <w:w w:val="105"/>
        </w:rPr>
        <w:t>2</w:t>
      </w:r>
      <w:r>
        <w:rPr>
          <w:color w:val="231F20"/>
          <w:spacing w:val="-12"/>
          <w:w w:val="105"/>
        </w:rPr>
        <w:t> </w:t>
      </w:r>
      <w:r>
        <w:rPr>
          <w:color w:val="231F20"/>
          <w:w w:val="105"/>
        </w:rPr>
        <w:t>años,</w:t>
      </w:r>
      <w:r>
        <w:rPr>
          <w:color w:val="231F20"/>
          <w:spacing w:val="-12"/>
          <w:w w:val="105"/>
        </w:rPr>
        <w:t> </w:t>
      </w:r>
      <w:r>
        <w:rPr>
          <w:color w:val="231F20"/>
          <w:w w:val="105"/>
        </w:rPr>
        <w:t>mientras</w:t>
      </w:r>
      <w:r>
        <w:rPr>
          <w:color w:val="231F20"/>
          <w:spacing w:val="-12"/>
          <w:w w:val="105"/>
        </w:rPr>
        <w:t> </w:t>
      </w:r>
      <w:r>
        <w:rPr>
          <w:color w:val="231F20"/>
          <w:w w:val="105"/>
        </w:rPr>
        <w:t>que</w:t>
      </w:r>
      <w:r>
        <w:rPr>
          <w:color w:val="231F20"/>
          <w:spacing w:val="-12"/>
          <w:w w:val="105"/>
        </w:rPr>
        <w:t> </w:t>
      </w:r>
      <w:r>
        <w:rPr>
          <w:color w:val="231F20"/>
          <w:w w:val="105"/>
        </w:rPr>
        <w:t>las</w:t>
      </w:r>
      <w:r>
        <w:rPr>
          <w:color w:val="231F20"/>
          <w:spacing w:val="-12"/>
          <w:w w:val="105"/>
        </w:rPr>
        <w:t> </w:t>
      </w:r>
      <w:r>
        <w:rPr>
          <w:color w:val="231F20"/>
          <w:w w:val="105"/>
        </w:rPr>
        <w:t>hembras</w:t>
      </w:r>
      <w:r>
        <w:rPr>
          <w:color w:val="231F20"/>
          <w:spacing w:val="-12"/>
          <w:w w:val="105"/>
        </w:rPr>
        <w:t> </w:t>
      </w:r>
      <w:r>
        <w:rPr>
          <w:color w:val="231F20"/>
          <w:w w:val="105"/>
        </w:rPr>
        <w:t>per- </w:t>
      </w:r>
      <w:r>
        <w:rPr>
          <w:color w:val="231F20"/>
          <w:w w:val="110"/>
        </w:rPr>
        <w:t>manecen por periodos superiores a los 8 años. Los</w:t>
      </w:r>
      <w:r>
        <w:rPr>
          <w:color w:val="231F20"/>
          <w:spacing w:val="-8"/>
          <w:w w:val="110"/>
        </w:rPr>
        <w:t> </w:t>
      </w:r>
      <w:r>
        <w:rPr>
          <w:color w:val="231F20"/>
          <w:w w:val="110"/>
        </w:rPr>
        <w:t>partos</w:t>
      </w:r>
      <w:r>
        <w:rPr>
          <w:color w:val="231F20"/>
          <w:spacing w:val="-8"/>
          <w:w w:val="110"/>
        </w:rPr>
        <w:t> </w:t>
      </w:r>
      <w:r>
        <w:rPr>
          <w:color w:val="231F20"/>
          <w:w w:val="110"/>
        </w:rPr>
        <w:t>se</w:t>
      </w:r>
      <w:r>
        <w:rPr>
          <w:color w:val="231F20"/>
          <w:spacing w:val="-8"/>
          <w:w w:val="110"/>
        </w:rPr>
        <w:t> </w:t>
      </w:r>
      <w:r>
        <w:rPr>
          <w:color w:val="231F20"/>
          <w:w w:val="110"/>
        </w:rPr>
        <w:t>producen</w:t>
      </w:r>
      <w:r>
        <w:rPr>
          <w:color w:val="231F20"/>
          <w:spacing w:val="-8"/>
          <w:w w:val="110"/>
        </w:rPr>
        <w:t> </w:t>
      </w:r>
      <w:r>
        <w:rPr>
          <w:color w:val="231F20"/>
          <w:w w:val="110"/>
        </w:rPr>
        <w:t>de</w:t>
      </w:r>
      <w:r>
        <w:rPr>
          <w:color w:val="231F20"/>
          <w:spacing w:val="-8"/>
          <w:w w:val="110"/>
        </w:rPr>
        <w:t> </w:t>
      </w:r>
      <w:r>
        <w:rPr>
          <w:color w:val="231F20"/>
          <w:w w:val="110"/>
        </w:rPr>
        <w:t>manera</w:t>
      </w:r>
      <w:r>
        <w:rPr>
          <w:color w:val="231F20"/>
          <w:spacing w:val="-8"/>
          <w:w w:val="110"/>
        </w:rPr>
        <w:t> </w:t>
      </w:r>
      <w:r>
        <w:rPr>
          <w:color w:val="231F20"/>
          <w:w w:val="110"/>
        </w:rPr>
        <w:t>natural</w:t>
      </w:r>
      <w:r>
        <w:rPr>
          <w:color w:val="231F20"/>
          <w:spacing w:val="-8"/>
          <w:w w:val="110"/>
        </w:rPr>
        <w:t> </w:t>
      </w:r>
      <w:r>
        <w:rPr>
          <w:color w:val="231F20"/>
          <w:w w:val="110"/>
        </w:rPr>
        <w:t>y</w:t>
      </w:r>
      <w:r>
        <w:rPr>
          <w:color w:val="231F20"/>
          <w:spacing w:val="-8"/>
          <w:w w:val="110"/>
        </w:rPr>
        <w:t> </w:t>
      </w:r>
      <w:r>
        <w:rPr>
          <w:color w:val="231F20"/>
          <w:w w:val="110"/>
        </w:rPr>
        <w:t>los </w:t>
      </w:r>
      <w:r>
        <w:rPr>
          <w:color w:val="231F20"/>
          <w:w w:val="105"/>
        </w:rPr>
        <w:t>nacimientos</w:t>
      </w:r>
      <w:r>
        <w:rPr>
          <w:color w:val="231F20"/>
          <w:spacing w:val="-21"/>
          <w:w w:val="105"/>
        </w:rPr>
        <w:t> </w:t>
      </w:r>
      <w:r>
        <w:rPr>
          <w:color w:val="231F20"/>
          <w:w w:val="105"/>
        </w:rPr>
        <w:t>ocurren</w:t>
      </w:r>
      <w:r>
        <w:rPr>
          <w:color w:val="231F20"/>
          <w:spacing w:val="-21"/>
          <w:w w:val="105"/>
        </w:rPr>
        <w:t> </w:t>
      </w:r>
      <w:r>
        <w:rPr>
          <w:color w:val="231F20"/>
          <w:w w:val="105"/>
        </w:rPr>
        <w:t>entre</w:t>
      </w:r>
      <w:r>
        <w:rPr>
          <w:color w:val="231F20"/>
          <w:spacing w:val="-21"/>
          <w:w w:val="105"/>
        </w:rPr>
        <w:t> </w:t>
      </w:r>
      <w:r>
        <w:rPr>
          <w:color w:val="231F20"/>
          <w:w w:val="105"/>
        </w:rPr>
        <w:t>octubre</w:t>
      </w:r>
      <w:r>
        <w:rPr>
          <w:color w:val="231F20"/>
          <w:spacing w:val="-21"/>
          <w:w w:val="105"/>
        </w:rPr>
        <w:t> </w:t>
      </w:r>
      <w:r>
        <w:rPr>
          <w:color w:val="231F20"/>
          <w:w w:val="105"/>
        </w:rPr>
        <w:t>y</w:t>
      </w:r>
      <w:r>
        <w:rPr>
          <w:color w:val="231F20"/>
          <w:spacing w:val="-21"/>
          <w:w w:val="105"/>
        </w:rPr>
        <w:t> </w:t>
      </w:r>
      <w:r>
        <w:rPr>
          <w:color w:val="231F20"/>
          <w:w w:val="105"/>
        </w:rPr>
        <w:t>diciembre</w:t>
      </w:r>
      <w:r>
        <w:rPr>
          <w:color w:val="231F20"/>
          <w:spacing w:val="-21"/>
          <w:w w:val="105"/>
        </w:rPr>
        <w:t> </w:t>
      </w:r>
      <w:r>
        <w:rPr>
          <w:color w:val="231F20"/>
          <w:w w:val="105"/>
        </w:rPr>
        <w:t>en </w:t>
      </w:r>
      <w:r>
        <w:rPr>
          <w:color w:val="231F20"/>
          <w:w w:val="110"/>
        </w:rPr>
        <w:t>el 42,5% de los rebaños, entre diciembre y fe- brero en el 32,5%, y entre enero y marzo en el </w:t>
      </w:r>
      <w:r>
        <w:rPr>
          <w:color w:val="231F20"/>
          <w:spacing w:val="-6"/>
          <w:w w:val="110"/>
        </w:rPr>
        <w:t>17,5%,</w:t>
      </w:r>
      <w:r>
        <w:rPr>
          <w:color w:val="231F20"/>
          <w:spacing w:val="-14"/>
          <w:w w:val="110"/>
        </w:rPr>
        <w:t> </w:t>
      </w:r>
      <w:r>
        <w:rPr>
          <w:color w:val="231F20"/>
          <w:w w:val="110"/>
        </w:rPr>
        <w:t>coincidiendo</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época</w:t>
      </w:r>
      <w:r>
        <w:rPr>
          <w:color w:val="231F20"/>
          <w:spacing w:val="-14"/>
          <w:w w:val="110"/>
        </w:rPr>
        <w:t> </w:t>
      </w:r>
      <w:r>
        <w:rPr>
          <w:color w:val="231F20"/>
          <w:w w:val="110"/>
        </w:rPr>
        <w:t>de</w:t>
      </w:r>
      <w:r>
        <w:rPr>
          <w:color w:val="231F20"/>
          <w:spacing w:val="-14"/>
          <w:w w:val="110"/>
        </w:rPr>
        <w:t> </w:t>
      </w:r>
      <w:r>
        <w:rPr>
          <w:color w:val="231F20"/>
          <w:w w:val="110"/>
        </w:rPr>
        <w:t>menor</w:t>
      </w:r>
      <w:r>
        <w:rPr>
          <w:color w:val="231F20"/>
          <w:spacing w:val="-14"/>
          <w:w w:val="110"/>
        </w:rPr>
        <w:t> </w:t>
      </w:r>
      <w:r>
        <w:rPr>
          <w:color w:val="231F20"/>
          <w:w w:val="110"/>
        </w:rPr>
        <w:t>pre- </w:t>
      </w:r>
      <w:r>
        <w:rPr>
          <w:color w:val="231F20"/>
        </w:rPr>
        <w:t>cipitación, bajas temperaturas y escasez de forraje. </w:t>
      </w:r>
      <w:r>
        <w:rPr>
          <w:color w:val="231F20"/>
          <w:w w:val="110"/>
        </w:rPr>
        <w:t>El</w:t>
      </w:r>
      <w:r>
        <w:rPr>
          <w:color w:val="231F20"/>
          <w:spacing w:val="-31"/>
          <w:w w:val="110"/>
        </w:rPr>
        <w:t> </w:t>
      </w:r>
      <w:r>
        <w:rPr>
          <w:color w:val="231F20"/>
          <w:w w:val="110"/>
        </w:rPr>
        <w:t>número</w:t>
      </w:r>
      <w:r>
        <w:rPr>
          <w:color w:val="231F20"/>
          <w:spacing w:val="-31"/>
          <w:w w:val="110"/>
        </w:rPr>
        <w:t> </w:t>
      </w:r>
      <w:r>
        <w:rPr>
          <w:color w:val="231F20"/>
          <w:w w:val="110"/>
        </w:rPr>
        <w:t>de</w:t>
      </w:r>
      <w:r>
        <w:rPr>
          <w:color w:val="231F20"/>
          <w:spacing w:val="-31"/>
          <w:w w:val="110"/>
        </w:rPr>
        <w:t> </w:t>
      </w:r>
      <w:r>
        <w:rPr>
          <w:color w:val="231F20"/>
          <w:w w:val="110"/>
        </w:rPr>
        <w:t>crías</w:t>
      </w:r>
      <w:r>
        <w:rPr>
          <w:color w:val="231F20"/>
          <w:spacing w:val="-31"/>
          <w:w w:val="110"/>
        </w:rPr>
        <w:t> </w:t>
      </w:r>
      <w:r>
        <w:rPr>
          <w:color w:val="231F20"/>
          <w:w w:val="110"/>
        </w:rPr>
        <w:t>por</w:t>
      </w:r>
      <w:r>
        <w:rPr>
          <w:color w:val="231F20"/>
          <w:spacing w:val="-31"/>
          <w:w w:val="110"/>
        </w:rPr>
        <w:t> </w:t>
      </w:r>
      <w:r>
        <w:rPr>
          <w:color w:val="231F20"/>
          <w:w w:val="110"/>
        </w:rPr>
        <w:t>parto</w:t>
      </w:r>
      <w:r>
        <w:rPr>
          <w:color w:val="231F20"/>
          <w:spacing w:val="-31"/>
          <w:w w:val="110"/>
        </w:rPr>
        <w:t> </w:t>
      </w:r>
      <w:r>
        <w:rPr>
          <w:color w:val="231F20"/>
          <w:w w:val="110"/>
        </w:rPr>
        <w:t>y</w:t>
      </w:r>
      <w:r>
        <w:rPr>
          <w:color w:val="231F20"/>
          <w:spacing w:val="-31"/>
          <w:w w:val="110"/>
        </w:rPr>
        <w:t> </w:t>
      </w:r>
      <w:r>
        <w:rPr>
          <w:color w:val="231F20"/>
          <w:w w:val="110"/>
        </w:rPr>
        <w:t>por</w:t>
      </w:r>
      <w:r>
        <w:rPr>
          <w:color w:val="231F20"/>
          <w:spacing w:val="-31"/>
          <w:w w:val="110"/>
        </w:rPr>
        <w:t> </w:t>
      </w:r>
      <w:r>
        <w:rPr>
          <w:color w:val="231F20"/>
          <w:w w:val="110"/>
        </w:rPr>
        <w:t>año</w:t>
      </w:r>
      <w:r>
        <w:rPr>
          <w:color w:val="231F20"/>
          <w:spacing w:val="-31"/>
          <w:w w:val="110"/>
        </w:rPr>
        <w:t> </w:t>
      </w:r>
      <w:r>
        <w:rPr>
          <w:color w:val="231F20"/>
          <w:w w:val="110"/>
        </w:rPr>
        <w:t>fue</w:t>
      </w:r>
      <w:r>
        <w:rPr>
          <w:color w:val="231F20"/>
          <w:spacing w:val="-31"/>
          <w:w w:val="110"/>
        </w:rPr>
        <w:t> </w:t>
      </w:r>
      <w:r>
        <w:rPr>
          <w:color w:val="231F20"/>
          <w:w w:val="110"/>
        </w:rPr>
        <w:t>de</w:t>
      </w:r>
      <w:r>
        <w:rPr>
          <w:color w:val="231F20"/>
          <w:spacing w:val="-31"/>
          <w:w w:val="110"/>
        </w:rPr>
        <w:t> </w:t>
      </w:r>
      <w:r>
        <w:rPr>
          <w:color w:val="231F20"/>
          <w:w w:val="110"/>
        </w:rPr>
        <w:t>uno, el</w:t>
      </w:r>
      <w:r>
        <w:rPr>
          <w:color w:val="231F20"/>
          <w:spacing w:val="-5"/>
          <w:w w:val="110"/>
        </w:rPr>
        <w:t> </w:t>
      </w:r>
      <w:r>
        <w:rPr>
          <w:color w:val="231F20"/>
          <w:w w:val="110"/>
        </w:rPr>
        <w:t>porcentaje</w:t>
      </w:r>
      <w:r>
        <w:rPr>
          <w:color w:val="231F20"/>
          <w:spacing w:val="-5"/>
          <w:w w:val="110"/>
        </w:rPr>
        <w:t> </w:t>
      </w:r>
      <w:r>
        <w:rPr>
          <w:color w:val="231F20"/>
          <w:w w:val="110"/>
        </w:rPr>
        <w:t>de</w:t>
      </w:r>
      <w:r>
        <w:rPr>
          <w:color w:val="231F20"/>
          <w:spacing w:val="-5"/>
          <w:w w:val="110"/>
        </w:rPr>
        <w:t> </w:t>
      </w:r>
      <w:r>
        <w:rPr>
          <w:color w:val="231F20"/>
          <w:w w:val="110"/>
        </w:rPr>
        <w:t>crías</w:t>
      </w:r>
      <w:r>
        <w:rPr>
          <w:color w:val="231F20"/>
          <w:spacing w:val="-5"/>
          <w:w w:val="110"/>
        </w:rPr>
        <w:t> </w:t>
      </w:r>
      <w:r>
        <w:rPr>
          <w:color w:val="231F20"/>
          <w:w w:val="110"/>
        </w:rPr>
        <w:t>respecto</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cantidad</w:t>
      </w:r>
      <w:r>
        <w:rPr>
          <w:color w:val="231F20"/>
          <w:spacing w:val="-5"/>
          <w:w w:val="110"/>
        </w:rPr>
        <w:t> </w:t>
      </w:r>
      <w:r>
        <w:rPr>
          <w:color w:val="231F20"/>
          <w:w w:val="110"/>
        </w:rPr>
        <w:t>de hembras adultas fue del 48% ± 23%, y el por- centaje</w:t>
      </w:r>
      <w:r>
        <w:rPr>
          <w:color w:val="231F20"/>
          <w:spacing w:val="-16"/>
          <w:w w:val="110"/>
        </w:rPr>
        <w:t> </w:t>
      </w:r>
      <w:r>
        <w:rPr>
          <w:color w:val="231F20"/>
          <w:w w:val="110"/>
        </w:rPr>
        <w:t>de</w:t>
      </w:r>
      <w:r>
        <w:rPr>
          <w:color w:val="231F20"/>
          <w:spacing w:val="-16"/>
          <w:w w:val="110"/>
        </w:rPr>
        <w:t> </w:t>
      </w:r>
      <w:r>
        <w:rPr>
          <w:color w:val="231F20"/>
          <w:w w:val="110"/>
        </w:rPr>
        <w:t>supervivencia</w:t>
      </w:r>
      <w:r>
        <w:rPr>
          <w:color w:val="231F20"/>
          <w:spacing w:val="-16"/>
          <w:w w:val="110"/>
        </w:rPr>
        <w:t> </w:t>
      </w:r>
      <w:r>
        <w:rPr>
          <w:color w:val="231F20"/>
          <w:w w:val="110"/>
        </w:rPr>
        <w:t>fue</w:t>
      </w:r>
      <w:r>
        <w:rPr>
          <w:color w:val="231F20"/>
          <w:spacing w:val="-16"/>
          <w:w w:val="110"/>
        </w:rPr>
        <w:t> </w:t>
      </w:r>
      <w:r>
        <w:rPr>
          <w:color w:val="231F20"/>
          <w:w w:val="110"/>
        </w:rPr>
        <w:t>del</w:t>
      </w:r>
      <w:r>
        <w:rPr>
          <w:color w:val="231F20"/>
          <w:spacing w:val="-16"/>
          <w:w w:val="110"/>
        </w:rPr>
        <w:t> </w:t>
      </w:r>
      <w:r>
        <w:rPr>
          <w:color w:val="231F20"/>
          <w:w w:val="110"/>
        </w:rPr>
        <w:t>45%</w:t>
      </w:r>
      <w:r>
        <w:rPr>
          <w:color w:val="231F20"/>
          <w:spacing w:val="-16"/>
          <w:w w:val="110"/>
        </w:rPr>
        <w:t> </w:t>
      </w:r>
      <w:r>
        <w:rPr>
          <w:color w:val="231F20"/>
          <w:w w:val="110"/>
        </w:rPr>
        <w:t>±</w:t>
      </w:r>
      <w:r>
        <w:rPr>
          <w:color w:val="231F20"/>
          <w:spacing w:val="-16"/>
          <w:w w:val="110"/>
        </w:rPr>
        <w:t> </w:t>
      </w:r>
      <w:r>
        <w:rPr>
          <w:color w:val="231F20"/>
          <w:w w:val="110"/>
        </w:rPr>
        <w:t>23%.</w:t>
      </w:r>
      <w:r>
        <w:rPr>
          <w:color w:val="231F20"/>
          <w:spacing w:val="-16"/>
          <w:w w:val="110"/>
        </w:rPr>
        <w:t> </w:t>
      </w:r>
      <w:r>
        <w:rPr>
          <w:color w:val="231F20"/>
          <w:w w:val="110"/>
        </w:rPr>
        <w:t>Las</w:t>
      </w:r>
    </w:p>
    <w:p>
      <w:pPr>
        <w:spacing w:after="0" w:line="254"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5"/>
          <w:w w:val="120"/>
          <w:sz w:val="22"/>
        </w:rPr>
        <w:t>156</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w w:val="105"/>
        </w:rPr>
        <w:t>crías generalmente se mantienen con la madre y sólo se separan debido a escasez de forraje,</w:t>
      </w:r>
      <w:r>
        <w:rPr>
          <w:color w:val="231F20"/>
          <w:spacing w:val="-7"/>
          <w:w w:val="105"/>
        </w:rPr>
        <w:t> </w:t>
      </w:r>
      <w:r>
        <w:rPr>
          <w:color w:val="231F20"/>
          <w:w w:val="105"/>
        </w:rPr>
        <w:t>para su venta o para liberar a las hembras para el si- guiente ciclo de apareamiento en los meses de marzo y abril. El número promedio de hembras menores de 1 año fue de 32 ± 24, lo que podría reflejar</w:t>
      </w:r>
      <w:r>
        <w:rPr>
          <w:color w:val="231F20"/>
          <w:spacing w:val="-20"/>
          <w:w w:val="105"/>
        </w:rPr>
        <w:t> </w:t>
      </w:r>
      <w:r>
        <w:rPr>
          <w:color w:val="231F20"/>
          <w:w w:val="105"/>
        </w:rPr>
        <w:t>la</w:t>
      </w:r>
      <w:r>
        <w:rPr>
          <w:color w:val="231F20"/>
          <w:spacing w:val="-20"/>
          <w:w w:val="105"/>
        </w:rPr>
        <w:t> </w:t>
      </w:r>
      <w:r>
        <w:rPr>
          <w:color w:val="231F20"/>
          <w:w w:val="105"/>
        </w:rPr>
        <w:t>capacidad</w:t>
      </w:r>
      <w:r>
        <w:rPr>
          <w:color w:val="231F20"/>
          <w:spacing w:val="-20"/>
          <w:w w:val="105"/>
        </w:rPr>
        <w:t> </w:t>
      </w:r>
      <w:r>
        <w:rPr>
          <w:color w:val="231F20"/>
          <w:w w:val="105"/>
        </w:rPr>
        <w:t>de</w:t>
      </w:r>
      <w:r>
        <w:rPr>
          <w:color w:val="231F20"/>
          <w:spacing w:val="-20"/>
          <w:w w:val="105"/>
        </w:rPr>
        <w:t> </w:t>
      </w:r>
      <w:r>
        <w:rPr>
          <w:color w:val="231F20"/>
          <w:w w:val="105"/>
        </w:rPr>
        <w:t>renovación</w:t>
      </w:r>
      <w:r>
        <w:rPr>
          <w:color w:val="231F20"/>
          <w:spacing w:val="-20"/>
          <w:w w:val="105"/>
        </w:rPr>
        <w:t> </w:t>
      </w:r>
      <w:r>
        <w:rPr>
          <w:color w:val="231F20"/>
          <w:w w:val="105"/>
        </w:rPr>
        <w:t>de</w:t>
      </w:r>
      <w:r>
        <w:rPr>
          <w:color w:val="231F20"/>
          <w:spacing w:val="-20"/>
          <w:w w:val="105"/>
        </w:rPr>
        <w:t> </w:t>
      </w:r>
      <w:r>
        <w:rPr>
          <w:color w:val="231F20"/>
          <w:w w:val="105"/>
        </w:rPr>
        <w:t>hembras</w:t>
      </w:r>
      <w:r>
        <w:rPr>
          <w:color w:val="231F20"/>
          <w:spacing w:val="-20"/>
          <w:w w:val="105"/>
        </w:rPr>
        <w:t> </w:t>
      </w:r>
      <w:r>
        <w:rPr>
          <w:color w:val="231F20"/>
          <w:w w:val="105"/>
        </w:rPr>
        <w:t>de</w:t>
      </w:r>
      <w:r>
        <w:rPr>
          <w:color w:val="231F20"/>
          <w:w w:val="103"/>
        </w:rPr>
        <w:t> </w:t>
      </w:r>
      <w:r>
        <w:rPr>
          <w:color w:val="231F20"/>
          <w:w w:val="105"/>
        </w:rPr>
        <w:t>vientre</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rebaño.</w:t>
      </w:r>
    </w:p>
    <w:p>
      <w:pPr>
        <w:pStyle w:val="BodyText"/>
        <w:spacing w:line="259" w:lineRule="auto" w:before="114"/>
        <w:ind w:left="1553"/>
        <w:jc w:val="both"/>
      </w:pPr>
      <w:r>
        <w:rPr>
          <w:color w:val="231F20"/>
        </w:rPr>
        <w:t>La reproducción basada en el comportamiento na- tural coincide con el manejo de los rebaños en la Sierra Norte de Puebla (Vázquez  </w:t>
      </w:r>
      <w:r>
        <w:rPr>
          <w:i/>
          <w:color w:val="231F20"/>
        </w:rPr>
        <w:t>et  al</w:t>
      </w:r>
      <w:r>
        <w:rPr>
          <w:color w:val="231F20"/>
        </w:rPr>
        <w:t>.,  2009)  y en Yucatán (Góngora-Pérez </w:t>
      </w:r>
      <w:r>
        <w:rPr>
          <w:i/>
          <w:color w:val="231F20"/>
        </w:rPr>
        <w:t>et al</w:t>
      </w:r>
      <w:r>
        <w:rPr>
          <w:color w:val="231F20"/>
        </w:rPr>
        <w:t>., </w:t>
      </w:r>
      <w:r>
        <w:rPr>
          <w:color w:val="231F20"/>
          <w:spacing w:val="-4"/>
        </w:rPr>
        <w:t>2010), </w:t>
      </w:r>
      <w:r>
        <w:rPr>
          <w:color w:val="231F20"/>
        </w:rPr>
        <w:t>en tanto que la proporción de machos y hembras presentó un promedio y una variación similares a los en- contrados en la  región  de  Campeche  (Dzib-Can  </w:t>
      </w:r>
      <w:r>
        <w:rPr>
          <w:i/>
          <w:color w:val="231F20"/>
        </w:rPr>
        <w:t>et al</w:t>
      </w:r>
      <w:r>
        <w:rPr>
          <w:color w:val="231F20"/>
        </w:rPr>
        <w:t>., 2006). Así mismo, la ocurrencia de partos y nacimientos durante la época de bajas temperatu- ras y escasez de forraje es similar a lo encontrado en Tlalpan, Xochimilco y Milpa Alta en las inmedia- ciones del Distrito Federal (Núñez, 2009), lo cual confirma la alta estacionalidad de la reproducción de los ovinos y muestra la similitud en cuanto a factores limitantes de la producción, en particular la alimentación y la salud </w:t>
      </w:r>
      <w:r>
        <w:rPr>
          <w:color w:val="231F20"/>
          <w:spacing w:val="15"/>
        </w:rPr>
        <w:t> </w:t>
      </w:r>
      <w:r>
        <w:rPr>
          <w:color w:val="231F20"/>
        </w:rPr>
        <w:t>animal.</w:t>
      </w:r>
    </w:p>
    <w:p>
      <w:pPr>
        <w:pStyle w:val="BodyText"/>
        <w:spacing w:line="259" w:lineRule="auto" w:before="114"/>
        <w:ind w:left="1553"/>
        <w:jc w:val="both"/>
      </w:pPr>
      <w:r>
        <w:rPr>
          <w:color w:val="231F20"/>
        </w:rPr>
        <w:t>En general, el proceso productivo depende del pastoreo en las áreas de bosque, las áreas de propiedad comunal y los agostaderos. Bajo esta circunstancia, en el Parque Nacional Nevado de Toluca se presentan las condiciones de sistemas naturales bajo el contexto de uso (Toledo </w:t>
      </w:r>
      <w:r>
        <w:rPr>
          <w:i/>
          <w:color w:val="231F20"/>
        </w:rPr>
        <w:t>et al</w:t>
      </w:r>
      <w:r>
        <w:rPr>
          <w:color w:val="231F20"/>
        </w:rPr>
        <w:t>., 2002), dadas las actividades de extracción de la biomasa junto con los posibles efectos de los ovi- nos y la introducción de cultivos sobre los compo- nentes del ecosistema, lo cual desvirtúa la función del área protegida en cuanto a conservación de los ecosistemas, la biodiversidad y la generación de servicios  ambientales  (Toledo,  2008).</w:t>
      </w:r>
    </w:p>
    <w:p>
      <w:pPr>
        <w:pStyle w:val="BodyText"/>
        <w:spacing w:line="259" w:lineRule="auto" w:before="114"/>
        <w:ind w:left="1553"/>
        <w:jc w:val="both"/>
      </w:pPr>
      <w:r>
        <w:rPr>
          <w:color w:val="231F20"/>
        </w:rPr>
        <w:t>Características similares de manejo tradicional</w:t>
      </w:r>
      <w:r>
        <w:rPr>
          <w:color w:val="231F20"/>
          <w:spacing w:val="-4"/>
        </w:rPr>
        <w:t> </w:t>
      </w:r>
      <w:r>
        <w:rPr>
          <w:color w:val="231F20"/>
        </w:rPr>
        <w:t>bajo condiciones de subsistencia se han descrito para  los sistemas extensivos de caprinos en Puebla (Vargas,  2003),  y  de  ovinos  y  caprinos  en  </w:t>
      </w:r>
      <w:r>
        <w:rPr>
          <w:color w:val="231F20"/>
          <w:spacing w:val="21"/>
        </w:rPr>
        <w:t> </w:t>
      </w:r>
      <w:r>
        <w:rPr>
          <w:color w:val="231F20"/>
        </w:rPr>
        <w:t>Gua-</w:t>
      </w:r>
    </w:p>
    <w:p>
      <w:pPr>
        <w:pStyle w:val="BodyText"/>
        <w:spacing w:line="266" w:lineRule="auto" w:before="67"/>
        <w:ind w:left="412" w:right="1552"/>
        <w:jc w:val="both"/>
      </w:pPr>
      <w:r>
        <w:rPr/>
        <w:br w:type="column"/>
      </w:r>
      <w:r>
        <w:rPr>
          <w:color w:val="231F20"/>
        </w:rPr>
        <w:t>temala y República Dominicana (Guzmán, 2005; Valerio </w:t>
      </w:r>
      <w:r>
        <w:rPr>
          <w:i/>
          <w:color w:val="231F20"/>
        </w:rPr>
        <w:t>et al</w:t>
      </w:r>
      <w:r>
        <w:rPr>
          <w:color w:val="231F20"/>
        </w:rPr>
        <w:t>., </w:t>
      </w:r>
      <w:r>
        <w:rPr>
          <w:color w:val="231F20"/>
          <w:spacing w:val="-4"/>
        </w:rPr>
        <w:t>2010). </w:t>
      </w:r>
      <w:r>
        <w:rPr>
          <w:color w:val="231F20"/>
        </w:rPr>
        <w:t>No obstante, factores como la salud animal, la nutrición y el manejo</w:t>
      </w:r>
      <w:r>
        <w:rPr>
          <w:color w:val="231F20"/>
          <w:spacing w:val="-9"/>
        </w:rPr>
        <w:t> </w:t>
      </w:r>
      <w:r>
        <w:rPr>
          <w:color w:val="231F20"/>
        </w:rPr>
        <w:t>reproductivo, en particular la mejora en la supervivencia de las crías, muestran un  margen  de  mejora  mediante el cambio o la aplicación de técnicas productivas que, sin implicar modificaciones drásticas, podrían redundar en un mejor desempeño de los rebaños   y por ende en la mejora de los medios de vida de los pobladores</w:t>
      </w:r>
      <w:r>
        <w:rPr>
          <w:color w:val="231F20"/>
          <w:spacing w:val="38"/>
        </w:rPr>
        <w:t> </w:t>
      </w:r>
      <w:r>
        <w:rPr>
          <w:color w:val="231F20"/>
        </w:rPr>
        <w:t>locales.</w:t>
      </w:r>
    </w:p>
    <w:p>
      <w:pPr>
        <w:pStyle w:val="BodyText"/>
        <w:spacing w:before="2"/>
        <w:rPr>
          <w:sz w:val="23"/>
        </w:rPr>
      </w:pPr>
    </w:p>
    <w:p>
      <w:pPr>
        <w:spacing w:before="0"/>
        <w:ind w:left="412" w:right="0" w:firstLine="0"/>
        <w:jc w:val="both"/>
        <w:rPr>
          <w:rFonts w:ascii="Cambria" w:hAnsi="Cambria"/>
          <w:i/>
          <w:sz w:val="20"/>
        </w:rPr>
      </w:pPr>
      <w:r>
        <w:rPr>
          <w:rFonts w:ascii="Cambria" w:hAnsi="Cambria"/>
          <w:i/>
          <w:color w:val="231F20"/>
          <w:w w:val="105"/>
          <w:sz w:val="20"/>
        </w:rPr>
        <w:t>Valoración de la actividad pastoril</w:t>
      </w:r>
    </w:p>
    <w:p>
      <w:pPr>
        <w:pStyle w:val="BodyText"/>
        <w:spacing w:line="266" w:lineRule="auto" w:before="149"/>
        <w:ind w:left="412" w:right="1551"/>
        <w:jc w:val="both"/>
      </w:pPr>
      <w:r>
        <w:rPr>
          <w:color w:val="231F20"/>
        </w:rPr>
        <w:t>El enfoque aplicado no partió de una teoría ni de una metodología de las ciencias sociales o econó- micas, ya que se pretendía conocer el grado de identificación y la percepción de los productores sobre los componentes que intervienen en la pro- ducción ovina y su respectivo costo en las cuatro localidades, así como del conocimiento sobre el valor de los beneficios derivados de ésta. Como resultado, se plantea un conjunto de componen- tes, su descripción y su valor en términos del pre- cio comercial estimado.</w:t>
      </w:r>
    </w:p>
    <w:p>
      <w:pPr>
        <w:pStyle w:val="BodyText"/>
        <w:spacing w:line="266" w:lineRule="auto" w:before="113"/>
        <w:ind w:left="412" w:right="1551"/>
        <w:jc w:val="both"/>
      </w:pPr>
      <w:r>
        <w:rPr>
          <w:color w:val="231F20"/>
        </w:rPr>
        <w:t>Las categorías de animales reconocidas por los productores corresponden a las hembras repro- ductoras, las hembras jóvenes, los machos y las crías, con una alta variabilidad en cuanto al núme- ro promedio de animales (Cuadro 1), en el cual el rebaño aparece como el principal componente a valorar, seguido por las crías, que se consideran el producto directo de la actividad.</w:t>
      </w:r>
    </w:p>
    <w:p>
      <w:pPr>
        <w:pStyle w:val="BodyText"/>
        <w:spacing w:line="266" w:lineRule="auto" w:before="113"/>
        <w:ind w:left="412" w:right="1551"/>
        <w:jc w:val="both"/>
      </w:pPr>
      <w:r>
        <w:rPr>
          <w:color w:val="231F20"/>
        </w:rPr>
        <w:t>De igual manera, el suministro de forraje duran-   te la época seca constituye un costo importante, seguido por la salud animal, la asistencia técnica ocasional, el costo de la sal mineral natural, la es- quila y el mantenimiento de las instalaciones, cuya estimación fue similar en las cuatro localidades y en particular con menciones en términos de valo- res cerrados en miles o cientos, lo que explica la baja variación encontrada (Cuadro </w:t>
      </w:r>
      <w:r>
        <w:rPr>
          <w:color w:val="231F20"/>
          <w:spacing w:val="42"/>
        </w:rPr>
        <w:t> </w:t>
      </w:r>
      <w:r>
        <w:rPr>
          <w:color w:val="231F20"/>
        </w:rPr>
        <w:t>2).</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3"/>
          <w:sz w:val="18"/>
        </w:rPr>
        <w:t>10.     </w:t>
      </w:r>
      <w:r>
        <w:rPr>
          <w:color w:val="231F20"/>
          <w:spacing w:val="29"/>
          <w:sz w:val="18"/>
        </w:rPr>
        <w:t> </w:t>
      </w:r>
      <w:r>
        <w:rPr>
          <w:color w:val="231F20"/>
          <w:sz w:val="18"/>
        </w:rPr>
        <w:t>La ovinocultura del Nevado de </w:t>
      </w:r>
      <w:r>
        <w:rPr>
          <w:color w:val="231F20"/>
          <w:spacing w:val="-3"/>
          <w:sz w:val="18"/>
        </w:rPr>
        <w:t>Toluca: </w:t>
      </w:r>
      <w:r>
        <w:rPr>
          <w:color w:val="231F20"/>
          <w:sz w:val="18"/>
        </w:rPr>
        <w:t>factor de deterioro o elemento de</w:t>
      </w:r>
      <w:r>
        <w:rPr>
          <w:color w:val="231F20"/>
          <w:spacing w:val="12"/>
          <w:sz w:val="18"/>
        </w:rPr>
        <w:t> </w:t>
      </w:r>
      <w:r>
        <w:rPr>
          <w:color w:val="231F20"/>
          <w:sz w:val="18"/>
        </w:rPr>
        <w:t>desarrollo...</w:t>
      </w:r>
      <w:r>
        <w:rPr>
          <w:color w:val="231F20"/>
          <w:sz w:val="22"/>
        </w:rPr>
        <w:tab/>
      </w:r>
      <w:r>
        <w:rPr>
          <w:color w:val="231F20"/>
          <w:spacing w:val="-5"/>
          <w:sz w:val="22"/>
        </w:rPr>
        <w:t>157</w:t>
      </w:r>
    </w:p>
    <w:p>
      <w:pPr>
        <w:spacing w:before="349"/>
        <w:ind w:left="1553" w:right="0" w:firstLine="0"/>
        <w:jc w:val="left"/>
        <w:rPr>
          <w:sz w:val="18"/>
        </w:rPr>
      </w:pPr>
      <w:r>
        <w:rPr/>
        <w:pict>
          <v:shape style="position:absolute;margin-left:77.442902pt;margin-top:37.382534pt;width:438.45pt;height:155.85pt;mso-position-horizontal-relative:page;mso-position-vertical-relative:paragraph;z-index:4816"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80"/>
                    <w:gridCol w:w="1304"/>
                    <w:gridCol w:w="1134"/>
                    <w:gridCol w:w="1134"/>
                    <w:gridCol w:w="1134"/>
                    <w:gridCol w:w="1134"/>
                    <w:gridCol w:w="1134"/>
                  </w:tblGrid>
                  <w:tr>
                    <w:trPr>
                      <w:trHeight w:val="629" w:hRule="exact"/>
                    </w:trPr>
                    <w:tc>
                      <w:tcPr>
                        <w:tcW w:w="1780" w:type="dxa"/>
                        <w:tcBorders>
                          <w:left w:val="nil"/>
                        </w:tcBorders>
                      </w:tcPr>
                      <w:p>
                        <w:pPr>
                          <w:pStyle w:val="TableParagraph"/>
                          <w:spacing w:before="2"/>
                          <w:rPr>
                            <w:sz w:val="17"/>
                          </w:rPr>
                        </w:pPr>
                      </w:p>
                      <w:p>
                        <w:pPr>
                          <w:pStyle w:val="TableParagraph"/>
                          <w:spacing w:before="0"/>
                          <w:ind w:left="496"/>
                          <w:rPr>
                            <w:rFonts w:ascii="Cambria" w:hAnsi="Cambria"/>
                            <w:i/>
                            <w:sz w:val="18"/>
                          </w:rPr>
                        </w:pPr>
                        <w:r>
                          <w:rPr>
                            <w:rFonts w:ascii="Cambria" w:hAnsi="Cambria"/>
                            <w:i/>
                            <w:color w:val="231F20"/>
                            <w:w w:val="105"/>
                            <w:sz w:val="18"/>
                          </w:rPr>
                          <w:t>Categoría</w:t>
                        </w:r>
                      </w:p>
                    </w:tc>
                    <w:tc>
                      <w:tcPr>
                        <w:tcW w:w="1304" w:type="dxa"/>
                      </w:tcPr>
                      <w:p>
                        <w:pPr>
                          <w:pStyle w:val="TableParagraph"/>
                          <w:spacing w:before="2"/>
                          <w:rPr>
                            <w:sz w:val="17"/>
                          </w:rPr>
                        </w:pPr>
                      </w:p>
                      <w:p>
                        <w:pPr>
                          <w:pStyle w:val="TableParagraph"/>
                          <w:spacing w:before="0"/>
                          <w:ind w:left="104" w:right="104"/>
                          <w:jc w:val="center"/>
                          <w:rPr>
                            <w:rFonts w:ascii="Cambria"/>
                            <w:i/>
                            <w:sz w:val="18"/>
                          </w:rPr>
                        </w:pPr>
                        <w:r>
                          <w:rPr>
                            <w:rFonts w:ascii="Cambria"/>
                            <w:i/>
                            <w:color w:val="231F20"/>
                            <w:w w:val="110"/>
                            <w:sz w:val="18"/>
                          </w:rPr>
                          <w:t>Agua Blanca</w:t>
                        </w:r>
                      </w:p>
                    </w:tc>
                    <w:tc>
                      <w:tcPr>
                        <w:tcW w:w="1134" w:type="dxa"/>
                      </w:tcPr>
                      <w:p>
                        <w:pPr>
                          <w:pStyle w:val="TableParagraph"/>
                          <w:spacing w:before="2"/>
                          <w:rPr>
                            <w:sz w:val="17"/>
                          </w:rPr>
                        </w:pPr>
                      </w:p>
                      <w:p>
                        <w:pPr>
                          <w:pStyle w:val="TableParagraph"/>
                          <w:spacing w:before="0"/>
                          <w:ind w:left="107" w:right="107"/>
                          <w:jc w:val="center"/>
                          <w:rPr>
                            <w:rFonts w:ascii="Cambria" w:hAnsi="Cambria"/>
                            <w:i/>
                            <w:sz w:val="18"/>
                          </w:rPr>
                        </w:pPr>
                        <w:r>
                          <w:rPr>
                            <w:rFonts w:ascii="Cambria" w:hAnsi="Cambria"/>
                            <w:i/>
                            <w:color w:val="231F20"/>
                            <w:w w:val="105"/>
                            <w:sz w:val="18"/>
                          </w:rPr>
                          <w:t>La Peñuela</w:t>
                        </w:r>
                      </w:p>
                    </w:tc>
                    <w:tc>
                      <w:tcPr>
                        <w:tcW w:w="1134" w:type="dxa"/>
                      </w:tcPr>
                      <w:p>
                        <w:pPr>
                          <w:pStyle w:val="TableParagraph"/>
                          <w:spacing w:before="2"/>
                          <w:rPr>
                            <w:sz w:val="17"/>
                          </w:rPr>
                        </w:pPr>
                      </w:p>
                      <w:p>
                        <w:pPr>
                          <w:pStyle w:val="TableParagraph"/>
                          <w:spacing w:before="0"/>
                          <w:ind w:left="107" w:right="107"/>
                          <w:jc w:val="center"/>
                          <w:rPr>
                            <w:rFonts w:ascii="Cambria"/>
                            <w:i/>
                            <w:sz w:val="18"/>
                          </w:rPr>
                        </w:pPr>
                        <w:r>
                          <w:rPr>
                            <w:rFonts w:ascii="Cambria"/>
                            <w:i/>
                            <w:color w:val="231F20"/>
                            <w:w w:val="105"/>
                            <w:sz w:val="18"/>
                          </w:rPr>
                          <w:t>La Puerta</w:t>
                        </w:r>
                      </w:p>
                    </w:tc>
                    <w:tc>
                      <w:tcPr>
                        <w:tcW w:w="1134" w:type="dxa"/>
                      </w:tcPr>
                      <w:p>
                        <w:pPr>
                          <w:pStyle w:val="TableParagraph"/>
                          <w:spacing w:before="2"/>
                          <w:rPr>
                            <w:sz w:val="17"/>
                          </w:rPr>
                        </w:pPr>
                      </w:p>
                      <w:p>
                        <w:pPr>
                          <w:pStyle w:val="TableParagraph"/>
                          <w:spacing w:before="0"/>
                          <w:ind w:left="107" w:right="107"/>
                          <w:jc w:val="center"/>
                          <w:rPr>
                            <w:rFonts w:ascii="Cambria"/>
                            <w:i/>
                            <w:sz w:val="18"/>
                          </w:rPr>
                        </w:pPr>
                        <w:r>
                          <w:rPr>
                            <w:rFonts w:ascii="Cambria"/>
                            <w:i/>
                            <w:color w:val="231F20"/>
                            <w:w w:val="105"/>
                            <w:sz w:val="18"/>
                          </w:rPr>
                          <w:t>Loma Alta</w:t>
                        </w:r>
                      </w:p>
                    </w:tc>
                    <w:tc>
                      <w:tcPr>
                        <w:tcW w:w="1134" w:type="dxa"/>
                      </w:tcPr>
                      <w:p>
                        <w:pPr>
                          <w:pStyle w:val="TableParagraph"/>
                          <w:spacing w:before="2"/>
                          <w:rPr>
                            <w:sz w:val="17"/>
                          </w:rPr>
                        </w:pPr>
                      </w:p>
                      <w:p>
                        <w:pPr>
                          <w:pStyle w:val="TableParagraph"/>
                          <w:spacing w:before="0"/>
                          <w:ind w:left="107" w:right="107"/>
                          <w:jc w:val="center"/>
                          <w:rPr>
                            <w:rFonts w:ascii="Cambria"/>
                            <w:i/>
                            <w:sz w:val="18"/>
                          </w:rPr>
                        </w:pPr>
                        <w:r>
                          <w:rPr>
                            <w:rFonts w:ascii="Cambria"/>
                            <w:i/>
                            <w:color w:val="231F20"/>
                            <w:w w:val="105"/>
                            <w:sz w:val="18"/>
                          </w:rPr>
                          <w:t>Promedio</w:t>
                        </w:r>
                      </w:p>
                    </w:tc>
                    <w:tc>
                      <w:tcPr>
                        <w:tcW w:w="1134" w:type="dxa"/>
                        <w:tcBorders>
                          <w:right w:val="nil"/>
                        </w:tcBorders>
                      </w:tcPr>
                      <w:p>
                        <w:pPr>
                          <w:pStyle w:val="TableParagraph"/>
                          <w:spacing w:line="295" w:lineRule="auto" w:before="79"/>
                          <w:ind w:left="205" w:hanging="81"/>
                          <w:rPr>
                            <w:rFonts w:ascii="Cambria" w:hAnsi="Cambria"/>
                            <w:i/>
                            <w:sz w:val="18"/>
                          </w:rPr>
                        </w:pPr>
                        <w:r>
                          <w:rPr>
                            <w:rFonts w:ascii="Cambria" w:hAnsi="Cambria"/>
                            <w:i/>
                            <w:color w:val="231F20"/>
                            <w:w w:val="105"/>
                            <w:sz w:val="18"/>
                          </w:rPr>
                          <w:t>Desviación </w:t>
                        </w:r>
                        <w:r>
                          <w:rPr>
                            <w:rFonts w:ascii="Cambria" w:hAnsi="Cambria"/>
                            <w:i/>
                            <w:color w:val="231F20"/>
                            <w:w w:val="105"/>
                            <w:sz w:val="18"/>
                          </w:rPr>
                          <w:t>estándar</w:t>
                        </w:r>
                      </w:p>
                    </w:tc>
                  </w:tr>
                  <w:tr>
                    <w:trPr>
                      <w:trHeight w:val="354" w:hRule="exact"/>
                    </w:trPr>
                    <w:tc>
                      <w:tcPr>
                        <w:tcW w:w="1780" w:type="dxa"/>
                        <w:tcBorders>
                          <w:left w:val="nil"/>
                        </w:tcBorders>
                      </w:tcPr>
                      <w:p>
                        <w:pPr>
                          <w:pStyle w:val="TableParagraph"/>
                          <w:ind w:left="113"/>
                          <w:rPr>
                            <w:sz w:val="17"/>
                          </w:rPr>
                        </w:pPr>
                        <w:r>
                          <w:rPr>
                            <w:color w:val="231F20"/>
                            <w:w w:val="106"/>
                            <w:sz w:val="17"/>
                          </w:rPr>
                          <w:t>N</w:t>
                        </w:r>
                      </w:p>
                    </w:tc>
                    <w:tc>
                      <w:tcPr>
                        <w:tcW w:w="1304" w:type="dxa"/>
                      </w:tcPr>
                      <w:p>
                        <w:pPr>
                          <w:pStyle w:val="TableParagraph"/>
                          <w:jc w:val="center"/>
                          <w:rPr>
                            <w:sz w:val="17"/>
                          </w:rPr>
                        </w:pPr>
                        <w:r>
                          <w:rPr>
                            <w:color w:val="231F20"/>
                            <w:w w:val="115"/>
                            <w:sz w:val="17"/>
                          </w:rPr>
                          <w:t>8</w:t>
                        </w:r>
                      </w:p>
                    </w:tc>
                    <w:tc>
                      <w:tcPr>
                        <w:tcW w:w="1134" w:type="dxa"/>
                      </w:tcPr>
                      <w:p>
                        <w:pPr>
                          <w:pStyle w:val="TableParagraph"/>
                          <w:jc w:val="center"/>
                          <w:rPr>
                            <w:sz w:val="17"/>
                          </w:rPr>
                        </w:pPr>
                        <w:r>
                          <w:rPr>
                            <w:color w:val="231F20"/>
                            <w:w w:val="115"/>
                            <w:sz w:val="17"/>
                          </w:rPr>
                          <w:t>8</w:t>
                        </w:r>
                      </w:p>
                    </w:tc>
                    <w:tc>
                      <w:tcPr>
                        <w:tcW w:w="1134" w:type="dxa"/>
                      </w:tcPr>
                      <w:p>
                        <w:pPr>
                          <w:pStyle w:val="TableParagraph"/>
                          <w:ind w:left="102" w:right="107"/>
                          <w:jc w:val="center"/>
                          <w:rPr>
                            <w:sz w:val="17"/>
                          </w:rPr>
                        </w:pPr>
                        <w:r>
                          <w:rPr>
                            <w:color w:val="231F20"/>
                            <w:w w:val="115"/>
                            <w:sz w:val="17"/>
                          </w:rPr>
                          <w:t>10</w:t>
                        </w:r>
                      </w:p>
                    </w:tc>
                    <w:tc>
                      <w:tcPr>
                        <w:tcW w:w="1134" w:type="dxa"/>
                      </w:tcPr>
                      <w:p>
                        <w:pPr>
                          <w:pStyle w:val="TableParagraph"/>
                          <w:ind w:left="102" w:right="107"/>
                          <w:jc w:val="center"/>
                          <w:rPr>
                            <w:sz w:val="17"/>
                          </w:rPr>
                        </w:pPr>
                        <w:r>
                          <w:rPr>
                            <w:color w:val="231F20"/>
                            <w:w w:val="115"/>
                            <w:sz w:val="17"/>
                          </w:rPr>
                          <w:t>14</w:t>
                        </w:r>
                      </w:p>
                    </w:tc>
                    <w:tc>
                      <w:tcPr>
                        <w:tcW w:w="1134" w:type="dxa"/>
                      </w:tcPr>
                      <w:p>
                        <w:pPr/>
                      </w:p>
                    </w:tc>
                    <w:tc>
                      <w:tcPr>
                        <w:tcW w:w="1134" w:type="dxa"/>
                        <w:tcBorders>
                          <w:right w:val="nil"/>
                        </w:tcBorders>
                      </w:tcPr>
                      <w:p>
                        <w:pPr/>
                      </w:p>
                    </w:tc>
                  </w:tr>
                  <w:tr>
                    <w:trPr>
                      <w:trHeight w:val="354" w:hRule="exact"/>
                    </w:trPr>
                    <w:tc>
                      <w:tcPr>
                        <w:tcW w:w="1780" w:type="dxa"/>
                        <w:tcBorders>
                          <w:left w:val="nil"/>
                        </w:tcBorders>
                      </w:tcPr>
                      <w:p>
                        <w:pPr>
                          <w:pStyle w:val="TableParagraph"/>
                          <w:ind w:left="113"/>
                          <w:rPr>
                            <w:sz w:val="17"/>
                          </w:rPr>
                        </w:pPr>
                        <w:r>
                          <w:rPr>
                            <w:color w:val="231F20"/>
                            <w:sz w:val="17"/>
                          </w:rPr>
                          <w:t>Total rebaño</w:t>
                        </w:r>
                      </w:p>
                    </w:tc>
                    <w:tc>
                      <w:tcPr>
                        <w:tcW w:w="1304" w:type="dxa"/>
                      </w:tcPr>
                      <w:p>
                        <w:pPr>
                          <w:pStyle w:val="TableParagraph"/>
                          <w:ind w:left="104" w:right="23"/>
                          <w:jc w:val="center"/>
                          <w:rPr>
                            <w:sz w:val="17"/>
                          </w:rPr>
                        </w:pPr>
                        <w:r>
                          <w:rPr>
                            <w:color w:val="231F20"/>
                            <w:w w:val="110"/>
                            <w:sz w:val="17"/>
                          </w:rPr>
                          <w:t>36,25</w:t>
                        </w:r>
                      </w:p>
                    </w:tc>
                    <w:tc>
                      <w:tcPr>
                        <w:tcW w:w="1134" w:type="dxa"/>
                      </w:tcPr>
                      <w:p>
                        <w:pPr>
                          <w:pStyle w:val="TableParagraph"/>
                          <w:ind w:left="28" w:right="107"/>
                          <w:jc w:val="center"/>
                          <w:rPr>
                            <w:sz w:val="17"/>
                          </w:rPr>
                        </w:pPr>
                        <w:r>
                          <w:rPr>
                            <w:color w:val="231F20"/>
                            <w:w w:val="110"/>
                            <w:sz w:val="17"/>
                          </w:rPr>
                          <w:t>35,13</w:t>
                        </w:r>
                      </w:p>
                    </w:tc>
                    <w:tc>
                      <w:tcPr>
                        <w:tcW w:w="1134" w:type="dxa"/>
                      </w:tcPr>
                      <w:p>
                        <w:pPr>
                          <w:pStyle w:val="TableParagraph"/>
                          <w:ind w:left="21" w:right="107"/>
                          <w:jc w:val="center"/>
                          <w:rPr>
                            <w:sz w:val="17"/>
                          </w:rPr>
                        </w:pPr>
                        <w:r>
                          <w:rPr>
                            <w:color w:val="231F20"/>
                            <w:w w:val="110"/>
                            <w:sz w:val="17"/>
                          </w:rPr>
                          <w:t>25,20</w:t>
                        </w:r>
                      </w:p>
                    </w:tc>
                    <w:tc>
                      <w:tcPr>
                        <w:tcW w:w="1134" w:type="dxa"/>
                      </w:tcPr>
                      <w:p>
                        <w:pPr>
                          <w:pStyle w:val="TableParagraph"/>
                          <w:ind w:left="28" w:right="107"/>
                          <w:jc w:val="center"/>
                          <w:rPr>
                            <w:sz w:val="17"/>
                          </w:rPr>
                        </w:pPr>
                        <w:r>
                          <w:rPr>
                            <w:color w:val="231F20"/>
                            <w:w w:val="110"/>
                            <w:sz w:val="17"/>
                          </w:rPr>
                          <w:t>38,71</w:t>
                        </w:r>
                      </w:p>
                    </w:tc>
                    <w:tc>
                      <w:tcPr>
                        <w:tcW w:w="1134" w:type="dxa"/>
                      </w:tcPr>
                      <w:p>
                        <w:pPr>
                          <w:pStyle w:val="TableParagraph"/>
                          <w:ind w:left="28" w:right="107"/>
                          <w:jc w:val="center"/>
                          <w:rPr>
                            <w:sz w:val="17"/>
                          </w:rPr>
                        </w:pPr>
                        <w:r>
                          <w:rPr>
                            <w:color w:val="231F20"/>
                            <w:w w:val="110"/>
                            <w:sz w:val="17"/>
                          </w:rPr>
                          <w:t>34,13</w:t>
                        </w:r>
                      </w:p>
                    </w:tc>
                    <w:tc>
                      <w:tcPr>
                        <w:tcW w:w="1134" w:type="dxa"/>
                        <w:tcBorders>
                          <w:right w:val="nil"/>
                        </w:tcBorders>
                      </w:tcPr>
                      <w:p>
                        <w:pPr>
                          <w:pStyle w:val="TableParagraph"/>
                          <w:ind w:right="394"/>
                          <w:jc w:val="right"/>
                          <w:rPr>
                            <w:sz w:val="17"/>
                          </w:rPr>
                        </w:pPr>
                        <w:r>
                          <w:rPr>
                            <w:color w:val="231F20"/>
                            <w:w w:val="110"/>
                            <w:sz w:val="17"/>
                          </w:rPr>
                          <w:t>21,87</w:t>
                        </w:r>
                      </w:p>
                    </w:tc>
                  </w:tr>
                  <w:tr>
                    <w:trPr>
                      <w:trHeight w:val="354" w:hRule="exact"/>
                    </w:trPr>
                    <w:tc>
                      <w:tcPr>
                        <w:tcW w:w="1780" w:type="dxa"/>
                        <w:tcBorders>
                          <w:left w:val="nil"/>
                        </w:tcBorders>
                      </w:tcPr>
                      <w:p>
                        <w:pPr>
                          <w:pStyle w:val="TableParagraph"/>
                          <w:ind w:left="113"/>
                          <w:rPr>
                            <w:sz w:val="17"/>
                          </w:rPr>
                        </w:pPr>
                        <w:r>
                          <w:rPr>
                            <w:color w:val="231F20"/>
                            <w:w w:val="105"/>
                            <w:sz w:val="17"/>
                          </w:rPr>
                          <w:t>Hembras</w:t>
                        </w:r>
                      </w:p>
                    </w:tc>
                    <w:tc>
                      <w:tcPr>
                        <w:tcW w:w="1304" w:type="dxa"/>
                      </w:tcPr>
                      <w:p>
                        <w:pPr>
                          <w:pStyle w:val="TableParagraph"/>
                          <w:ind w:left="104" w:right="23"/>
                          <w:jc w:val="center"/>
                          <w:rPr>
                            <w:sz w:val="17"/>
                          </w:rPr>
                        </w:pPr>
                        <w:r>
                          <w:rPr>
                            <w:color w:val="231F20"/>
                            <w:w w:val="110"/>
                            <w:sz w:val="17"/>
                          </w:rPr>
                          <w:t>26,38</w:t>
                        </w:r>
                      </w:p>
                    </w:tc>
                    <w:tc>
                      <w:tcPr>
                        <w:tcW w:w="1134" w:type="dxa"/>
                      </w:tcPr>
                      <w:p>
                        <w:pPr>
                          <w:pStyle w:val="TableParagraph"/>
                          <w:ind w:left="21" w:right="107"/>
                          <w:jc w:val="center"/>
                          <w:rPr>
                            <w:sz w:val="17"/>
                          </w:rPr>
                        </w:pPr>
                        <w:r>
                          <w:rPr>
                            <w:color w:val="231F20"/>
                            <w:w w:val="110"/>
                            <w:sz w:val="17"/>
                          </w:rPr>
                          <w:t>25,88</w:t>
                        </w:r>
                      </w:p>
                    </w:tc>
                    <w:tc>
                      <w:tcPr>
                        <w:tcW w:w="1134" w:type="dxa"/>
                      </w:tcPr>
                      <w:p>
                        <w:pPr>
                          <w:pStyle w:val="TableParagraph"/>
                          <w:ind w:left="46" w:right="107"/>
                          <w:jc w:val="center"/>
                          <w:rPr>
                            <w:sz w:val="17"/>
                          </w:rPr>
                        </w:pPr>
                        <w:r>
                          <w:rPr>
                            <w:color w:val="231F20"/>
                            <w:w w:val="110"/>
                            <w:sz w:val="17"/>
                          </w:rPr>
                          <w:t>17,60</w:t>
                        </w:r>
                      </w:p>
                    </w:tc>
                    <w:tc>
                      <w:tcPr>
                        <w:tcW w:w="1134" w:type="dxa"/>
                      </w:tcPr>
                      <w:p>
                        <w:pPr>
                          <w:pStyle w:val="TableParagraph"/>
                          <w:ind w:left="49" w:right="107"/>
                          <w:jc w:val="center"/>
                          <w:rPr>
                            <w:sz w:val="17"/>
                          </w:rPr>
                        </w:pPr>
                        <w:r>
                          <w:rPr>
                            <w:color w:val="231F20"/>
                            <w:w w:val="110"/>
                            <w:sz w:val="17"/>
                          </w:rPr>
                          <w:t>27,07</w:t>
                        </w:r>
                      </w:p>
                    </w:tc>
                    <w:tc>
                      <w:tcPr>
                        <w:tcW w:w="1134" w:type="dxa"/>
                      </w:tcPr>
                      <w:p>
                        <w:pPr>
                          <w:pStyle w:val="TableParagraph"/>
                          <w:ind w:left="25" w:right="107"/>
                          <w:jc w:val="center"/>
                          <w:rPr>
                            <w:sz w:val="17"/>
                          </w:rPr>
                        </w:pPr>
                        <w:r>
                          <w:rPr>
                            <w:color w:val="231F20"/>
                            <w:w w:val="110"/>
                            <w:sz w:val="17"/>
                          </w:rPr>
                          <w:t>24,33</w:t>
                        </w:r>
                      </w:p>
                    </w:tc>
                    <w:tc>
                      <w:tcPr>
                        <w:tcW w:w="1134" w:type="dxa"/>
                        <w:tcBorders>
                          <w:right w:val="nil"/>
                        </w:tcBorders>
                      </w:tcPr>
                      <w:p>
                        <w:pPr>
                          <w:pStyle w:val="TableParagraph"/>
                          <w:ind w:right="401"/>
                          <w:jc w:val="right"/>
                          <w:rPr>
                            <w:sz w:val="17"/>
                          </w:rPr>
                        </w:pPr>
                        <w:r>
                          <w:rPr>
                            <w:color w:val="231F20"/>
                            <w:w w:val="110"/>
                            <w:sz w:val="17"/>
                          </w:rPr>
                          <w:t>14,74</w:t>
                        </w:r>
                      </w:p>
                    </w:tc>
                  </w:tr>
                  <w:tr>
                    <w:trPr>
                      <w:trHeight w:val="354" w:hRule="exact"/>
                    </w:trPr>
                    <w:tc>
                      <w:tcPr>
                        <w:tcW w:w="1780" w:type="dxa"/>
                        <w:tcBorders>
                          <w:left w:val="nil"/>
                        </w:tcBorders>
                      </w:tcPr>
                      <w:p>
                        <w:pPr>
                          <w:pStyle w:val="TableParagraph"/>
                          <w:ind w:left="113"/>
                          <w:rPr>
                            <w:sz w:val="17"/>
                          </w:rPr>
                        </w:pPr>
                        <w:r>
                          <w:rPr>
                            <w:color w:val="231F20"/>
                            <w:w w:val="110"/>
                            <w:sz w:val="17"/>
                          </w:rPr>
                          <w:t>Hembras &lt;1 año</w:t>
                        </w:r>
                      </w:p>
                    </w:tc>
                    <w:tc>
                      <w:tcPr>
                        <w:tcW w:w="1304" w:type="dxa"/>
                      </w:tcPr>
                      <w:p>
                        <w:pPr>
                          <w:pStyle w:val="TableParagraph"/>
                          <w:ind w:left="281" w:right="104"/>
                          <w:jc w:val="center"/>
                          <w:rPr>
                            <w:sz w:val="17"/>
                          </w:rPr>
                        </w:pPr>
                        <w:r>
                          <w:rPr>
                            <w:color w:val="231F20"/>
                            <w:w w:val="110"/>
                            <w:sz w:val="17"/>
                          </w:rPr>
                          <w:t>9,88</w:t>
                        </w:r>
                      </w:p>
                    </w:tc>
                    <w:tc>
                      <w:tcPr>
                        <w:tcW w:w="1134" w:type="dxa"/>
                      </w:tcPr>
                      <w:p>
                        <w:pPr>
                          <w:pStyle w:val="TableParagraph"/>
                          <w:ind w:left="107" w:right="97"/>
                          <w:jc w:val="center"/>
                          <w:rPr>
                            <w:sz w:val="17"/>
                          </w:rPr>
                        </w:pPr>
                        <w:r>
                          <w:rPr>
                            <w:color w:val="231F20"/>
                            <w:w w:val="110"/>
                            <w:sz w:val="17"/>
                          </w:rPr>
                          <w:t>9,25</w:t>
                        </w:r>
                      </w:p>
                    </w:tc>
                    <w:tc>
                      <w:tcPr>
                        <w:tcW w:w="1134" w:type="dxa"/>
                      </w:tcPr>
                      <w:p>
                        <w:pPr>
                          <w:pStyle w:val="TableParagraph"/>
                          <w:ind w:left="107" w:right="79"/>
                          <w:jc w:val="center"/>
                          <w:rPr>
                            <w:sz w:val="17"/>
                          </w:rPr>
                        </w:pPr>
                        <w:r>
                          <w:rPr>
                            <w:color w:val="231F20"/>
                            <w:w w:val="110"/>
                            <w:sz w:val="17"/>
                          </w:rPr>
                          <w:t>7,60</w:t>
                        </w:r>
                      </w:p>
                    </w:tc>
                    <w:tc>
                      <w:tcPr>
                        <w:tcW w:w="1134" w:type="dxa"/>
                      </w:tcPr>
                      <w:p>
                        <w:pPr>
                          <w:pStyle w:val="TableParagraph"/>
                          <w:ind w:left="25" w:right="107"/>
                          <w:jc w:val="center"/>
                          <w:rPr>
                            <w:sz w:val="17"/>
                          </w:rPr>
                        </w:pPr>
                        <w:r>
                          <w:rPr>
                            <w:color w:val="231F20"/>
                            <w:w w:val="110"/>
                            <w:sz w:val="17"/>
                          </w:rPr>
                          <w:t>11,64</w:t>
                        </w:r>
                      </w:p>
                    </w:tc>
                    <w:tc>
                      <w:tcPr>
                        <w:tcW w:w="1134" w:type="dxa"/>
                      </w:tcPr>
                      <w:p>
                        <w:pPr>
                          <w:pStyle w:val="TableParagraph"/>
                          <w:ind w:left="107" w:right="100"/>
                          <w:jc w:val="center"/>
                          <w:rPr>
                            <w:sz w:val="17"/>
                          </w:rPr>
                        </w:pPr>
                        <w:r>
                          <w:rPr>
                            <w:color w:val="231F20"/>
                            <w:w w:val="110"/>
                            <w:sz w:val="17"/>
                          </w:rPr>
                          <w:t>9,80</w:t>
                        </w:r>
                      </w:p>
                    </w:tc>
                    <w:tc>
                      <w:tcPr>
                        <w:tcW w:w="1134" w:type="dxa"/>
                        <w:tcBorders>
                          <w:right w:val="nil"/>
                        </w:tcBorders>
                      </w:tcPr>
                      <w:p>
                        <w:pPr>
                          <w:pStyle w:val="TableParagraph"/>
                          <w:ind w:right="394"/>
                          <w:jc w:val="right"/>
                          <w:rPr>
                            <w:sz w:val="17"/>
                          </w:rPr>
                        </w:pPr>
                        <w:r>
                          <w:rPr>
                            <w:color w:val="231F20"/>
                            <w:w w:val="110"/>
                            <w:sz w:val="17"/>
                          </w:rPr>
                          <w:t>8,87</w:t>
                        </w:r>
                      </w:p>
                    </w:tc>
                  </w:tr>
                  <w:tr>
                    <w:trPr>
                      <w:trHeight w:val="354" w:hRule="exact"/>
                    </w:trPr>
                    <w:tc>
                      <w:tcPr>
                        <w:tcW w:w="1780" w:type="dxa"/>
                        <w:tcBorders>
                          <w:left w:val="nil"/>
                        </w:tcBorders>
                      </w:tcPr>
                      <w:p>
                        <w:pPr>
                          <w:pStyle w:val="TableParagraph"/>
                          <w:ind w:left="113"/>
                          <w:rPr>
                            <w:sz w:val="17"/>
                          </w:rPr>
                        </w:pPr>
                        <w:r>
                          <w:rPr>
                            <w:color w:val="231F20"/>
                            <w:sz w:val="17"/>
                          </w:rPr>
                          <w:t>Crías</w:t>
                        </w:r>
                      </w:p>
                    </w:tc>
                    <w:tc>
                      <w:tcPr>
                        <w:tcW w:w="1304" w:type="dxa"/>
                      </w:tcPr>
                      <w:p>
                        <w:pPr>
                          <w:pStyle w:val="TableParagraph"/>
                          <w:ind w:left="104" w:right="23"/>
                          <w:jc w:val="center"/>
                          <w:rPr>
                            <w:sz w:val="17"/>
                          </w:rPr>
                        </w:pPr>
                        <w:r>
                          <w:rPr>
                            <w:color w:val="231F20"/>
                            <w:w w:val="110"/>
                            <w:sz w:val="17"/>
                          </w:rPr>
                          <w:t>20,63</w:t>
                        </w:r>
                      </w:p>
                    </w:tc>
                    <w:tc>
                      <w:tcPr>
                        <w:tcW w:w="1134" w:type="dxa"/>
                      </w:tcPr>
                      <w:p>
                        <w:pPr>
                          <w:pStyle w:val="TableParagraph"/>
                          <w:ind w:left="21" w:right="107"/>
                          <w:jc w:val="center"/>
                          <w:rPr>
                            <w:sz w:val="17"/>
                          </w:rPr>
                        </w:pPr>
                        <w:r>
                          <w:rPr>
                            <w:color w:val="231F20"/>
                            <w:w w:val="110"/>
                            <w:sz w:val="17"/>
                          </w:rPr>
                          <w:t>23,50</w:t>
                        </w:r>
                      </w:p>
                    </w:tc>
                    <w:tc>
                      <w:tcPr>
                        <w:tcW w:w="1134" w:type="dxa"/>
                      </w:tcPr>
                      <w:p>
                        <w:pPr>
                          <w:pStyle w:val="TableParagraph"/>
                          <w:ind w:left="28" w:right="107"/>
                          <w:jc w:val="center"/>
                          <w:rPr>
                            <w:sz w:val="17"/>
                          </w:rPr>
                        </w:pPr>
                        <w:r>
                          <w:rPr>
                            <w:color w:val="231F20"/>
                            <w:w w:val="110"/>
                            <w:sz w:val="17"/>
                          </w:rPr>
                          <w:t>14,50</w:t>
                        </w:r>
                      </w:p>
                    </w:tc>
                    <w:tc>
                      <w:tcPr>
                        <w:tcW w:w="1134" w:type="dxa"/>
                      </w:tcPr>
                      <w:p>
                        <w:pPr>
                          <w:pStyle w:val="TableParagraph"/>
                          <w:ind w:left="28" w:right="107"/>
                          <w:jc w:val="center"/>
                          <w:rPr>
                            <w:sz w:val="17"/>
                          </w:rPr>
                        </w:pPr>
                        <w:r>
                          <w:rPr>
                            <w:color w:val="231F20"/>
                            <w:w w:val="110"/>
                            <w:sz w:val="17"/>
                          </w:rPr>
                          <w:t>22,07</w:t>
                        </w:r>
                      </w:p>
                    </w:tc>
                    <w:tc>
                      <w:tcPr>
                        <w:tcW w:w="1134" w:type="dxa"/>
                      </w:tcPr>
                      <w:p>
                        <w:pPr>
                          <w:pStyle w:val="TableParagraph"/>
                          <w:ind w:left="28" w:right="107"/>
                          <w:jc w:val="center"/>
                          <w:rPr>
                            <w:sz w:val="17"/>
                          </w:rPr>
                        </w:pPr>
                        <w:r>
                          <w:rPr>
                            <w:color w:val="231F20"/>
                            <w:w w:val="110"/>
                            <w:sz w:val="17"/>
                          </w:rPr>
                          <w:t>20,18</w:t>
                        </w:r>
                      </w:p>
                    </w:tc>
                    <w:tc>
                      <w:tcPr>
                        <w:tcW w:w="1134" w:type="dxa"/>
                        <w:tcBorders>
                          <w:right w:val="nil"/>
                        </w:tcBorders>
                      </w:tcPr>
                      <w:p>
                        <w:pPr>
                          <w:pStyle w:val="TableParagraph"/>
                          <w:ind w:right="394"/>
                          <w:jc w:val="right"/>
                          <w:rPr>
                            <w:sz w:val="17"/>
                          </w:rPr>
                        </w:pPr>
                        <w:r>
                          <w:rPr>
                            <w:color w:val="231F20"/>
                            <w:w w:val="110"/>
                            <w:sz w:val="17"/>
                          </w:rPr>
                          <w:t>11,24</w:t>
                        </w:r>
                      </w:p>
                    </w:tc>
                  </w:tr>
                  <w:tr>
                    <w:trPr>
                      <w:trHeight w:val="354" w:hRule="exact"/>
                    </w:trPr>
                    <w:tc>
                      <w:tcPr>
                        <w:tcW w:w="1780" w:type="dxa"/>
                        <w:tcBorders>
                          <w:left w:val="nil"/>
                        </w:tcBorders>
                      </w:tcPr>
                      <w:p>
                        <w:pPr>
                          <w:pStyle w:val="TableParagraph"/>
                          <w:ind w:left="113"/>
                          <w:rPr>
                            <w:sz w:val="17"/>
                          </w:rPr>
                        </w:pPr>
                        <w:r>
                          <w:rPr>
                            <w:color w:val="231F20"/>
                            <w:sz w:val="17"/>
                          </w:rPr>
                          <w:t>Crías sobrevivientes</w:t>
                        </w:r>
                      </w:p>
                    </w:tc>
                    <w:tc>
                      <w:tcPr>
                        <w:tcW w:w="1304" w:type="dxa"/>
                      </w:tcPr>
                      <w:p>
                        <w:pPr>
                          <w:pStyle w:val="TableParagraph"/>
                          <w:ind w:left="104" w:right="19"/>
                          <w:jc w:val="center"/>
                          <w:rPr>
                            <w:sz w:val="17"/>
                          </w:rPr>
                        </w:pPr>
                        <w:r>
                          <w:rPr>
                            <w:color w:val="231F20"/>
                            <w:w w:val="110"/>
                            <w:sz w:val="17"/>
                          </w:rPr>
                          <w:t>10,13</w:t>
                        </w:r>
                      </w:p>
                    </w:tc>
                    <w:tc>
                      <w:tcPr>
                        <w:tcW w:w="1134" w:type="dxa"/>
                      </w:tcPr>
                      <w:p>
                        <w:pPr>
                          <w:pStyle w:val="TableParagraph"/>
                          <w:ind w:left="25" w:right="107"/>
                          <w:jc w:val="center"/>
                          <w:rPr>
                            <w:sz w:val="17"/>
                          </w:rPr>
                        </w:pPr>
                        <w:r>
                          <w:rPr>
                            <w:color w:val="231F20"/>
                            <w:w w:val="110"/>
                            <w:sz w:val="17"/>
                          </w:rPr>
                          <w:t>14,88</w:t>
                        </w:r>
                      </w:p>
                    </w:tc>
                    <w:tc>
                      <w:tcPr>
                        <w:tcW w:w="1134" w:type="dxa"/>
                      </w:tcPr>
                      <w:p>
                        <w:pPr>
                          <w:pStyle w:val="TableParagraph"/>
                          <w:ind w:left="107" w:right="97"/>
                          <w:jc w:val="center"/>
                          <w:rPr>
                            <w:sz w:val="17"/>
                          </w:rPr>
                        </w:pPr>
                        <w:r>
                          <w:rPr>
                            <w:color w:val="231F20"/>
                            <w:w w:val="110"/>
                            <w:sz w:val="17"/>
                          </w:rPr>
                          <w:t>8,20</w:t>
                        </w:r>
                      </w:p>
                    </w:tc>
                    <w:tc>
                      <w:tcPr>
                        <w:tcW w:w="1134" w:type="dxa"/>
                      </w:tcPr>
                      <w:p>
                        <w:pPr>
                          <w:pStyle w:val="TableParagraph"/>
                          <w:ind w:left="32" w:right="107"/>
                          <w:jc w:val="center"/>
                          <w:rPr>
                            <w:sz w:val="17"/>
                          </w:rPr>
                        </w:pPr>
                        <w:r>
                          <w:rPr>
                            <w:color w:val="231F20"/>
                            <w:w w:val="110"/>
                            <w:sz w:val="17"/>
                          </w:rPr>
                          <w:t>11,71</w:t>
                        </w:r>
                      </w:p>
                    </w:tc>
                    <w:tc>
                      <w:tcPr>
                        <w:tcW w:w="1134" w:type="dxa"/>
                      </w:tcPr>
                      <w:p>
                        <w:pPr>
                          <w:pStyle w:val="TableParagraph"/>
                          <w:ind w:left="25" w:right="107"/>
                          <w:jc w:val="center"/>
                          <w:rPr>
                            <w:sz w:val="17"/>
                          </w:rPr>
                        </w:pPr>
                        <w:r>
                          <w:rPr>
                            <w:color w:val="231F20"/>
                            <w:w w:val="110"/>
                            <w:sz w:val="17"/>
                          </w:rPr>
                          <w:t>11,15</w:t>
                        </w:r>
                      </w:p>
                    </w:tc>
                    <w:tc>
                      <w:tcPr>
                        <w:tcW w:w="1134" w:type="dxa"/>
                        <w:tcBorders>
                          <w:right w:val="nil"/>
                        </w:tcBorders>
                      </w:tcPr>
                      <w:p>
                        <w:pPr>
                          <w:pStyle w:val="TableParagraph"/>
                          <w:ind w:right="394"/>
                          <w:jc w:val="right"/>
                          <w:rPr>
                            <w:sz w:val="17"/>
                          </w:rPr>
                        </w:pPr>
                        <w:r>
                          <w:rPr>
                            <w:color w:val="231F20"/>
                            <w:w w:val="110"/>
                            <w:sz w:val="17"/>
                          </w:rPr>
                          <w:t>7,59</w:t>
                        </w:r>
                      </w:p>
                    </w:tc>
                  </w:tr>
                  <w:tr>
                    <w:trPr>
                      <w:trHeight w:val="354" w:hRule="exact"/>
                    </w:trPr>
                    <w:tc>
                      <w:tcPr>
                        <w:tcW w:w="1780" w:type="dxa"/>
                        <w:tcBorders>
                          <w:left w:val="nil"/>
                        </w:tcBorders>
                      </w:tcPr>
                      <w:p>
                        <w:pPr>
                          <w:pStyle w:val="TableParagraph"/>
                          <w:ind w:left="113"/>
                          <w:rPr>
                            <w:sz w:val="17"/>
                          </w:rPr>
                        </w:pPr>
                        <w:r>
                          <w:rPr>
                            <w:color w:val="231F20"/>
                            <w:w w:val="105"/>
                            <w:sz w:val="17"/>
                          </w:rPr>
                          <w:t>Supervivencia (%)</w:t>
                        </w:r>
                      </w:p>
                    </w:tc>
                    <w:tc>
                      <w:tcPr>
                        <w:tcW w:w="1304" w:type="dxa"/>
                      </w:tcPr>
                      <w:p>
                        <w:pPr>
                          <w:pStyle w:val="TableParagraph"/>
                          <w:ind w:left="104" w:right="26"/>
                          <w:jc w:val="center"/>
                          <w:rPr>
                            <w:sz w:val="17"/>
                          </w:rPr>
                        </w:pPr>
                        <w:r>
                          <w:rPr>
                            <w:color w:val="231F20"/>
                            <w:w w:val="110"/>
                            <w:sz w:val="17"/>
                          </w:rPr>
                          <w:t>49,60</w:t>
                        </w:r>
                      </w:p>
                    </w:tc>
                    <w:tc>
                      <w:tcPr>
                        <w:tcW w:w="1134" w:type="dxa"/>
                      </w:tcPr>
                      <w:p>
                        <w:pPr>
                          <w:pStyle w:val="TableParagraph"/>
                          <w:ind w:left="21" w:right="107"/>
                          <w:jc w:val="center"/>
                          <w:rPr>
                            <w:sz w:val="17"/>
                          </w:rPr>
                        </w:pPr>
                        <w:r>
                          <w:rPr>
                            <w:color w:val="231F20"/>
                            <w:w w:val="110"/>
                            <w:sz w:val="17"/>
                          </w:rPr>
                          <w:t>62,53</w:t>
                        </w:r>
                      </w:p>
                    </w:tc>
                    <w:tc>
                      <w:tcPr>
                        <w:tcW w:w="1134" w:type="dxa"/>
                      </w:tcPr>
                      <w:p>
                        <w:pPr>
                          <w:pStyle w:val="TableParagraph"/>
                          <w:ind w:left="42" w:right="107"/>
                          <w:jc w:val="center"/>
                          <w:rPr>
                            <w:sz w:val="17"/>
                          </w:rPr>
                        </w:pPr>
                        <w:r>
                          <w:rPr>
                            <w:color w:val="231F20"/>
                            <w:w w:val="110"/>
                            <w:sz w:val="17"/>
                          </w:rPr>
                          <w:t>57,95</w:t>
                        </w:r>
                      </w:p>
                    </w:tc>
                    <w:tc>
                      <w:tcPr>
                        <w:tcW w:w="1134" w:type="dxa"/>
                      </w:tcPr>
                      <w:p>
                        <w:pPr>
                          <w:pStyle w:val="TableParagraph"/>
                          <w:ind w:left="21" w:right="107"/>
                          <w:jc w:val="center"/>
                          <w:rPr>
                            <w:sz w:val="17"/>
                          </w:rPr>
                        </w:pPr>
                        <w:r>
                          <w:rPr>
                            <w:color w:val="231F20"/>
                            <w:w w:val="110"/>
                            <w:sz w:val="17"/>
                          </w:rPr>
                          <w:t>50,93</w:t>
                        </w:r>
                      </w:p>
                    </w:tc>
                    <w:tc>
                      <w:tcPr>
                        <w:tcW w:w="1134" w:type="dxa"/>
                      </w:tcPr>
                      <w:p>
                        <w:pPr>
                          <w:pStyle w:val="TableParagraph"/>
                          <w:ind w:left="28" w:right="107"/>
                          <w:jc w:val="center"/>
                          <w:rPr>
                            <w:sz w:val="17"/>
                          </w:rPr>
                        </w:pPr>
                        <w:r>
                          <w:rPr>
                            <w:color w:val="231F20"/>
                            <w:w w:val="110"/>
                            <w:sz w:val="17"/>
                          </w:rPr>
                          <w:t>54,74</w:t>
                        </w:r>
                      </w:p>
                    </w:tc>
                    <w:tc>
                      <w:tcPr>
                        <w:tcW w:w="1134" w:type="dxa"/>
                        <w:tcBorders>
                          <w:right w:val="nil"/>
                        </w:tcBorders>
                      </w:tcPr>
                      <w:p>
                        <w:pPr>
                          <w:pStyle w:val="TableParagraph"/>
                          <w:ind w:right="394"/>
                          <w:jc w:val="right"/>
                          <w:rPr>
                            <w:sz w:val="17"/>
                          </w:rPr>
                        </w:pPr>
                        <w:r>
                          <w:rPr>
                            <w:color w:val="231F20"/>
                            <w:w w:val="110"/>
                            <w:sz w:val="17"/>
                          </w:rPr>
                          <w:t>10,80</w:t>
                        </w:r>
                      </w:p>
                    </w:tc>
                  </w:tr>
                </w:tbl>
                <w:p>
                  <w:pPr>
                    <w:pStyle w:val="BodyText"/>
                  </w:pPr>
                </w:p>
              </w:txbxContent>
            </v:textbox>
            <w10:wrap type="none"/>
          </v:shape>
        </w:pict>
      </w:r>
      <w:r>
        <w:rPr>
          <w:color w:val="231F20"/>
          <w:w w:val="105"/>
          <w:sz w:val="18"/>
        </w:rPr>
        <w:t>Cuadro 1. Tamaño y composición promedio de los rebaños en cuatro localidades del Parque Nacional Nevado de Toluca.</w:t>
      </w:r>
    </w:p>
    <w:p>
      <w:pPr>
        <w:spacing w:after="0"/>
        <w:jc w:val="left"/>
        <w:rPr>
          <w:sz w:val="18"/>
        </w:rPr>
        <w:sectPr>
          <w:pgSz w:w="11900" w:h="14450"/>
          <w:pgMar w:header="0" w:footer="222" w:top="420" w:bottom="42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4"/>
        </w:rPr>
      </w:pPr>
    </w:p>
    <w:p>
      <w:pPr>
        <w:pStyle w:val="BodyText"/>
        <w:spacing w:line="288" w:lineRule="auto"/>
        <w:ind w:left="1553"/>
        <w:jc w:val="both"/>
      </w:pPr>
      <w:r>
        <w:rPr>
          <w:color w:val="231F20"/>
        </w:rPr>
        <w:t>De manera generalizada, los productores que fue- ron entrevistados no asignan un costo al terreno,   a su trabajo durante las jornadas de pastoreo, al manejo de los animales, al suministro de agua ni a las instalaciones, aunque su construcción ha </w:t>
      </w:r>
      <w:r>
        <w:rPr>
          <w:color w:val="231F20"/>
          <w:spacing w:val="21"/>
        </w:rPr>
        <w:t> </w:t>
      </w:r>
      <w:r>
        <w:rPr>
          <w:color w:val="231F20"/>
        </w:rPr>
        <w:t>impli-</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4"/>
        </w:rPr>
      </w:pPr>
    </w:p>
    <w:p>
      <w:pPr>
        <w:pStyle w:val="BodyText"/>
        <w:spacing w:line="288" w:lineRule="auto"/>
        <w:ind w:left="412" w:right="1551"/>
        <w:jc w:val="both"/>
      </w:pPr>
      <w:r>
        <w:rPr>
          <w:color w:val="231F20"/>
        </w:rPr>
        <w:t>cado trabajo y el uso de materiales obtenidos en las áreas de bosque. En su mayoría, los pastores consideran que el valor de venta de las crías co- rresponde a la retribución por el trabajo asignado al cuidado de los </w:t>
      </w:r>
      <w:r>
        <w:rPr>
          <w:color w:val="231F20"/>
          <w:spacing w:val="32"/>
        </w:rPr>
        <w:t> </w:t>
      </w:r>
      <w:r>
        <w:rPr>
          <w:color w:val="231F20"/>
        </w:rPr>
        <w:t>animales.</w:t>
      </w:r>
    </w:p>
    <w:p>
      <w:pPr>
        <w:spacing w:after="0" w:line="288" w:lineRule="auto"/>
        <w:jc w:val="both"/>
        <w:sectPr>
          <w:type w:val="continuous"/>
          <w:pgSz w:w="11900" w:h="14450"/>
          <w:pgMar w:top="420" w:bottom="420" w:left="0" w:right="0"/>
          <w:cols w:num="2" w:equalWidth="0">
            <w:col w:w="5722" w:space="40"/>
            <w:col w:w="6138"/>
          </w:cols>
        </w:sectPr>
      </w:pPr>
    </w:p>
    <w:p>
      <w:pPr>
        <w:pStyle w:val="BodyText"/>
        <w:spacing w:before="7"/>
        <w:rPr>
          <w:sz w:val="23"/>
        </w:rPr>
      </w:pPr>
    </w:p>
    <w:p>
      <w:pPr>
        <w:spacing w:line="321" w:lineRule="auto" w:before="72"/>
        <w:ind w:left="1553" w:right="1521" w:firstLine="0"/>
        <w:jc w:val="left"/>
        <w:rPr>
          <w:sz w:val="18"/>
        </w:rPr>
      </w:pPr>
      <w:r>
        <w:rPr>
          <w:color w:val="231F20"/>
          <w:w w:val="105"/>
          <w:sz w:val="18"/>
        </w:rPr>
        <w:t>Cuadro</w:t>
      </w:r>
      <w:r>
        <w:rPr>
          <w:color w:val="231F20"/>
          <w:spacing w:val="-9"/>
          <w:w w:val="105"/>
          <w:sz w:val="18"/>
        </w:rPr>
        <w:t> </w:t>
      </w:r>
      <w:r>
        <w:rPr>
          <w:color w:val="231F20"/>
          <w:w w:val="105"/>
          <w:sz w:val="18"/>
        </w:rPr>
        <w:t>2.</w:t>
      </w:r>
      <w:r>
        <w:rPr>
          <w:color w:val="231F20"/>
          <w:spacing w:val="25"/>
          <w:w w:val="105"/>
          <w:sz w:val="18"/>
        </w:rPr>
        <w:t> </w:t>
      </w:r>
      <w:r>
        <w:rPr>
          <w:color w:val="231F20"/>
          <w:w w:val="105"/>
          <w:sz w:val="18"/>
        </w:rPr>
        <w:t>Componentes</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costo</w:t>
      </w:r>
      <w:r>
        <w:rPr>
          <w:color w:val="231F20"/>
          <w:spacing w:val="-12"/>
          <w:w w:val="105"/>
          <w:sz w:val="18"/>
        </w:rPr>
        <w:t> </w:t>
      </w:r>
      <w:r>
        <w:rPr>
          <w:color w:val="231F20"/>
          <w:w w:val="105"/>
          <w:sz w:val="18"/>
        </w:rPr>
        <w:t>identificados</w:t>
      </w:r>
      <w:r>
        <w:rPr>
          <w:color w:val="231F20"/>
          <w:spacing w:val="-12"/>
          <w:w w:val="105"/>
          <w:sz w:val="18"/>
        </w:rPr>
        <w:t> </w:t>
      </w:r>
      <w:r>
        <w:rPr>
          <w:color w:val="231F20"/>
          <w:w w:val="105"/>
          <w:sz w:val="18"/>
        </w:rPr>
        <w:t>por</w:t>
      </w:r>
      <w:r>
        <w:rPr>
          <w:color w:val="231F20"/>
          <w:spacing w:val="-12"/>
          <w:w w:val="105"/>
          <w:sz w:val="18"/>
        </w:rPr>
        <w:t> </w:t>
      </w:r>
      <w:r>
        <w:rPr>
          <w:color w:val="231F20"/>
          <w:w w:val="105"/>
          <w:sz w:val="18"/>
        </w:rPr>
        <w:t>productores</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ovinos</w:t>
      </w:r>
      <w:r>
        <w:rPr>
          <w:color w:val="231F20"/>
          <w:spacing w:val="-12"/>
          <w:w w:val="105"/>
          <w:sz w:val="18"/>
        </w:rPr>
        <w:t> </w:t>
      </w:r>
      <w:r>
        <w:rPr>
          <w:color w:val="231F20"/>
          <w:w w:val="105"/>
          <w:sz w:val="18"/>
        </w:rPr>
        <w:t>en</w:t>
      </w:r>
      <w:r>
        <w:rPr>
          <w:color w:val="231F20"/>
          <w:spacing w:val="-12"/>
          <w:w w:val="105"/>
          <w:sz w:val="18"/>
        </w:rPr>
        <w:t> </w:t>
      </w:r>
      <w:r>
        <w:rPr>
          <w:color w:val="231F20"/>
          <w:w w:val="105"/>
          <w:sz w:val="18"/>
        </w:rPr>
        <w:t>cuatro</w:t>
      </w:r>
      <w:r>
        <w:rPr>
          <w:color w:val="231F20"/>
          <w:spacing w:val="-12"/>
          <w:w w:val="105"/>
          <w:sz w:val="18"/>
        </w:rPr>
        <w:t> </w:t>
      </w:r>
      <w:r>
        <w:rPr>
          <w:color w:val="231F20"/>
          <w:w w:val="105"/>
          <w:sz w:val="18"/>
        </w:rPr>
        <w:t>localidades</w:t>
      </w:r>
      <w:r>
        <w:rPr>
          <w:color w:val="231F20"/>
          <w:spacing w:val="-12"/>
          <w:w w:val="105"/>
          <w:sz w:val="18"/>
        </w:rPr>
        <w:t> </w:t>
      </w:r>
      <w:r>
        <w:rPr>
          <w:color w:val="231F20"/>
          <w:w w:val="105"/>
          <w:sz w:val="18"/>
        </w:rPr>
        <w:t>del</w:t>
      </w:r>
      <w:r>
        <w:rPr>
          <w:color w:val="231F20"/>
          <w:spacing w:val="-12"/>
          <w:w w:val="105"/>
          <w:sz w:val="18"/>
        </w:rPr>
        <w:t> </w:t>
      </w:r>
      <w:r>
        <w:rPr>
          <w:color w:val="231F20"/>
          <w:w w:val="105"/>
          <w:sz w:val="18"/>
        </w:rPr>
        <w:t>Parque</w:t>
      </w:r>
      <w:r>
        <w:rPr>
          <w:color w:val="231F20"/>
          <w:spacing w:val="-12"/>
          <w:w w:val="105"/>
          <w:sz w:val="18"/>
        </w:rPr>
        <w:t> </w:t>
      </w:r>
      <w:r>
        <w:rPr>
          <w:color w:val="231F20"/>
          <w:w w:val="105"/>
          <w:sz w:val="18"/>
        </w:rPr>
        <w:t>Nacional Nevado de </w:t>
      </w:r>
      <w:r>
        <w:rPr>
          <w:color w:val="231F20"/>
          <w:spacing w:val="-4"/>
          <w:w w:val="105"/>
          <w:sz w:val="18"/>
        </w:rPr>
        <w:t>Toluca </w:t>
      </w:r>
      <w:r>
        <w:rPr>
          <w:color w:val="231F20"/>
          <w:spacing w:val="16"/>
          <w:w w:val="105"/>
          <w:sz w:val="18"/>
        </w:rPr>
        <w:t> </w:t>
      </w:r>
      <w:r>
        <w:rPr>
          <w:color w:val="231F20"/>
          <w:spacing w:val="-3"/>
          <w:w w:val="105"/>
          <w:sz w:val="18"/>
        </w:rPr>
        <w:t>(2010).</w:t>
      </w:r>
    </w:p>
    <w:p>
      <w:pPr>
        <w:pStyle w:val="BodyText"/>
        <w:spacing w:before="6"/>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461"/>
        <w:gridCol w:w="2580"/>
        <w:gridCol w:w="1834"/>
        <w:gridCol w:w="1908"/>
      </w:tblGrid>
      <w:tr>
        <w:trPr>
          <w:trHeight w:val="369" w:hRule="exact"/>
        </w:trPr>
        <w:tc>
          <w:tcPr>
            <w:tcW w:w="2461" w:type="dxa"/>
            <w:tcBorders>
              <w:left w:val="nil"/>
            </w:tcBorders>
          </w:tcPr>
          <w:p>
            <w:pPr>
              <w:pStyle w:val="TableParagraph"/>
              <w:spacing w:before="79"/>
              <w:ind w:left="713"/>
              <w:rPr>
                <w:rFonts w:ascii="Cambria"/>
                <w:i/>
                <w:sz w:val="18"/>
              </w:rPr>
            </w:pPr>
            <w:r>
              <w:rPr>
                <w:rFonts w:ascii="Cambria"/>
                <w:i/>
                <w:color w:val="231F20"/>
                <w:w w:val="110"/>
                <w:sz w:val="18"/>
              </w:rPr>
              <w:t>Componente</w:t>
            </w:r>
          </w:p>
        </w:tc>
        <w:tc>
          <w:tcPr>
            <w:tcW w:w="2580" w:type="dxa"/>
          </w:tcPr>
          <w:p>
            <w:pPr>
              <w:pStyle w:val="TableParagraph"/>
              <w:spacing w:before="79"/>
              <w:ind w:left="818"/>
              <w:rPr>
                <w:rFonts w:ascii="Cambria" w:hAnsi="Cambria"/>
                <w:i/>
                <w:sz w:val="18"/>
              </w:rPr>
            </w:pPr>
            <w:r>
              <w:rPr>
                <w:rFonts w:ascii="Cambria" w:hAnsi="Cambria"/>
                <w:i/>
                <w:color w:val="231F20"/>
                <w:w w:val="105"/>
                <w:sz w:val="18"/>
              </w:rPr>
              <w:t>Descripción</w:t>
            </w:r>
          </w:p>
        </w:tc>
        <w:tc>
          <w:tcPr>
            <w:tcW w:w="1834" w:type="dxa"/>
          </w:tcPr>
          <w:p>
            <w:pPr>
              <w:pStyle w:val="TableParagraph"/>
              <w:spacing w:before="79"/>
              <w:ind w:left="134"/>
              <w:rPr>
                <w:rFonts w:ascii="Cambria"/>
                <w:i/>
                <w:sz w:val="18"/>
              </w:rPr>
            </w:pPr>
            <w:r>
              <w:rPr>
                <w:rFonts w:ascii="Cambria"/>
                <w:i/>
                <w:color w:val="231F20"/>
                <w:w w:val="105"/>
                <w:sz w:val="18"/>
              </w:rPr>
              <w:t>Costo  promedio ($)</w:t>
            </w:r>
          </w:p>
        </w:tc>
        <w:tc>
          <w:tcPr>
            <w:tcW w:w="1908" w:type="dxa"/>
            <w:tcBorders>
              <w:right w:val="nil"/>
            </w:tcBorders>
          </w:tcPr>
          <w:p>
            <w:pPr>
              <w:pStyle w:val="TableParagraph"/>
              <w:spacing w:before="79"/>
              <w:ind w:left="130"/>
              <w:rPr>
                <w:rFonts w:ascii="Cambria" w:hAnsi="Cambria"/>
                <w:i/>
                <w:sz w:val="18"/>
              </w:rPr>
            </w:pPr>
            <w:r>
              <w:rPr>
                <w:rFonts w:ascii="Cambria" w:hAnsi="Cambria"/>
                <w:i/>
                <w:color w:val="231F20"/>
                <w:w w:val="105"/>
                <w:sz w:val="18"/>
              </w:rPr>
              <w:t>Desviación  estándar</w:t>
            </w:r>
          </w:p>
        </w:tc>
      </w:tr>
      <w:tr>
        <w:trPr>
          <w:trHeight w:val="354" w:hRule="exact"/>
        </w:trPr>
        <w:tc>
          <w:tcPr>
            <w:tcW w:w="2461" w:type="dxa"/>
            <w:vMerge w:val="restart"/>
            <w:tcBorders>
              <w:left w:val="nil"/>
            </w:tcBorders>
          </w:tcPr>
          <w:p>
            <w:pPr>
              <w:pStyle w:val="TableParagraph"/>
              <w:spacing w:before="0"/>
              <w:rPr>
                <w:sz w:val="16"/>
              </w:rPr>
            </w:pPr>
          </w:p>
          <w:p>
            <w:pPr>
              <w:pStyle w:val="TableParagraph"/>
              <w:spacing w:before="0"/>
              <w:rPr>
                <w:sz w:val="16"/>
              </w:rPr>
            </w:pPr>
          </w:p>
          <w:p>
            <w:pPr>
              <w:pStyle w:val="TableParagraph"/>
              <w:spacing w:before="6"/>
              <w:rPr>
                <w:sz w:val="17"/>
              </w:rPr>
            </w:pPr>
          </w:p>
          <w:p>
            <w:pPr>
              <w:pStyle w:val="TableParagraph"/>
              <w:spacing w:before="0"/>
              <w:ind w:left="113"/>
              <w:rPr>
                <w:sz w:val="17"/>
              </w:rPr>
            </w:pPr>
            <w:r>
              <w:rPr>
                <w:color w:val="231F20"/>
                <w:w w:val="105"/>
                <w:sz w:val="17"/>
              </w:rPr>
              <w:t>Rebaño</w:t>
            </w:r>
          </w:p>
        </w:tc>
        <w:tc>
          <w:tcPr>
            <w:tcW w:w="2580" w:type="dxa"/>
          </w:tcPr>
          <w:p>
            <w:pPr>
              <w:pStyle w:val="TableParagraph"/>
              <w:ind w:left="108"/>
              <w:rPr>
                <w:sz w:val="17"/>
              </w:rPr>
            </w:pPr>
            <w:r>
              <w:rPr>
                <w:color w:val="231F20"/>
                <w:sz w:val="17"/>
              </w:rPr>
              <w:t>Reproductor</w:t>
            </w:r>
          </w:p>
        </w:tc>
        <w:tc>
          <w:tcPr>
            <w:tcW w:w="1834" w:type="dxa"/>
          </w:tcPr>
          <w:p>
            <w:pPr>
              <w:pStyle w:val="TableParagraph"/>
              <w:ind w:left="692" w:right="693"/>
              <w:jc w:val="center"/>
              <w:rPr>
                <w:sz w:val="17"/>
              </w:rPr>
            </w:pPr>
            <w:r>
              <w:rPr>
                <w:color w:val="231F20"/>
                <w:w w:val="115"/>
                <w:sz w:val="17"/>
              </w:rPr>
              <w:t>4230</w:t>
            </w:r>
          </w:p>
        </w:tc>
        <w:tc>
          <w:tcPr>
            <w:tcW w:w="1908" w:type="dxa"/>
            <w:tcBorders>
              <w:right w:val="nil"/>
            </w:tcBorders>
          </w:tcPr>
          <w:p>
            <w:pPr>
              <w:pStyle w:val="TableParagraph"/>
              <w:ind w:left="730" w:right="736"/>
              <w:jc w:val="center"/>
              <w:rPr>
                <w:sz w:val="17"/>
              </w:rPr>
            </w:pPr>
            <w:r>
              <w:rPr>
                <w:color w:val="231F20"/>
                <w:w w:val="115"/>
                <w:sz w:val="17"/>
              </w:rPr>
              <w:t>2030</w:t>
            </w:r>
          </w:p>
        </w:tc>
      </w:tr>
      <w:tr>
        <w:trPr>
          <w:trHeight w:val="354" w:hRule="exact"/>
        </w:trPr>
        <w:tc>
          <w:tcPr>
            <w:tcW w:w="2461" w:type="dxa"/>
            <w:vMerge/>
            <w:tcBorders>
              <w:left w:val="nil"/>
            </w:tcBorders>
          </w:tcPr>
          <w:p>
            <w:pPr/>
          </w:p>
        </w:tc>
        <w:tc>
          <w:tcPr>
            <w:tcW w:w="2580" w:type="dxa"/>
          </w:tcPr>
          <w:p>
            <w:pPr>
              <w:pStyle w:val="TableParagraph"/>
              <w:ind w:left="108"/>
              <w:rPr>
                <w:sz w:val="17"/>
              </w:rPr>
            </w:pPr>
            <w:r>
              <w:rPr>
                <w:color w:val="231F20"/>
                <w:w w:val="105"/>
                <w:sz w:val="17"/>
              </w:rPr>
              <w:t>Hembras</w:t>
            </w:r>
          </w:p>
        </w:tc>
        <w:tc>
          <w:tcPr>
            <w:tcW w:w="1834" w:type="dxa"/>
          </w:tcPr>
          <w:p>
            <w:pPr>
              <w:pStyle w:val="TableParagraph"/>
              <w:ind w:left="693" w:right="693"/>
              <w:jc w:val="center"/>
              <w:rPr>
                <w:sz w:val="17"/>
              </w:rPr>
            </w:pPr>
            <w:r>
              <w:rPr>
                <w:color w:val="231F20"/>
                <w:w w:val="115"/>
                <w:sz w:val="17"/>
              </w:rPr>
              <w:t>1630</w:t>
            </w:r>
          </w:p>
        </w:tc>
        <w:tc>
          <w:tcPr>
            <w:tcW w:w="1908" w:type="dxa"/>
            <w:tcBorders>
              <w:right w:val="nil"/>
            </w:tcBorders>
          </w:tcPr>
          <w:p>
            <w:pPr>
              <w:pStyle w:val="TableParagraph"/>
              <w:ind w:left="730" w:right="733"/>
              <w:jc w:val="center"/>
              <w:rPr>
                <w:sz w:val="17"/>
              </w:rPr>
            </w:pPr>
            <w:r>
              <w:rPr>
                <w:color w:val="231F20"/>
                <w:w w:val="115"/>
                <w:sz w:val="17"/>
              </w:rPr>
              <w:t>165</w:t>
            </w:r>
          </w:p>
        </w:tc>
      </w:tr>
      <w:tr>
        <w:trPr>
          <w:trHeight w:val="354" w:hRule="exact"/>
        </w:trPr>
        <w:tc>
          <w:tcPr>
            <w:tcW w:w="2461" w:type="dxa"/>
            <w:vMerge/>
            <w:tcBorders>
              <w:left w:val="nil"/>
            </w:tcBorders>
          </w:tcPr>
          <w:p>
            <w:pPr/>
          </w:p>
        </w:tc>
        <w:tc>
          <w:tcPr>
            <w:tcW w:w="2580" w:type="dxa"/>
          </w:tcPr>
          <w:p>
            <w:pPr>
              <w:pStyle w:val="TableParagraph"/>
              <w:ind w:left="108"/>
              <w:rPr>
                <w:sz w:val="17"/>
              </w:rPr>
            </w:pPr>
            <w:r>
              <w:rPr>
                <w:color w:val="231F20"/>
                <w:w w:val="105"/>
                <w:sz w:val="17"/>
              </w:rPr>
              <w:t>Hembras de reemplazo</w:t>
            </w:r>
          </w:p>
        </w:tc>
        <w:tc>
          <w:tcPr>
            <w:tcW w:w="1834" w:type="dxa"/>
          </w:tcPr>
          <w:p>
            <w:pPr>
              <w:pStyle w:val="TableParagraph"/>
              <w:ind w:left="693" w:right="693"/>
              <w:jc w:val="center"/>
              <w:rPr>
                <w:sz w:val="17"/>
              </w:rPr>
            </w:pPr>
            <w:r>
              <w:rPr>
                <w:color w:val="231F20"/>
                <w:w w:val="115"/>
                <w:sz w:val="17"/>
              </w:rPr>
              <w:t>1140</w:t>
            </w:r>
          </w:p>
        </w:tc>
        <w:tc>
          <w:tcPr>
            <w:tcW w:w="1908" w:type="dxa"/>
            <w:tcBorders>
              <w:right w:val="nil"/>
            </w:tcBorders>
          </w:tcPr>
          <w:p>
            <w:pPr>
              <w:pStyle w:val="TableParagraph"/>
              <w:ind w:left="726" w:right="736"/>
              <w:jc w:val="center"/>
              <w:rPr>
                <w:sz w:val="17"/>
              </w:rPr>
            </w:pPr>
            <w:r>
              <w:rPr>
                <w:color w:val="231F20"/>
                <w:w w:val="115"/>
                <w:sz w:val="17"/>
              </w:rPr>
              <w:t>115</w:t>
            </w:r>
          </w:p>
        </w:tc>
      </w:tr>
      <w:tr>
        <w:trPr>
          <w:trHeight w:val="354" w:hRule="exact"/>
        </w:trPr>
        <w:tc>
          <w:tcPr>
            <w:tcW w:w="2461" w:type="dxa"/>
            <w:vMerge/>
            <w:tcBorders>
              <w:left w:val="nil"/>
            </w:tcBorders>
          </w:tcPr>
          <w:p>
            <w:pPr/>
          </w:p>
        </w:tc>
        <w:tc>
          <w:tcPr>
            <w:tcW w:w="2580" w:type="dxa"/>
          </w:tcPr>
          <w:p>
            <w:pPr>
              <w:pStyle w:val="TableParagraph"/>
              <w:ind w:left="108"/>
              <w:rPr>
                <w:sz w:val="17"/>
              </w:rPr>
            </w:pPr>
            <w:r>
              <w:rPr>
                <w:color w:val="231F20"/>
                <w:w w:val="105"/>
                <w:sz w:val="17"/>
              </w:rPr>
              <w:t>Crías 3-4 mes</w:t>
            </w:r>
          </w:p>
        </w:tc>
        <w:tc>
          <w:tcPr>
            <w:tcW w:w="1834" w:type="dxa"/>
          </w:tcPr>
          <w:p>
            <w:pPr>
              <w:pStyle w:val="TableParagraph"/>
              <w:ind w:left="693" w:right="609"/>
              <w:jc w:val="center"/>
              <w:rPr>
                <w:sz w:val="17"/>
              </w:rPr>
            </w:pPr>
            <w:r>
              <w:rPr>
                <w:color w:val="231F20"/>
                <w:w w:val="115"/>
                <w:sz w:val="17"/>
              </w:rPr>
              <w:t>500</w:t>
            </w:r>
          </w:p>
        </w:tc>
        <w:tc>
          <w:tcPr>
            <w:tcW w:w="1908" w:type="dxa"/>
            <w:tcBorders>
              <w:right w:val="nil"/>
            </w:tcBorders>
          </w:tcPr>
          <w:p>
            <w:pPr>
              <w:pStyle w:val="TableParagraph"/>
              <w:ind w:left="730" w:right="736"/>
              <w:jc w:val="center"/>
              <w:rPr>
                <w:sz w:val="17"/>
              </w:rPr>
            </w:pPr>
            <w:r>
              <w:rPr>
                <w:color w:val="231F20"/>
                <w:w w:val="115"/>
                <w:sz w:val="17"/>
              </w:rPr>
              <w:t>250</w:t>
            </w:r>
          </w:p>
        </w:tc>
      </w:tr>
      <w:tr>
        <w:trPr>
          <w:trHeight w:val="354" w:hRule="exact"/>
        </w:trPr>
        <w:tc>
          <w:tcPr>
            <w:tcW w:w="2461" w:type="dxa"/>
            <w:vMerge w:val="restart"/>
            <w:tcBorders>
              <w:left w:val="nil"/>
            </w:tcBorders>
          </w:tcPr>
          <w:p>
            <w:pPr>
              <w:pStyle w:val="TableParagraph"/>
              <w:spacing w:before="0"/>
              <w:rPr>
                <w:sz w:val="16"/>
              </w:rPr>
            </w:pPr>
          </w:p>
          <w:p>
            <w:pPr>
              <w:pStyle w:val="TableParagraph"/>
              <w:spacing w:before="0"/>
              <w:rPr>
                <w:sz w:val="16"/>
              </w:rPr>
            </w:pPr>
          </w:p>
          <w:p>
            <w:pPr>
              <w:pStyle w:val="TableParagraph"/>
              <w:spacing w:before="6"/>
              <w:rPr>
                <w:sz w:val="17"/>
              </w:rPr>
            </w:pPr>
          </w:p>
          <w:p>
            <w:pPr>
              <w:pStyle w:val="TableParagraph"/>
              <w:spacing w:before="0"/>
              <w:ind w:left="113"/>
              <w:rPr>
                <w:sz w:val="17"/>
              </w:rPr>
            </w:pPr>
            <w:r>
              <w:rPr>
                <w:color w:val="231F20"/>
                <w:sz w:val="17"/>
              </w:rPr>
              <w:t>Forraje y suplementación</w:t>
            </w:r>
          </w:p>
        </w:tc>
        <w:tc>
          <w:tcPr>
            <w:tcW w:w="2580" w:type="dxa"/>
          </w:tcPr>
          <w:p>
            <w:pPr>
              <w:pStyle w:val="TableParagraph"/>
              <w:ind w:left="108"/>
              <w:rPr>
                <w:sz w:val="17"/>
              </w:rPr>
            </w:pPr>
            <w:r>
              <w:rPr>
                <w:color w:val="231F20"/>
                <w:sz w:val="17"/>
              </w:rPr>
              <w:t>Nº pacas/día</w:t>
            </w:r>
          </w:p>
        </w:tc>
        <w:tc>
          <w:tcPr>
            <w:tcW w:w="1834" w:type="dxa"/>
          </w:tcPr>
          <w:p>
            <w:pPr>
              <w:pStyle w:val="TableParagraph"/>
              <w:ind w:left="255"/>
              <w:jc w:val="center"/>
              <w:rPr>
                <w:sz w:val="17"/>
              </w:rPr>
            </w:pPr>
            <w:r>
              <w:rPr>
                <w:color w:val="231F20"/>
                <w:w w:val="115"/>
                <w:sz w:val="17"/>
              </w:rPr>
              <w:t>2</w:t>
            </w:r>
          </w:p>
        </w:tc>
        <w:tc>
          <w:tcPr>
            <w:tcW w:w="1908" w:type="dxa"/>
            <w:tcBorders>
              <w:right w:val="nil"/>
            </w:tcBorders>
          </w:tcPr>
          <w:p>
            <w:pPr>
              <w:pStyle w:val="TableParagraph"/>
              <w:ind w:left="995"/>
              <w:rPr>
                <w:sz w:val="17"/>
              </w:rPr>
            </w:pPr>
            <w:r>
              <w:rPr>
                <w:color w:val="231F20"/>
                <w:w w:val="110"/>
                <w:sz w:val="17"/>
              </w:rPr>
              <w:t>0,05</w:t>
            </w:r>
          </w:p>
        </w:tc>
      </w:tr>
      <w:tr>
        <w:trPr>
          <w:trHeight w:val="354" w:hRule="exact"/>
        </w:trPr>
        <w:tc>
          <w:tcPr>
            <w:tcW w:w="2461" w:type="dxa"/>
            <w:vMerge/>
            <w:tcBorders>
              <w:left w:val="nil"/>
            </w:tcBorders>
          </w:tcPr>
          <w:p>
            <w:pPr/>
          </w:p>
        </w:tc>
        <w:tc>
          <w:tcPr>
            <w:tcW w:w="2580" w:type="dxa"/>
          </w:tcPr>
          <w:p>
            <w:pPr>
              <w:pStyle w:val="TableParagraph"/>
              <w:ind w:left="108"/>
              <w:rPr>
                <w:sz w:val="17"/>
              </w:rPr>
            </w:pPr>
            <w:r>
              <w:rPr>
                <w:color w:val="231F20"/>
                <w:sz w:val="17"/>
              </w:rPr>
              <w:t>Valor paca</w:t>
            </w:r>
          </w:p>
        </w:tc>
        <w:tc>
          <w:tcPr>
            <w:tcW w:w="1834" w:type="dxa"/>
          </w:tcPr>
          <w:p>
            <w:pPr>
              <w:pStyle w:val="TableParagraph"/>
              <w:ind w:left="693" w:right="527"/>
              <w:jc w:val="center"/>
              <w:rPr>
                <w:sz w:val="17"/>
              </w:rPr>
            </w:pPr>
            <w:r>
              <w:rPr>
                <w:color w:val="231F20"/>
                <w:w w:val="115"/>
                <w:sz w:val="17"/>
              </w:rPr>
              <w:t>25</w:t>
            </w:r>
          </w:p>
        </w:tc>
        <w:tc>
          <w:tcPr>
            <w:tcW w:w="1908" w:type="dxa"/>
            <w:tcBorders>
              <w:right w:val="nil"/>
            </w:tcBorders>
          </w:tcPr>
          <w:p>
            <w:pPr>
              <w:pStyle w:val="TableParagraph"/>
              <w:ind w:left="165"/>
              <w:jc w:val="center"/>
              <w:rPr>
                <w:sz w:val="17"/>
              </w:rPr>
            </w:pPr>
            <w:r>
              <w:rPr>
                <w:color w:val="231F20"/>
                <w:w w:val="115"/>
                <w:sz w:val="17"/>
              </w:rPr>
              <w:t>5</w:t>
            </w:r>
          </w:p>
        </w:tc>
      </w:tr>
      <w:tr>
        <w:trPr>
          <w:trHeight w:val="354" w:hRule="exact"/>
        </w:trPr>
        <w:tc>
          <w:tcPr>
            <w:tcW w:w="2461" w:type="dxa"/>
            <w:vMerge/>
            <w:tcBorders>
              <w:left w:val="nil"/>
            </w:tcBorders>
          </w:tcPr>
          <w:p>
            <w:pPr/>
          </w:p>
        </w:tc>
        <w:tc>
          <w:tcPr>
            <w:tcW w:w="2580" w:type="dxa"/>
          </w:tcPr>
          <w:p>
            <w:pPr>
              <w:pStyle w:val="TableParagraph"/>
              <w:ind w:left="108"/>
              <w:rPr>
                <w:sz w:val="17"/>
              </w:rPr>
            </w:pPr>
            <w:r>
              <w:rPr>
                <w:color w:val="231F20"/>
                <w:sz w:val="17"/>
              </w:rPr>
              <w:t>Días  suplementación</w:t>
            </w:r>
          </w:p>
        </w:tc>
        <w:tc>
          <w:tcPr>
            <w:tcW w:w="1834" w:type="dxa"/>
          </w:tcPr>
          <w:p>
            <w:pPr>
              <w:pStyle w:val="TableParagraph"/>
              <w:ind w:left="693" w:right="523"/>
              <w:jc w:val="center"/>
              <w:rPr>
                <w:sz w:val="17"/>
              </w:rPr>
            </w:pPr>
            <w:r>
              <w:rPr>
                <w:color w:val="231F20"/>
                <w:w w:val="115"/>
                <w:sz w:val="17"/>
              </w:rPr>
              <w:t>64</w:t>
            </w:r>
          </w:p>
        </w:tc>
        <w:tc>
          <w:tcPr>
            <w:tcW w:w="1908" w:type="dxa"/>
            <w:tcBorders>
              <w:right w:val="nil"/>
            </w:tcBorders>
          </w:tcPr>
          <w:p>
            <w:pPr>
              <w:pStyle w:val="TableParagraph"/>
              <w:ind w:left="730" w:right="650"/>
              <w:jc w:val="center"/>
              <w:rPr>
                <w:sz w:val="17"/>
              </w:rPr>
            </w:pPr>
            <w:r>
              <w:rPr>
                <w:color w:val="231F20"/>
                <w:w w:val="115"/>
                <w:sz w:val="17"/>
              </w:rPr>
              <w:t>43</w:t>
            </w:r>
          </w:p>
        </w:tc>
      </w:tr>
      <w:tr>
        <w:trPr>
          <w:trHeight w:val="354" w:hRule="exact"/>
        </w:trPr>
        <w:tc>
          <w:tcPr>
            <w:tcW w:w="2461" w:type="dxa"/>
            <w:vMerge/>
            <w:tcBorders>
              <w:left w:val="nil"/>
            </w:tcBorders>
          </w:tcPr>
          <w:p>
            <w:pPr/>
          </w:p>
        </w:tc>
        <w:tc>
          <w:tcPr>
            <w:tcW w:w="2580" w:type="dxa"/>
          </w:tcPr>
          <w:p>
            <w:pPr>
              <w:pStyle w:val="TableParagraph"/>
              <w:ind w:left="108"/>
              <w:rPr>
                <w:sz w:val="17"/>
              </w:rPr>
            </w:pPr>
            <w:r>
              <w:rPr>
                <w:color w:val="231F20"/>
                <w:sz w:val="17"/>
              </w:rPr>
              <w:t>Sal-Tequesquite</w:t>
            </w:r>
          </w:p>
        </w:tc>
        <w:tc>
          <w:tcPr>
            <w:tcW w:w="1834" w:type="dxa"/>
          </w:tcPr>
          <w:p>
            <w:pPr>
              <w:pStyle w:val="TableParagraph"/>
              <w:ind w:left="693" w:right="693"/>
              <w:jc w:val="center"/>
              <w:rPr>
                <w:sz w:val="17"/>
              </w:rPr>
            </w:pPr>
            <w:r>
              <w:rPr>
                <w:color w:val="231F20"/>
                <w:w w:val="115"/>
                <w:sz w:val="17"/>
              </w:rPr>
              <w:t>200</w:t>
            </w:r>
          </w:p>
        </w:tc>
        <w:tc>
          <w:tcPr>
            <w:tcW w:w="1908" w:type="dxa"/>
            <w:tcBorders>
              <w:right w:val="nil"/>
            </w:tcBorders>
          </w:tcPr>
          <w:p>
            <w:pPr>
              <w:pStyle w:val="TableParagraph"/>
              <w:ind w:left="730" w:right="654"/>
              <w:jc w:val="center"/>
              <w:rPr>
                <w:sz w:val="17"/>
              </w:rPr>
            </w:pPr>
            <w:r>
              <w:rPr>
                <w:color w:val="231F20"/>
                <w:w w:val="115"/>
                <w:sz w:val="17"/>
              </w:rPr>
              <w:t>50</w:t>
            </w:r>
          </w:p>
        </w:tc>
      </w:tr>
      <w:tr>
        <w:trPr>
          <w:trHeight w:val="354" w:hRule="exact"/>
        </w:trPr>
        <w:tc>
          <w:tcPr>
            <w:tcW w:w="2461" w:type="dxa"/>
            <w:vMerge w:val="restart"/>
            <w:tcBorders>
              <w:left w:val="nil"/>
            </w:tcBorders>
          </w:tcPr>
          <w:p>
            <w:pPr>
              <w:pStyle w:val="TableParagraph"/>
              <w:spacing w:before="0"/>
              <w:rPr>
                <w:sz w:val="16"/>
              </w:rPr>
            </w:pPr>
          </w:p>
          <w:p>
            <w:pPr>
              <w:pStyle w:val="TableParagraph"/>
              <w:spacing w:before="0"/>
              <w:rPr>
                <w:sz w:val="19"/>
              </w:rPr>
            </w:pPr>
          </w:p>
          <w:p>
            <w:pPr>
              <w:pStyle w:val="TableParagraph"/>
              <w:spacing w:before="0"/>
              <w:ind w:left="113"/>
              <w:rPr>
                <w:sz w:val="17"/>
              </w:rPr>
            </w:pPr>
            <w:r>
              <w:rPr>
                <w:color w:val="231F20"/>
                <w:sz w:val="17"/>
              </w:rPr>
              <w:t>Salud animal</w:t>
            </w:r>
          </w:p>
        </w:tc>
        <w:tc>
          <w:tcPr>
            <w:tcW w:w="2580" w:type="dxa"/>
          </w:tcPr>
          <w:p>
            <w:pPr>
              <w:pStyle w:val="TableParagraph"/>
              <w:ind w:left="108"/>
              <w:rPr>
                <w:sz w:val="17"/>
              </w:rPr>
            </w:pPr>
            <w:r>
              <w:rPr>
                <w:color w:val="231F20"/>
                <w:sz w:val="17"/>
              </w:rPr>
              <w:t>Vacunas-antiparasitarios</w:t>
            </w:r>
          </w:p>
        </w:tc>
        <w:tc>
          <w:tcPr>
            <w:tcW w:w="1834" w:type="dxa"/>
          </w:tcPr>
          <w:p>
            <w:pPr>
              <w:pStyle w:val="TableParagraph"/>
              <w:ind w:left="693" w:right="693"/>
              <w:jc w:val="center"/>
              <w:rPr>
                <w:sz w:val="17"/>
              </w:rPr>
            </w:pPr>
            <w:r>
              <w:rPr>
                <w:color w:val="231F20"/>
                <w:w w:val="115"/>
                <w:sz w:val="17"/>
              </w:rPr>
              <w:t>500</w:t>
            </w:r>
          </w:p>
        </w:tc>
        <w:tc>
          <w:tcPr>
            <w:tcW w:w="1908" w:type="dxa"/>
            <w:tcBorders>
              <w:right w:val="nil"/>
            </w:tcBorders>
          </w:tcPr>
          <w:p>
            <w:pPr>
              <w:pStyle w:val="TableParagraph"/>
              <w:ind w:left="730" w:right="733"/>
              <w:jc w:val="center"/>
              <w:rPr>
                <w:sz w:val="17"/>
              </w:rPr>
            </w:pPr>
            <w:r>
              <w:rPr>
                <w:color w:val="231F20"/>
                <w:w w:val="115"/>
                <w:sz w:val="17"/>
              </w:rPr>
              <w:t>300</w:t>
            </w:r>
          </w:p>
        </w:tc>
      </w:tr>
      <w:tr>
        <w:trPr>
          <w:trHeight w:val="354" w:hRule="exact"/>
        </w:trPr>
        <w:tc>
          <w:tcPr>
            <w:tcW w:w="2461" w:type="dxa"/>
            <w:vMerge/>
            <w:tcBorders>
              <w:left w:val="nil"/>
            </w:tcBorders>
          </w:tcPr>
          <w:p>
            <w:pPr/>
          </w:p>
        </w:tc>
        <w:tc>
          <w:tcPr>
            <w:tcW w:w="2580" w:type="dxa"/>
          </w:tcPr>
          <w:p>
            <w:pPr>
              <w:pStyle w:val="TableParagraph"/>
              <w:ind w:left="108"/>
              <w:rPr>
                <w:sz w:val="17"/>
              </w:rPr>
            </w:pPr>
            <w:r>
              <w:rPr>
                <w:color w:val="231F20"/>
                <w:sz w:val="17"/>
              </w:rPr>
              <w:t>Asistencia técnica</w:t>
            </w:r>
          </w:p>
        </w:tc>
        <w:tc>
          <w:tcPr>
            <w:tcW w:w="1834" w:type="dxa"/>
          </w:tcPr>
          <w:p>
            <w:pPr>
              <w:pStyle w:val="TableParagraph"/>
              <w:ind w:left="693" w:right="693"/>
              <w:jc w:val="center"/>
              <w:rPr>
                <w:sz w:val="17"/>
              </w:rPr>
            </w:pPr>
            <w:r>
              <w:rPr>
                <w:color w:val="231F20"/>
                <w:w w:val="115"/>
                <w:sz w:val="17"/>
              </w:rPr>
              <w:t>500</w:t>
            </w:r>
          </w:p>
        </w:tc>
        <w:tc>
          <w:tcPr>
            <w:tcW w:w="1908" w:type="dxa"/>
            <w:tcBorders>
              <w:right w:val="nil"/>
            </w:tcBorders>
          </w:tcPr>
          <w:p>
            <w:pPr>
              <w:pStyle w:val="TableParagraph"/>
              <w:ind w:left="730" w:right="733"/>
              <w:jc w:val="center"/>
              <w:rPr>
                <w:sz w:val="17"/>
              </w:rPr>
            </w:pPr>
            <w:r>
              <w:rPr>
                <w:color w:val="231F20"/>
                <w:w w:val="115"/>
                <w:sz w:val="17"/>
              </w:rPr>
              <w:t>300</w:t>
            </w:r>
          </w:p>
        </w:tc>
      </w:tr>
      <w:tr>
        <w:trPr>
          <w:trHeight w:val="354" w:hRule="exact"/>
        </w:trPr>
        <w:tc>
          <w:tcPr>
            <w:tcW w:w="2461" w:type="dxa"/>
            <w:vMerge/>
            <w:tcBorders>
              <w:left w:val="nil"/>
            </w:tcBorders>
          </w:tcPr>
          <w:p>
            <w:pPr/>
          </w:p>
        </w:tc>
        <w:tc>
          <w:tcPr>
            <w:tcW w:w="2580" w:type="dxa"/>
          </w:tcPr>
          <w:p>
            <w:pPr>
              <w:pStyle w:val="TableParagraph"/>
              <w:ind w:left="108"/>
              <w:rPr>
                <w:sz w:val="17"/>
              </w:rPr>
            </w:pPr>
            <w:r>
              <w:rPr>
                <w:color w:val="231F20"/>
                <w:sz w:val="17"/>
              </w:rPr>
              <w:t>Esquila</w:t>
            </w:r>
          </w:p>
        </w:tc>
        <w:tc>
          <w:tcPr>
            <w:tcW w:w="1834" w:type="dxa"/>
          </w:tcPr>
          <w:p>
            <w:pPr>
              <w:pStyle w:val="TableParagraph"/>
              <w:ind w:left="693" w:right="693"/>
              <w:jc w:val="center"/>
              <w:rPr>
                <w:sz w:val="17"/>
              </w:rPr>
            </w:pPr>
            <w:r>
              <w:rPr>
                <w:color w:val="231F20"/>
                <w:w w:val="115"/>
                <w:sz w:val="17"/>
              </w:rPr>
              <w:t>300</w:t>
            </w:r>
          </w:p>
        </w:tc>
        <w:tc>
          <w:tcPr>
            <w:tcW w:w="1908" w:type="dxa"/>
            <w:tcBorders>
              <w:right w:val="nil"/>
            </w:tcBorders>
          </w:tcPr>
          <w:p>
            <w:pPr>
              <w:pStyle w:val="TableParagraph"/>
              <w:ind w:left="730" w:right="733"/>
              <w:jc w:val="center"/>
              <w:rPr>
                <w:sz w:val="17"/>
              </w:rPr>
            </w:pPr>
            <w:r>
              <w:rPr>
                <w:color w:val="231F20"/>
                <w:w w:val="115"/>
                <w:sz w:val="17"/>
              </w:rPr>
              <w:t>100</w:t>
            </w:r>
          </w:p>
        </w:tc>
      </w:tr>
      <w:tr>
        <w:trPr>
          <w:trHeight w:val="354" w:hRule="exact"/>
        </w:trPr>
        <w:tc>
          <w:tcPr>
            <w:tcW w:w="2461" w:type="dxa"/>
            <w:tcBorders>
              <w:left w:val="nil"/>
            </w:tcBorders>
          </w:tcPr>
          <w:p>
            <w:pPr>
              <w:pStyle w:val="TableParagraph"/>
              <w:ind w:left="113"/>
              <w:rPr>
                <w:sz w:val="17"/>
              </w:rPr>
            </w:pPr>
            <w:r>
              <w:rPr>
                <w:color w:val="231F20"/>
                <w:sz w:val="17"/>
              </w:rPr>
              <w:t>Instalaciones-corrales</w:t>
            </w:r>
          </w:p>
        </w:tc>
        <w:tc>
          <w:tcPr>
            <w:tcW w:w="2580" w:type="dxa"/>
          </w:tcPr>
          <w:p>
            <w:pPr>
              <w:pStyle w:val="TableParagraph"/>
              <w:ind w:left="108"/>
              <w:rPr>
                <w:sz w:val="17"/>
              </w:rPr>
            </w:pPr>
            <w:r>
              <w:rPr>
                <w:color w:val="231F20"/>
                <w:sz w:val="17"/>
              </w:rPr>
              <w:t>Mantenimiento/año</w:t>
            </w:r>
          </w:p>
        </w:tc>
        <w:tc>
          <w:tcPr>
            <w:tcW w:w="1834" w:type="dxa"/>
          </w:tcPr>
          <w:p>
            <w:pPr>
              <w:pStyle w:val="TableParagraph"/>
              <w:ind w:left="693" w:right="693"/>
              <w:jc w:val="center"/>
              <w:rPr>
                <w:sz w:val="17"/>
              </w:rPr>
            </w:pPr>
            <w:r>
              <w:rPr>
                <w:color w:val="231F20"/>
                <w:w w:val="115"/>
                <w:sz w:val="17"/>
              </w:rPr>
              <w:t>500</w:t>
            </w:r>
          </w:p>
        </w:tc>
        <w:tc>
          <w:tcPr>
            <w:tcW w:w="1908" w:type="dxa"/>
            <w:tcBorders>
              <w:right w:val="nil"/>
            </w:tcBorders>
          </w:tcPr>
          <w:p>
            <w:pPr>
              <w:pStyle w:val="TableParagraph"/>
              <w:ind w:left="730" w:right="733"/>
              <w:jc w:val="center"/>
              <w:rPr>
                <w:sz w:val="17"/>
              </w:rPr>
            </w:pPr>
            <w:r>
              <w:rPr>
                <w:color w:val="231F20"/>
                <w:w w:val="115"/>
                <w:sz w:val="17"/>
              </w:rPr>
              <w:t>200</w:t>
            </w:r>
          </w:p>
        </w:tc>
      </w:tr>
    </w:tbl>
    <w:p>
      <w:pPr>
        <w:spacing w:after="0"/>
        <w:jc w:val="center"/>
        <w:rPr>
          <w:sz w:val="17"/>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5"/>
          <w:w w:val="120"/>
          <w:sz w:val="22"/>
        </w:rPr>
        <w:t>158</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92" w:lineRule="auto" w:before="67"/>
        <w:ind w:left="1553"/>
        <w:jc w:val="both"/>
      </w:pPr>
      <w:r>
        <w:rPr>
          <w:color w:val="231F20"/>
        </w:rPr>
        <w:t>En cuanto al aprovechamiento de subproductos como el estiércol, un 70% de los productores lo utilizan como abono para sus propios terrenos de cultivo (milpas), mientras el resto no realiza ningún manejo ni le asigna algún valor. La lana resultante de la esquila que se practica anualmente se consi- dera de muy baja calidad, prácticamente sin valor en el mercado ($1,0/kg), por lo que es   desechada.</w:t>
      </w:r>
    </w:p>
    <w:p>
      <w:pPr>
        <w:pStyle w:val="BodyText"/>
        <w:spacing w:line="292" w:lineRule="auto" w:before="114"/>
        <w:ind w:left="1553"/>
        <w:jc w:val="both"/>
      </w:pPr>
      <w:r>
        <w:rPr>
          <w:color w:val="231F20"/>
        </w:rPr>
        <w:t>Basándose en la determinación de la variación en el tamaño de los rebaños y en el valor de los com- ponentes propuestos (Cuadros 1 y 2) se elaboró una matriz de costos e ingresos de la actividad (Cuadro 3), la cual muestra cómo el valor del re- baño constituye la principal inversión (por encima del 70%), seguido  por  los  costos  de  suplemen-  to de forraje, mientras que los costos de suple- mento  mineral,  salud  animal  e  instalaciones</w:t>
      </w:r>
      <w:r>
        <w:rPr>
          <w:color w:val="231F20"/>
          <w:spacing w:val="-8"/>
        </w:rPr>
        <w:t> </w:t>
      </w:r>
      <w:r>
        <w:rPr>
          <w:color w:val="231F20"/>
        </w:rPr>
        <w:t>sólo</w:t>
      </w:r>
    </w:p>
    <w:p>
      <w:pPr>
        <w:pStyle w:val="BodyText"/>
        <w:spacing w:line="292" w:lineRule="auto" w:before="67"/>
        <w:ind w:left="413" w:right="1551"/>
        <w:jc w:val="both"/>
      </w:pPr>
      <w:r>
        <w:rPr/>
        <w:br w:type="column"/>
      </w:r>
      <w:r>
        <w:rPr>
          <w:color w:val="231F20"/>
        </w:rPr>
        <w:t>alcanzan en conjunto un 3,3%. En cuanto a los ingresos, considerando una reproducción efectiva del 50% sobre la base del porcentaje de supervi- vencia de las crías, éstos sólo representan un 10% de la inversión total.</w:t>
      </w:r>
    </w:p>
    <w:p>
      <w:pPr>
        <w:pStyle w:val="BodyText"/>
        <w:spacing w:line="292" w:lineRule="auto" w:before="114"/>
        <w:ind w:left="413" w:right="1551"/>
        <w:jc w:val="both"/>
      </w:pPr>
      <w:r>
        <w:rPr>
          <w:color w:val="231F20"/>
        </w:rPr>
        <w:t>De aquí resulta evidente el aporte de los pastores hacia otros sectores de su comunidad y de la so- ciedad, en general consistente en el valor de su trabajo, el cual, calculado sobre la base de $60 diarios  </w:t>
      </w:r>
      <w:r>
        <w:rPr>
          <w:color w:val="231F20"/>
          <w:spacing w:val="-7"/>
        </w:rPr>
        <w:t>(SAT,  </w:t>
      </w:r>
      <w:r>
        <w:rPr>
          <w:color w:val="231F20"/>
          <w:spacing w:val="-4"/>
        </w:rPr>
        <w:t>2012),  </w:t>
      </w:r>
      <w:r>
        <w:rPr>
          <w:color w:val="231F20"/>
        </w:rPr>
        <w:t>alcanzaría  un  costo  anual  de</w:t>
      </w:r>
    </w:p>
    <w:p>
      <w:pPr>
        <w:pStyle w:val="BodyText"/>
        <w:spacing w:line="292" w:lineRule="auto" w:before="1"/>
        <w:ind w:left="413" w:right="1551"/>
        <w:jc w:val="both"/>
      </w:pPr>
      <w:r>
        <w:rPr>
          <w:color w:val="231F20"/>
          <w:spacing w:val="2"/>
        </w:rPr>
        <w:t>$21900, </w:t>
      </w:r>
      <w:r>
        <w:rPr>
          <w:color w:val="231F20"/>
        </w:rPr>
        <w:t>que representarían alrededor del  27%  del costo de la actividad. Otra manera de conside- rar este valor es asignarlo al costo de provisión del forraje que es consumido por los animales duran- te las rutas de pastoreo, de manera que también podría verse como un posible costo ambiental de  la producción</w:t>
      </w:r>
      <w:r>
        <w:rPr>
          <w:color w:val="231F20"/>
          <w:spacing w:val="21"/>
        </w:rPr>
        <w:t> </w:t>
      </w:r>
      <w:r>
        <w:rPr>
          <w:color w:val="231F20"/>
        </w:rPr>
        <w:t>ovina.</w:t>
      </w:r>
    </w:p>
    <w:p>
      <w:pPr>
        <w:spacing w:after="0" w:line="292"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9"/>
        <w:rPr>
          <w:sz w:val="18"/>
        </w:rPr>
      </w:pPr>
    </w:p>
    <w:p>
      <w:pPr>
        <w:spacing w:line="326" w:lineRule="auto" w:before="1"/>
        <w:ind w:left="1553" w:right="1521" w:firstLine="0"/>
        <w:jc w:val="left"/>
        <w:rPr>
          <w:sz w:val="18"/>
        </w:rPr>
      </w:pPr>
      <w:r>
        <w:rPr>
          <w:color w:val="231F20"/>
          <w:w w:val="105"/>
          <w:sz w:val="18"/>
        </w:rPr>
        <w:t>Cuadro 3. Costos e ingresos ($) para un rebaño de 35 animales según la variación de tamaño del rebaño y el valor promedio para cada componente (2010).</w:t>
      </w:r>
    </w:p>
    <w:p>
      <w:pPr>
        <w:pStyle w:val="BodyText"/>
        <w:spacing w:before="7"/>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82"/>
        <w:gridCol w:w="2254"/>
        <w:gridCol w:w="1106"/>
        <w:gridCol w:w="1134"/>
        <w:gridCol w:w="1190"/>
        <w:gridCol w:w="1417"/>
      </w:tblGrid>
      <w:tr>
        <w:trPr>
          <w:trHeight w:val="629" w:hRule="exact"/>
        </w:trPr>
        <w:tc>
          <w:tcPr>
            <w:tcW w:w="1682" w:type="dxa"/>
            <w:tcBorders>
              <w:left w:val="nil"/>
            </w:tcBorders>
          </w:tcPr>
          <w:p>
            <w:pPr>
              <w:pStyle w:val="TableParagraph"/>
              <w:spacing w:before="2"/>
              <w:rPr>
                <w:sz w:val="17"/>
              </w:rPr>
            </w:pPr>
          </w:p>
          <w:p>
            <w:pPr>
              <w:pStyle w:val="TableParagraph"/>
              <w:spacing w:before="0"/>
              <w:ind w:left="557" w:right="552"/>
              <w:jc w:val="center"/>
              <w:rPr>
                <w:rFonts w:ascii="Cambria"/>
                <w:i/>
                <w:sz w:val="18"/>
              </w:rPr>
            </w:pPr>
            <w:r>
              <w:rPr>
                <w:rFonts w:ascii="Cambria"/>
                <w:i/>
                <w:color w:val="231F20"/>
                <w:w w:val="110"/>
                <w:sz w:val="18"/>
              </w:rPr>
              <w:t>Costos</w:t>
            </w:r>
          </w:p>
        </w:tc>
        <w:tc>
          <w:tcPr>
            <w:tcW w:w="2254" w:type="dxa"/>
          </w:tcPr>
          <w:p>
            <w:pPr>
              <w:pStyle w:val="TableParagraph"/>
              <w:spacing w:before="2"/>
              <w:rPr>
                <w:sz w:val="17"/>
              </w:rPr>
            </w:pPr>
          </w:p>
          <w:p>
            <w:pPr>
              <w:pStyle w:val="TableParagraph"/>
              <w:spacing w:before="0"/>
              <w:ind w:left="655"/>
              <w:rPr>
                <w:rFonts w:ascii="Cambria" w:hAnsi="Cambria"/>
                <w:i/>
                <w:sz w:val="18"/>
              </w:rPr>
            </w:pPr>
            <w:r>
              <w:rPr>
                <w:rFonts w:ascii="Cambria" w:hAnsi="Cambria"/>
                <w:i/>
                <w:color w:val="231F20"/>
                <w:w w:val="105"/>
                <w:sz w:val="18"/>
              </w:rPr>
              <w:t>Descripción</w:t>
            </w:r>
          </w:p>
        </w:tc>
        <w:tc>
          <w:tcPr>
            <w:tcW w:w="1106" w:type="dxa"/>
          </w:tcPr>
          <w:p>
            <w:pPr>
              <w:pStyle w:val="TableParagraph"/>
              <w:spacing w:before="2"/>
              <w:rPr>
                <w:sz w:val="17"/>
              </w:rPr>
            </w:pPr>
          </w:p>
          <w:p>
            <w:pPr>
              <w:pStyle w:val="TableParagraph"/>
              <w:spacing w:before="0"/>
              <w:ind w:left="180"/>
              <w:rPr>
                <w:rFonts w:ascii="Cambria"/>
                <w:i/>
                <w:sz w:val="18"/>
              </w:rPr>
            </w:pPr>
            <w:r>
              <w:rPr>
                <w:rFonts w:ascii="Cambria"/>
                <w:i/>
                <w:color w:val="231F20"/>
                <w:w w:val="110"/>
                <w:sz w:val="18"/>
              </w:rPr>
              <w:t>Cantidad</w:t>
            </w:r>
          </w:p>
        </w:tc>
        <w:tc>
          <w:tcPr>
            <w:tcW w:w="1134" w:type="dxa"/>
          </w:tcPr>
          <w:p>
            <w:pPr>
              <w:pStyle w:val="TableParagraph"/>
              <w:spacing w:line="295" w:lineRule="auto" w:before="79"/>
              <w:ind w:left="174" w:firstLine="183"/>
              <w:rPr>
                <w:rFonts w:ascii="Cambria"/>
                <w:i/>
                <w:sz w:val="18"/>
              </w:rPr>
            </w:pPr>
            <w:r>
              <w:rPr>
                <w:rFonts w:ascii="Cambria"/>
                <w:i/>
                <w:color w:val="231F20"/>
                <w:w w:val="105"/>
                <w:sz w:val="18"/>
              </w:rPr>
              <w:t>Valor </w:t>
            </w:r>
            <w:r>
              <w:rPr>
                <w:rFonts w:ascii="Cambria"/>
                <w:i/>
                <w:color w:val="231F20"/>
                <w:w w:val="105"/>
                <w:sz w:val="18"/>
              </w:rPr>
              <w:t>promedio</w:t>
            </w:r>
          </w:p>
        </w:tc>
        <w:tc>
          <w:tcPr>
            <w:tcW w:w="1190" w:type="dxa"/>
          </w:tcPr>
          <w:p>
            <w:pPr>
              <w:pStyle w:val="TableParagraph"/>
              <w:spacing w:before="2"/>
              <w:rPr>
                <w:sz w:val="17"/>
              </w:rPr>
            </w:pPr>
          </w:p>
          <w:p>
            <w:pPr>
              <w:pStyle w:val="TableParagraph"/>
              <w:spacing w:before="0"/>
              <w:ind w:left="370" w:right="370"/>
              <w:jc w:val="center"/>
              <w:rPr>
                <w:rFonts w:ascii="Cambria"/>
                <w:i/>
                <w:sz w:val="18"/>
              </w:rPr>
            </w:pPr>
            <w:r>
              <w:rPr>
                <w:rFonts w:ascii="Cambria"/>
                <w:i/>
                <w:color w:val="231F20"/>
                <w:sz w:val="18"/>
              </w:rPr>
              <w:t>Total</w:t>
            </w:r>
          </w:p>
        </w:tc>
        <w:tc>
          <w:tcPr>
            <w:tcW w:w="1417" w:type="dxa"/>
            <w:tcBorders>
              <w:right w:val="nil"/>
            </w:tcBorders>
          </w:tcPr>
          <w:p>
            <w:pPr>
              <w:pStyle w:val="TableParagraph"/>
              <w:spacing w:line="295" w:lineRule="auto" w:before="79"/>
              <w:ind w:left="291" w:hanging="162"/>
              <w:rPr>
                <w:rFonts w:ascii="Cambria"/>
                <w:i/>
                <w:sz w:val="18"/>
              </w:rPr>
            </w:pPr>
            <w:r>
              <w:rPr>
                <w:rFonts w:ascii="Cambria"/>
                <w:i/>
                <w:color w:val="231F20"/>
                <w:w w:val="105"/>
                <w:sz w:val="18"/>
              </w:rPr>
              <w:t>Porcentaje del </w:t>
            </w:r>
            <w:r>
              <w:rPr>
                <w:rFonts w:ascii="Cambria"/>
                <w:i/>
                <w:color w:val="231F20"/>
                <w:w w:val="105"/>
                <w:sz w:val="18"/>
              </w:rPr>
              <w:t>costo total</w:t>
            </w:r>
          </w:p>
        </w:tc>
      </w:tr>
      <w:tr>
        <w:trPr>
          <w:trHeight w:val="354" w:hRule="exact"/>
        </w:trPr>
        <w:tc>
          <w:tcPr>
            <w:tcW w:w="1682" w:type="dxa"/>
            <w:vMerge w:val="restart"/>
            <w:tcBorders>
              <w:left w:val="nil"/>
            </w:tcBorders>
          </w:tcPr>
          <w:p>
            <w:pPr>
              <w:pStyle w:val="TableParagraph"/>
              <w:spacing w:before="0"/>
              <w:rPr>
                <w:sz w:val="16"/>
              </w:rPr>
            </w:pPr>
          </w:p>
          <w:p>
            <w:pPr>
              <w:pStyle w:val="TableParagraph"/>
              <w:spacing w:before="0"/>
              <w:rPr>
                <w:sz w:val="19"/>
              </w:rPr>
            </w:pPr>
          </w:p>
          <w:p>
            <w:pPr>
              <w:pStyle w:val="TableParagraph"/>
              <w:spacing w:before="0"/>
              <w:ind w:left="113"/>
              <w:rPr>
                <w:sz w:val="17"/>
              </w:rPr>
            </w:pPr>
            <w:r>
              <w:rPr>
                <w:color w:val="231F20"/>
                <w:w w:val="105"/>
                <w:sz w:val="17"/>
              </w:rPr>
              <w:t>Rebaño</w:t>
            </w:r>
          </w:p>
        </w:tc>
        <w:tc>
          <w:tcPr>
            <w:tcW w:w="2254" w:type="dxa"/>
          </w:tcPr>
          <w:p>
            <w:pPr>
              <w:pStyle w:val="TableParagraph"/>
              <w:ind w:left="108"/>
              <w:rPr>
                <w:sz w:val="17"/>
              </w:rPr>
            </w:pPr>
            <w:r>
              <w:rPr>
                <w:color w:val="231F20"/>
                <w:sz w:val="17"/>
              </w:rPr>
              <w:t>Reproductor</w:t>
            </w:r>
          </w:p>
        </w:tc>
        <w:tc>
          <w:tcPr>
            <w:tcW w:w="1106" w:type="dxa"/>
          </w:tcPr>
          <w:p>
            <w:pPr>
              <w:pStyle w:val="TableParagraph"/>
              <w:ind w:left="85"/>
              <w:jc w:val="center"/>
              <w:rPr>
                <w:sz w:val="17"/>
              </w:rPr>
            </w:pPr>
            <w:r>
              <w:rPr>
                <w:color w:val="231F20"/>
                <w:w w:val="115"/>
                <w:sz w:val="17"/>
              </w:rPr>
              <w:t>1</w:t>
            </w:r>
          </w:p>
        </w:tc>
        <w:tc>
          <w:tcPr>
            <w:tcW w:w="1134" w:type="dxa"/>
          </w:tcPr>
          <w:p>
            <w:pPr>
              <w:pStyle w:val="TableParagraph"/>
              <w:ind w:left="367"/>
              <w:rPr>
                <w:sz w:val="17"/>
              </w:rPr>
            </w:pPr>
            <w:r>
              <w:rPr>
                <w:color w:val="231F20"/>
                <w:w w:val="115"/>
                <w:sz w:val="17"/>
              </w:rPr>
              <w:t>4230</w:t>
            </w:r>
          </w:p>
        </w:tc>
        <w:tc>
          <w:tcPr>
            <w:tcW w:w="1190" w:type="dxa"/>
          </w:tcPr>
          <w:p>
            <w:pPr>
              <w:pStyle w:val="TableParagraph"/>
              <w:ind w:right="336"/>
              <w:jc w:val="right"/>
              <w:rPr>
                <w:sz w:val="17"/>
              </w:rPr>
            </w:pPr>
            <w:r>
              <w:rPr>
                <w:color w:val="231F20"/>
                <w:w w:val="115"/>
                <w:sz w:val="17"/>
              </w:rPr>
              <w:t>4230</w:t>
            </w:r>
          </w:p>
        </w:tc>
        <w:tc>
          <w:tcPr>
            <w:tcW w:w="1417" w:type="dxa"/>
            <w:tcBorders>
              <w:right w:val="nil"/>
            </w:tcBorders>
          </w:tcPr>
          <w:p>
            <w:pPr>
              <w:pStyle w:val="TableParagraph"/>
              <w:ind w:right="508"/>
              <w:jc w:val="right"/>
              <w:rPr>
                <w:sz w:val="17"/>
              </w:rPr>
            </w:pPr>
            <w:r>
              <w:rPr>
                <w:color w:val="231F20"/>
                <w:w w:val="110"/>
                <w:sz w:val="17"/>
              </w:rPr>
              <w:t>7,09</w:t>
            </w:r>
          </w:p>
        </w:tc>
      </w:tr>
      <w:tr>
        <w:trPr>
          <w:trHeight w:val="354" w:hRule="exact"/>
        </w:trPr>
        <w:tc>
          <w:tcPr>
            <w:tcW w:w="1682" w:type="dxa"/>
            <w:vMerge/>
            <w:tcBorders>
              <w:left w:val="nil"/>
            </w:tcBorders>
          </w:tcPr>
          <w:p>
            <w:pPr/>
          </w:p>
        </w:tc>
        <w:tc>
          <w:tcPr>
            <w:tcW w:w="2254" w:type="dxa"/>
          </w:tcPr>
          <w:p>
            <w:pPr>
              <w:pStyle w:val="TableParagraph"/>
              <w:ind w:left="108"/>
              <w:rPr>
                <w:sz w:val="17"/>
              </w:rPr>
            </w:pPr>
            <w:r>
              <w:rPr>
                <w:color w:val="231F20"/>
                <w:w w:val="105"/>
                <w:sz w:val="17"/>
              </w:rPr>
              <w:t>Hembras</w:t>
            </w:r>
          </w:p>
        </w:tc>
        <w:tc>
          <w:tcPr>
            <w:tcW w:w="1106" w:type="dxa"/>
          </w:tcPr>
          <w:p>
            <w:pPr>
              <w:pStyle w:val="TableParagraph"/>
              <w:ind w:left="426" w:right="427"/>
              <w:jc w:val="center"/>
              <w:rPr>
                <w:sz w:val="17"/>
              </w:rPr>
            </w:pPr>
            <w:r>
              <w:rPr>
                <w:color w:val="231F20"/>
                <w:w w:val="115"/>
                <w:sz w:val="17"/>
              </w:rPr>
              <w:t>24</w:t>
            </w:r>
          </w:p>
        </w:tc>
        <w:tc>
          <w:tcPr>
            <w:tcW w:w="1134" w:type="dxa"/>
          </w:tcPr>
          <w:p>
            <w:pPr>
              <w:pStyle w:val="TableParagraph"/>
              <w:ind w:left="368"/>
              <w:rPr>
                <w:sz w:val="17"/>
              </w:rPr>
            </w:pPr>
            <w:r>
              <w:rPr>
                <w:color w:val="231F20"/>
                <w:w w:val="115"/>
                <w:sz w:val="17"/>
              </w:rPr>
              <w:t>1630</w:t>
            </w:r>
          </w:p>
        </w:tc>
        <w:tc>
          <w:tcPr>
            <w:tcW w:w="1190" w:type="dxa"/>
          </w:tcPr>
          <w:p>
            <w:pPr>
              <w:pStyle w:val="TableParagraph"/>
              <w:ind w:right="336"/>
              <w:jc w:val="right"/>
              <w:rPr>
                <w:sz w:val="17"/>
              </w:rPr>
            </w:pPr>
            <w:r>
              <w:rPr>
                <w:color w:val="231F20"/>
                <w:w w:val="115"/>
                <w:sz w:val="17"/>
              </w:rPr>
              <w:t>39 120</w:t>
            </w:r>
          </w:p>
        </w:tc>
        <w:tc>
          <w:tcPr>
            <w:tcW w:w="1417" w:type="dxa"/>
            <w:tcBorders>
              <w:right w:val="nil"/>
            </w:tcBorders>
          </w:tcPr>
          <w:p>
            <w:pPr>
              <w:pStyle w:val="TableParagraph"/>
              <w:ind w:right="508"/>
              <w:jc w:val="right"/>
              <w:rPr>
                <w:sz w:val="17"/>
              </w:rPr>
            </w:pPr>
            <w:r>
              <w:rPr>
                <w:color w:val="231F20"/>
                <w:w w:val="110"/>
                <w:sz w:val="17"/>
              </w:rPr>
              <w:t>65,62</w:t>
            </w:r>
          </w:p>
        </w:tc>
      </w:tr>
      <w:tr>
        <w:trPr>
          <w:trHeight w:val="354" w:hRule="exact"/>
        </w:trPr>
        <w:tc>
          <w:tcPr>
            <w:tcW w:w="1682" w:type="dxa"/>
            <w:vMerge/>
            <w:tcBorders>
              <w:left w:val="nil"/>
            </w:tcBorders>
          </w:tcPr>
          <w:p>
            <w:pPr/>
          </w:p>
        </w:tc>
        <w:tc>
          <w:tcPr>
            <w:tcW w:w="2254" w:type="dxa"/>
          </w:tcPr>
          <w:p>
            <w:pPr>
              <w:pStyle w:val="TableParagraph"/>
              <w:ind w:left="108"/>
              <w:rPr>
                <w:sz w:val="17"/>
              </w:rPr>
            </w:pPr>
            <w:r>
              <w:rPr>
                <w:color w:val="231F20"/>
                <w:sz w:val="17"/>
              </w:rPr>
              <w:t>Hembras rep.</w:t>
            </w:r>
          </w:p>
        </w:tc>
        <w:tc>
          <w:tcPr>
            <w:tcW w:w="1106" w:type="dxa"/>
          </w:tcPr>
          <w:p>
            <w:pPr>
              <w:pStyle w:val="TableParagraph"/>
              <w:ind w:left="85"/>
              <w:jc w:val="center"/>
              <w:rPr>
                <w:sz w:val="17"/>
              </w:rPr>
            </w:pPr>
            <w:r>
              <w:rPr>
                <w:color w:val="231F20"/>
                <w:w w:val="115"/>
                <w:sz w:val="17"/>
              </w:rPr>
              <w:t>9</w:t>
            </w:r>
          </w:p>
        </w:tc>
        <w:tc>
          <w:tcPr>
            <w:tcW w:w="1134" w:type="dxa"/>
          </w:tcPr>
          <w:p>
            <w:pPr>
              <w:pStyle w:val="TableParagraph"/>
              <w:ind w:left="370"/>
              <w:rPr>
                <w:sz w:val="17"/>
              </w:rPr>
            </w:pPr>
            <w:r>
              <w:rPr>
                <w:color w:val="231F20"/>
                <w:w w:val="115"/>
                <w:sz w:val="17"/>
              </w:rPr>
              <w:t>1140</w:t>
            </w:r>
          </w:p>
        </w:tc>
        <w:tc>
          <w:tcPr>
            <w:tcW w:w="1190" w:type="dxa"/>
          </w:tcPr>
          <w:p>
            <w:pPr>
              <w:pStyle w:val="TableParagraph"/>
              <w:ind w:right="333"/>
              <w:jc w:val="right"/>
              <w:rPr>
                <w:sz w:val="17"/>
              </w:rPr>
            </w:pPr>
            <w:r>
              <w:rPr>
                <w:color w:val="231F20"/>
                <w:w w:val="115"/>
                <w:sz w:val="17"/>
              </w:rPr>
              <w:t>10260</w:t>
            </w:r>
          </w:p>
        </w:tc>
        <w:tc>
          <w:tcPr>
            <w:tcW w:w="1417" w:type="dxa"/>
            <w:tcBorders>
              <w:right w:val="nil"/>
            </w:tcBorders>
          </w:tcPr>
          <w:p>
            <w:pPr>
              <w:pStyle w:val="TableParagraph"/>
              <w:ind w:right="508"/>
              <w:jc w:val="right"/>
              <w:rPr>
                <w:sz w:val="17"/>
              </w:rPr>
            </w:pPr>
            <w:r>
              <w:rPr>
                <w:color w:val="231F20"/>
                <w:w w:val="110"/>
                <w:sz w:val="17"/>
              </w:rPr>
              <w:t>17,21</w:t>
            </w:r>
          </w:p>
        </w:tc>
      </w:tr>
      <w:tr>
        <w:trPr>
          <w:trHeight w:val="354" w:hRule="exact"/>
        </w:trPr>
        <w:tc>
          <w:tcPr>
            <w:tcW w:w="1682" w:type="dxa"/>
            <w:vMerge w:val="restart"/>
            <w:tcBorders>
              <w:left w:val="nil"/>
            </w:tcBorders>
          </w:tcPr>
          <w:p>
            <w:pPr>
              <w:pStyle w:val="TableParagraph"/>
              <w:spacing w:before="6"/>
              <w:rPr>
                <w:sz w:val="20"/>
              </w:rPr>
            </w:pPr>
          </w:p>
          <w:p>
            <w:pPr>
              <w:pStyle w:val="TableParagraph"/>
              <w:spacing w:before="0"/>
              <w:ind w:left="113"/>
              <w:rPr>
                <w:sz w:val="17"/>
              </w:rPr>
            </w:pPr>
            <w:r>
              <w:rPr>
                <w:color w:val="231F20"/>
                <w:sz w:val="17"/>
              </w:rPr>
              <w:t>Suplementación</w:t>
            </w:r>
          </w:p>
        </w:tc>
        <w:tc>
          <w:tcPr>
            <w:tcW w:w="2254" w:type="dxa"/>
          </w:tcPr>
          <w:p>
            <w:pPr>
              <w:pStyle w:val="TableParagraph"/>
              <w:ind w:left="108"/>
              <w:rPr>
                <w:sz w:val="17"/>
              </w:rPr>
            </w:pPr>
            <w:r>
              <w:rPr>
                <w:color w:val="231F20"/>
                <w:sz w:val="17"/>
              </w:rPr>
              <w:t>Días suplementación*</w:t>
            </w:r>
          </w:p>
        </w:tc>
        <w:tc>
          <w:tcPr>
            <w:tcW w:w="1106" w:type="dxa"/>
          </w:tcPr>
          <w:p>
            <w:pPr>
              <w:pStyle w:val="TableParagraph"/>
              <w:ind w:left="426" w:right="426"/>
              <w:jc w:val="center"/>
              <w:rPr>
                <w:sz w:val="17"/>
              </w:rPr>
            </w:pPr>
            <w:r>
              <w:rPr>
                <w:color w:val="231F20"/>
                <w:w w:val="115"/>
                <w:sz w:val="17"/>
              </w:rPr>
              <w:t>64</w:t>
            </w:r>
          </w:p>
        </w:tc>
        <w:tc>
          <w:tcPr>
            <w:tcW w:w="1134" w:type="dxa"/>
          </w:tcPr>
          <w:p>
            <w:pPr>
              <w:pStyle w:val="TableParagraph"/>
              <w:ind w:left="565"/>
              <w:rPr>
                <w:sz w:val="17"/>
              </w:rPr>
            </w:pPr>
            <w:r>
              <w:rPr>
                <w:color w:val="231F20"/>
                <w:w w:val="110"/>
                <w:sz w:val="17"/>
              </w:rPr>
              <w:t>62,5</w:t>
            </w:r>
          </w:p>
        </w:tc>
        <w:tc>
          <w:tcPr>
            <w:tcW w:w="1190" w:type="dxa"/>
          </w:tcPr>
          <w:p>
            <w:pPr>
              <w:pStyle w:val="TableParagraph"/>
              <w:ind w:right="333"/>
              <w:jc w:val="right"/>
              <w:rPr>
                <w:sz w:val="17"/>
              </w:rPr>
            </w:pPr>
            <w:r>
              <w:rPr>
                <w:color w:val="231F20"/>
                <w:w w:val="115"/>
                <w:sz w:val="17"/>
              </w:rPr>
              <w:t>4000</w:t>
            </w:r>
          </w:p>
        </w:tc>
        <w:tc>
          <w:tcPr>
            <w:tcW w:w="1417" w:type="dxa"/>
            <w:tcBorders>
              <w:right w:val="nil"/>
            </w:tcBorders>
          </w:tcPr>
          <w:p>
            <w:pPr>
              <w:pStyle w:val="TableParagraph"/>
              <w:ind w:right="515"/>
              <w:jc w:val="right"/>
              <w:rPr>
                <w:sz w:val="17"/>
              </w:rPr>
            </w:pPr>
            <w:r>
              <w:rPr>
                <w:color w:val="231F20"/>
                <w:w w:val="110"/>
                <w:sz w:val="17"/>
              </w:rPr>
              <w:t>6,71</w:t>
            </w:r>
          </w:p>
        </w:tc>
      </w:tr>
      <w:tr>
        <w:trPr>
          <w:trHeight w:val="354" w:hRule="exact"/>
        </w:trPr>
        <w:tc>
          <w:tcPr>
            <w:tcW w:w="1682" w:type="dxa"/>
            <w:vMerge/>
            <w:tcBorders>
              <w:left w:val="nil"/>
            </w:tcBorders>
          </w:tcPr>
          <w:p>
            <w:pPr/>
          </w:p>
        </w:tc>
        <w:tc>
          <w:tcPr>
            <w:tcW w:w="2254" w:type="dxa"/>
          </w:tcPr>
          <w:p>
            <w:pPr>
              <w:pStyle w:val="TableParagraph"/>
              <w:ind w:left="108"/>
              <w:rPr>
                <w:sz w:val="17"/>
              </w:rPr>
            </w:pPr>
            <w:r>
              <w:rPr>
                <w:color w:val="231F20"/>
                <w:sz w:val="17"/>
              </w:rPr>
              <w:t>Suplemento mineral</w:t>
            </w:r>
          </w:p>
        </w:tc>
        <w:tc>
          <w:tcPr>
            <w:tcW w:w="1106" w:type="dxa"/>
          </w:tcPr>
          <w:p>
            <w:pPr>
              <w:pStyle w:val="TableParagraph"/>
              <w:ind w:left="85"/>
              <w:jc w:val="center"/>
              <w:rPr>
                <w:sz w:val="17"/>
              </w:rPr>
            </w:pPr>
            <w:r>
              <w:rPr>
                <w:color w:val="231F20"/>
                <w:w w:val="115"/>
                <w:sz w:val="17"/>
              </w:rPr>
              <w:t>1</w:t>
            </w:r>
          </w:p>
        </w:tc>
        <w:tc>
          <w:tcPr>
            <w:tcW w:w="1134" w:type="dxa"/>
          </w:tcPr>
          <w:p>
            <w:pPr>
              <w:pStyle w:val="TableParagraph"/>
              <w:ind w:left="457"/>
              <w:rPr>
                <w:sz w:val="17"/>
              </w:rPr>
            </w:pPr>
            <w:r>
              <w:rPr>
                <w:color w:val="231F20"/>
                <w:w w:val="115"/>
                <w:sz w:val="17"/>
              </w:rPr>
              <w:t>200</w:t>
            </w:r>
          </w:p>
        </w:tc>
        <w:tc>
          <w:tcPr>
            <w:tcW w:w="1190" w:type="dxa"/>
          </w:tcPr>
          <w:p>
            <w:pPr>
              <w:pStyle w:val="TableParagraph"/>
              <w:ind w:right="333"/>
              <w:jc w:val="right"/>
              <w:rPr>
                <w:sz w:val="17"/>
              </w:rPr>
            </w:pPr>
            <w:r>
              <w:rPr>
                <w:color w:val="231F20"/>
                <w:w w:val="115"/>
                <w:sz w:val="17"/>
              </w:rPr>
              <w:t>200</w:t>
            </w:r>
          </w:p>
        </w:tc>
        <w:tc>
          <w:tcPr>
            <w:tcW w:w="1417" w:type="dxa"/>
            <w:tcBorders>
              <w:right w:val="nil"/>
            </w:tcBorders>
          </w:tcPr>
          <w:p>
            <w:pPr>
              <w:pStyle w:val="TableParagraph"/>
              <w:ind w:right="508"/>
              <w:jc w:val="right"/>
              <w:rPr>
                <w:sz w:val="17"/>
              </w:rPr>
            </w:pPr>
            <w:r>
              <w:rPr>
                <w:color w:val="231F20"/>
                <w:w w:val="110"/>
                <w:sz w:val="17"/>
              </w:rPr>
              <w:t>0,33</w:t>
            </w:r>
          </w:p>
        </w:tc>
      </w:tr>
      <w:tr>
        <w:trPr>
          <w:trHeight w:val="354" w:hRule="exact"/>
        </w:trPr>
        <w:tc>
          <w:tcPr>
            <w:tcW w:w="1682" w:type="dxa"/>
            <w:vMerge w:val="restart"/>
            <w:tcBorders>
              <w:left w:val="nil"/>
            </w:tcBorders>
          </w:tcPr>
          <w:p>
            <w:pPr>
              <w:pStyle w:val="TableParagraph"/>
              <w:spacing w:before="0"/>
              <w:rPr>
                <w:sz w:val="16"/>
              </w:rPr>
            </w:pPr>
          </w:p>
          <w:p>
            <w:pPr>
              <w:pStyle w:val="TableParagraph"/>
              <w:spacing w:before="0"/>
              <w:rPr>
                <w:sz w:val="19"/>
              </w:rPr>
            </w:pPr>
          </w:p>
          <w:p>
            <w:pPr>
              <w:pStyle w:val="TableParagraph"/>
              <w:spacing w:before="0"/>
              <w:ind w:left="113"/>
              <w:rPr>
                <w:sz w:val="17"/>
              </w:rPr>
            </w:pPr>
            <w:r>
              <w:rPr>
                <w:color w:val="231F20"/>
                <w:sz w:val="17"/>
              </w:rPr>
              <w:t>Salud animal</w:t>
            </w:r>
          </w:p>
        </w:tc>
        <w:tc>
          <w:tcPr>
            <w:tcW w:w="2254" w:type="dxa"/>
          </w:tcPr>
          <w:p>
            <w:pPr>
              <w:pStyle w:val="TableParagraph"/>
              <w:ind w:left="108"/>
              <w:rPr>
                <w:sz w:val="17"/>
              </w:rPr>
            </w:pPr>
            <w:r>
              <w:rPr>
                <w:color w:val="231F20"/>
                <w:sz w:val="17"/>
              </w:rPr>
              <w:t>Vacunas-antiparasitarios</w:t>
            </w:r>
          </w:p>
        </w:tc>
        <w:tc>
          <w:tcPr>
            <w:tcW w:w="1106" w:type="dxa"/>
          </w:tcPr>
          <w:p>
            <w:pPr>
              <w:pStyle w:val="TableParagraph"/>
              <w:ind w:left="85"/>
              <w:jc w:val="center"/>
              <w:rPr>
                <w:sz w:val="17"/>
              </w:rPr>
            </w:pPr>
            <w:r>
              <w:rPr>
                <w:color w:val="231F20"/>
                <w:w w:val="115"/>
                <w:sz w:val="17"/>
              </w:rPr>
              <w:t>1</w:t>
            </w:r>
          </w:p>
        </w:tc>
        <w:tc>
          <w:tcPr>
            <w:tcW w:w="1134" w:type="dxa"/>
          </w:tcPr>
          <w:p>
            <w:pPr>
              <w:pStyle w:val="TableParagraph"/>
              <w:ind w:left="457"/>
              <w:rPr>
                <w:sz w:val="17"/>
              </w:rPr>
            </w:pPr>
            <w:r>
              <w:rPr>
                <w:color w:val="231F20"/>
                <w:w w:val="115"/>
                <w:sz w:val="17"/>
              </w:rPr>
              <w:t>500</w:t>
            </w:r>
          </w:p>
        </w:tc>
        <w:tc>
          <w:tcPr>
            <w:tcW w:w="1190" w:type="dxa"/>
          </w:tcPr>
          <w:p>
            <w:pPr>
              <w:pStyle w:val="TableParagraph"/>
              <w:ind w:right="333"/>
              <w:jc w:val="right"/>
              <w:rPr>
                <w:sz w:val="17"/>
              </w:rPr>
            </w:pPr>
            <w:r>
              <w:rPr>
                <w:color w:val="231F20"/>
                <w:w w:val="115"/>
                <w:sz w:val="17"/>
              </w:rPr>
              <w:t>500</w:t>
            </w:r>
          </w:p>
        </w:tc>
        <w:tc>
          <w:tcPr>
            <w:tcW w:w="1417" w:type="dxa"/>
            <w:tcBorders>
              <w:right w:val="nil"/>
            </w:tcBorders>
          </w:tcPr>
          <w:p>
            <w:pPr>
              <w:pStyle w:val="TableParagraph"/>
              <w:ind w:right="508"/>
              <w:jc w:val="right"/>
              <w:rPr>
                <w:sz w:val="17"/>
              </w:rPr>
            </w:pPr>
            <w:r>
              <w:rPr>
                <w:color w:val="231F20"/>
                <w:w w:val="110"/>
                <w:sz w:val="17"/>
              </w:rPr>
              <w:t>0,83</w:t>
            </w:r>
          </w:p>
        </w:tc>
      </w:tr>
      <w:tr>
        <w:trPr>
          <w:trHeight w:val="354" w:hRule="exact"/>
        </w:trPr>
        <w:tc>
          <w:tcPr>
            <w:tcW w:w="1682" w:type="dxa"/>
            <w:vMerge/>
            <w:tcBorders>
              <w:left w:val="nil"/>
            </w:tcBorders>
          </w:tcPr>
          <w:p>
            <w:pPr/>
          </w:p>
        </w:tc>
        <w:tc>
          <w:tcPr>
            <w:tcW w:w="2254" w:type="dxa"/>
          </w:tcPr>
          <w:p>
            <w:pPr>
              <w:pStyle w:val="TableParagraph"/>
              <w:ind w:left="108"/>
              <w:rPr>
                <w:sz w:val="17"/>
              </w:rPr>
            </w:pPr>
            <w:r>
              <w:rPr>
                <w:color w:val="231F20"/>
                <w:sz w:val="17"/>
              </w:rPr>
              <w:t>Asistencia técnica</w:t>
            </w:r>
          </w:p>
        </w:tc>
        <w:tc>
          <w:tcPr>
            <w:tcW w:w="1106" w:type="dxa"/>
          </w:tcPr>
          <w:p>
            <w:pPr>
              <w:pStyle w:val="TableParagraph"/>
              <w:ind w:left="85"/>
              <w:jc w:val="center"/>
              <w:rPr>
                <w:sz w:val="17"/>
              </w:rPr>
            </w:pPr>
            <w:r>
              <w:rPr>
                <w:color w:val="231F20"/>
                <w:w w:val="115"/>
                <w:sz w:val="17"/>
              </w:rPr>
              <w:t>1</w:t>
            </w:r>
          </w:p>
        </w:tc>
        <w:tc>
          <w:tcPr>
            <w:tcW w:w="1134" w:type="dxa"/>
          </w:tcPr>
          <w:p>
            <w:pPr>
              <w:pStyle w:val="TableParagraph"/>
              <w:ind w:left="457"/>
              <w:rPr>
                <w:sz w:val="17"/>
              </w:rPr>
            </w:pPr>
            <w:r>
              <w:rPr>
                <w:color w:val="231F20"/>
                <w:w w:val="115"/>
                <w:sz w:val="17"/>
              </w:rPr>
              <w:t>500</w:t>
            </w:r>
          </w:p>
        </w:tc>
        <w:tc>
          <w:tcPr>
            <w:tcW w:w="1190" w:type="dxa"/>
          </w:tcPr>
          <w:p>
            <w:pPr>
              <w:pStyle w:val="TableParagraph"/>
              <w:ind w:right="333"/>
              <w:jc w:val="right"/>
              <w:rPr>
                <w:sz w:val="17"/>
              </w:rPr>
            </w:pPr>
            <w:r>
              <w:rPr>
                <w:color w:val="231F20"/>
                <w:w w:val="115"/>
                <w:sz w:val="17"/>
              </w:rPr>
              <w:t>500</w:t>
            </w:r>
          </w:p>
        </w:tc>
        <w:tc>
          <w:tcPr>
            <w:tcW w:w="1417" w:type="dxa"/>
            <w:tcBorders>
              <w:right w:val="nil"/>
            </w:tcBorders>
          </w:tcPr>
          <w:p>
            <w:pPr>
              <w:pStyle w:val="TableParagraph"/>
              <w:ind w:right="508"/>
              <w:jc w:val="right"/>
              <w:rPr>
                <w:sz w:val="17"/>
              </w:rPr>
            </w:pPr>
            <w:r>
              <w:rPr>
                <w:color w:val="231F20"/>
                <w:w w:val="110"/>
                <w:sz w:val="17"/>
              </w:rPr>
              <w:t>0,83</w:t>
            </w:r>
          </w:p>
        </w:tc>
      </w:tr>
      <w:tr>
        <w:trPr>
          <w:trHeight w:val="354" w:hRule="exact"/>
        </w:trPr>
        <w:tc>
          <w:tcPr>
            <w:tcW w:w="1682" w:type="dxa"/>
            <w:vMerge/>
            <w:tcBorders>
              <w:left w:val="nil"/>
            </w:tcBorders>
          </w:tcPr>
          <w:p>
            <w:pPr/>
          </w:p>
        </w:tc>
        <w:tc>
          <w:tcPr>
            <w:tcW w:w="2254" w:type="dxa"/>
          </w:tcPr>
          <w:p>
            <w:pPr>
              <w:pStyle w:val="TableParagraph"/>
              <w:ind w:left="108"/>
              <w:rPr>
                <w:sz w:val="17"/>
              </w:rPr>
            </w:pPr>
            <w:r>
              <w:rPr>
                <w:color w:val="231F20"/>
                <w:sz w:val="17"/>
              </w:rPr>
              <w:t>Esquila</w:t>
            </w:r>
          </w:p>
        </w:tc>
        <w:tc>
          <w:tcPr>
            <w:tcW w:w="1106" w:type="dxa"/>
          </w:tcPr>
          <w:p>
            <w:pPr>
              <w:pStyle w:val="TableParagraph"/>
              <w:ind w:left="85"/>
              <w:jc w:val="center"/>
              <w:rPr>
                <w:sz w:val="17"/>
              </w:rPr>
            </w:pPr>
            <w:r>
              <w:rPr>
                <w:color w:val="231F20"/>
                <w:w w:val="115"/>
                <w:sz w:val="17"/>
              </w:rPr>
              <w:t>1</w:t>
            </w:r>
          </w:p>
        </w:tc>
        <w:tc>
          <w:tcPr>
            <w:tcW w:w="1134" w:type="dxa"/>
          </w:tcPr>
          <w:p>
            <w:pPr>
              <w:pStyle w:val="TableParagraph"/>
              <w:ind w:left="457"/>
              <w:rPr>
                <w:sz w:val="17"/>
              </w:rPr>
            </w:pPr>
            <w:r>
              <w:rPr>
                <w:color w:val="231F20"/>
                <w:w w:val="115"/>
                <w:sz w:val="17"/>
              </w:rPr>
              <w:t>300</w:t>
            </w:r>
          </w:p>
        </w:tc>
        <w:tc>
          <w:tcPr>
            <w:tcW w:w="1190" w:type="dxa"/>
          </w:tcPr>
          <w:p>
            <w:pPr>
              <w:pStyle w:val="TableParagraph"/>
              <w:ind w:right="333"/>
              <w:jc w:val="right"/>
              <w:rPr>
                <w:sz w:val="17"/>
              </w:rPr>
            </w:pPr>
            <w:r>
              <w:rPr>
                <w:color w:val="231F20"/>
                <w:w w:val="115"/>
                <w:sz w:val="17"/>
              </w:rPr>
              <w:t>300</w:t>
            </w:r>
          </w:p>
        </w:tc>
        <w:tc>
          <w:tcPr>
            <w:tcW w:w="1417" w:type="dxa"/>
            <w:tcBorders>
              <w:right w:val="nil"/>
            </w:tcBorders>
          </w:tcPr>
          <w:p>
            <w:pPr>
              <w:pStyle w:val="TableParagraph"/>
              <w:ind w:right="508"/>
              <w:jc w:val="right"/>
              <w:rPr>
                <w:sz w:val="17"/>
              </w:rPr>
            </w:pPr>
            <w:r>
              <w:rPr>
                <w:color w:val="231F20"/>
                <w:w w:val="110"/>
                <w:sz w:val="17"/>
              </w:rPr>
              <w:t>0,50</w:t>
            </w:r>
          </w:p>
        </w:tc>
      </w:tr>
      <w:tr>
        <w:trPr>
          <w:trHeight w:val="354" w:hRule="exact"/>
        </w:trPr>
        <w:tc>
          <w:tcPr>
            <w:tcW w:w="1682" w:type="dxa"/>
            <w:tcBorders>
              <w:left w:val="nil"/>
            </w:tcBorders>
          </w:tcPr>
          <w:p>
            <w:pPr>
              <w:pStyle w:val="TableParagraph"/>
              <w:ind w:left="113"/>
              <w:rPr>
                <w:sz w:val="17"/>
              </w:rPr>
            </w:pPr>
            <w:r>
              <w:rPr>
                <w:color w:val="231F20"/>
                <w:sz w:val="17"/>
              </w:rPr>
              <w:t>Instalaciones</w:t>
            </w:r>
          </w:p>
        </w:tc>
        <w:tc>
          <w:tcPr>
            <w:tcW w:w="2254" w:type="dxa"/>
          </w:tcPr>
          <w:p>
            <w:pPr>
              <w:pStyle w:val="TableParagraph"/>
              <w:ind w:left="108"/>
              <w:rPr>
                <w:sz w:val="17"/>
              </w:rPr>
            </w:pPr>
            <w:r>
              <w:rPr>
                <w:color w:val="231F20"/>
                <w:sz w:val="17"/>
              </w:rPr>
              <w:t>Mantenimiento</w:t>
            </w:r>
          </w:p>
        </w:tc>
        <w:tc>
          <w:tcPr>
            <w:tcW w:w="1106" w:type="dxa"/>
          </w:tcPr>
          <w:p>
            <w:pPr>
              <w:pStyle w:val="TableParagraph"/>
              <w:ind w:left="85"/>
              <w:jc w:val="center"/>
              <w:rPr>
                <w:sz w:val="17"/>
              </w:rPr>
            </w:pPr>
            <w:r>
              <w:rPr>
                <w:color w:val="231F20"/>
                <w:w w:val="115"/>
                <w:sz w:val="17"/>
              </w:rPr>
              <w:t>1</w:t>
            </w:r>
          </w:p>
        </w:tc>
        <w:tc>
          <w:tcPr>
            <w:tcW w:w="1134" w:type="dxa"/>
          </w:tcPr>
          <w:p>
            <w:pPr>
              <w:pStyle w:val="TableParagraph"/>
              <w:ind w:left="457"/>
              <w:rPr>
                <w:sz w:val="17"/>
              </w:rPr>
            </w:pPr>
            <w:r>
              <w:rPr>
                <w:color w:val="231F20"/>
                <w:w w:val="115"/>
                <w:sz w:val="17"/>
              </w:rPr>
              <w:t>500</w:t>
            </w:r>
          </w:p>
        </w:tc>
        <w:tc>
          <w:tcPr>
            <w:tcW w:w="1190" w:type="dxa"/>
          </w:tcPr>
          <w:p>
            <w:pPr>
              <w:pStyle w:val="TableParagraph"/>
              <w:ind w:right="333"/>
              <w:jc w:val="right"/>
              <w:rPr>
                <w:sz w:val="17"/>
              </w:rPr>
            </w:pPr>
            <w:r>
              <w:rPr>
                <w:color w:val="231F20"/>
                <w:w w:val="115"/>
                <w:sz w:val="17"/>
              </w:rPr>
              <w:t>500</w:t>
            </w:r>
          </w:p>
        </w:tc>
        <w:tc>
          <w:tcPr>
            <w:tcW w:w="1417" w:type="dxa"/>
            <w:tcBorders>
              <w:right w:val="nil"/>
            </w:tcBorders>
          </w:tcPr>
          <w:p>
            <w:pPr>
              <w:pStyle w:val="TableParagraph"/>
              <w:ind w:right="508"/>
              <w:jc w:val="right"/>
              <w:rPr>
                <w:sz w:val="17"/>
              </w:rPr>
            </w:pPr>
            <w:r>
              <w:rPr>
                <w:color w:val="231F20"/>
                <w:w w:val="110"/>
                <w:sz w:val="17"/>
              </w:rPr>
              <w:t>0,83</w:t>
            </w:r>
          </w:p>
        </w:tc>
      </w:tr>
      <w:tr>
        <w:trPr>
          <w:trHeight w:val="354" w:hRule="exact"/>
        </w:trPr>
        <w:tc>
          <w:tcPr>
            <w:tcW w:w="6175" w:type="dxa"/>
            <w:gridSpan w:val="4"/>
            <w:tcBorders>
              <w:left w:val="nil"/>
            </w:tcBorders>
          </w:tcPr>
          <w:p>
            <w:pPr>
              <w:pStyle w:val="TableParagraph"/>
              <w:ind w:left="113"/>
              <w:rPr>
                <w:sz w:val="17"/>
              </w:rPr>
            </w:pPr>
            <w:r>
              <w:rPr>
                <w:color w:val="231F20"/>
                <w:sz w:val="17"/>
              </w:rPr>
              <w:t>Costo total</w:t>
            </w:r>
          </w:p>
        </w:tc>
        <w:tc>
          <w:tcPr>
            <w:tcW w:w="1190" w:type="dxa"/>
          </w:tcPr>
          <w:p>
            <w:pPr>
              <w:pStyle w:val="TableParagraph"/>
              <w:ind w:right="340"/>
              <w:jc w:val="right"/>
              <w:rPr>
                <w:sz w:val="17"/>
              </w:rPr>
            </w:pPr>
            <w:r>
              <w:rPr>
                <w:color w:val="231F20"/>
                <w:w w:val="115"/>
                <w:sz w:val="17"/>
              </w:rPr>
              <w:t>59 610</w:t>
            </w:r>
          </w:p>
        </w:tc>
        <w:tc>
          <w:tcPr>
            <w:tcW w:w="1417" w:type="dxa"/>
            <w:tcBorders>
              <w:right w:val="nil"/>
            </w:tcBorders>
          </w:tcPr>
          <w:p>
            <w:pPr>
              <w:pStyle w:val="TableParagraph"/>
              <w:ind w:left="388"/>
              <w:rPr>
                <w:sz w:val="17"/>
              </w:rPr>
            </w:pPr>
            <w:r>
              <w:rPr>
                <w:color w:val="231F20"/>
                <w:w w:val="115"/>
                <w:sz w:val="17"/>
              </w:rPr>
              <w:t>100</w:t>
            </w:r>
          </w:p>
        </w:tc>
      </w:tr>
      <w:tr>
        <w:trPr>
          <w:trHeight w:val="409" w:hRule="exact"/>
        </w:trPr>
        <w:tc>
          <w:tcPr>
            <w:tcW w:w="1682" w:type="dxa"/>
            <w:tcBorders>
              <w:left w:val="nil"/>
            </w:tcBorders>
          </w:tcPr>
          <w:p>
            <w:pPr>
              <w:pStyle w:val="TableParagraph"/>
              <w:ind w:left="113"/>
              <w:rPr>
                <w:sz w:val="17"/>
              </w:rPr>
            </w:pPr>
            <w:r>
              <w:rPr>
                <w:color w:val="231F20"/>
                <w:sz w:val="17"/>
              </w:rPr>
              <w:t>Ingresos</w:t>
            </w:r>
          </w:p>
        </w:tc>
        <w:tc>
          <w:tcPr>
            <w:tcW w:w="2254" w:type="dxa"/>
          </w:tcPr>
          <w:p>
            <w:pPr>
              <w:pStyle w:val="TableParagraph"/>
              <w:ind w:left="108"/>
              <w:rPr>
                <w:sz w:val="17"/>
              </w:rPr>
            </w:pPr>
            <w:r>
              <w:rPr>
                <w:color w:val="231F20"/>
                <w:w w:val="105"/>
                <w:sz w:val="17"/>
              </w:rPr>
              <w:t>Crías 3-4 meses</w:t>
            </w:r>
          </w:p>
        </w:tc>
        <w:tc>
          <w:tcPr>
            <w:tcW w:w="1106" w:type="dxa"/>
          </w:tcPr>
          <w:p>
            <w:pPr>
              <w:pStyle w:val="TableParagraph"/>
              <w:ind w:left="423" w:right="428"/>
              <w:jc w:val="center"/>
              <w:rPr>
                <w:sz w:val="17"/>
              </w:rPr>
            </w:pPr>
            <w:r>
              <w:rPr>
                <w:color w:val="231F20"/>
                <w:w w:val="115"/>
                <w:sz w:val="17"/>
              </w:rPr>
              <w:t>12</w:t>
            </w:r>
          </w:p>
        </w:tc>
        <w:tc>
          <w:tcPr>
            <w:tcW w:w="1134" w:type="dxa"/>
          </w:tcPr>
          <w:p>
            <w:pPr>
              <w:pStyle w:val="TableParagraph"/>
              <w:ind w:left="457"/>
              <w:rPr>
                <w:sz w:val="17"/>
              </w:rPr>
            </w:pPr>
            <w:r>
              <w:rPr>
                <w:color w:val="231F20"/>
                <w:w w:val="115"/>
                <w:sz w:val="17"/>
              </w:rPr>
              <w:t>500</w:t>
            </w:r>
          </w:p>
        </w:tc>
        <w:tc>
          <w:tcPr>
            <w:tcW w:w="1190" w:type="dxa"/>
          </w:tcPr>
          <w:p>
            <w:pPr>
              <w:pStyle w:val="TableParagraph"/>
              <w:ind w:right="333"/>
              <w:jc w:val="right"/>
              <w:rPr>
                <w:sz w:val="17"/>
              </w:rPr>
            </w:pPr>
            <w:r>
              <w:rPr>
                <w:color w:val="231F20"/>
                <w:w w:val="115"/>
                <w:sz w:val="17"/>
              </w:rPr>
              <w:t>6000</w:t>
            </w:r>
          </w:p>
        </w:tc>
        <w:tc>
          <w:tcPr>
            <w:tcW w:w="1417" w:type="dxa"/>
            <w:tcBorders>
              <w:right w:val="nil"/>
            </w:tcBorders>
          </w:tcPr>
          <w:p>
            <w:pPr>
              <w:pStyle w:val="TableParagraph"/>
              <w:ind w:right="508"/>
              <w:jc w:val="right"/>
              <w:rPr>
                <w:sz w:val="17"/>
              </w:rPr>
            </w:pPr>
            <w:r>
              <w:rPr>
                <w:color w:val="231F20"/>
                <w:w w:val="110"/>
                <w:sz w:val="17"/>
              </w:rPr>
              <w:t>10,06</w:t>
            </w:r>
          </w:p>
        </w:tc>
      </w:tr>
    </w:tbl>
    <w:p>
      <w:pPr>
        <w:pStyle w:val="BodyText"/>
        <w:spacing w:before="7"/>
        <w:rPr>
          <w:sz w:val="10"/>
        </w:rPr>
      </w:pPr>
    </w:p>
    <w:p>
      <w:pPr>
        <w:spacing w:before="0"/>
        <w:ind w:left="1553" w:right="2503" w:firstLine="0"/>
        <w:jc w:val="left"/>
        <w:rPr>
          <w:sz w:val="15"/>
        </w:rPr>
      </w:pPr>
      <w:r>
        <w:rPr>
          <w:color w:val="231F20"/>
          <w:sz w:val="15"/>
        </w:rPr>
        <w:t>* Se asume un suministro de 2,5 pacas por día, a un costo promedio de $25.</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3"/>
          <w:sz w:val="18"/>
        </w:rPr>
        <w:t>10.     </w:t>
      </w:r>
      <w:r>
        <w:rPr>
          <w:color w:val="231F20"/>
          <w:spacing w:val="29"/>
          <w:sz w:val="18"/>
        </w:rPr>
        <w:t> </w:t>
      </w:r>
      <w:r>
        <w:rPr>
          <w:color w:val="231F20"/>
          <w:sz w:val="18"/>
        </w:rPr>
        <w:t>La ovinocultura del Nevado de </w:t>
      </w:r>
      <w:r>
        <w:rPr>
          <w:color w:val="231F20"/>
          <w:spacing w:val="-3"/>
          <w:sz w:val="18"/>
        </w:rPr>
        <w:t>Toluca: </w:t>
      </w:r>
      <w:r>
        <w:rPr>
          <w:color w:val="231F20"/>
          <w:sz w:val="18"/>
        </w:rPr>
        <w:t>factor de deterioro o elemento de</w:t>
      </w:r>
      <w:r>
        <w:rPr>
          <w:color w:val="231F20"/>
          <w:spacing w:val="12"/>
          <w:sz w:val="18"/>
        </w:rPr>
        <w:t> </w:t>
      </w:r>
      <w:r>
        <w:rPr>
          <w:color w:val="231F20"/>
          <w:sz w:val="18"/>
        </w:rPr>
        <w:t>desarrollo...</w:t>
      </w:r>
      <w:r>
        <w:rPr>
          <w:color w:val="231F20"/>
          <w:sz w:val="22"/>
        </w:rPr>
        <w:tab/>
      </w:r>
      <w:r>
        <w:rPr>
          <w:color w:val="231F20"/>
          <w:spacing w:val="-5"/>
          <w:sz w:val="22"/>
        </w:rPr>
        <w:t>159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Los elementos presentados, si bien no responden   a un análisis económico estricto, permiten inferir la existencia de funciones y valoraciones diferentes por parte de los productores que explicarían la</w:t>
      </w:r>
      <w:r>
        <w:rPr>
          <w:color w:val="231F20"/>
          <w:spacing w:val="-11"/>
        </w:rPr>
        <w:t> </w:t>
      </w:r>
      <w:r>
        <w:rPr>
          <w:color w:val="231F20"/>
        </w:rPr>
        <w:t>per- sistencia de esta manera de </w:t>
      </w:r>
      <w:r>
        <w:rPr>
          <w:color w:val="231F20"/>
          <w:spacing w:val="-3"/>
        </w:rPr>
        <w:t>producir, </w:t>
      </w:r>
      <w:r>
        <w:rPr>
          <w:color w:val="231F20"/>
        </w:rPr>
        <w:t>y que </w:t>
      </w:r>
      <w:r>
        <w:rPr>
          <w:color w:val="231F20"/>
          <w:spacing w:val="-2"/>
        </w:rPr>
        <w:t>pueden </w:t>
      </w:r>
      <w:r>
        <w:rPr>
          <w:color w:val="231F20"/>
        </w:rPr>
        <w:t>ser más relevantes que la generación de ingresos y estar</w:t>
      </w:r>
      <w:r>
        <w:rPr>
          <w:color w:val="231F20"/>
          <w:spacing w:val="-7"/>
        </w:rPr>
        <w:t> </w:t>
      </w:r>
      <w:r>
        <w:rPr>
          <w:color w:val="231F20"/>
        </w:rPr>
        <w:t>más</w:t>
      </w:r>
      <w:r>
        <w:rPr>
          <w:color w:val="231F20"/>
          <w:spacing w:val="-7"/>
        </w:rPr>
        <w:t> </w:t>
      </w:r>
      <w:r>
        <w:rPr>
          <w:color w:val="231F20"/>
        </w:rPr>
        <w:t>en</w:t>
      </w:r>
      <w:r>
        <w:rPr>
          <w:color w:val="231F20"/>
          <w:spacing w:val="-7"/>
        </w:rPr>
        <w:t> </w:t>
      </w:r>
      <w:r>
        <w:rPr>
          <w:color w:val="231F20"/>
        </w:rPr>
        <w:t>relación</w:t>
      </w:r>
      <w:r>
        <w:rPr>
          <w:color w:val="231F20"/>
          <w:spacing w:val="-7"/>
        </w:rPr>
        <w:t> </w:t>
      </w:r>
      <w:r>
        <w:rPr>
          <w:color w:val="231F20"/>
        </w:rPr>
        <w:t>con</w:t>
      </w:r>
      <w:r>
        <w:rPr>
          <w:color w:val="231F20"/>
          <w:spacing w:val="-7"/>
        </w:rPr>
        <w:t> </w:t>
      </w:r>
      <w:r>
        <w:rPr>
          <w:color w:val="231F20"/>
        </w:rPr>
        <w:t>valores</w:t>
      </w:r>
      <w:r>
        <w:rPr>
          <w:color w:val="231F20"/>
          <w:spacing w:val="-7"/>
        </w:rPr>
        <w:t> </w:t>
      </w:r>
      <w:r>
        <w:rPr>
          <w:color w:val="231F20"/>
        </w:rPr>
        <w:t>sociales</w:t>
      </w:r>
      <w:r>
        <w:rPr>
          <w:color w:val="231F20"/>
          <w:spacing w:val="-7"/>
        </w:rPr>
        <w:t> </w:t>
      </w:r>
      <w:r>
        <w:rPr>
          <w:color w:val="231F20"/>
        </w:rPr>
        <w:t>o</w:t>
      </w:r>
      <w:r>
        <w:rPr>
          <w:color w:val="231F20"/>
          <w:spacing w:val="-7"/>
        </w:rPr>
        <w:t> </w:t>
      </w:r>
      <w:r>
        <w:rPr>
          <w:color w:val="231F20"/>
        </w:rPr>
        <w:t>cultura- les y con otras funciones del sistema, como la pro- visión de medios de consumo, ocupación, ahorro o manejo del riesgo </w:t>
      </w:r>
      <w:r>
        <w:rPr>
          <w:color w:val="231F20"/>
          <w:spacing w:val="-3"/>
        </w:rPr>
        <w:t>(Sánchez  </w:t>
      </w:r>
      <w:r>
        <w:rPr>
          <w:color w:val="231F20"/>
        </w:rPr>
        <w:t>y Nava,  </w:t>
      </w:r>
      <w:r>
        <w:rPr>
          <w:color w:val="231F20"/>
          <w:spacing w:val="33"/>
        </w:rPr>
        <w:t> </w:t>
      </w:r>
      <w:r>
        <w:rPr>
          <w:color w:val="231F20"/>
          <w:spacing w:val="-3"/>
        </w:rPr>
        <w:t>2009).</w:t>
      </w:r>
    </w:p>
    <w:p>
      <w:pPr>
        <w:pStyle w:val="BodyText"/>
        <w:spacing w:line="256" w:lineRule="auto" w:before="114"/>
        <w:ind w:left="1553"/>
        <w:jc w:val="both"/>
      </w:pPr>
      <w:r>
        <w:rPr>
          <w:color w:val="231F20"/>
        </w:rPr>
        <w:t>Esta circunstancia impone el reto de proponer y desarrollar espacios de análisis diferentes, inclu- yentes e integradores, acordes con la complejidad de las relaciones que involucran al entorno natural, sin</w:t>
      </w:r>
      <w:r>
        <w:rPr>
          <w:color w:val="231F20"/>
          <w:spacing w:val="-7"/>
        </w:rPr>
        <w:t> </w:t>
      </w:r>
      <w:r>
        <w:rPr>
          <w:color w:val="231F20"/>
        </w:rPr>
        <w:t>dejar</w:t>
      </w:r>
      <w:r>
        <w:rPr>
          <w:color w:val="231F20"/>
          <w:spacing w:val="-7"/>
        </w:rPr>
        <w:t> </w:t>
      </w:r>
      <w:r>
        <w:rPr>
          <w:color w:val="231F20"/>
        </w:rPr>
        <w:t>de</w:t>
      </w:r>
      <w:r>
        <w:rPr>
          <w:color w:val="231F20"/>
          <w:spacing w:val="-7"/>
        </w:rPr>
        <w:t> </w:t>
      </w:r>
      <w:r>
        <w:rPr>
          <w:color w:val="231F20"/>
        </w:rPr>
        <w:t>lado</w:t>
      </w:r>
      <w:r>
        <w:rPr>
          <w:color w:val="231F20"/>
          <w:spacing w:val="-7"/>
        </w:rPr>
        <w:t> </w:t>
      </w:r>
      <w:r>
        <w:rPr>
          <w:color w:val="231F20"/>
        </w:rPr>
        <w:t>el</w:t>
      </w:r>
      <w:r>
        <w:rPr>
          <w:color w:val="231F20"/>
          <w:spacing w:val="-7"/>
        </w:rPr>
        <w:t> </w:t>
      </w:r>
      <w:r>
        <w:rPr>
          <w:color w:val="231F20"/>
        </w:rPr>
        <w:t>mercado</w:t>
      </w:r>
      <w:r>
        <w:rPr>
          <w:color w:val="231F20"/>
          <w:spacing w:val="-7"/>
        </w:rPr>
        <w:t> </w:t>
      </w:r>
      <w:r>
        <w:rPr>
          <w:color w:val="231F20"/>
        </w:rPr>
        <w:t>ni</w:t>
      </w:r>
      <w:r>
        <w:rPr>
          <w:color w:val="231F20"/>
          <w:spacing w:val="-7"/>
        </w:rPr>
        <w:t> </w:t>
      </w:r>
      <w:r>
        <w:rPr>
          <w:color w:val="231F20"/>
        </w:rPr>
        <w:t>restar</w:t>
      </w:r>
      <w:r>
        <w:rPr>
          <w:color w:val="231F20"/>
          <w:spacing w:val="-7"/>
        </w:rPr>
        <w:t> </w:t>
      </w:r>
      <w:r>
        <w:rPr>
          <w:color w:val="231F20"/>
        </w:rPr>
        <w:t>importancia</w:t>
      </w:r>
      <w:r>
        <w:rPr>
          <w:color w:val="231F20"/>
          <w:spacing w:val="-7"/>
        </w:rPr>
        <w:t> </w:t>
      </w:r>
      <w:r>
        <w:rPr>
          <w:color w:val="231F20"/>
        </w:rPr>
        <w:t>al análisis económico (Midmore y Whittaker, 2000). Al respecto, aunque el pastoreo podría contribuir  al manejo de la vegetación y posiblemente a re- ducir riesgos como los incendios forestales, no se considera como un servicio  ambiental  (Bernués, </w:t>
      </w:r>
      <w:r>
        <w:rPr>
          <w:i/>
          <w:color w:val="231F20"/>
        </w:rPr>
        <w:t>et al</w:t>
      </w:r>
      <w:r>
        <w:rPr>
          <w:color w:val="231F20"/>
        </w:rPr>
        <w:t>., 2005), de manera que el conocimiento del medio y el manejo itinerante de los rebaños po- dría constituir una opción de ingreso y un medio para mejorar tanto la actividad misma como para contribuir al desarrollo de las </w:t>
      </w:r>
      <w:r>
        <w:rPr>
          <w:color w:val="231F20"/>
          <w:spacing w:val="10"/>
        </w:rPr>
        <w:t> </w:t>
      </w:r>
      <w:r>
        <w:rPr>
          <w:color w:val="231F20"/>
        </w:rPr>
        <w:t>comunidades.</w:t>
      </w:r>
    </w:p>
    <w:p>
      <w:pPr>
        <w:pStyle w:val="BodyText"/>
        <w:spacing w:before="8"/>
        <w:rPr>
          <w:sz w:val="18"/>
        </w:rPr>
      </w:pPr>
    </w:p>
    <w:p>
      <w:pPr>
        <w:spacing w:before="0"/>
        <w:ind w:left="1553" w:right="0" w:firstLine="0"/>
        <w:jc w:val="both"/>
        <w:rPr>
          <w:rFonts w:ascii="Cambria" w:hAnsi="Cambria"/>
          <w:i/>
          <w:sz w:val="20"/>
        </w:rPr>
      </w:pPr>
      <w:r>
        <w:rPr>
          <w:rFonts w:ascii="Cambria" w:hAnsi="Cambria"/>
          <w:i/>
          <w:color w:val="231F20"/>
          <w:w w:val="105"/>
          <w:sz w:val="20"/>
        </w:rPr>
        <w:t>Percepción del medio natural por los   pastores</w:t>
      </w:r>
    </w:p>
    <w:p>
      <w:pPr>
        <w:pStyle w:val="BodyText"/>
        <w:spacing w:line="256" w:lineRule="auto" w:before="140"/>
        <w:ind w:left="1553"/>
        <w:jc w:val="both"/>
      </w:pPr>
      <w:r>
        <w:rPr>
          <w:color w:val="231F20"/>
        </w:rPr>
        <w:t>La exploración acerca de la percepción de la rela- ción</w:t>
      </w:r>
      <w:r>
        <w:rPr>
          <w:color w:val="231F20"/>
          <w:spacing w:val="-4"/>
        </w:rPr>
        <w:t> </w:t>
      </w:r>
      <w:r>
        <w:rPr>
          <w:color w:val="231F20"/>
        </w:rPr>
        <w:t>entre</w:t>
      </w:r>
      <w:r>
        <w:rPr>
          <w:color w:val="231F20"/>
          <w:spacing w:val="-4"/>
        </w:rPr>
        <w:t> </w:t>
      </w:r>
      <w:r>
        <w:rPr>
          <w:color w:val="231F20"/>
        </w:rPr>
        <w:t>la</w:t>
      </w:r>
      <w:r>
        <w:rPr>
          <w:color w:val="231F20"/>
          <w:spacing w:val="-4"/>
        </w:rPr>
        <w:t> </w:t>
      </w:r>
      <w:r>
        <w:rPr>
          <w:color w:val="231F20"/>
        </w:rPr>
        <w:t>actividad</w:t>
      </w:r>
      <w:r>
        <w:rPr>
          <w:color w:val="231F20"/>
          <w:spacing w:val="-4"/>
        </w:rPr>
        <w:t> </w:t>
      </w:r>
      <w:r>
        <w:rPr>
          <w:color w:val="231F20"/>
        </w:rPr>
        <w:t>pastoril</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medio</w:t>
      </w:r>
      <w:r>
        <w:rPr>
          <w:color w:val="231F20"/>
          <w:spacing w:val="-4"/>
        </w:rPr>
        <w:t> </w:t>
      </w:r>
      <w:r>
        <w:rPr>
          <w:color w:val="231F20"/>
        </w:rPr>
        <w:t>natural</w:t>
      </w:r>
      <w:r>
        <w:rPr>
          <w:color w:val="231F20"/>
          <w:spacing w:val="-4"/>
        </w:rPr>
        <w:t> </w:t>
      </w:r>
      <w:r>
        <w:rPr>
          <w:color w:val="231F20"/>
        </w:rPr>
        <w:t>se realizó</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del</w:t>
      </w:r>
      <w:r>
        <w:rPr>
          <w:color w:val="231F20"/>
          <w:spacing w:val="-11"/>
        </w:rPr>
        <w:t> </w:t>
      </w:r>
      <w:r>
        <w:rPr>
          <w:color w:val="231F20"/>
        </w:rPr>
        <w:t>análisis</w:t>
      </w:r>
      <w:r>
        <w:rPr>
          <w:color w:val="231F20"/>
          <w:spacing w:val="-11"/>
        </w:rPr>
        <w:t> </w:t>
      </w:r>
      <w:r>
        <w:rPr>
          <w:color w:val="231F20"/>
        </w:rPr>
        <w:t>del</w:t>
      </w:r>
      <w:r>
        <w:rPr>
          <w:color w:val="231F20"/>
          <w:spacing w:val="-11"/>
        </w:rPr>
        <w:t> </w:t>
      </w:r>
      <w:r>
        <w:rPr>
          <w:color w:val="231F20"/>
        </w:rPr>
        <w:t>porcentaje</w:t>
      </w:r>
      <w:r>
        <w:rPr>
          <w:color w:val="231F20"/>
          <w:spacing w:val="-11"/>
        </w:rPr>
        <w:t> </w:t>
      </w:r>
      <w:r>
        <w:rPr>
          <w:color w:val="231F20"/>
        </w:rPr>
        <w:t>relativo</w:t>
      </w:r>
      <w:r>
        <w:rPr>
          <w:color w:val="231F20"/>
          <w:spacing w:val="-11"/>
        </w:rPr>
        <w:t> </w:t>
      </w:r>
      <w:r>
        <w:rPr>
          <w:color w:val="231F20"/>
        </w:rPr>
        <w:t>de mención de los recursos  asociados  al  pastoreo  de los ovinos (PIAR). La mayoría de los productores (90%) mencionaron algún recurso, aunque sólo el </w:t>
      </w:r>
      <w:r>
        <w:rPr>
          <w:color w:val="231F20"/>
          <w:spacing w:val="-3"/>
        </w:rPr>
        <w:t>29%, </w:t>
      </w:r>
      <w:r>
        <w:rPr>
          <w:color w:val="231F20"/>
        </w:rPr>
        <w:t>el </w:t>
      </w:r>
      <w:r>
        <w:rPr>
          <w:color w:val="231F20"/>
          <w:spacing w:val="-3"/>
        </w:rPr>
        <w:t>25% </w:t>
      </w:r>
      <w:r>
        <w:rPr>
          <w:color w:val="231F20"/>
        </w:rPr>
        <w:t>y el 8% efectuaron de dos a </w:t>
      </w:r>
      <w:r>
        <w:rPr>
          <w:color w:val="231F20"/>
          <w:spacing w:val="-2"/>
        </w:rPr>
        <w:t>cuatro </w:t>
      </w:r>
      <w:r>
        <w:rPr>
          <w:color w:val="231F20"/>
        </w:rPr>
        <w:t>menciones. Sin embargo, fue en estas menciones donde los productores nombraron más</w:t>
      </w:r>
      <w:r>
        <w:rPr>
          <w:color w:val="231F20"/>
          <w:spacing w:val="3"/>
        </w:rPr>
        <w:t> </w:t>
      </w:r>
      <w:r>
        <w:rPr>
          <w:color w:val="231F20"/>
        </w:rPr>
        <w:t>recursos.</w:t>
      </w:r>
    </w:p>
    <w:p>
      <w:pPr>
        <w:pStyle w:val="BodyText"/>
        <w:spacing w:line="256" w:lineRule="auto" w:before="114"/>
        <w:ind w:left="1553"/>
        <w:jc w:val="both"/>
      </w:pPr>
      <w:r>
        <w:rPr>
          <w:color w:val="231F20"/>
        </w:rPr>
        <w:t>De manera general, se encontró una disgregación del PIAR, con los valores más altos para el sue-     lo, la leña, el bosque y el agua, que en conjunto sumaron el </w:t>
      </w:r>
      <w:r>
        <w:rPr>
          <w:color w:val="231F20"/>
          <w:spacing w:val="-5"/>
        </w:rPr>
        <w:t>61%, </w:t>
      </w:r>
      <w:r>
        <w:rPr>
          <w:color w:val="231F20"/>
        </w:rPr>
        <w:t>mientras que al considerar en conjunto la leña, la madera, la colecta de hongos, las  plantas  comestibles  y  las  plantas</w:t>
      </w:r>
      <w:r>
        <w:rPr>
          <w:color w:val="231F20"/>
          <w:spacing w:val="14"/>
        </w:rPr>
        <w:t> </w:t>
      </w:r>
      <w:r>
        <w:rPr>
          <w:color w:val="231F20"/>
        </w:rPr>
        <w:t>medicinales</w:t>
      </w:r>
    </w:p>
    <w:p>
      <w:pPr>
        <w:pStyle w:val="BodyText"/>
        <w:spacing w:before="3"/>
        <w:rPr>
          <w:sz w:val="28"/>
        </w:rPr>
      </w:pPr>
      <w:r>
        <w:rPr/>
        <w:br w:type="column"/>
      </w:r>
      <w:r>
        <w:rPr>
          <w:sz w:val="28"/>
        </w:rPr>
      </w:r>
    </w:p>
    <w:p>
      <w:pPr>
        <w:pStyle w:val="BodyText"/>
        <w:spacing w:line="261" w:lineRule="auto"/>
        <w:ind w:left="413" w:right="1551"/>
        <w:jc w:val="both"/>
      </w:pPr>
      <w:r>
        <w:rPr>
          <w:color w:val="231F20"/>
        </w:rPr>
        <w:t>silvestres, éstas representaron el 25,5%, lo que estaría mostrando, por  una  parte,  la  variedad  y la diferenciación de recursos, pero también una asociación de las actividades de colecta o apro- vechamiento de recursos del medio natural a la actividad pastoril (Cuadro 4). Es de señalar que aunque el suelo alcanzó el PIAR más alto, su men- ción tuvo una connotación más como área de te- rreno que como recurso natural, lo que estaría en relación directa con la accesibilidad o la condición de tenencia de áreas para el  pastoreo.</w:t>
      </w:r>
    </w:p>
    <w:p>
      <w:pPr>
        <w:pStyle w:val="BodyText"/>
        <w:spacing w:line="261" w:lineRule="auto" w:before="113"/>
        <w:ind w:left="413" w:right="1551"/>
        <w:jc w:val="both"/>
      </w:pPr>
      <w:r>
        <w:rPr>
          <w:color w:val="231F20"/>
          <w:spacing w:val="-3"/>
        </w:rPr>
        <w:t>Estos resultados muestran </w:t>
      </w:r>
      <w:r>
        <w:rPr>
          <w:color w:val="231F20"/>
        </w:rPr>
        <w:t>que </w:t>
      </w:r>
      <w:r>
        <w:rPr>
          <w:color w:val="231F20"/>
          <w:spacing w:val="-3"/>
        </w:rPr>
        <w:t>existe </w:t>
      </w:r>
      <w:r>
        <w:rPr>
          <w:color w:val="231F20"/>
        </w:rPr>
        <w:t>un grado </w:t>
      </w:r>
      <w:r>
        <w:rPr>
          <w:color w:val="231F20"/>
          <w:spacing w:val="-3"/>
        </w:rPr>
        <w:t>de asociación </w:t>
      </w:r>
      <w:r>
        <w:rPr>
          <w:color w:val="231F20"/>
        </w:rPr>
        <w:t>o </w:t>
      </w:r>
      <w:r>
        <w:rPr>
          <w:color w:val="231F20"/>
          <w:spacing w:val="-3"/>
        </w:rPr>
        <w:t>integración implícita  </w:t>
      </w:r>
      <w:r>
        <w:rPr>
          <w:color w:val="231F20"/>
        </w:rPr>
        <w:t>de  la  </w:t>
      </w:r>
      <w:r>
        <w:rPr>
          <w:color w:val="231F20"/>
          <w:spacing w:val="-3"/>
        </w:rPr>
        <w:t>actividad  </w:t>
      </w:r>
      <w:r>
        <w:rPr>
          <w:color w:val="231F20"/>
        </w:rPr>
        <w:t>de </w:t>
      </w:r>
      <w:r>
        <w:rPr>
          <w:color w:val="231F20"/>
          <w:spacing w:val="-3"/>
        </w:rPr>
        <w:t>pastoreo </w:t>
      </w:r>
      <w:r>
        <w:rPr>
          <w:color w:val="231F20"/>
        </w:rPr>
        <w:t>con </w:t>
      </w:r>
      <w:r>
        <w:rPr>
          <w:color w:val="231F20"/>
          <w:spacing w:val="-3"/>
        </w:rPr>
        <w:t>otras actividades </w:t>
      </w:r>
      <w:r>
        <w:rPr>
          <w:color w:val="231F20"/>
        </w:rPr>
        <w:t>que </w:t>
      </w:r>
      <w:r>
        <w:rPr>
          <w:color w:val="231F20"/>
          <w:spacing w:val="-3"/>
        </w:rPr>
        <w:t>atañen </w:t>
      </w:r>
      <w:r>
        <w:rPr>
          <w:color w:val="231F20"/>
        </w:rPr>
        <w:t>al </w:t>
      </w:r>
      <w:r>
        <w:rPr>
          <w:color w:val="231F20"/>
          <w:spacing w:val="-3"/>
        </w:rPr>
        <w:t>uso </w:t>
      </w:r>
      <w:r>
        <w:rPr>
          <w:color w:val="231F20"/>
        </w:rPr>
        <w:t>o </w:t>
      </w:r>
      <w:r>
        <w:rPr>
          <w:color w:val="231F20"/>
          <w:spacing w:val="-3"/>
        </w:rPr>
        <w:t>aprovechamiento </w:t>
      </w:r>
      <w:r>
        <w:rPr>
          <w:color w:val="231F20"/>
        </w:rPr>
        <w:t>de </w:t>
      </w:r>
      <w:r>
        <w:rPr>
          <w:color w:val="231F20"/>
          <w:spacing w:val="-3"/>
        </w:rPr>
        <w:t>recursos </w:t>
      </w:r>
      <w:r>
        <w:rPr>
          <w:color w:val="231F20"/>
        </w:rPr>
        <w:t>del </w:t>
      </w:r>
      <w:r>
        <w:rPr>
          <w:color w:val="231F20"/>
          <w:spacing w:val="-3"/>
        </w:rPr>
        <w:t>medio, hacien- </w:t>
      </w:r>
      <w:r>
        <w:rPr>
          <w:color w:val="231F20"/>
        </w:rPr>
        <w:t>do </w:t>
      </w:r>
      <w:r>
        <w:rPr>
          <w:color w:val="231F20"/>
          <w:spacing w:val="-3"/>
        </w:rPr>
        <w:t>evidente, aunque </w:t>
      </w:r>
      <w:r>
        <w:rPr>
          <w:color w:val="231F20"/>
        </w:rPr>
        <w:t>de </w:t>
      </w:r>
      <w:r>
        <w:rPr>
          <w:color w:val="231F20"/>
          <w:spacing w:val="-3"/>
        </w:rPr>
        <w:t>manera tácita, </w:t>
      </w:r>
      <w:r>
        <w:rPr>
          <w:color w:val="231F20"/>
        </w:rPr>
        <w:t>la </w:t>
      </w:r>
      <w:r>
        <w:rPr>
          <w:color w:val="231F20"/>
          <w:spacing w:val="-3"/>
        </w:rPr>
        <w:t>percepción sobre </w:t>
      </w:r>
      <w:r>
        <w:rPr>
          <w:color w:val="231F20"/>
        </w:rPr>
        <w:t>los </w:t>
      </w:r>
      <w:r>
        <w:rPr>
          <w:color w:val="231F20"/>
          <w:spacing w:val="-3"/>
        </w:rPr>
        <w:t>componentes </w:t>
      </w:r>
      <w:r>
        <w:rPr>
          <w:color w:val="231F20"/>
        </w:rPr>
        <w:t>del </w:t>
      </w:r>
      <w:r>
        <w:rPr>
          <w:color w:val="231F20"/>
          <w:spacing w:val="-3"/>
        </w:rPr>
        <w:t>entorno. </w:t>
      </w:r>
      <w:r>
        <w:rPr>
          <w:color w:val="231F20"/>
        </w:rPr>
        <w:t>Un </w:t>
      </w:r>
      <w:r>
        <w:rPr>
          <w:color w:val="231F20"/>
          <w:spacing w:val="-3"/>
        </w:rPr>
        <w:t>aspecto sig- nificativo </w:t>
      </w:r>
      <w:r>
        <w:rPr>
          <w:color w:val="231F20"/>
        </w:rPr>
        <w:t>de las </w:t>
      </w:r>
      <w:r>
        <w:rPr>
          <w:color w:val="231F20"/>
          <w:spacing w:val="-3"/>
        </w:rPr>
        <w:t>sociedades campesinas </w:t>
      </w:r>
      <w:r>
        <w:rPr>
          <w:color w:val="231F20"/>
        </w:rPr>
        <w:t>es la </w:t>
      </w:r>
      <w:r>
        <w:rPr>
          <w:color w:val="231F20"/>
          <w:spacing w:val="-3"/>
        </w:rPr>
        <w:t>mayor facilidad para relacionar </w:t>
      </w:r>
      <w:r>
        <w:rPr>
          <w:color w:val="231F20"/>
        </w:rPr>
        <w:t>de </w:t>
      </w:r>
      <w:r>
        <w:rPr>
          <w:color w:val="231F20"/>
          <w:spacing w:val="-3"/>
        </w:rPr>
        <w:t>manera práctica </w:t>
      </w:r>
      <w:r>
        <w:rPr>
          <w:color w:val="231F20"/>
        </w:rPr>
        <w:t>los </w:t>
      </w:r>
      <w:r>
        <w:rPr>
          <w:color w:val="231F20"/>
          <w:spacing w:val="-3"/>
        </w:rPr>
        <w:t>ele- mentos </w:t>
      </w:r>
      <w:r>
        <w:rPr>
          <w:color w:val="231F20"/>
        </w:rPr>
        <w:t>del </w:t>
      </w:r>
      <w:r>
        <w:rPr>
          <w:color w:val="231F20"/>
          <w:spacing w:val="-3"/>
        </w:rPr>
        <w:t>medio </w:t>
      </w:r>
      <w:r>
        <w:rPr>
          <w:color w:val="231F20"/>
        </w:rPr>
        <w:t>con las </w:t>
      </w:r>
      <w:r>
        <w:rPr>
          <w:color w:val="231F20"/>
          <w:spacing w:val="-3"/>
        </w:rPr>
        <w:t>actividades productivas (Calvo </w:t>
      </w:r>
      <w:r>
        <w:rPr>
          <w:i/>
          <w:color w:val="231F20"/>
        </w:rPr>
        <w:t>et </w:t>
      </w:r>
      <w:r>
        <w:rPr>
          <w:i/>
          <w:color w:val="231F20"/>
          <w:spacing w:val="-3"/>
        </w:rPr>
        <w:t>al</w:t>
      </w:r>
      <w:r>
        <w:rPr>
          <w:color w:val="231F20"/>
          <w:spacing w:val="-3"/>
        </w:rPr>
        <w:t>., </w:t>
      </w:r>
      <w:r>
        <w:rPr>
          <w:color w:val="231F20"/>
          <w:spacing w:val="-4"/>
        </w:rPr>
        <w:t>2006), </w:t>
      </w:r>
      <w:r>
        <w:rPr>
          <w:color w:val="231F20"/>
        </w:rPr>
        <w:t>con un </w:t>
      </w:r>
      <w:r>
        <w:rPr>
          <w:color w:val="231F20"/>
          <w:spacing w:val="-3"/>
        </w:rPr>
        <w:t>predominio </w:t>
      </w:r>
      <w:r>
        <w:rPr>
          <w:color w:val="231F20"/>
        </w:rPr>
        <w:t>del  </w:t>
      </w:r>
      <w:r>
        <w:rPr>
          <w:color w:val="231F20"/>
          <w:spacing w:val="-3"/>
        </w:rPr>
        <w:t>uso  como condición práctica sobre </w:t>
      </w:r>
      <w:r>
        <w:rPr>
          <w:color w:val="231F20"/>
        </w:rPr>
        <w:t>la </w:t>
      </w:r>
      <w:r>
        <w:rPr>
          <w:color w:val="231F20"/>
          <w:spacing w:val="-3"/>
        </w:rPr>
        <w:t>abstracción </w:t>
      </w:r>
      <w:r>
        <w:rPr>
          <w:color w:val="231F20"/>
        </w:rPr>
        <w:t>o </w:t>
      </w:r>
      <w:r>
        <w:rPr>
          <w:color w:val="231F20"/>
          <w:spacing w:val="-3"/>
        </w:rPr>
        <w:t>la percepción subjetiva </w:t>
      </w:r>
      <w:r>
        <w:rPr>
          <w:color w:val="231F20"/>
        </w:rPr>
        <w:t>del </w:t>
      </w:r>
      <w:r>
        <w:rPr>
          <w:color w:val="231F20"/>
          <w:spacing w:val="-3"/>
        </w:rPr>
        <w:t>entorno (Gerritzen </w:t>
      </w:r>
      <w:r>
        <w:rPr>
          <w:i/>
          <w:color w:val="231F20"/>
        </w:rPr>
        <w:t>et </w:t>
      </w:r>
      <w:r>
        <w:rPr>
          <w:i/>
          <w:color w:val="231F20"/>
          <w:spacing w:val="-3"/>
        </w:rPr>
        <w:t>al</w:t>
      </w:r>
      <w:r>
        <w:rPr>
          <w:color w:val="231F20"/>
          <w:spacing w:val="-3"/>
        </w:rPr>
        <w:t>., </w:t>
      </w:r>
      <w:r>
        <w:rPr>
          <w:color w:val="231F20"/>
          <w:spacing w:val="-4"/>
        </w:rPr>
        <w:t>2003), </w:t>
      </w:r>
      <w:r>
        <w:rPr>
          <w:color w:val="231F20"/>
        </w:rPr>
        <w:t>lo </w:t>
      </w:r>
      <w:r>
        <w:rPr>
          <w:color w:val="231F20"/>
          <w:spacing w:val="-3"/>
        </w:rPr>
        <w:t>cual quizás indica </w:t>
      </w:r>
      <w:r>
        <w:rPr>
          <w:color w:val="231F20"/>
        </w:rPr>
        <w:t>el </w:t>
      </w:r>
      <w:r>
        <w:rPr>
          <w:color w:val="231F20"/>
          <w:spacing w:val="-3"/>
        </w:rPr>
        <w:t>valor </w:t>
      </w:r>
      <w:r>
        <w:rPr>
          <w:color w:val="231F20"/>
        </w:rPr>
        <w:t>de los </w:t>
      </w:r>
      <w:r>
        <w:rPr>
          <w:color w:val="231F20"/>
          <w:spacing w:val="-3"/>
        </w:rPr>
        <w:t>elemen- </w:t>
      </w:r>
      <w:r>
        <w:rPr>
          <w:color w:val="231F20"/>
        </w:rPr>
        <w:t>tos o </w:t>
      </w:r>
      <w:r>
        <w:rPr>
          <w:color w:val="231F20"/>
          <w:spacing w:val="-3"/>
        </w:rPr>
        <w:t>componentes mencionados para </w:t>
      </w:r>
      <w:r>
        <w:rPr>
          <w:color w:val="231F20"/>
        </w:rPr>
        <w:t>la </w:t>
      </w:r>
      <w:r>
        <w:rPr>
          <w:color w:val="231F20"/>
          <w:spacing w:val="-3"/>
        </w:rPr>
        <w:t>satisfac- ción </w:t>
      </w:r>
      <w:r>
        <w:rPr>
          <w:color w:val="231F20"/>
        </w:rPr>
        <w:t>de </w:t>
      </w:r>
      <w:r>
        <w:rPr>
          <w:color w:val="231F20"/>
          <w:spacing w:val="-3"/>
        </w:rPr>
        <w:t>necesidades, </w:t>
      </w:r>
      <w:r>
        <w:rPr>
          <w:color w:val="231F20"/>
        </w:rPr>
        <w:t>o su </w:t>
      </w:r>
      <w:r>
        <w:rPr>
          <w:color w:val="231F20"/>
          <w:spacing w:val="-3"/>
        </w:rPr>
        <w:t>función como medio para obtener  ingresos  (Greiner  </w:t>
      </w:r>
      <w:r>
        <w:rPr>
          <w:i/>
          <w:color w:val="231F20"/>
        </w:rPr>
        <w:t>et </w:t>
      </w:r>
      <w:r>
        <w:rPr>
          <w:i/>
          <w:color w:val="231F20"/>
          <w:spacing w:val="-3"/>
        </w:rPr>
        <w:t>al</w:t>
      </w:r>
      <w:r>
        <w:rPr>
          <w:color w:val="231F20"/>
          <w:spacing w:val="-3"/>
        </w:rPr>
        <w:t>.,</w:t>
      </w:r>
      <w:r>
        <w:rPr>
          <w:color w:val="231F20"/>
          <w:spacing w:val="1"/>
        </w:rPr>
        <w:t> </w:t>
      </w:r>
      <w:r>
        <w:rPr>
          <w:color w:val="231F20"/>
          <w:spacing w:val="-4"/>
        </w:rPr>
        <w:t>2009).</w:t>
      </w:r>
    </w:p>
    <w:p>
      <w:pPr>
        <w:spacing w:before="170"/>
        <w:ind w:left="413" w:right="0" w:firstLine="0"/>
        <w:jc w:val="both"/>
        <w:rPr>
          <w:rFonts w:ascii="Cambria" w:hAnsi="Cambria"/>
          <w:i/>
          <w:sz w:val="20"/>
        </w:rPr>
      </w:pPr>
      <w:r>
        <w:rPr>
          <w:rFonts w:ascii="Cambria" w:hAnsi="Cambria"/>
          <w:i/>
          <w:color w:val="231F20"/>
          <w:w w:val="110"/>
          <w:sz w:val="20"/>
        </w:rPr>
        <w:t>Percepción de problemas y efectos</w:t>
      </w:r>
    </w:p>
    <w:p>
      <w:pPr>
        <w:spacing w:before="31"/>
        <w:ind w:left="413" w:right="0" w:firstLine="0"/>
        <w:jc w:val="both"/>
        <w:rPr>
          <w:rFonts w:ascii="Cambria"/>
          <w:i/>
          <w:sz w:val="20"/>
        </w:rPr>
      </w:pPr>
      <w:r>
        <w:rPr>
          <w:rFonts w:ascii="Cambria"/>
          <w:i/>
          <w:color w:val="231F20"/>
          <w:w w:val="105"/>
          <w:sz w:val="20"/>
        </w:rPr>
        <w:t>del pastoreo ovino sobre el medio    natural</w:t>
      </w:r>
    </w:p>
    <w:p>
      <w:pPr>
        <w:pStyle w:val="BodyText"/>
        <w:spacing w:line="261" w:lineRule="auto" w:before="144"/>
        <w:ind w:left="413" w:right="1551"/>
        <w:jc w:val="both"/>
      </w:pPr>
      <w:r>
        <w:rPr>
          <w:color w:val="231F20"/>
        </w:rPr>
        <w:t>La percepción de problemas relacionados con </w:t>
      </w:r>
      <w:r>
        <w:rPr>
          <w:color w:val="231F20"/>
          <w:spacing w:val="-2"/>
        </w:rPr>
        <w:t>los </w:t>
      </w:r>
      <w:r>
        <w:rPr>
          <w:color w:val="231F20"/>
        </w:rPr>
        <w:t>recursos del entorno fue expresada por el </w:t>
      </w:r>
      <w:r>
        <w:rPr>
          <w:color w:val="231F20"/>
          <w:spacing w:val="-4"/>
        </w:rPr>
        <w:t>72,5%  </w:t>
      </w:r>
      <w:r>
        <w:rPr>
          <w:color w:val="231F20"/>
        </w:rPr>
        <w:t>de los entrevistados. De ellos, un 40% menciona    la reducción del bosque, un </w:t>
      </w:r>
      <w:r>
        <w:rPr>
          <w:color w:val="231F20"/>
          <w:spacing w:val="-3"/>
        </w:rPr>
        <w:t>25%  </w:t>
      </w:r>
      <w:r>
        <w:rPr>
          <w:color w:val="231F20"/>
        </w:rPr>
        <w:t>señaló el daño  por el consumo de plantas silvestres, la disminu- ción del rebrote de las plantas del bosque, la con- taminación de las fuentes y los cauces naturales de agua, además de la formación de cañadas y áreas de compactación causadas por el paso del </w:t>
      </w:r>
      <w:r>
        <w:rPr>
          <w:color w:val="231F20"/>
          <w:spacing w:val="-2"/>
        </w:rPr>
        <w:t>ganado </w:t>
      </w:r>
      <w:r>
        <w:rPr>
          <w:color w:val="231F20"/>
        </w:rPr>
        <w:t>(Fig. 3). Sólo un 5% indicó el deterioro del suelo y un 2,5% el deterioro del agua. El </w:t>
      </w:r>
      <w:r>
        <w:rPr>
          <w:color w:val="231F20"/>
          <w:spacing w:val="-8"/>
        </w:rPr>
        <w:t>27,5% </w:t>
      </w:r>
      <w:r>
        <w:rPr>
          <w:color w:val="231F20"/>
        </w:rPr>
        <w:t>restante no identificó problemas específicos del medio</w:t>
      </w:r>
      <w:r>
        <w:rPr>
          <w:color w:val="231F20"/>
          <w:spacing w:val="-26"/>
        </w:rPr>
        <w:t> </w:t>
      </w:r>
      <w:r>
        <w:rPr>
          <w:color w:val="231F20"/>
        </w:rPr>
        <w:t>natural.</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160</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7"/>
        <w:rPr>
          <w:sz w:val="28"/>
        </w:rPr>
      </w:pPr>
    </w:p>
    <w:p>
      <w:pPr>
        <w:spacing w:line="290" w:lineRule="auto" w:before="0"/>
        <w:ind w:left="1553" w:right="1655" w:firstLine="0"/>
        <w:jc w:val="left"/>
        <w:rPr>
          <w:sz w:val="18"/>
        </w:rPr>
      </w:pPr>
      <w:r>
        <w:rPr>
          <w:color w:val="231F20"/>
          <w:sz w:val="18"/>
        </w:rPr>
        <w:t>Cuadro 4. Percepción del uso de elementos del medio natural por pastores de  ovinos  en  cuatro  localidades  del Parque Nacional Nevado de </w:t>
      </w:r>
      <w:r>
        <w:rPr>
          <w:color w:val="231F20"/>
          <w:spacing w:val="3"/>
          <w:sz w:val="18"/>
        </w:rPr>
        <w:t> </w:t>
      </w:r>
      <w:r>
        <w:rPr>
          <w:color w:val="231F20"/>
          <w:sz w:val="18"/>
        </w:rPr>
        <w:t>Toluca-México.</w:t>
      </w:r>
    </w:p>
    <w:p>
      <w:pPr>
        <w:pStyle w:val="BodyText"/>
        <w:spacing w:before="6"/>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00"/>
        <w:gridCol w:w="624"/>
        <w:gridCol w:w="680"/>
        <w:gridCol w:w="624"/>
        <w:gridCol w:w="624"/>
        <w:gridCol w:w="624"/>
        <w:gridCol w:w="624"/>
        <w:gridCol w:w="624"/>
        <w:gridCol w:w="624"/>
        <w:gridCol w:w="1176"/>
        <w:gridCol w:w="680"/>
        <w:gridCol w:w="680"/>
      </w:tblGrid>
      <w:tr>
        <w:trPr>
          <w:trHeight w:val="629" w:hRule="exact"/>
        </w:trPr>
        <w:tc>
          <w:tcPr>
            <w:tcW w:w="1200" w:type="dxa"/>
            <w:tcBorders>
              <w:left w:val="nil"/>
            </w:tcBorders>
          </w:tcPr>
          <w:p>
            <w:pPr>
              <w:pStyle w:val="TableParagraph"/>
              <w:spacing w:before="2"/>
              <w:rPr>
                <w:sz w:val="17"/>
              </w:rPr>
            </w:pPr>
          </w:p>
          <w:p>
            <w:pPr>
              <w:pStyle w:val="TableParagraph"/>
              <w:spacing w:before="0"/>
              <w:ind w:left="281"/>
              <w:rPr>
                <w:rFonts w:ascii="Cambria"/>
                <w:i/>
                <w:sz w:val="18"/>
              </w:rPr>
            </w:pPr>
            <w:r>
              <w:rPr>
                <w:rFonts w:ascii="Cambria"/>
                <w:i/>
                <w:color w:val="231F20"/>
                <w:w w:val="105"/>
                <w:sz w:val="18"/>
              </w:rPr>
              <w:t>Recurso</w:t>
            </w:r>
          </w:p>
        </w:tc>
        <w:tc>
          <w:tcPr>
            <w:tcW w:w="624" w:type="dxa"/>
          </w:tcPr>
          <w:p>
            <w:pPr>
              <w:pStyle w:val="TableParagraph"/>
              <w:spacing w:before="2"/>
              <w:rPr>
                <w:sz w:val="17"/>
              </w:rPr>
            </w:pPr>
          </w:p>
          <w:p>
            <w:pPr>
              <w:pStyle w:val="TableParagraph"/>
              <w:spacing w:before="0"/>
              <w:ind w:left="92" w:right="92"/>
              <w:jc w:val="center"/>
              <w:rPr>
                <w:rFonts w:ascii="Cambria"/>
                <w:i/>
                <w:sz w:val="18"/>
              </w:rPr>
            </w:pPr>
            <w:r>
              <w:rPr>
                <w:rFonts w:ascii="Cambria"/>
                <w:i/>
                <w:color w:val="231F20"/>
                <w:w w:val="110"/>
                <w:sz w:val="18"/>
              </w:rPr>
              <w:t>M1</w:t>
            </w:r>
          </w:p>
        </w:tc>
        <w:tc>
          <w:tcPr>
            <w:tcW w:w="680" w:type="dxa"/>
          </w:tcPr>
          <w:p>
            <w:pPr>
              <w:pStyle w:val="TableParagraph"/>
              <w:spacing w:before="2"/>
              <w:rPr>
                <w:sz w:val="17"/>
              </w:rPr>
            </w:pPr>
          </w:p>
          <w:p>
            <w:pPr>
              <w:pStyle w:val="TableParagraph"/>
              <w:spacing w:before="0"/>
              <w:ind w:right="179"/>
              <w:jc w:val="right"/>
              <w:rPr>
                <w:rFonts w:ascii="Cambria"/>
                <w:i/>
                <w:sz w:val="18"/>
              </w:rPr>
            </w:pPr>
            <w:r>
              <w:rPr>
                <w:rFonts w:ascii="Cambria"/>
                <w:i/>
                <w:color w:val="231F20"/>
                <w:sz w:val="18"/>
              </w:rPr>
              <w:t>VP1</w:t>
            </w:r>
          </w:p>
        </w:tc>
        <w:tc>
          <w:tcPr>
            <w:tcW w:w="624" w:type="dxa"/>
          </w:tcPr>
          <w:p>
            <w:pPr>
              <w:pStyle w:val="TableParagraph"/>
              <w:spacing w:before="2"/>
              <w:rPr>
                <w:sz w:val="17"/>
              </w:rPr>
            </w:pPr>
          </w:p>
          <w:p>
            <w:pPr>
              <w:pStyle w:val="TableParagraph"/>
              <w:spacing w:before="0"/>
              <w:ind w:right="175"/>
              <w:jc w:val="right"/>
              <w:rPr>
                <w:rFonts w:ascii="Cambria"/>
                <w:i/>
                <w:sz w:val="18"/>
              </w:rPr>
            </w:pPr>
            <w:r>
              <w:rPr>
                <w:rFonts w:ascii="Cambria"/>
                <w:i/>
                <w:color w:val="231F20"/>
                <w:w w:val="105"/>
                <w:sz w:val="18"/>
              </w:rPr>
              <w:t>M2</w:t>
            </w:r>
          </w:p>
        </w:tc>
        <w:tc>
          <w:tcPr>
            <w:tcW w:w="624" w:type="dxa"/>
          </w:tcPr>
          <w:p>
            <w:pPr>
              <w:pStyle w:val="TableParagraph"/>
              <w:spacing w:before="2"/>
              <w:rPr>
                <w:sz w:val="17"/>
              </w:rPr>
            </w:pPr>
          </w:p>
          <w:p>
            <w:pPr>
              <w:pStyle w:val="TableParagraph"/>
              <w:spacing w:before="0"/>
              <w:ind w:left="153"/>
              <w:rPr>
                <w:rFonts w:ascii="Cambria"/>
                <w:i/>
                <w:sz w:val="18"/>
              </w:rPr>
            </w:pPr>
            <w:r>
              <w:rPr>
                <w:rFonts w:ascii="Cambria"/>
                <w:i/>
                <w:color w:val="231F20"/>
                <w:w w:val="105"/>
                <w:sz w:val="18"/>
              </w:rPr>
              <w:t>VP2</w:t>
            </w:r>
          </w:p>
        </w:tc>
        <w:tc>
          <w:tcPr>
            <w:tcW w:w="624" w:type="dxa"/>
          </w:tcPr>
          <w:p>
            <w:pPr>
              <w:pStyle w:val="TableParagraph"/>
              <w:spacing w:before="2"/>
              <w:rPr>
                <w:sz w:val="17"/>
              </w:rPr>
            </w:pPr>
          </w:p>
          <w:p>
            <w:pPr>
              <w:pStyle w:val="TableParagraph"/>
              <w:spacing w:before="0"/>
              <w:ind w:right="175"/>
              <w:jc w:val="right"/>
              <w:rPr>
                <w:rFonts w:ascii="Cambria"/>
                <w:i/>
                <w:sz w:val="18"/>
              </w:rPr>
            </w:pPr>
            <w:r>
              <w:rPr>
                <w:rFonts w:ascii="Cambria"/>
                <w:i/>
                <w:color w:val="231F20"/>
                <w:w w:val="105"/>
                <w:sz w:val="18"/>
              </w:rPr>
              <w:t>M3</w:t>
            </w:r>
          </w:p>
        </w:tc>
        <w:tc>
          <w:tcPr>
            <w:tcW w:w="624" w:type="dxa"/>
          </w:tcPr>
          <w:p>
            <w:pPr>
              <w:pStyle w:val="TableParagraph"/>
              <w:spacing w:before="2"/>
              <w:rPr>
                <w:sz w:val="17"/>
              </w:rPr>
            </w:pPr>
          </w:p>
          <w:p>
            <w:pPr>
              <w:pStyle w:val="TableParagraph"/>
              <w:spacing w:before="0"/>
              <w:ind w:left="92" w:right="92"/>
              <w:jc w:val="center"/>
              <w:rPr>
                <w:rFonts w:ascii="Cambria"/>
                <w:i/>
                <w:sz w:val="18"/>
              </w:rPr>
            </w:pPr>
            <w:r>
              <w:rPr>
                <w:rFonts w:ascii="Cambria"/>
                <w:i/>
                <w:color w:val="231F20"/>
                <w:w w:val="105"/>
                <w:sz w:val="18"/>
              </w:rPr>
              <w:t>VP3</w:t>
            </w:r>
          </w:p>
        </w:tc>
        <w:tc>
          <w:tcPr>
            <w:tcW w:w="624" w:type="dxa"/>
          </w:tcPr>
          <w:p>
            <w:pPr>
              <w:pStyle w:val="TableParagraph"/>
              <w:spacing w:before="2"/>
              <w:rPr>
                <w:sz w:val="17"/>
              </w:rPr>
            </w:pPr>
          </w:p>
          <w:p>
            <w:pPr>
              <w:pStyle w:val="TableParagraph"/>
              <w:spacing w:before="0"/>
              <w:ind w:left="92" w:right="92"/>
              <w:jc w:val="center"/>
              <w:rPr>
                <w:rFonts w:ascii="Cambria"/>
                <w:i/>
                <w:sz w:val="18"/>
              </w:rPr>
            </w:pPr>
            <w:r>
              <w:rPr>
                <w:rFonts w:ascii="Cambria"/>
                <w:i/>
                <w:color w:val="231F20"/>
                <w:w w:val="110"/>
                <w:sz w:val="18"/>
              </w:rPr>
              <w:t>M4</w:t>
            </w:r>
          </w:p>
        </w:tc>
        <w:tc>
          <w:tcPr>
            <w:tcW w:w="624" w:type="dxa"/>
          </w:tcPr>
          <w:p>
            <w:pPr>
              <w:pStyle w:val="TableParagraph"/>
              <w:spacing w:before="2"/>
              <w:rPr>
                <w:sz w:val="17"/>
              </w:rPr>
            </w:pPr>
          </w:p>
          <w:p>
            <w:pPr>
              <w:pStyle w:val="TableParagraph"/>
              <w:spacing w:before="0"/>
              <w:ind w:left="92" w:right="92"/>
              <w:jc w:val="center"/>
              <w:rPr>
                <w:rFonts w:ascii="Cambria"/>
                <w:i/>
                <w:sz w:val="18"/>
              </w:rPr>
            </w:pPr>
            <w:r>
              <w:rPr>
                <w:rFonts w:ascii="Cambria"/>
                <w:i/>
                <w:color w:val="231F20"/>
                <w:w w:val="105"/>
                <w:sz w:val="18"/>
              </w:rPr>
              <w:t>VP4</w:t>
            </w:r>
          </w:p>
        </w:tc>
        <w:tc>
          <w:tcPr>
            <w:tcW w:w="1176" w:type="dxa"/>
          </w:tcPr>
          <w:p>
            <w:pPr>
              <w:pStyle w:val="TableParagraph"/>
              <w:spacing w:line="295" w:lineRule="auto" w:before="79"/>
              <w:ind w:left="125" w:right="116" w:firstLine="112"/>
              <w:rPr>
                <w:rFonts w:ascii="Cambria" w:hAnsi="Cambria"/>
                <w:i/>
                <w:sz w:val="18"/>
              </w:rPr>
            </w:pPr>
            <w:r>
              <w:rPr>
                <w:rFonts w:ascii="Cambria" w:hAnsi="Cambria"/>
                <w:i/>
                <w:color w:val="231F20"/>
                <w:w w:val="105"/>
                <w:sz w:val="18"/>
              </w:rPr>
              <w:t>Mención </w:t>
            </w:r>
            <w:r>
              <w:rPr>
                <w:rFonts w:ascii="Cambria" w:hAnsi="Cambria"/>
                <w:i/>
                <w:color w:val="231F20"/>
                <w:w w:val="105"/>
                <w:sz w:val="18"/>
              </w:rPr>
              <w:t>por recurso</w:t>
            </w:r>
          </w:p>
        </w:tc>
        <w:tc>
          <w:tcPr>
            <w:tcW w:w="680" w:type="dxa"/>
          </w:tcPr>
          <w:p>
            <w:pPr>
              <w:pStyle w:val="TableParagraph"/>
              <w:spacing w:before="2"/>
              <w:rPr>
                <w:sz w:val="17"/>
              </w:rPr>
            </w:pPr>
          </w:p>
          <w:p>
            <w:pPr>
              <w:pStyle w:val="TableParagraph"/>
              <w:spacing w:before="0"/>
              <w:ind w:left="179"/>
              <w:rPr>
                <w:rFonts w:ascii="Cambria"/>
                <w:i/>
                <w:sz w:val="18"/>
              </w:rPr>
            </w:pPr>
            <w:r>
              <w:rPr>
                <w:rFonts w:ascii="Cambria"/>
                <w:i/>
                <w:color w:val="231F20"/>
                <w:sz w:val="18"/>
              </w:rPr>
              <w:t>VPR</w:t>
            </w:r>
          </w:p>
        </w:tc>
        <w:tc>
          <w:tcPr>
            <w:tcW w:w="680" w:type="dxa"/>
            <w:tcBorders>
              <w:right w:val="nil"/>
            </w:tcBorders>
          </w:tcPr>
          <w:p>
            <w:pPr>
              <w:pStyle w:val="TableParagraph"/>
              <w:spacing w:line="295" w:lineRule="auto" w:before="79"/>
              <w:ind w:left="185" w:right="153" w:hanging="34"/>
              <w:rPr>
                <w:rFonts w:ascii="Cambria"/>
                <w:i/>
                <w:sz w:val="18"/>
              </w:rPr>
            </w:pPr>
            <w:r>
              <w:rPr>
                <w:rFonts w:ascii="Cambria"/>
                <w:i/>
                <w:color w:val="231F20"/>
                <w:w w:val="95"/>
                <w:sz w:val="18"/>
              </w:rPr>
              <w:t>PIAR </w:t>
            </w:r>
            <w:r>
              <w:rPr>
                <w:rFonts w:ascii="Cambria"/>
                <w:i/>
                <w:color w:val="231F20"/>
                <w:sz w:val="18"/>
              </w:rPr>
              <w:t>(%)</w:t>
            </w:r>
          </w:p>
        </w:tc>
      </w:tr>
      <w:tr>
        <w:trPr>
          <w:trHeight w:val="454" w:hRule="exact"/>
        </w:trPr>
        <w:tc>
          <w:tcPr>
            <w:tcW w:w="1200" w:type="dxa"/>
            <w:tcBorders>
              <w:left w:val="nil"/>
            </w:tcBorders>
          </w:tcPr>
          <w:p>
            <w:pPr>
              <w:pStyle w:val="TableParagraph"/>
              <w:ind w:left="113"/>
              <w:rPr>
                <w:sz w:val="17"/>
              </w:rPr>
            </w:pPr>
            <w:r>
              <w:rPr>
                <w:color w:val="231F20"/>
                <w:w w:val="105"/>
                <w:sz w:val="17"/>
              </w:rPr>
              <w:t>Bosque</w:t>
            </w:r>
          </w:p>
        </w:tc>
        <w:tc>
          <w:tcPr>
            <w:tcW w:w="624" w:type="dxa"/>
          </w:tcPr>
          <w:p>
            <w:pPr>
              <w:pStyle w:val="TableParagraph"/>
              <w:jc w:val="center"/>
              <w:rPr>
                <w:sz w:val="17"/>
              </w:rPr>
            </w:pPr>
            <w:r>
              <w:rPr>
                <w:color w:val="231F20"/>
                <w:w w:val="115"/>
                <w:sz w:val="17"/>
              </w:rPr>
              <w:t>8</w:t>
            </w:r>
          </w:p>
        </w:tc>
        <w:tc>
          <w:tcPr>
            <w:tcW w:w="680" w:type="dxa"/>
          </w:tcPr>
          <w:p>
            <w:pPr>
              <w:pStyle w:val="TableParagraph"/>
              <w:ind w:right="142"/>
              <w:jc w:val="right"/>
              <w:rPr>
                <w:sz w:val="17"/>
              </w:rPr>
            </w:pPr>
            <w:r>
              <w:rPr>
                <w:color w:val="231F20"/>
                <w:w w:val="110"/>
                <w:sz w:val="17"/>
              </w:rPr>
              <w:t>3,08</w:t>
            </w:r>
          </w:p>
        </w:tc>
        <w:tc>
          <w:tcPr>
            <w:tcW w:w="624" w:type="dxa"/>
          </w:tcPr>
          <w:p>
            <w:pPr>
              <w:pStyle w:val="TableParagraph"/>
              <w:ind w:right="219"/>
              <w:jc w:val="right"/>
              <w:rPr>
                <w:sz w:val="17"/>
              </w:rPr>
            </w:pPr>
            <w:r>
              <w:rPr>
                <w:color w:val="231F20"/>
                <w:w w:val="115"/>
                <w:sz w:val="17"/>
              </w:rPr>
              <w:t>1</w:t>
            </w:r>
          </w:p>
        </w:tc>
        <w:tc>
          <w:tcPr>
            <w:tcW w:w="624" w:type="dxa"/>
          </w:tcPr>
          <w:p>
            <w:pPr>
              <w:pStyle w:val="TableParagraph"/>
              <w:ind w:left="142"/>
              <w:rPr>
                <w:sz w:val="17"/>
              </w:rPr>
            </w:pPr>
            <w:r>
              <w:rPr>
                <w:color w:val="231F20"/>
                <w:w w:val="110"/>
                <w:sz w:val="17"/>
              </w:rPr>
              <w:t>0,29</w:t>
            </w:r>
          </w:p>
        </w:tc>
        <w:tc>
          <w:tcPr>
            <w:tcW w:w="624" w:type="dxa"/>
          </w:tcPr>
          <w:p>
            <w:pPr>
              <w:pStyle w:val="TableParagraph"/>
              <w:ind w:right="281"/>
              <w:jc w:val="right"/>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1176" w:type="dxa"/>
          </w:tcPr>
          <w:p>
            <w:pPr>
              <w:pStyle w:val="TableParagraph"/>
              <w:ind w:left="85"/>
              <w:jc w:val="center"/>
              <w:rPr>
                <w:sz w:val="17"/>
              </w:rPr>
            </w:pPr>
            <w:r>
              <w:rPr>
                <w:color w:val="231F20"/>
                <w:w w:val="115"/>
                <w:sz w:val="17"/>
              </w:rPr>
              <w:t>9</w:t>
            </w:r>
          </w:p>
        </w:tc>
        <w:tc>
          <w:tcPr>
            <w:tcW w:w="680" w:type="dxa"/>
          </w:tcPr>
          <w:p>
            <w:pPr>
              <w:pStyle w:val="TableParagraph"/>
              <w:ind w:right="106"/>
              <w:jc w:val="right"/>
              <w:rPr>
                <w:sz w:val="17"/>
              </w:rPr>
            </w:pPr>
            <w:r>
              <w:rPr>
                <w:color w:val="231F20"/>
                <w:w w:val="110"/>
                <w:sz w:val="17"/>
              </w:rPr>
              <w:t>3,37</w:t>
            </w:r>
          </w:p>
        </w:tc>
        <w:tc>
          <w:tcPr>
            <w:tcW w:w="680" w:type="dxa"/>
            <w:tcBorders>
              <w:right w:val="nil"/>
            </w:tcBorders>
          </w:tcPr>
          <w:p>
            <w:pPr>
              <w:pStyle w:val="TableParagraph"/>
              <w:ind w:right="111"/>
              <w:jc w:val="right"/>
              <w:rPr>
                <w:sz w:val="17"/>
              </w:rPr>
            </w:pPr>
            <w:r>
              <w:rPr>
                <w:color w:val="231F20"/>
                <w:w w:val="110"/>
                <w:sz w:val="17"/>
              </w:rPr>
              <w:t>10,8</w:t>
            </w:r>
          </w:p>
        </w:tc>
      </w:tr>
      <w:tr>
        <w:trPr>
          <w:trHeight w:val="454" w:hRule="exact"/>
        </w:trPr>
        <w:tc>
          <w:tcPr>
            <w:tcW w:w="1200" w:type="dxa"/>
            <w:tcBorders>
              <w:left w:val="nil"/>
            </w:tcBorders>
          </w:tcPr>
          <w:p>
            <w:pPr>
              <w:pStyle w:val="TableParagraph"/>
              <w:ind w:left="113"/>
              <w:rPr>
                <w:sz w:val="17"/>
              </w:rPr>
            </w:pPr>
            <w:r>
              <w:rPr>
                <w:color w:val="231F20"/>
                <w:sz w:val="17"/>
              </w:rPr>
              <w:t>Suelo-terreno</w:t>
            </w:r>
          </w:p>
        </w:tc>
        <w:tc>
          <w:tcPr>
            <w:tcW w:w="624" w:type="dxa"/>
          </w:tcPr>
          <w:p>
            <w:pPr>
              <w:pStyle w:val="TableParagraph"/>
              <w:ind w:left="87" w:right="92"/>
              <w:jc w:val="center"/>
              <w:rPr>
                <w:sz w:val="17"/>
              </w:rPr>
            </w:pPr>
            <w:r>
              <w:rPr>
                <w:color w:val="231F20"/>
                <w:w w:val="115"/>
                <w:sz w:val="17"/>
              </w:rPr>
              <w:t>18</w:t>
            </w:r>
          </w:p>
        </w:tc>
        <w:tc>
          <w:tcPr>
            <w:tcW w:w="680" w:type="dxa"/>
          </w:tcPr>
          <w:p>
            <w:pPr>
              <w:pStyle w:val="TableParagraph"/>
              <w:ind w:right="142"/>
              <w:jc w:val="right"/>
              <w:rPr>
                <w:sz w:val="17"/>
              </w:rPr>
            </w:pPr>
            <w:r>
              <w:rPr>
                <w:color w:val="231F20"/>
                <w:w w:val="110"/>
                <w:sz w:val="17"/>
              </w:rPr>
              <w:t>6,92</w:t>
            </w:r>
          </w:p>
        </w:tc>
        <w:tc>
          <w:tcPr>
            <w:tcW w:w="624" w:type="dxa"/>
          </w:tcPr>
          <w:p>
            <w:pPr>
              <w:pStyle w:val="TableParagraph"/>
              <w:ind w:right="219"/>
              <w:jc w:val="right"/>
              <w:rPr>
                <w:sz w:val="17"/>
              </w:rPr>
            </w:pPr>
            <w:r>
              <w:rPr>
                <w:color w:val="231F20"/>
                <w:w w:val="115"/>
                <w:sz w:val="17"/>
              </w:rPr>
              <w:t>2</w:t>
            </w:r>
          </w:p>
        </w:tc>
        <w:tc>
          <w:tcPr>
            <w:tcW w:w="624" w:type="dxa"/>
          </w:tcPr>
          <w:p>
            <w:pPr>
              <w:pStyle w:val="TableParagraph"/>
              <w:ind w:left="142"/>
              <w:rPr>
                <w:sz w:val="17"/>
              </w:rPr>
            </w:pPr>
            <w:r>
              <w:rPr>
                <w:color w:val="231F20"/>
                <w:w w:val="110"/>
                <w:sz w:val="17"/>
              </w:rPr>
              <w:t>0,58</w:t>
            </w:r>
          </w:p>
        </w:tc>
        <w:tc>
          <w:tcPr>
            <w:tcW w:w="624" w:type="dxa"/>
          </w:tcPr>
          <w:p>
            <w:pPr>
              <w:pStyle w:val="TableParagraph"/>
              <w:ind w:right="281"/>
              <w:jc w:val="right"/>
              <w:rPr>
                <w:sz w:val="17"/>
              </w:rPr>
            </w:pPr>
            <w:r>
              <w:rPr>
                <w:color w:val="231F20"/>
                <w:w w:val="95"/>
                <w:sz w:val="17"/>
              </w:rPr>
              <w:t>-</w:t>
            </w:r>
          </w:p>
        </w:tc>
        <w:tc>
          <w:tcPr>
            <w:tcW w:w="624" w:type="dxa"/>
          </w:tcPr>
          <w:p>
            <w:pPr>
              <w:pStyle w:val="TableParagraph"/>
              <w:ind w:left="49"/>
              <w:jc w:val="center"/>
              <w:rPr>
                <w:sz w:val="17"/>
              </w:rPr>
            </w:pPr>
            <w:r>
              <w:rPr>
                <w:color w:val="231F20"/>
                <w:w w:val="95"/>
                <w:sz w:val="17"/>
              </w:rPr>
              <w:t>-</w:t>
            </w:r>
          </w:p>
        </w:tc>
        <w:tc>
          <w:tcPr>
            <w:tcW w:w="624" w:type="dxa"/>
          </w:tcPr>
          <w:p>
            <w:pPr>
              <w:pStyle w:val="TableParagraph"/>
              <w:ind w:left="49"/>
              <w:jc w:val="center"/>
              <w:rPr>
                <w:sz w:val="17"/>
              </w:rPr>
            </w:pPr>
            <w:r>
              <w:rPr>
                <w:color w:val="231F20"/>
                <w:w w:val="95"/>
                <w:sz w:val="17"/>
              </w:rPr>
              <w:t>-</w:t>
            </w:r>
          </w:p>
        </w:tc>
        <w:tc>
          <w:tcPr>
            <w:tcW w:w="624" w:type="dxa"/>
          </w:tcPr>
          <w:p>
            <w:pPr>
              <w:pStyle w:val="TableParagraph"/>
              <w:spacing w:before="71"/>
              <w:ind w:left="52"/>
              <w:jc w:val="center"/>
              <w:rPr>
                <w:sz w:val="18"/>
              </w:rPr>
            </w:pPr>
            <w:r>
              <w:rPr>
                <w:color w:val="231F20"/>
                <w:w w:val="95"/>
                <w:sz w:val="18"/>
              </w:rPr>
              <w:t>-</w:t>
            </w:r>
          </w:p>
        </w:tc>
        <w:tc>
          <w:tcPr>
            <w:tcW w:w="1176" w:type="dxa"/>
          </w:tcPr>
          <w:p>
            <w:pPr>
              <w:pStyle w:val="TableParagraph"/>
              <w:ind w:left="414" w:right="333"/>
              <w:jc w:val="center"/>
              <w:rPr>
                <w:sz w:val="17"/>
              </w:rPr>
            </w:pPr>
            <w:r>
              <w:rPr>
                <w:color w:val="231F20"/>
                <w:w w:val="115"/>
                <w:sz w:val="17"/>
              </w:rPr>
              <w:t>20</w:t>
            </w:r>
          </w:p>
        </w:tc>
        <w:tc>
          <w:tcPr>
            <w:tcW w:w="680" w:type="dxa"/>
          </w:tcPr>
          <w:p>
            <w:pPr>
              <w:pStyle w:val="TableParagraph"/>
              <w:ind w:right="106"/>
              <w:jc w:val="right"/>
              <w:rPr>
                <w:sz w:val="17"/>
              </w:rPr>
            </w:pPr>
            <w:r>
              <w:rPr>
                <w:color w:val="231F20"/>
                <w:w w:val="110"/>
                <w:sz w:val="17"/>
              </w:rPr>
              <w:t>7,50</w:t>
            </w:r>
          </w:p>
        </w:tc>
        <w:tc>
          <w:tcPr>
            <w:tcW w:w="680" w:type="dxa"/>
            <w:tcBorders>
              <w:right w:val="nil"/>
            </w:tcBorders>
          </w:tcPr>
          <w:p>
            <w:pPr>
              <w:pStyle w:val="TableParagraph"/>
              <w:ind w:right="111"/>
              <w:jc w:val="right"/>
              <w:rPr>
                <w:sz w:val="17"/>
              </w:rPr>
            </w:pPr>
            <w:r>
              <w:rPr>
                <w:color w:val="231F20"/>
                <w:w w:val="110"/>
                <w:sz w:val="17"/>
              </w:rPr>
              <w:t>24,1</w:t>
            </w:r>
          </w:p>
        </w:tc>
      </w:tr>
      <w:tr>
        <w:trPr>
          <w:trHeight w:val="454" w:hRule="exact"/>
        </w:trPr>
        <w:tc>
          <w:tcPr>
            <w:tcW w:w="1200" w:type="dxa"/>
            <w:tcBorders>
              <w:left w:val="nil"/>
            </w:tcBorders>
          </w:tcPr>
          <w:p>
            <w:pPr>
              <w:pStyle w:val="TableParagraph"/>
              <w:ind w:left="113"/>
              <w:rPr>
                <w:sz w:val="17"/>
              </w:rPr>
            </w:pPr>
            <w:r>
              <w:rPr>
                <w:color w:val="231F20"/>
                <w:w w:val="105"/>
                <w:sz w:val="17"/>
              </w:rPr>
              <w:t>Leña</w:t>
            </w:r>
          </w:p>
        </w:tc>
        <w:tc>
          <w:tcPr>
            <w:tcW w:w="624" w:type="dxa"/>
          </w:tcPr>
          <w:p>
            <w:pPr>
              <w:pStyle w:val="TableParagraph"/>
              <w:ind w:left="85"/>
              <w:jc w:val="center"/>
              <w:rPr>
                <w:sz w:val="17"/>
              </w:rPr>
            </w:pPr>
            <w:r>
              <w:rPr>
                <w:color w:val="231F20"/>
                <w:w w:val="115"/>
                <w:sz w:val="17"/>
              </w:rPr>
              <w:t>2</w:t>
            </w:r>
          </w:p>
        </w:tc>
        <w:tc>
          <w:tcPr>
            <w:tcW w:w="680" w:type="dxa"/>
          </w:tcPr>
          <w:p>
            <w:pPr>
              <w:pStyle w:val="TableParagraph"/>
              <w:ind w:right="163"/>
              <w:jc w:val="right"/>
              <w:rPr>
                <w:sz w:val="17"/>
              </w:rPr>
            </w:pPr>
            <w:r>
              <w:rPr>
                <w:color w:val="231F20"/>
                <w:w w:val="110"/>
                <w:sz w:val="17"/>
              </w:rPr>
              <w:t>0,77</w:t>
            </w:r>
          </w:p>
        </w:tc>
        <w:tc>
          <w:tcPr>
            <w:tcW w:w="624" w:type="dxa"/>
          </w:tcPr>
          <w:p>
            <w:pPr>
              <w:pStyle w:val="TableParagraph"/>
              <w:ind w:right="219"/>
              <w:jc w:val="right"/>
              <w:rPr>
                <w:sz w:val="17"/>
              </w:rPr>
            </w:pPr>
            <w:r>
              <w:rPr>
                <w:color w:val="231F20"/>
                <w:w w:val="115"/>
                <w:sz w:val="17"/>
              </w:rPr>
              <w:t>4</w:t>
            </w:r>
          </w:p>
        </w:tc>
        <w:tc>
          <w:tcPr>
            <w:tcW w:w="624" w:type="dxa"/>
          </w:tcPr>
          <w:p>
            <w:pPr>
              <w:pStyle w:val="TableParagraph"/>
              <w:ind w:left="143"/>
              <w:rPr>
                <w:sz w:val="17"/>
              </w:rPr>
            </w:pPr>
            <w:r>
              <w:rPr>
                <w:color w:val="231F20"/>
                <w:w w:val="110"/>
                <w:sz w:val="17"/>
              </w:rPr>
              <w:t>1,15</w:t>
            </w:r>
          </w:p>
        </w:tc>
        <w:tc>
          <w:tcPr>
            <w:tcW w:w="624" w:type="dxa"/>
          </w:tcPr>
          <w:p>
            <w:pPr>
              <w:pStyle w:val="TableParagraph"/>
              <w:ind w:right="216"/>
              <w:jc w:val="right"/>
              <w:rPr>
                <w:sz w:val="17"/>
              </w:rPr>
            </w:pPr>
            <w:r>
              <w:rPr>
                <w:color w:val="231F20"/>
                <w:w w:val="115"/>
                <w:sz w:val="17"/>
              </w:rPr>
              <w:t>12</w:t>
            </w:r>
          </w:p>
        </w:tc>
        <w:tc>
          <w:tcPr>
            <w:tcW w:w="624" w:type="dxa"/>
          </w:tcPr>
          <w:p>
            <w:pPr>
              <w:pStyle w:val="TableParagraph"/>
              <w:ind w:left="92" w:right="92"/>
              <w:jc w:val="center"/>
              <w:rPr>
                <w:sz w:val="17"/>
              </w:rPr>
            </w:pPr>
            <w:r>
              <w:rPr>
                <w:color w:val="231F20"/>
                <w:w w:val="110"/>
                <w:sz w:val="17"/>
              </w:rPr>
              <w:t>3,00</w:t>
            </w:r>
          </w:p>
        </w:tc>
        <w:tc>
          <w:tcPr>
            <w:tcW w:w="624" w:type="dxa"/>
          </w:tcPr>
          <w:p>
            <w:pPr>
              <w:pStyle w:val="TableParagraph"/>
              <w:jc w:val="center"/>
              <w:rPr>
                <w:sz w:val="17"/>
              </w:rPr>
            </w:pPr>
            <w:r>
              <w:rPr>
                <w:color w:val="231F20"/>
                <w:w w:val="95"/>
                <w:sz w:val="17"/>
              </w:rPr>
              <w:t>-</w:t>
            </w:r>
          </w:p>
        </w:tc>
        <w:tc>
          <w:tcPr>
            <w:tcW w:w="624" w:type="dxa"/>
          </w:tcPr>
          <w:p>
            <w:pPr>
              <w:pStyle w:val="TableParagraph"/>
              <w:ind w:left="49"/>
              <w:jc w:val="center"/>
              <w:rPr>
                <w:sz w:val="17"/>
              </w:rPr>
            </w:pPr>
            <w:r>
              <w:rPr>
                <w:color w:val="231F20"/>
                <w:w w:val="95"/>
                <w:sz w:val="17"/>
              </w:rPr>
              <w:t>-</w:t>
            </w:r>
          </w:p>
        </w:tc>
        <w:tc>
          <w:tcPr>
            <w:tcW w:w="1176" w:type="dxa"/>
          </w:tcPr>
          <w:p>
            <w:pPr>
              <w:pStyle w:val="TableParagraph"/>
              <w:ind w:left="414" w:right="337"/>
              <w:jc w:val="center"/>
              <w:rPr>
                <w:sz w:val="17"/>
              </w:rPr>
            </w:pPr>
            <w:r>
              <w:rPr>
                <w:color w:val="231F20"/>
                <w:w w:val="115"/>
                <w:sz w:val="17"/>
              </w:rPr>
              <w:t>18</w:t>
            </w:r>
          </w:p>
        </w:tc>
        <w:tc>
          <w:tcPr>
            <w:tcW w:w="680" w:type="dxa"/>
          </w:tcPr>
          <w:p>
            <w:pPr>
              <w:pStyle w:val="TableParagraph"/>
              <w:ind w:right="106"/>
              <w:jc w:val="right"/>
              <w:rPr>
                <w:sz w:val="17"/>
              </w:rPr>
            </w:pPr>
            <w:r>
              <w:rPr>
                <w:color w:val="231F20"/>
                <w:w w:val="110"/>
                <w:sz w:val="17"/>
              </w:rPr>
              <w:t>4,92</w:t>
            </w:r>
          </w:p>
        </w:tc>
        <w:tc>
          <w:tcPr>
            <w:tcW w:w="680" w:type="dxa"/>
            <w:tcBorders>
              <w:right w:val="nil"/>
            </w:tcBorders>
          </w:tcPr>
          <w:p>
            <w:pPr>
              <w:pStyle w:val="TableParagraph"/>
              <w:ind w:right="111"/>
              <w:jc w:val="right"/>
              <w:rPr>
                <w:sz w:val="17"/>
              </w:rPr>
            </w:pPr>
            <w:r>
              <w:rPr>
                <w:color w:val="231F20"/>
                <w:w w:val="110"/>
                <w:sz w:val="17"/>
              </w:rPr>
              <w:t>15,8</w:t>
            </w:r>
          </w:p>
        </w:tc>
      </w:tr>
      <w:tr>
        <w:trPr>
          <w:trHeight w:val="454" w:hRule="exact"/>
        </w:trPr>
        <w:tc>
          <w:tcPr>
            <w:tcW w:w="1200" w:type="dxa"/>
            <w:tcBorders>
              <w:left w:val="nil"/>
            </w:tcBorders>
          </w:tcPr>
          <w:p>
            <w:pPr>
              <w:pStyle w:val="TableParagraph"/>
              <w:ind w:left="113"/>
              <w:rPr>
                <w:sz w:val="17"/>
              </w:rPr>
            </w:pPr>
            <w:r>
              <w:rPr>
                <w:color w:val="231F20"/>
                <w:sz w:val="17"/>
              </w:rPr>
              <w:t>Pasto</w:t>
            </w:r>
          </w:p>
        </w:tc>
        <w:tc>
          <w:tcPr>
            <w:tcW w:w="624" w:type="dxa"/>
          </w:tcPr>
          <w:p>
            <w:pPr>
              <w:pStyle w:val="TableParagraph"/>
              <w:ind w:left="85"/>
              <w:jc w:val="center"/>
              <w:rPr>
                <w:sz w:val="17"/>
              </w:rPr>
            </w:pPr>
            <w:r>
              <w:rPr>
                <w:color w:val="231F20"/>
                <w:w w:val="115"/>
                <w:sz w:val="17"/>
              </w:rPr>
              <w:t>1</w:t>
            </w:r>
          </w:p>
        </w:tc>
        <w:tc>
          <w:tcPr>
            <w:tcW w:w="680" w:type="dxa"/>
          </w:tcPr>
          <w:p>
            <w:pPr>
              <w:pStyle w:val="TableParagraph"/>
              <w:ind w:right="145"/>
              <w:jc w:val="right"/>
              <w:rPr>
                <w:sz w:val="17"/>
              </w:rPr>
            </w:pPr>
            <w:r>
              <w:rPr>
                <w:color w:val="231F20"/>
                <w:w w:val="110"/>
                <w:sz w:val="17"/>
              </w:rPr>
              <w:t>0,38</w:t>
            </w:r>
          </w:p>
        </w:tc>
        <w:tc>
          <w:tcPr>
            <w:tcW w:w="624" w:type="dxa"/>
          </w:tcPr>
          <w:p>
            <w:pPr>
              <w:pStyle w:val="TableParagraph"/>
              <w:ind w:right="219"/>
              <w:jc w:val="right"/>
              <w:rPr>
                <w:sz w:val="17"/>
              </w:rPr>
            </w:pPr>
            <w:r>
              <w:rPr>
                <w:color w:val="231F20"/>
                <w:w w:val="115"/>
                <w:sz w:val="17"/>
              </w:rPr>
              <w:t>3</w:t>
            </w:r>
          </w:p>
        </w:tc>
        <w:tc>
          <w:tcPr>
            <w:tcW w:w="624" w:type="dxa"/>
          </w:tcPr>
          <w:p>
            <w:pPr>
              <w:pStyle w:val="TableParagraph"/>
              <w:ind w:left="143"/>
              <w:rPr>
                <w:sz w:val="17"/>
              </w:rPr>
            </w:pPr>
            <w:r>
              <w:rPr>
                <w:color w:val="231F20"/>
                <w:w w:val="110"/>
                <w:sz w:val="17"/>
              </w:rPr>
              <w:t>0,87</w:t>
            </w:r>
          </w:p>
        </w:tc>
        <w:tc>
          <w:tcPr>
            <w:tcW w:w="624" w:type="dxa"/>
          </w:tcPr>
          <w:p>
            <w:pPr>
              <w:pStyle w:val="TableParagraph"/>
              <w:ind w:right="212"/>
              <w:jc w:val="right"/>
              <w:rPr>
                <w:sz w:val="17"/>
              </w:rPr>
            </w:pPr>
            <w:r>
              <w:rPr>
                <w:color w:val="231F20"/>
                <w:w w:val="115"/>
                <w:sz w:val="17"/>
              </w:rPr>
              <w:t>1</w:t>
            </w:r>
          </w:p>
        </w:tc>
        <w:tc>
          <w:tcPr>
            <w:tcW w:w="624" w:type="dxa"/>
          </w:tcPr>
          <w:p>
            <w:pPr>
              <w:pStyle w:val="TableParagraph"/>
              <w:ind w:left="92" w:right="92"/>
              <w:jc w:val="center"/>
              <w:rPr>
                <w:sz w:val="17"/>
              </w:rPr>
            </w:pPr>
            <w:r>
              <w:rPr>
                <w:color w:val="231F20"/>
                <w:w w:val="110"/>
                <w:sz w:val="17"/>
              </w:rPr>
              <w:t>0,25</w:t>
            </w:r>
          </w:p>
        </w:tc>
        <w:tc>
          <w:tcPr>
            <w:tcW w:w="624" w:type="dxa"/>
          </w:tcPr>
          <w:p>
            <w:pPr>
              <w:pStyle w:val="TableParagraph"/>
              <w:jc w:val="center"/>
              <w:rPr>
                <w:sz w:val="17"/>
              </w:rPr>
            </w:pPr>
            <w:r>
              <w:rPr>
                <w:color w:val="231F20"/>
                <w:w w:val="95"/>
                <w:sz w:val="17"/>
              </w:rPr>
              <w:t>-</w:t>
            </w:r>
          </w:p>
        </w:tc>
        <w:tc>
          <w:tcPr>
            <w:tcW w:w="624" w:type="dxa"/>
          </w:tcPr>
          <w:p>
            <w:pPr>
              <w:pStyle w:val="TableParagraph"/>
              <w:ind w:left="49"/>
              <w:jc w:val="center"/>
              <w:rPr>
                <w:sz w:val="17"/>
              </w:rPr>
            </w:pPr>
            <w:r>
              <w:rPr>
                <w:color w:val="231F20"/>
                <w:w w:val="95"/>
                <w:sz w:val="17"/>
              </w:rPr>
              <w:t>-</w:t>
            </w:r>
          </w:p>
        </w:tc>
        <w:tc>
          <w:tcPr>
            <w:tcW w:w="1176" w:type="dxa"/>
          </w:tcPr>
          <w:p>
            <w:pPr>
              <w:pStyle w:val="TableParagraph"/>
              <w:ind w:left="170"/>
              <w:jc w:val="center"/>
              <w:rPr>
                <w:sz w:val="17"/>
              </w:rPr>
            </w:pPr>
            <w:r>
              <w:rPr>
                <w:color w:val="231F20"/>
                <w:w w:val="115"/>
                <w:sz w:val="17"/>
              </w:rPr>
              <w:t>5</w:t>
            </w:r>
          </w:p>
        </w:tc>
        <w:tc>
          <w:tcPr>
            <w:tcW w:w="680" w:type="dxa"/>
          </w:tcPr>
          <w:p>
            <w:pPr>
              <w:pStyle w:val="TableParagraph"/>
              <w:ind w:right="106"/>
              <w:jc w:val="right"/>
              <w:rPr>
                <w:sz w:val="17"/>
              </w:rPr>
            </w:pPr>
            <w:r>
              <w:rPr>
                <w:color w:val="231F20"/>
                <w:w w:val="110"/>
                <w:sz w:val="17"/>
              </w:rPr>
              <w:t>1,50</w:t>
            </w:r>
          </w:p>
        </w:tc>
        <w:tc>
          <w:tcPr>
            <w:tcW w:w="680" w:type="dxa"/>
            <w:tcBorders>
              <w:right w:val="nil"/>
            </w:tcBorders>
          </w:tcPr>
          <w:p>
            <w:pPr>
              <w:pStyle w:val="TableParagraph"/>
              <w:ind w:right="111"/>
              <w:jc w:val="right"/>
              <w:rPr>
                <w:sz w:val="17"/>
              </w:rPr>
            </w:pPr>
            <w:r>
              <w:rPr>
                <w:color w:val="231F20"/>
                <w:w w:val="110"/>
                <w:sz w:val="17"/>
              </w:rPr>
              <w:t>4,8</w:t>
            </w:r>
          </w:p>
        </w:tc>
      </w:tr>
      <w:tr>
        <w:trPr>
          <w:trHeight w:val="454" w:hRule="exact"/>
        </w:trPr>
        <w:tc>
          <w:tcPr>
            <w:tcW w:w="1200" w:type="dxa"/>
            <w:tcBorders>
              <w:left w:val="nil"/>
            </w:tcBorders>
          </w:tcPr>
          <w:p>
            <w:pPr>
              <w:pStyle w:val="TableParagraph"/>
              <w:ind w:left="113"/>
              <w:rPr>
                <w:sz w:val="17"/>
              </w:rPr>
            </w:pPr>
            <w:r>
              <w:rPr>
                <w:color w:val="231F20"/>
                <w:sz w:val="17"/>
              </w:rPr>
              <w:t>Aire</w:t>
            </w:r>
          </w:p>
        </w:tc>
        <w:tc>
          <w:tcPr>
            <w:tcW w:w="624" w:type="dxa"/>
          </w:tcPr>
          <w:p>
            <w:pPr>
              <w:pStyle w:val="TableParagraph"/>
              <w:jc w:val="center"/>
              <w:rPr>
                <w:sz w:val="17"/>
              </w:rPr>
            </w:pPr>
            <w:r>
              <w:rPr>
                <w:color w:val="231F20"/>
                <w:w w:val="95"/>
                <w:sz w:val="17"/>
              </w:rPr>
              <w:t>-</w:t>
            </w:r>
          </w:p>
        </w:tc>
        <w:tc>
          <w:tcPr>
            <w:tcW w:w="680" w:type="dxa"/>
          </w:tcPr>
          <w:p>
            <w:pPr>
              <w:pStyle w:val="TableParagraph"/>
              <w:ind w:left="49"/>
              <w:jc w:val="center"/>
              <w:rPr>
                <w:sz w:val="17"/>
              </w:rPr>
            </w:pPr>
            <w:r>
              <w:rPr>
                <w:color w:val="231F20"/>
                <w:w w:val="95"/>
                <w:sz w:val="17"/>
              </w:rPr>
              <w:t>-</w:t>
            </w:r>
          </w:p>
        </w:tc>
        <w:tc>
          <w:tcPr>
            <w:tcW w:w="624" w:type="dxa"/>
          </w:tcPr>
          <w:p>
            <w:pPr>
              <w:pStyle w:val="TableParagraph"/>
              <w:ind w:right="219"/>
              <w:jc w:val="right"/>
              <w:rPr>
                <w:sz w:val="17"/>
              </w:rPr>
            </w:pPr>
            <w:r>
              <w:rPr>
                <w:color w:val="231F20"/>
                <w:w w:val="115"/>
                <w:sz w:val="17"/>
              </w:rPr>
              <w:t>6</w:t>
            </w:r>
          </w:p>
        </w:tc>
        <w:tc>
          <w:tcPr>
            <w:tcW w:w="624" w:type="dxa"/>
          </w:tcPr>
          <w:p>
            <w:pPr>
              <w:pStyle w:val="TableParagraph"/>
              <w:ind w:left="147"/>
              <w:rPr>
                <w:sz w:val="17"/>
              </w:rPr>
            </w:pPr>
            <w:r>
              <w:rPr>
                <w:color w:val="231F20"/>
                <w:w w:val="110"/>
                <w:sz w:val="17"/>
              </w:rPr>
              <w:t>1,73</w:t>
            </w:r>
          </w:p>
        </w:tc>
        <w:tc>
          <w:tcPr>
            <w:tcW w:w="624" w:type="dxa"/>
          </w:tcPr>
          <w:p>
            <w:pPr>
              <w:pStyle w:val="TableParagraph"/>
              <w:ind w:right="212"/>
              <w:jc w:val="right"/>
              <w:rPr>
                <w:sz w:val="17"/>
              </w:rPr>
            </w:pPr>
            <w:r>
              <w:rPr>
                <w:color w:val="231F20"/>
                <w:w w:val="115"/>
                <w:sz w:val="17"/>
              </w:rPr>
              <w:t>1</w:t>
            </w:r>
          </w:p>
        </w:tc>
        <w:tc>
          <w:tcPr>
            <w:tcW w:w="624" w:type="dxa"/>
          </w:tcPr>
          <w:p>
            <w:pPr>
              <w:pStyle w:val="TableParagraph"/>
              <w:ind w:left="92" w:right="92"/>
              <w:jc w:val="center"/>
              <w:rPr>
                <w:sz w:val="17"/>
              </w:rPr>
            </w:pPr>
            <w:r>
              <w:rPr>
                <w:color w:val="231F20"/>
                <w:w w:val="110"/>
                <w:sz w:val="17"/>
              </w:rPr>
              <w:t>0,25</w:t>
            </w:r>
          </w:p>
        </w:tc>
        <w:tc>
          <w:tcPr>
            <w:tcW w:w="624" w:type="dxa"/>
          </w:tcPr>
          <w:p>
            <w:pPr>
              <w:pStyle w:val="TableParagraph"/>
              <w:ind w:left="85"/>
              <w:jc w:val="center"/>
              <w:rPr>
                <w:sz w:val="17"/>
              </w:rPr>
            </w:pPr>
            <w:r>
              <w:rPr>
                <w:color w:val="231F20"/>
                <w:w w:val="115"/>
                <w:sz w:val="17"/>
              </w:rPr>
              <w:t>1</w:t>
            </w:r>
          </w:p>
        </w:tc>
        <w:tc>
          <w:tcPr>
            <w:tcW w:w="624" w:type="dxa"/>
          </w:tcPr>
          <w:p>
            <w:pPr>
              <w:pStyle w:val="TableParagraph"/>
              <w:ind w:left="92" w:right="92"/>
              <w:jc w:val="center"/>
              <w:rPr>
                <w:sz w:val="17"/>
              </w:rPr>
            </w:pPr>
            <w:r>
              <w:rPr>
                <w:color w:val="231F20"/>
                <w:w w:val="110"/>
                <w:sz w:val="17"/>
              </w:rPr>
              <w:t>0,08</w:t>
            </w:r>
          </w:p>
        </w:tc>
        <w:tc>
          <w:tcPr>
            <w:tcW w:w="1176" w:type="dxa"/>
          </w:tcPr>
          <w:p>
            <w:pPr>
              <w:pStyle w:val="TableParagraph"/>
              <w:ind w:left="170"/>
              <w:jc w:val="center"/>
              <w:rPr>
                <w:sz w:val="17"/>
              </w:rPr>
            </w:pPr>
            <w:r>
              <w:rPr>
                <w:color w:val="231F20"/>
                <w:w w:val="115"/>
                <w:sz w:val="17"/>
              </w:rPr>
              <w:t>8</w:t>
            </w:r>
          </w:p>
        </w:tc>
        <w:tc>
          <w:tcPr>
            <w:tcW w:w="680" w:type="dxa"/>
          </w:tcPr>
          <w:p>
            <w:pPr>
              <w:pStyle w:val="TableParagraph"/>
              <w:ind w:right="106"/>
              <w:jc w:val="right"/>
              <w:rPr>
                <w:sz w:val="17"/>
              </w:rPr>
            </w:pPr>
            <w:r>
              <w:rPr>
                <w:color w:val="231F20"/>
                <w:w w:val="110"/>
                <w:sz w:val="17"/>
              </w:rPr>
              <w:t>2,06</w:t>
            </w:r>
          </w:p>
        </w:tc>
        <w:tc>
          <w:tcPr>
            <w:tcW w:w="680" w:type="dxa"/>
            <w:tcBorders>
              <w:right w:val="nil"/>
            </w:tcBorders>
          </w:tcPr>
          <w:p>
            <w:pPr>
              <w:pStyle w:val="TableParagraph"/>
              <w:ind w:right="111"/>
              <w:jc w:val="right"/>
              <w:rPr>
                <w:sz w:val="17"/>
              </w:rPr>
            </w:pPr>
            <w:r>
              <w:rPr>
                <w:color w:val="231F20"/>
                <w:w w:val="110"/>
                <w:sz w:val="17"/>
              </w:rPr>
              <w:t>6,6</w:t>
            </w:r>
          </w:p>
        </w:tc>
      </w:tr>
      <w:tr>
        <w:trPr>
          <w:trHeight w:val="454" w:hRule="exact"/>
        </w:trPr>
        <w:tc>
          <w:tcPr>
            <w:tcW w:w="1200" w:type="dxa"/>
            <w:tcBorders>
              <w:left w:val="nil"/>
            </w:tcBorders>
          </w:tcPr>
          <w:p>
            <w:pPr>
              <w:pStyle w:val="TableParagraph"/>
              <w:ind w:left="113"/>
              <w:rPr>
                <w:sz w:val="17"/>
              </w:rPr>
            </w:pPr>
            <w:r>
              <w:rPr>
                <w:color w:val="231F20"/>
                <w:sz w:val="17"/>
              </w:rPr>
              <w:t>Agua</w:t>
            </w:r>
          </w:p>
        </w:tc>
        <w:tc>
          <w:tcPr>
            <w:tcW w:w="624" w:type="dxa"/>
          </w:tcPr>
          <w:p>
            <w:pPr>
              <w:pStyle w:val="TableParagraph"/>
              <w:ind w:left="49"/>
              <w:jc w:val="center"/>
              <w:rPr>
                <w:sz w:val="17"/>
              </w:rPr>
            </w:pPr>
            <w:r>
              <w:rPr>
                <w:color w:val="231F20"/>
                <w:w w:val="95"/>
                <w:sz w:val="17"/>
              </w:rPr>
              <w:t>-</w:t>
            </w:r>
          </w:p>
        </w:tc>
        <w:tc>
          <w:tcPr>
            <w:tcW w:w="680" w:type="dxa"/>
          </w:tcPr>
          <w:p>
            <w:pPr>
              <w:pStyle w:val="TableParagraph"/>
              <w:spacing w:before="71"/>
              <w:ind w:left="52"/>
              <w:jc w:val="center"/>
              <w:rPr>
                <w:sz w:val="18"/>
              </w:rPr>
            </w:pPr>
            <w:r>
              <w:rPr>
                <w:color w:val="231F20"/>
                <w:w w:val="95"/>
                <w:sz w:val="18"/>
              </w:rPr>
              <w:t>-</w:t>
            </w:r>
          </w:p>
        </w:tc>
        <w:tc>
          <w:tcPr>
            <w:tcW w:w="624" w:type="dxa"/>
          </w:tcPr>
          <w:p>
            <w:pPr>
              <w:pStyle w:val="TableParagraph"/>
              <w:ind w:right="226"/>
              <w:jc w:val="right"/>
              <w:rPr>
                <w:sz w:val="17"/>
              </w:rPr>
            </w:pPr>
            <w:r>
              <w:rPr>
                <w:color w:val="231F20"/>
                <w:w w:val="115"/>
                <w:sz w:val="17"/>
              </w:rPr>
              <w:t>11</w:t>
            </w:r>
          </w:p>
        </w:tc>
        <w:tc>
          <w:tcPr>
            <w:tcW w:w="624" w:type="dxa"/>
          </w:tcPr>
          <w:p>
            <w:pPr>
              <w:pStyle w:val="TableParagraph"/>
              <w:ind w:left="143"/>
              <w:rPr>
                <w:sz w:val="17"/>
              </w:rPr>
            </w:pPr>
            <w:r>
              <w:rPr>
                <w:color w:val="231F20"/>
                <w:w w:val="110"/>
                <w:sz w:val="17"/>
              </w:rPr>
              <w:t>3,17</w:t>
            </w:r>
          </w:p>
        </w:tc>
        <w:tc>
          <w:tcPr>
            <w:tcW w:w="624" w:type="dxa"/>
          </w:tcPr>
          <w:p>
            <w:pPr>
              <w:pStyle w:val="TableParagraph"/>
              <w:ind w:right="281"/>
              <w:jc w:val="right"/>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1176" w:type="dxa"/>
          </w:tcPr>
          <w:p>
            <w:pPr>
              <w:pStyle w:val="TableParagraph"/>
              <w:ind w:left="414" w:right="337"/>
              <w:jc w:val="center"/>
              <w:rPr>
                <w:sz w:val="17"/>
              </w:rPr>
            </w:pPr>
            <w:r>
              <w:rPr>
                <w:color w:val="231F20"/>
                <w:w w:val="115"/>
                <w:sz w:val="17"/>
              </w:rPr>
              <w:t>11</w:t>
            </w:r>
          </w:p>
        </w:tc>
        <w:tc>
          <w:tcPr>
            <w:tcW w:w="680" w:type="dxa"/>
          </w:tcPr>
          <w:p>
            <w:pPr>
              <w:pStyle w:val="TableParagraph"/>
              <w:ind w:right="106"/>
              <w:jc w:val="right"/>
              <w:rPr>
                <w:sz w:val="17"/>
              </w:rPr>
            </w:pPr>
            <w:r>
              <w:rPr>
                <w:color w:val="231F20"/>
                <w:w w:val="110"/>
                <w:sz w:val="17"/>
              </w:rPr>
              <w:t>3,17</w:t>
            </w:r>
          </w:p>
        </w:tc>
        <w:tc>
          <w:tcPr>
            <w:tcW w:w="680" w:type="dxa"/>
            <w:tcBorders>
              <w:right w:val="nil"/>
            </w:tcBorders>
          </w:tcPr>
          <w:p>
            <w:pPr>
              <w:pStyle w:val="TableParagraph"/>
              <w:ind w:right="111"/>
              <w:jc w:val="right"/>
              <w:rPr>
                <w:sz w:val="17"/>
              </w:rPr>
            </w:pPr>
            <w:r>
              <w:rPr>
                <w:color w:val="231F20"/>
                <w:w w:val="110"/>
                <w:sz w:val="17"/>
              </w:rPr>
              <w:t>10,2</w:t>
            </w:r>
          </w:p>
        </w:tc>
      </w:tr>
      <w:tr>
        <w:trPr>
          <w:trHeight w:val="454" w:hRule="exact"/>
        </w:trPr>
        <w:tc>
          <w:tcPr>
            <w:tcW w:w="1200" w:type="dxa"/>
            <w:tcBorders>
              <w:left w:val="nil"/>
            </w:tcBorders>
          </w:tcPr>
          <w:p>
            <w:pPr>
              <w:pStyle w:val="TableParagraph"/>
              <w:ind w:left="113"/>
              <w:rPr>
                <w:sz w:val="17"/>
              </w:rPr>
            </w:pPr>
            <w:r>
              <w:rPr>
                <w:color w:val="231F20"/>
                <w:sz w:val="17"/>
              </w:rPr>
              <w:t>Animales</w:t>
            </w:r>
          </w:p>
        </w:tc>
        <w:tc>
          <w:tcPr>
            <w:tcW w:w="624" w:type="dxa"/>
          </w:tcPr>
          <w:p>
            <w:pPr>
              <w:pStyle w:val="TableParagraph"/>
              <w:jc w:val="center"/>
              <w:rPr>
                <w:sz w:val="17"/>
              </w:rPr>
            </w:pPr>
            <w:r>
              <w:rPr>
                <w:color w:val="231F20"/>
                <w:w w:val="95"/>
                <w:sz w:val="17"/>
              </w:rPr>
              <w:t>-</w:t>
            </w:r>
          </w:p>
        </w:tc>
        <w:tc>
          <w:tcPr>
            <w:tcW w:w="680" w:type="dxa"/>
          </w:tcPr>
          <w:p>
            <w:pPr>
              <w:pStyle w:val="TableParagraph"/>
              <w:ind w:left="49"/>
              <w:jc w:val="center"/>
              <w:rPr>
                <w:sz w:val="17"/>
              </w:rPr>
            </w:pPr>
            <w:r>
              <w:rPr>
                <w:color w:val="231F20"/>
                <w:w w:val="95"/>
                <w:sz w:val="17"/>
              </w:rPr>
              <w:t>-</w:t>
            </w:r>
          </w:p>
        </w:tc>
        <w:tc>
          <w:tcPr>
            <w:tcW w:w="624" w:type="dxa"/>
          </w:tcPr>
          <w:p>
            <w:pPr>
              <w:pStyle w:val="TableParagraph"/>
              <w:ind w:right="219"/>
              <w:jc w:val="right"/>
              <w:rPr>
                <w:sz w:val="17"/>
              </w:rPr>
            </w:pPr>
            <w:r>
              <w:rPr>
                <w:color w:val="231F20"/>
                <w:w w:val="115"/>
                <w:sz w:val="17"/>
              </w:rPr>
              <w:t>1</w:t>
            </w:r>
          </w:p>
        </w:tc>
        <w:tc>
          <w:tcPr>
            <w:tcW w:w="624" w:type="dxa"/>
          </w:tcPr>
          <w:p>
            <w:pPr>
              <w:pStyle w:val="TableParagraph"/>
              <w:ind w:left="142"/>
              <w:rPr>
                <w:sz w:val="17"/>
              </w:rPr>
            </w:pPr>
            <w:r>
              <w:rPr>
                <w:color w:val="231F20"/>
                <w:w w:val="110"/>
                <w:sz w:val="17"/>
              </w:rPr>
              <w:t>0,29</w:t>
            </w:r>
          </w:p>
        </w:tc>
        <w:tc>
          <w:tcPr>
            <w:tcW w:w="624" w:type="dxa"/>
          </w:tcPr>
          <w:p>
            <w:pPr>
              <w:pStyle w:val="TableParagraph"/>
              <w:ind w:right="212"/>
              <w:jc w:val="right"/>
              <w:rPr>
                <w:sz w:val="17"/>
              </w:rPr>
            </w:pPr>
            <w:r>
              <w:rPr>
                <w:color w:val="231F20"/>
                <w:w w:val="115"/>
                <w:sz w:val="17"/>
              </w:rPr>
              <w:t>2</w:t>
            </w:r>
          </w:p>
        </w:tc>
        <w:tc>
          <w:tcPr>
            <w:tcW w:w="624" w:type="dxa"/>
          </w:tcPr>
          <w:p>
            <w:pPr>
              <w:pStyle w:val="TableParagraph"/>
              <w:ind w:left="92" w:right="92"/>
              <w:jc w:val="center"/>
              <w:rPr>
                <w:sz w:val="17"/>
              </w:rPr>
            </w:pPr>
            <w:r>
              <w:rPr>
                <w:color w:val="231F20"/>
                <w:w w:val="110"/>
                <w:sz w:val="17"/>
              </w:rPr>
              <w:t>0,50</w:t>
            </w:r>
          </w:p>
        </w:tc>
        <w:tc>
          <w:tcPr>
            <w:tcW w:w="624" w:type="dxa"/>
          </w:tcPr>
          <w:p>
            <w:pPr>
              <w:pStyle w:val="TableParagraph"/>
              <w:jc w:val="center"/>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1176" w:type="dxa"/>
          </w:tcPr>
          <w:p>
            <w:pPr>
              <w:pStyle w:val="TableParagraph"/>
              <w:ind w:left="170"/>
              <w:jc w:val="center"/>
              <w:rPr>
                <w:sz w:val="17"/>
              </w:rPr>
            </w:pPr>
            <w:r>
              <w:rPr>
                <w:color w:val="231F20"/>
                <w:w w:val="115"/>
                <w:sz w:val="17"/>
              </w:rPr>
              <w:t>3</w:t>
            </w:r>
          </w:p>
        </w:tc>
        <w:tc>
          <w:tcPr>
            <w:tcW w:w="680" w:type="dxa"/>
          </w:tcPr>
          <w:p>
            <w:pPr>
              <w:pStyle w:val="TableParagraph"/>
              <w:ind w:right="113"/>
              <w:jc w:val="right"/>
              <w:rPr>
                <w:sz w:val="17"/>
              </w:rPr>
            </w:pPr>
            <w:r>
              <w:rPr>
                <w:color w:val="231F20"/>
                <w:w w:val="110"/>
                <w:sz w:val="17"/>
              </w:rPr>
              <w:t>0,79</w:t>
            </w:r>
          </w:p>
        </w:tc>
        <w:tc>
          <w:tcPr>
            <w:tcW w:w="680" w:type="dxa"/>
            <w:tcBorders>
              <w:right w:val="nil"/>
            </w:tcBorders>
          </w:tcPr>
          <w:p>
            <w:pPr>
              <w:pStyle w:val="TableParagraph"/>
              <w:ind w:right="111"/>
              <w:jc w:val="right"/>
              <w:rPr>
                <w:sz w:val="17"/>
              </w:rPr>
            </w:pPr>
            <w:r>
              <w:rPr>
                <w:color w:val="231F20"/>
                <w:w w:val="110"/>
                <w:sz w:val="17"/>
              </w:rPr>
              <w:t>2,5</w:t>
            </w:r>
          </w:p>
        </w:tc>
      </w:tr>
      <w:tr>
        <w:trPr>
          <w:trHeight w:val="454" w:hRule="exact"/>
        </w:trPr>
        <w:tc>
          <w:tcPr>
            <w:tcW w:w="1200" w:type="dxa"/>
            <w:tcBorders>
              <w:left w:val="nil"/>
            </w:tcBorders>
          </w:tcPr>
          <w:p>
            <w:pPr>
              <w:pStyle w:val="TableParagraph"/>
              <w:ind w:left="113"/>
              <w:rPr>
                <w:sz w:val="17"/>
              </w:rPr>
            </w:pPr>
            <w:r>
              <w:rPr>
                <w:color w:val="231F20"/>
                <w:sz w:val="17"/>
              </w:rPr>
              <w:t>Cultivos</w:t>
            </w:r>
          </w:p>
        </w:tc>
        <w:tc>
          <w:tcPr>
            <w:tcW w:w="624" w:type="dxa"/>
          </w:tcPr>
          <w:p>
            <w:pPr>
              <w:pStyle w:val="TableParagraph"/>
              <w:ind w:left="49"/>
              <w:jc w:val="center"/>
              <w:rPr>
                <w:sz w:val="17"/>
              </w:rPr>
            </w:pPr>
            <w:r>
              <w:rPr>
                <w:color w:val="231F20"/>
                <w:w w:val="95"/>
                <w:sz w:val="17"/>
              </w:rPr>
              <w:t>-</w:t>
            </w:r>
          </w:p>
        </w:tc>
        <w:tc>
          <w:tcPr>
            <w:tcW w:w="680" w:type="dxa"/>
          </w:tcPr>
          <w:p>
            <w:pPr>
              <w:pStyle w:val="TableParagraph"/>
              <w:jc w:val="center"/>
              <w:rPr>
                <w:sz w:val="17"/>
              </w:rPr>
            </w:pPr>
            <w:r>
              <w:rPr>
                <w:color w:val="231F20"/>
                <w:w w:val="95"/>
                <w:sz w:val="17"/>
              </w:rPr>
              <w:t>-</w:t>
            </w:r>
          </w:p>
        </w:tc>
        <w:tc>
          <w:tcPr>
            <w:tcW w:w="624" w:type="dxa"/>
          </w:tcPr>
          <w:p>
            <w:pPr>
              <w:pStyle w:val="TableParagraph"/>
              <w:ind w:right="219"/>
              <w:jc w:val="right"/>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624" w:type="dxa"/>
          </w:tcPr>
          <w:p>
            <w:pPr>
              <w:pStyle w:val="TableParagraph"/>
              <w:ind w:right="212"/>
              <w:jc w:val="right"/>
              <w:rPr>
                <w:sz w:val="17"/>
              </w:rPr>
            </w:pPr>
            <w:r>
              <w:rPr>
                <w:color w:val="231F20"/>
                <w:w w:val="115"/>
                <w:sz w:val="17"/>
              </w:rPr>
              <w:t>2</w:t>
            </w:r>
          </w:p>
        </w:tc>
        <w:tc>
          <w:tcPr>
            <w:tcW w:w="624" w:type="dxa"/>
          </w:tcPr>
          <w:p>
            <w:pPr>
              <w:pStyle w:val="TableParagraph"/>
              <w:ind w:left="92" w:right="92"/>
              <w:jc w:val="center"/>
              <w:rPr>
                <w:sz w:val="17"/>
              </w:rPr>
            </w:pPr>
            <w:r>
              <w:rPr>
                <w:color w:val="231F20"/>
                <w:w w:val="110"/>
                <w:sz w:val="17"/>
              </w:rPr>
              <w:t>0,50</w:t>
            </w:r>
          </w:p>
        </w:tc>
        <w:tc>
          <w:tcPr>
            <w:tcW w:w="624" w:type="dxa"/>
          </w:tcPr>
          <w:p>
            <w:pPr>
              <w:pStyle w:val="TableParagraph"/>
              <w:ind w:left="85"/>
              <w:jc w:val="center"/>
              <w:rPr>
                <w:sz w:val="17"/>
              </w:rPr>
            </w:pPr>
            <w:r>
              <w:rPr>
                <w:color w:val="231F20"/>
                <w:w w:val="115"/>
                <w:sz w:val="17"/>
              </w:rPr>
              <w:t>1</w:t>
            </w:r>
          </w:p>
        </w:tc>
        <w:tc>
          <w:tcPr>
            <w:tcW w:w="624" w:type="dxa"/>
          </w:tcPr>
          <w:p>
            <w:pPr>
              <w:pStyle w:val="TableParagraph"/>
              <w:ind w:left="92" w:right="92"/>
              <w:jc w:val="center"/>
              <w:rPr>
                <w:sz w:val="17"/>
              </w:rPr>
            </w:pPr>
            <w:r>
              <w:rPr>
                <w:color w:val="231F20"/>
                <w:w w:val="110"/>
                <w:sz w:val="17"/>
              </w:rPr>
              <w:t>0,08</w:t>
            </w:r>
          </w:p>
        </w:tc>
        <w:tc>
          <w:tcPr>
            <w:tcW w:w="1176" w:type="dxa"/>
          </w:tcPr>
          <w:p>
            <w:pPr>
              <w:pStyle w:val="TableParagraph"/>
              <w:ind w:left="170"/>
              <w:jc w:val="center"/>
              <w:rPr>
                <w:sz w:val="17"/>
              </w:rPr>
            </w:pPr>
            <w:r>
              <w:rPr>
                <w:color w:val="231F20"/>
                <w:w w:val="115"/>
                <w:sz w:val="17"/>
              </w:rPr>
              <w:t>3</w:t>
            </w:r>
          </w:p>
        </w:tc>
        <w:tc>
          <w:tcPr>
            <w:tcW w:w="680" w:type="dxa"/>
          </w:tcPr>
          <w:p>
            <w:pPr>
              <w:pStyle w:val="TableParagraph"/>
              <w:ind w:right="106"/>
              <w:jc w:val="right"/>
              <w:rPr>
                <w:sz w:val="17"/>
              </w:rPr>
            </w:pPr>
            <w:r>
              <w:rPr>
                <w:color w:val="231F20"/>
                <w:w w:val="110"/>
                <w:sz w:val="17"/>
              </w:rPr>
              <w:t>0,58</w:t>
            </w:r>
          </w:p>
        </w:tc>
        <w:tc>
          <w:tcPr>
            <w:tcW w:w="680" w:type="dxa"/>
            <w:tcBorders>
              <w:right w:val="nil"/>
            </w:tcBorders>
          </w:tcPr>
          <w:p>
            <w:pPr>
              <w:pStyle w:val="TableParagraph"/>
              <w:ind w:right="111"/>
              <w:jc w:val="right"/>
              <w:rPr>
                <w:sz w:val="17"/>
              </w:rPr>
            </w:pPr>
            <w:r>
              <w:rPr>
                <w:color w:val="231F20"/>
                <w:w w:val="110"/>
                <w:sz w:val="17"/>
              </w:rPr>
              <w:t>1,9</w:t>
            </w:r>
          </w:p>
        </w:tc>
      </w:tr>
      <w:tr>
        <w:trPr>
          <w:trHeight w:val="454" w:hRule="exact"/>
        </w:trPr>
        <w:tc>
          <w:tcPr>
            <w:tcW w:w="1200" w:type="dxa"/>
            <w:tcBorders>
              <w:left w:val="nil"/>
            </w:tcBorders>
          </w:tcPr>
          <w:p>
            <w:pPr>
              <w:pStyle w:val="TableParagraph"/>
              <w:ind w:left="113"/>
              <w:rPr>
                <w:sz w:val="17"/>
              </w:rPr>
            </w:pPr>
            <w:r>
              <w:rPr>
                <w:color w:val="231F20"/>
                <w:w w:val="105"/>
                <w:sz w:val="17"/>
              </w:rPr>
              <w:t>Hongos</w:t>
            </w:r>
          </w:p>
        </w:tc>
        <w:tc>
          <w:tcPr>
            <w:tcW w:w="624" w:type="dxa"/>
          </w:tcPr>
          <w:p>
            <w:pPr>
              <w:pStyle w:val="TableParagraph"/>
              <w:jc w:val="center"/>
              <w:rPr>
                <w:sz w:val="17"/>
              </w:rPr>
            </w:pPr>
            <w:r>
              <w:rPr>
                <w:color w:val="231F20"/>
                <w:w w:val="95"/>
                <w:sz w:val="17"/>
              </w:rPr>
              <w:t>-</w:t>
            </w:r>
          </w:p>
        </w:tc>
        <w:tc>
          <w:tcPr>
            <w:tcW w:w="680" w:type="dxa"/>
          </w:tcPr>
          <w:p>
            <w:pPr>
              <w:pStyle w:val="TableParagraph"/>
              <w:jc w:val="center"/>
              <w:rPr>
                <w:sz w:val="17"/>
              </w:rPr>
            </w:pPr>
            <w:r>
              <w:rPr>
                <w:color w:val="231F20"/>
                <w:w w:val="95"/>
                <w:sz w:val="17"/>
              </w:rPr>
              <w:t>-</w:t>
            </w:r>
          </w:p>
        </w:tc>
        <w:tc>
          <w:tcPr>
            <w:tcW w:w="624" w:type="dxa"/>
          </w:tcPr>
          <w:p>
            <w:pPr>
              <w:pStyle w:val="TableParagraph"/>
              <w:ind w:right="219"/>
              <w:jc w:val="right"/>
              <w:rPr>
                <w:sz w:val="17"/>
              </w:rPr>
            </w:pPr>
            <w:r>
              <w:rPr>
                <w:color w:val="231F20"/>
                <w:w w:val="95"/>
                <w:sz w:val="17"/>
              </w:rPr>
              <w:t>-</w:t>
            </w:r>
          </w:p>
        </w:tc>
        <w:tc>
          <w:tcPr>
            <w:tcW w:w="624" w:type="dxa"/>
          </w:tcPr>
          <w:p>
            <w:pPr>
              <w:pStyle w:val="TableParagraph"/>
              <w:ind w:left="49"/>
              <w:jc w:val="center"/>
              <w:rPr>
                <w:sz w:val="17"/>
              </w:rPr>
            </w:pPr>
            <w:r>
              <w:rPr>
                <w:color w:val="231F20"/>
                <w:w w:val="95"/>
                <w:sz w:val="17"/>
              </w:rPr>
              <w:t>-</w:t>
            </w:r>
          </w:p>
        </w:tc>
        <w:tc>
          <w:tcPr>
            <w:tcW w:w="624" w:type="dxa"/>
          </w:tcPr>
          <w:p>
            <w:pPr>
              <w:pStyle w:val="TableParagraph"/>
              <w:ind w:right="212"/>
              <w:jc w:val="right"/>
              <w:rPr>
                <w:sz w:val="17"/>
              </w:rPr>
            </w:pPr>
            <w:r>
              <w:rPr>
                <w:color w:val="231F20"/>
                <w:w w:val="115"/>
                <w:sz w:val="17"/>
              </w:rPr>
              <w:t>2</w:t>
            </w:r>
          </w:p>
        </w:tc>
        <w:tc>
          <w:tcPr>
            <w:tcW w:w="624" w:type="dxa"/>
          </w:tcPr>
          <w:p>
            <w:pPr>
              <w:pStyle w:val="TableParagraph"/>
              <w:ind w:left="92" w:right="92"/>
              <w:jc w:val="center"/>
              <w:rPr>
                <w:sz w:val="17"/>
              </w:rPr>
            </w:pPr>
            <w:r>
              <w:rPr>
                <w:color w:val="231F20"/>
                <w:w w:val="110"/>
                <w:sz w:val="17"/>
              </w:rPr>
              <w:t>0,50</w:t>
            </w:r>
          </w:p>
        </w:tc>
        <w:tc>
          <w:tcPr>
            <w:tcW w:w="624" w:type="dxa"/>
          </w:tcPr>
          <w:p>
            <w:pPr>
              <w:pStyle w:val="TableParagraph"/>
              <w:ind w:left="85"/>
              <w:jc w:val="center"/>
              <w:rPr>
                <w:sz w:val="17"/>
              </w:rPr>
            </w:pPr>
            <w:r>
              <w:rPr>
                <w:color w:val="231F20"/>
                <w:w w:val="115"/>
                <w:sz w:val="17"/>
              </w:rPr>
              <w:t>2</w:t>
            </w:r>
          </w:p>
        </w:tc>
        <w:tc>
          <w:tcPr>
            <w:tcW w:w="624" w:type="dxa"/>
          </w:tcPr>
          <w:p>
            <w:pPr>
              <w:pStyle w:val="TableParagraph"/>
              <w:ind w:left="92" w:right="92"/>
              <w:jc w:val="center"/>
              <w:rPr>
                <w:sz w:val="17"/>
              </w:rPr>
            </w:pPr>
            <w:r>
              <w:rPr>
                <w:color w:val="231F20"/>
                <w:w w:val="110"/>
                <w:sz w:val="17"/>
              </w:rPr>
              <w:t>0,15</w:t>
            </w:r>
          </w:p>
        </w:tc>
        <w:tc>
          <w:tcPr>
            <w:tcW w:w="1176" w:type="dxa"/>
          </w:tcPr>
          <w:p>
            <w:pPr>
              <w:pStyle w:val="TableParagraph"/>
              <w:ind w:left="170"/>
              <w:jc w:val="center"/>
              <w:rPr>
                <w:sz w:val="17"/>
              </w:rPr>
            </w:pPr>
            <w:r>
              <w:rPr>
                <w:color w:val="231F20"/>
                <w:w w:val="115"/>
                <w:sz w:val="17"/>
              </w:rPr>
              <w:t>4</w:t>
            </w:r>
          </w:p>
        </w:tc>
        <w:tc>
          <w:tcPr>
            <w:tcW w:w="680" w:type="dxa"/>
          </w:tcPr>
          <w:p>
            <w:pPr>
              <w:pStyle w:val="TableParagraph"/>
              <w:ind w:right="106"/>
              <w:jc w:val="right"/>
              <w:rPr>
                <w:sz w:val="17"/>
              </w:rPr>
            </w:pPr>
            <w:r>
              <w:rPr>
                <w:color w:val="231F20"/>
                <w:w w:val="110"/>
                <w:sz w:val="17"/>
              </w:rPr>
              <w:t>0,65</w:t>
            </w:r>
          </w:p>
        </w:tc>
        <w:tc>
          <w:tcPr>
            <w:tcW w:w="680" w:type="dxa"/>
            <w:tcBorders>
              <w:right w:val="nil"/>
            </w:tcBorders>
          </w:tcPr>
          <w:p>
            <w:pPr>
              <w:pStyle w:val="TableParagraph"/>
              <w:ind w:right="111"/>
              <w:jc w:val="right"/>
              <w:rPr>
                <w:sz w:val="17"/>
              </w:rPr>
            </w:pPr>
            <w:r>
              <w:rPr>
                <w:color w:val="231F20"/>
                <w:w w:val="110"/>
                <w:sz w:val="17"/>
              </w:rPr>
              <w:t>2,1</w:t>
            </w:r>
          </w:p>
        </w:tc>
      </w:tr>
      <w:tr>
        <w:trPr>
          <w:trHeight w:val="454" w:hRule="exact"/>
        </w:trPr>
        <w:tc>
          <w:tcPr>
            <w:tcW w:w="1200" w:type="dxa"/>
            <w:tcBorders>
              <w:left w:val="nil"/>
            </w:tcBorders>
          </w:tcPr>
          <w:p>
            <w:pPr>
              <w:pStyle w:val="TableParagraph"/>
              <w:ind w:left="113"/>
              <w:rPr>
                <w:sz w:val="17"/>
              </w:rPr>
            </w:pPr>
            <w:r>
              <w:rPr>
                <w:color w:val="231F20"/>
                <w:sz w:val="17"/>
              </w:rPr>
              <w:t>Madera</w:t>
            </w:r>
          </w:p>
        </w:tc>
        <w:tc>
          <w:tcPr>
            <w:tcW w:w="624" w:type="dxa"/>
          </w:tcPr>
          <w:p>
            <w:pPr>
              <w:pStyle w:val="TableParagraph"/>
              <w:ind w:left="49"/>
              <w:jc w:val="center"/>
              <w:rPr>
                <w:sz w:val="17"/>
              </w:rPr>
            </w:pPr>
            <w:r>
              <w:rPr>
                <w:color w:val="231F20"/>
                <w:w w:val="95"/>
                <w:sz w:val="17"/>
              </w:rPr>
              <w:t>-</w:t>
            </w:r>
          </w:p>
        </w:tc>
        <w:tc>
          <w:tcPr>
            <w:tcW w:w="680" w:type="dxa"/>
          </w:tcPr>
          <w:p>
            <w:pPr>
              <w:pStyle w:val="TableParagraph"/>
              <w:jc w:val="center"/>
              <w:rPr>
                <w:sz w:val="17"/>
              </w:rPr>
            </w:pPr>
            <w:r>
              <w:rPr>
                <w:color w:val="231F20"/>
                <w:w w:val="95"/>
                <w:sz w:val="17"/>
              </w:rPr>
              <w:t>-</w:t>
            </w:r>
          </w:p>
        </w:tc>
        <w:tc>
          <w:tcPr>
            <w:tcW w:w="624" w:type="dxa"/>
          </w:tcPr>
          <w:p>
            <w:pPr>
              <w:pStyle w:val="TableParagraph"/>
              <w:ind w:right="219"/>
              <w:jc w:val="right"/>
              <w:rPr>
                <w:sz w:val="17"/>
              </w:rPr>
            </w:pPr>
            <w:r>
              <w:rPr>
                <w:color w:val="231F20"/>
                <w:w w:val="115"/>
                <w:sz w:val="17"/>
              </w:rPr>
              <w:t>2</w:t>
            </w:r>
          </w:p>
        </w:tc>
        <w:tc>
          <w:tcPr>
            <w:tcW w:w="624" w:type="dxa"/>
          </w:tcPr>
          <w:p>
            <w:pPr>
              <w:pStyle w:val="TableParagraph"/>
              <w:ind w:left="142"/>
              <w:rPr>
                <w:sz w:val="17"/>
              </w:rPr>
            </w:pPr>
            <w:r>
              <w:rPr>
                <w:color w:val="231F20"/>
                <w:w w:val="110"/>
                <w:sz w:val="17"/>
              </w:rPr>
              <w:t>0,58</w:t>
            </w:r>
          </w:p>
        </w:tc>
        <w:tc>
          <w:tcPr>
            <w:tcW w:w="624" w:type="dxa"/>
          </w:tcPr>
          <w:p>
            <w:pPr>
              <w:pStyle w:val="TableParagraph"/>
              <w:ind w:right="212"/>
              <w:jc w:val="right"/>
              <w:rPr>
                <w:sz w:val="17"/>
              </w:rPr>
            </w:pPr>
            <w:r>
              <w:rPr>
                <w:color w:val="231F20"/>
                <w:w w:val="115"/>
                <w:sz w:val="17"/>
              </w:rPr>
              <w:t>4</w:t>
            </w:r>
          </w:p>
        </w:tc>
        <w:tc>
          <w:tcPr>
            <w:tcW w:w="624" w:type="dxa"/>
          </w:tcPr>
          <w:p>
            <w:pPr>
              <w:pStyle w:val="TableParagraph"/>
              <w:ind w:left="92" w:right="92"/>
              <w:jc w:val="center"/>
              <w:rPr>
                <w:sz w:val="17"/>
              </w:rPr>
            </w:pPr>
            <w:r>
              <w:rPr>
                <w:color w:val="231F20"/>
                <w:w w:val="110"/>
                <w:sz w:val="17"/>
              </w:rPr>
              <w:t>1,00</w:t>
            </w:r>
          </w:p>
        </w:tc>
        <w:tc>
          <w:tcPr>
            <w:tcW w:w="624" w:type="dxa"/>
          </w:tcPr>
          <w:p>
            <w:pPr>
              <w:pStyle w:val="TableParagraph"/>
              <w:ind w:left="85"/>
              <w:jc w:val="center"/>
              <w:rPr>
                <w:sz w:val="17"/>
              </w:rPr>
            </w:pPr>
            <w:r>
              <w:rPr>
                <w:color w:val="231F20"/>
                <w:w w:val="115"/>
                <w:sz w:val="17"/>
              </w:rPr>
              <w:t>2</w:t>
            </w:r>
          </w:p>
        </w:tc>
        <w:tc>
          <w:tcPr>
            <w:tcW w:w="624" w:type="dxa"/>
          </w:tcPr>
          <w:p>
            <w:pPr>
              <w:pStyle w:val="TableParagraph"/>
              <w:ind w:left="92" w:right="92"/>
              <w:jc w:val="center"/>
              <w:rPr>
                <w:sz w:val="17"/>
              </w:rPr>
            </w:pPr>
            <w:r>
              <w:rPr>
                <w:color w:val="231F20"/>
                <w:w w:val="110"/>
                <w:sz w:val="17"/>
              </w:rPr>
              <w:t>0,15</w:t>
            </w:r>
          </w:p>
        </w:tc>
        <w:tc>
          <w:tcPr>
            <w:tcW w:w="1176" w:type="dxa"/>
          </w:tcPr>
          <w:p>
            <w:pPr>
              <w:pStyle w:val="TableParagraph"/>
              <w:ind w:left="170"/>
              <w:jc w:val="center"/>
              <w:rPr>
                <w:sz w:val="17"/>
              </w:rPr>
            </w:pPr>
            <w:r>
              <w:rPr>
                <w:color w:val="231F20"/>
                <w:w w:val="115"/>
                <w:sz w:val="17"/>
              </w:rPr>
              <w:t>8</w:t>
            </w:r>
          </w:p>
        </w:tc>
        <w:tc>
          <w:tcPr>
            <w:tcW w:w="680" w:type="dxa"/>
          </w:tcPr>
          <w:p>
            <w:pPr>
              <w:pStyle w:val="TableParagraph"/>
              <w:ind w:right="113"/>
              <w:jc w:val="right"/>
              <w:rPr>
                <w:sz w:val="17"/>
              </w:rPr>
            </w:pPr>
            <w:r>
              <w:rPr>
                <w:color w:val="231F20"/>
                <w:w w:val="110"/>
                <w:sz w:val="17"/>
              </w:rPr>
              <w:t>1,73</w:t>
            </w:r>
          </w:p>
        </w:tc>
        <w:tc>
          <w:tcPr>
            <w:tcW w:w="680" w:type="dxa"/>
            <w:tcBorders>
              <w:right w:val="nil"/>
            </w:tcBorders>
          </w:tcPr>
          <w:p>
            <w:pPr>
              <w:pStyle w:val="TableParagraph"/>
              <w:ind w:right="111"/>
              <w:jc w:val="right"/>
              <w:rPr>
                <w:sz w:val="17"/>
              </w:rPr>
            </w:pPr>
            <w:r>
              <w:rPr>
                <w:color w:val="231F20"/>
                <w:w w:val="110"/>
                <w:sz w:val="17"/>
              </w:rPr>
              <w:t>5,6</w:t>
            </w:r>
          </w:p>
        </w:tc>
      </w:tr>
      <w:tr>
        <w:trPr>
          <w:trHeight w:val="454" w:hRule="exact"/>
        </w:trPr>
        <w:tc>
          <w:tcPr>
            <w:tcW w:w="1200" w:type="dxa"/>
            <w:tcBorders>
              <w:left w:val="nil"/>
            </w:tcBorders>
          </w:tcPr>
          <w:p>
            <w:pPr>
              <w:pStyle w:val="TableParagraph"/>
              <w:ind w:left="113"/>
              <w:rPr>
                <w:sz w:val="17"/>
              </w:rPr>
            </w:pPr>
            <w:r>
              <w:rPr>
                <w:color w:val="231F20"/>
                <w:sz w:val="17"/>
              </w:rPr>
              <w:t>Quelites</w:t>
            </w:r>
          </w:p>
        </w:tc>
        <w:tc>
          <w:tcPr>
            <w:tcW w:w="624" w:type="dxa"/>
          </w:tcPr>
          <w:p>
            <w:pPr>
              <w:pStyle w:val="TableParagraph"/>
              <w:ind w:left="49"/>
              <w:jc w:val="center"/>
              <w:rPr>
                <w:sz w:val="17"/>
              </w:rPr>
            </w:pPr>
            <w:r>
              <w:rPr>
                <w:color w:val="231F20"/>
                <w:w w:val="95"/>
                <w:sz w:val="17"/>
              </w:rPr>
              <w:t>-</w:t>
            </w:r>
          </w:p>
        </w:tc>
        <w:tc>
          <w:tcPr>
            <w:tcW w:w="680" w:type="dxa"/>
          </w:tcPr>
          <w:p>
            <w:pPr>
              <w:pStyle w:val="TableParagraph"/>
              <w:spacing w:before="71"/>
              <w:ind w:left="52"/>
              <w:jc w:val="center"/>
              <w:rPr>
                <w:sz w:val="18"/>
              </w:rPr>
            </w:pPr>
            <w:r>
              <w:rPr>
                <w:color w:val="231F20"/>
                <w:w w:val="95"/>
                <w:sz w:val="18"/>
              </w:rPr>
              <w:t>-</w:t>
            </w:r>
          </w:p>
        </w:tc>
        <w:tc>
          <w:tcPr>
            <w:tcW w:w="624" w:type="dxa"/>
          </w:tcPr>
          <w:p>
            <w:pPr>
              <w:pStyle w:val="TableParagraph"/>
              <w:ind w:right="219"/>
              <w:jc w:val="right"/>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624" w:type="dxa"/>
          </w:tcPr>
          <w:p>
            <w:pPr>
              <w:pStyle w:val="TableParagraph"/>
              <w:ind w:right="212"/>
              <w:jc w:val="right"/>
              <w:rPr>
                <w:sz w:val="17"/>
              </w:rPr>
            </w:pPr>
            <w:r>
              <w:rPr>
                <w:color w:val="231F20"/>
                <w:w w:val="115"/>
                <w:sz w:val="17"/>
              </w:rPr>
              <w:t>1</w:t>
            </w:r>
          </w:p>
        </w:tc>
        <w:tc>
          <w:tcPr>
            <w:tcW w:w="624" w:type="dxa"/>
          </w:tcPr>
          <w:p>
            <w:pPr>
              <w:pStyle w:val="TableParagraph"/>
              <w:ind w:left="92" w:right="92"/>
              <w:jc w:val="center"/>
              <w:rPr>
                <w:sz w:val="17"/>
              </w:rPr>
            </w:pPr>
            <w:r>
              <w:rPr>
                <w:color w:val="231F20"/>
                <w:w w:val="110"/>
                <w:sz w:val="17"/>
              </w:rPr>
              <w:t>0,25</w:t>
            </w:r>
          </w:p>
        </w:tc>
        <w:tc>
          <w:tcPr>
            <w:tcW w:w="624" w:type="dxa"/>
          </w:tcPr>
          <w:p>
            <w:pPr>
              <w:pStyle w:val="TableParagraph"/>
              <w:ind w:left="85"/>
              <w:jc w:val="center"/>
              <w:rPr>
                <w:sz w:val="17"/>
              </w:rPr>
            </w:pPr>
            <w:r>
              <w:rPr>
                <w:color w:val="231F20"/>
                <w:w w:val="115"/>
                <w:sz w:val="17"/>
              </w:rPr>
              <w:t>1</w:t>
            </w:r>
          </w:p>
        </w:tc>
        <w:tc>
          <w:tcPr>
            <w:tcW w:w="624" w:type="dxa"/>
          </w:tcPr>
          <w:p>
            <w:pPr>
              <w:pStyle w:val="TableParagraph"/>
              <w:ind w:left="92" w:right="92"/>
              <w:jc w:val="center"/>
              <w:rPr>
                <w:sz w:val="17"/>
              </w:rPr>
            </w:pPr>
            <w:r>
              <w:rPr>
                <w:color w:val="231F20"/>
                <w:w w:val="110"/>
                <w:sz w:val="17"/>
              </w:rPr>
              <w:t>0,08</w:t>
            </w:r>
          </w:p>
        </w:tc>
        <w:tc>
          <w:tcPr>
            <w:tcW w:w="1176" w:type="dxa"/>
          </w:tcPr>
          <w:p>
            <w:pPr>
              <w:pStyle w:val="TableParagraph"/>
              <w:ind w:left="170"/>
              <w:jc w:val="center"/>
              <w:rPr>
                <w:sz w:val="17"/>
              </w:rPr>
            </w:pPr>
            <w:r>
              <w:rPr>
                <w:color w:val="231F20"/>
                <w:w w:val="115"/>
                <w:sz w:val="17"/>
              </w:rPr>
              <w:t>2</w:t>
            </w:r>
          </w:p>
        </w:tc>
        <w:tc>
          <w:tcPr>
            <w:tcW w:w="680" w:type="dxa"/>
          </w:tcPr>
          <w:p>
            <w:pPr>
              <w:pStyle w:val="TableParagraph"/>
              <w:ind w:right="106"/>
              <w:jc w:val="right"/>
              <w:rPr>
                <w:sz w:val="17"/>
              </w:rPr>
            </w:pPr>
            <w:r>
              <w:rPr>
                <w:color w:val="231F20"/>
                <w:w w:val="110"/>
                <w:sz w:val="17"/>
              </w:rPr>
              <w:t>0,33</w:t>
            </w:r>
          </w:p>
        </w:tc>
        <w:tc>
          <w:tcPr>
            <w:tcW w:w="680" w:type="dxa"/>
            <w:tcBorders>
              <w:right w:val="nil"/>
            </w:tcBorders>
          </w:tcPr>
          <w:p>
            <w:pPr>
              <w:pStyle w:val="TableParagraph"/>
              <w:ind w:right="111"/>
              <w:jc w:val="right"/>
              <w:rPr>
                <w:sz w:val="17"/>
              </w:rPr>
            </w:pPr>
            <w:r>
              <w:rPr>
                <w:color w:val="231F20"/>
                <w:w w:val="110"/>
                <w:sz w:val="17"/>
              </w:rPr>
              <w:t>1,0</w:t>
            </w:r>
          </w:p>
        </w:tc>
      </w:tr>
      <w:tr>
        <w:trPr>
          <w:trHeight w:val="454" w:hRule="exact"/>
        </w:trPr>
        <w:tc>
          <w:tcPr>
            <w:tcW w:w="1200" w:type="dxa"/>
            <w:tcBorders>
              <w:left w:val="nil"/>
            </w:tcBorders>
          </w:tcPr>
          <w:p>
            <w:pPr>
              <w:pStyle w:val="TableParagraph"/>
              <w:ind w:left="113"/>
              <w:rPr>
                <w:sz w:val="17"/>
              </w:rPr>
            </w:pPr>
            <w:r>
              <w:rPr>
                <w:color w:val="231F20"/>
                <w:sz w:val="17"/>
              </w:rPr>
              <w:t>Medicinales</w:t>
            </w:r>
          </w:p>
        </w:tc>
        <w:tc>
          <w:tcPr>
            <w:tcW w:w="624" w:type="dxa"/>
          </w:tcPr>
          <w:p>
            <w:pPr>
              <w:pStyle w:val="TableParagraph"/>
              <w:jc w:val="center"/>
              <w:rPr>
                <w:sz w:val="17"/>
              </w:rPr>
            </w:pPr>
            <w:r>
              <w:rPr>
                <w:color w:val="231F20"/>
                <w:w w:val="95"/>
                <w:sz w:val="17"/>
              </w:rPr>
              <w:t>-</w:t>
            </w:r>
          </w:p>
        </w:tc>
        <w:tc>
          <w:tcPr>
            <w:tcW w:w="680" w:type="dxa"/>
          </w:tcPr>
          <w:p>
            <w:pPr>
              <w:pStyle w:val="TableParagraph"/>
              <w:jc w:val="center"/>
              <w:rPr>
                <w:sz w:val="17"/>
              </w:rPr>
            </w:pPr>
            <w:r>
              <w:rPr>
                <w:color w:val="231F20"/>
                <w:w w:val="95"/>
                <w:sz w:val="17"/>
              </w:rPr>
              <w:t>-</w:t>
            </w:r>
          </w:p>
        </w:tc>
        <w:tc>
          <w:tcPr>
            <w:tcW w:w="624" w:type="dxa"/>
          </w:tcPr>
          <w:p>
            <w:pPr>
              <w:pStyle w:val="TableParagraph"/>
              <w:ind w:right="219"/>
              <w:jc w:val="right"/>
              <w:rPr>
                <w:sz w:val="17"/>
              </w:rPr>
            </w:pPr>
            <w:r>
              <w:rPr>
                <w:color w:val="231F20"/>
                <w:w w:val="95"/>
                <w:sz w:val="17"/>
              </w:rPr>
              <w:t>-</w:t>
            </w:r>
          </w:p>
        </w:tc>
        <w:tc>
          <w:tcPr>
            <w:tcW w:w="624" w:type="dxa"/>
          </w:tcPr>
          <w:p>
            <w:pPr>
              <w:pStyle w:val="TableParagraph"/>
              <w:ind w:left="49"/>
              <w:jc w:val="center"/>
              <w:rPr>
                <w:sz w:val="17"/>
              </w:rPr>
            </w:pPr>
            <w:r>
              <w:rPr>
                <w:color w:val="231F20"/>
                <w:w w:val="95"/>
                <w:sz w:val="17"/>
              </w:rPr>
              <w:t>-</w:t>
            </w:r>
          </w:p>
        </w:tc>
        <w:tc>
          <w:tcPr>
            <w:tcW w:w="624" w:type="dxa"/>
          </w:tcPr>
          <w:p>
            <w:pPr>
              <w:pStyle w:val="TableParagraph"/>
              <w:ind w:right="212"/>
              <w:jc w:val="right"/>
              <w:rPr>
                <w:sz w:val="17"/>
              </w:rPr>
            </w:pPr>
            <w:r>
              <w:rPr>
                <w:color w:val="231F20"/>
                <w:w w:val="115"/>
                <w:sz w:val="17"/>
              </w:rPr>
              <w:t>1</w:t>
            </w:r>
          </w:p>
        </w:tc>
        <w:tc>
          <w:tcPr>
            <w:tcW w:w="624" w:type="dxa"/>
          </w:tcPr>
          <w:p>
            <w:pPr>
              <w:pStyle w:val="TableParagraph"/>
              <w:ind w:left="92" w:right="92"/>
              <w:jc w:val="center"/>
              <w:rPr>
                <w:sz w:val="17"/>
              </w:rPr>
            </w:pPr>
            <w:r>
              <w:rPr>
                <w:color w:val="231F20"/>
                <w:w w:val="110"/>
                <w:sz w:val="17"/>
              </w:rPr>
              <w:t>0,25</w:t>
            </w:r>
          </w:p>
        </w:tc>
        <w:tc>
          <w:tcPr>
            <w:tcW w:w="624" w:type="dxa"/>
          </w:tcPr>
          <w:p>
            <w:pPr>
              <w:pStyle w:val="TableParagraph"/>
              <w:ind w:left="85"/>
              <w:jc w:val="center"/>
              <w:rPr>
                <w:sz w:val="17"/>
              </w:rPr>
            </w:pPr>
            <w:r>
              <w:rPr>
                <w:color w:val="231F20"/>
                <w:w w:val="115"/>
                <w:sz w:val="17"/>
              </w:rPr>
              <w:t>1</w:t>
            </w:r>
          </w:p>
        </w:tc>
        <w:tc>
          <w:tcPr>
            <w:tcW w:w="624" w:type="dxa"/>
          </w:tcPr>
          <w:p>
            <w:pPr>
              <w:pStyle w:val="TableParagraph"/>
              <w:ind w:left="92" w:right="92"/>
              <w:jc w:val="center"/>
              <w:rPr>
                <w:sz w:val="17"/>
              </w:rPr>
            </w:pPr>
            <w:r>
              <w:rPr>
                <w:color w:val="231F20"/>
                <w:w w:val="110"/>
                <w:sz w:val="17"/>
              </w:rPr>
              <w:t>0,08</w:t>
            </w:r>
          </w:p>
        </w:tc>
        <w:tc>
          <w:tcPr>
            <w:tcW w:w="1176" w:type="dxa"/>
          </w:tcPr>
          <w:p>
            <w:pPr>
              <w:pStyle w:val="TableParagraph"/>
              <w:ind w:left="170"/>
              <w:jc w:val="center"/>
              <w:rPr>
                <w:sz w:val="17"/>
              </w:rPr>
            </w:pPr>
            <w:r>
              <w:rPr>
                <w:color w:val="231F20"/>
                <w:w w:val="115"/>
                <w:sz w:val="17"/>
              </w:rPr>
              <w:t>2</w:t>
            </w:r>
          </w:p>
        </w:tc>
        <w:tc>
          <w:tcPr>
            <w:tcW w:w="680" w:type="dxa"/>
          </w:tcPr>
          <w:p>
            <w:pPr>
              <w:pStyle w:val="TableParagraph"/>
              <w:ind w:right="106"/>
              <w:jc w:val="right"/>
              <w:rPr>
                <w:sz w:val="17"/>
              </w:rPr>
            </w:pPr>
            <w:r>
              <w:rPr>
                <w:color w:val="231F20"/>
                <w:w w:val="110"/>
                <w:sz w:val="17"/>
              </w:rPr>
              <w:t>0,33</w:t>
            </w:r>
          </w:p>
        </w:tc>
        <w:tc>
          <w:tcPr>
            <w:tcW w:w="680" w:type="dxa"/>
            <w:tcBorders>
              <w:right w:val="nil"/>
            </w:tcBorders>
          </w:tcPr>
          <w:p>
            <w:pPr>
              <w:pStyle w:val="TableParagraph"/>
              <w:ind w:right="111"/>
              <w:jc w:val="right"/>
              <w:rPr>
                <w:sz w:val="17"/>
              </w:rPr>
            </w:pPr>
            <w:r>
              <w:rPr>
                <w:color w:val="231F20"/>
                <w:w w:val="110"/>
                <w:sz w:val="17"/>
              </w:rPr>
              <w:t>1,0</w:t>
            </w:r>
          </w:p>
        </w:tc>
      </w:tr>
      <w:tr>
        <w:trPr>
          <w:trHeight w:val="454" w:hRule="exact"/>
        </w:trPr>
        <w:tc>
          <w:tcPr>
            <w:tcW w:w="1200" w:type="dxa"/>
            <w:tcBorders>
              <w:left w:val="nil"/>
            </w:tcBorders>
          </w:tcPr>
          <w:p>
            <w:pPr>
              <w:pStyle w:val="TableParagraph"/>
              <w:ind w:left="113"/>
              <w:rPr>
                <w:sz w:val="17"/>
              </w:rPr>
            </w:pPr>
            <w:r>
              <w:rPr>
                <w:color w:val="231F20"/>
                <w:sz w:val="17"/>
              </w:rPr>
              <w:t>No identifica</w:t>
            </w:r>
          </w:p>
        </w:tc>
        <w:tc>
          <w:tcPr>
            <w:tcW w:w="624" w:type="dxa"/>
          </w:tcPr>
          <w:p>
            <w:pPr>
              <w:pStyle w:val="TableParagraph"/>
              <w:ind w:left="85"/>
              <w:jc w:val="center"/>
              <w:rPr>
                <w:sz w:val="17"/>
              </w:rPr>
            </w:pPr>
            <w:r>
              <w:rPr>
                <w:color w:val="231F20"/>
                <w:w w:val="115"/>
                <w:sz w:val="17"/>
              </w:rPr>
              <w:t>4</w:t>
            </w:r>
          </w:p>
        </w:tc>
        <w:tc>
          <w:tcPr>
            <w:tcW w:w="680" w:type="dxa"/>
          </w:tcPr>
          <w:p>
            <w:pPr>
              <w:pStyle w:val="TableParagraph"/>
              <w:ind w:right="145"/>
              <w:jc w:val="right"/>
              <w:rPr>
                <w:sz w:val="17"/>
              </w:rPr>
            </w:pPr>
            <w:r>
              <w:rPr>
                <w:color w:val="231F20"/>
                <w:w w:val="110"/>
                <w:sz w:val="17"/>
              </w:rPr>
              <w:t>1,54</w:t>
            </w:r>
          </w:p>
        </w:tc>
        <w:tc>
          <w:tcPr>
            <w:tcW w:w="624" w:type="dxa"/>
          </w:tcPr>
          <w:p>
            <w:pPr>
              <w:pStyle w:val="TableParagraph"/>
              <w:ind w:right="219"/>
              <w:jc w:val="right"/>
              <w:rPr>
                <w:sz w:val="17"/>
              </w:rPr>
            </w:pPr>
            <w:r>
              <w:rPr>
                <w:color w:val="231F20"/>
                <w:w w:val="95"/>
                <w:sz w:val="17"/>
              </w:rPr>
              <w:t>-</w:t>
            </w:r>
          </w:p>
        </w:tc>
        <w:tc>
          <w:tcPr>
            <w:tcW w:w="624" w:type="dxa"/>
          </w:tcPr>
          <w:p>
            <w:pPr>
              <w:pStyle w:val="TableParagraph"/>
              <w:jc w:val="center"/>
              <w:rPr>
                <w:sz w:val="17"/>
              </w:rPr>
            </w:pPr>
            <w:r>
              <w:rPr>
                <w:color w:val="231F20"/>
                <w:w w:val="95"/>
                <w:sz w:val="17"/>
              </w:rPr>
              <w:t>-</w:t>
            </w:r>
          </w:p>
        </w:tc>
        <w:tc>
          <w:tcPr>
            <w:tcW w:w="624" w:type="dxa"/>
          </w:tcPr>
          <w:p>
            <w:pPr>
              <w:pStyle w:val="TableParagraph"/>
              <w:ind w:right="281"/>
              <w:jc w:val="right"/>
              <w:rPr>
                <w:sz w:val="17"/>
              </w:rPr>
            </w:pPr>
            <w:r>
              <w:rPr>
                <w:color w:val="231F20"/>
                <w:w w:val="95"/>
                <w:sz w:val="17"/>
              </w:rPr>
              <w:t>-</w:t>
            </w:r>
          </w:p>
        </w:tc>
        <w:tc>
          <w:tcPr>
            <w:tcW w:w="624" w:type="dxa"/>
          </w:tcPr>
          <w:p>
            <w:pPr>
              <w:pStyle w:val="TableParagraph"/>
              <w:ind w:left="49"/>
              <w:jc w:val="center"/>
              <w:rPr>
                <w:sz w:val="17"/>
              </w:rPr>
            </w:pPr>
            <w:r>
              <w:rPr>
                <w:color w:val="231F20"/>
                <w:w w:val="95"/>
                <w:sz w:val="17"/>
              </w:rPr>
              <w:t>-</w:t>
            </w:r>
          </w:p>
        </w:tc>
        <w:tc>
          <w:tcPr>
            <w:tcW w:w="624" w:type="dxa"/>
          </w:tcPr>
          <w:p>
            <w:pPr>
              <w:pStyle w:val="TableParagraph"/>
              <w:ind w:left="49"/>
              <w:jc w:val="center"/>
              <w:rPr>
                <w:sz w:val="17"/>
              </w:rPr>
            </w:pPr>
            <w:r>
              <w:rPr>
                <w:color w:val="231F20"/>
                <w:w w:val="95"/>
                <w:sz w:val="17"/>
              </w:rPr>
              <w:t>-</w:t>
            </w:r>
          </w:p>
        </w:tc>
        <w:tc>
          <w:tcPr>
            <w:tcW w:w="624" w:type="dxa"/>
          </w:tcPr>
          <w:p>
            <w:pPr>
              <w:pStyle w:val="TableParagraph"/>
              <w:spacing w:before="71"/>
              <w:ind w:left="52"/>
              <w:jc w:val="center"/>
              <w:rPr>
                <w:sz w:val="18"/>
              </w:rPr>
            </w:pPr>
            <w:r>
              <w:rPr>
                <w:color w:val="231F20"/>
                <w:w w:val="95"/>
                <w:sz w:val="18"/>
              </w:rPr>
              <w:t>-</w:t>
            </w:r>
          </w:p>
        </w:tc>
        <w:tc>
          <w:tcPr>
            <w:tcW w:w="1176" w:type="dxa"/>
          </w:tcPr>
          <w:p>
            <w:pPr>
              <w:pStyle w:val="TableParagraph"/>
              <w:ind w:left="170"/>
              <w:jc w:val="center"/>
              <w:rPr>
                <w:sz w:val="17"/>
              </w:rPr>
            </w:pPr>
            <w:r>
              <w:rPr>
                <w:color w:val="231F20"/>
                <w:w w:val="115"/>
                <w:sz w:val="17"/>
              </w:rPr>
              <w:t>4</w:t>
            </w:r>
          </w:p>
        </w:tc>
        <w:tc>
          <w:tcPr>
            <w:tcW w:w="680" w:type="dxa"/>
          </w:tcPr>
          <w:p>
            <w:pPr>
              <w:pStyle w:val="TableParagraph"/>
              <w:ind w:right="106"/>
              <w:jc w:val="right"/>
              <w:rPr>
                <w:sz w:val="17"/>
              </w:rPr>
            </w:pPr>
            <w:r>
              <w:rPr>
                <w:color w:val="231F20"/>
                <w:w w:val="110"/>
                <w:sz w:val="17"/>
              </w:rPr>
              <w:t>1,54</w:t>
            </w:r>
          </w:p>
        </w:tc>
        <w:tc>
          <w:tcPr>
            <w:tcW w:w="680" w:type="dxa"/>
            <w:tcBorders>
              <w:right w:val="nil"/>
            </w:tcBorders>
          </w:tcPr>
          <w:p>
            <w:pPr>
              <w:pStyle w:val="TableParagraph"/>
              <w:ind w:right="111"/>
              <w:jc w:val="right"/>
              <w:rPr>
                <w:sz w:val="17"/>
              </w:rPr>
            </w:pPr>
            <w:r>
              <w:rPr>
                <w:color w:val="231F20"/>
                <w:w w:val="110"/>
                <w:sz w:val="17"/>
              </w:rPr>
              <w:t>4,9</w:t>
            </w:r>
          </w:p>
        </w:tc>
      </w:tr>
      <w:tr>
        <w:trPr>
          <w:trHeight w:val="454" w:hRule="exact"/>
        </w:trPr>
        <w:tc>
          <w:tcPr>
            <w:tcW w:w="1200" w:type="dxa"/>
            <w:tcBorders>
              <w:left w:val="nil"/>
            </w:tcBorders>
          </w:tcPr>
          <w:p>
            <w:pPr>
              <w:pStyle w:val="TableParagraph"/>
              <w:ind w:left="113"/>
              <w:rPr>
                <w:sz w:val="17"/>
              </w:rPr>
            </w:pPr>
            <w:r>
              <w:rPr>
                <w:color w:val="231F20"/>
                <w:w w:val="105"/>
                <w:sz w:val="17"/>
              </w:rPr>
              <w:t>Todo</w:t>
            </w:r>
          </w:p>
        </w:tc>
        <w:tc>
          <w:tcPr>
            <w:tcW w:w="624" w:type="dxa"/>
          </w:tcPr>
          <w:p>
            <w:pPr>
              <w:pStyle w:val="TableParagraph"/>
              <w:ind w:left="85"/>
              <w:jc w:val="center"/>
              <w:rPr>
                <w:sz w:val="17"/>
              </w:rPr>
            </w:pPr>
            <w:r>
              <w:rPr>
                <w:color w:val="231F20"/>
                <w:w w:val="115"/>
                <w:sz w:val="17"/>
              </w:rPr>
              <w:t>7</w:t>
            </w:r>
          </w:p>
        </w:tc>
        <w:tc>
          <w:tcPr>
            <w:tcW w:w="680" w:type="dxa"/>
          </w:tcPr>
          <w:p>
            <w:pPr>
              <w:pStyle w:val="TableParagraph"/>
              <w:ind w:right="142"/>
              <w:jc w:val="right"/>
              <w:rPr>
                <w:sz w:val="17"/>
              </w:rPr>
            </w:pPr>
            <w:r>
              <w:rPr>
                <w:color w:val="231F20"/>
                <w:w w:val="110"/>
                <w:sz w:val="17"/>
              </w:rPr>
              <w:t>2,69</w:t>
            </w:r>
          </w:p>
        </w:tc>
        <w:tc>
          <w:tcPr>
            <w:tcW w:w="624" w:type="dxa"/>
          </w:tcPr>
          <w:p>
            <w:pPr>
              <w:pStyle w:val="TableParagraph"/>
              <w:ind w:right="219"/>
              <w:jc w:val="right"/>
              <w:rPr>
                <w:sz w:val="17"/>
              </w:rPr>
            </w:pPr>
            <w:r>
              <w:rPr>
                <w:color w:val="231F20"/>
                <w:w w:val="95"/>
                <w:sz w:val="17"/>
              </w:rPr>
              <w:t>-</w:t>
            </w:r>
          </w:p>
        </w:tc>
        <w:tc>
          <w:tcPr>
            <w:tcW w:w="624" w:type="dxa"/>
          </w:tcPr>
          <w:p>
            <w:pPr>
              <w:pStyle w:val="TableParagraph"/>
              <w:spacing w:before="71"/>
              <w:ind w:left="52"/>
              <w:jc w:val="center"/>
              <w:rPr>
                <w:sz w:val="18"/>
              </w:rPr>
            </w:pPr>
            <w:r>
              <w:rPr>
                <w:color w:val="231F20"/>
                <w:w w:val="95"/>
                <w:sz w:val="18"/>
              </w:rPr>
              <w:t>-</w:t>
            </w:r>
          </w:p>
        </w:tc>
        <w:tc>
          <w:tcPr>
            <w:tcW w:w="624" w:type="dxa"/>
          </w:tcPr>
          <w:p>
            <w:pPr>
              <w:pStyle w:val="TableParagraph"/>
              <w:ind w:right="281"/>
              <w:jc w:val="right"/>
              <w:rPr>
                <w:sz w:val="17"/>
              </w:rPr>
            </w:pPr>
            <w:r>
              <w:rPr>
                <w:color w:val="231F20"/>
                <w:w w:val="95"/>
                <w:sz w:val="17"/>
              </w:rPr>
              <w:t>-</w:t>
            </w:r>
          </w:p>
        </w:tc>
        <w:tc>
          <w:tcPr>
            <w:tcW w:w="624" w:type="dxa"/>
          </w:tcPr>
          <w:p>
            <w:pPr>
              <w:pStyle w:val="TableParagraph"/>
              <w:ind w:left="49"/>
              <w:jc w:val="center"/>
              <w:rPr>
                <w:sz w:val="17"/>
              </w:rPr>
            </w:pPr>
            <w:r>
              <w:rPr>
                <w:color w:val="231F20"/>
                <w:w w:val="95"/>
                <w:sz w:val="17"/>
              </w:rPr>
              <w:t>-</w:t>
            </w:r>
          </w:p>
        </w:tc>
        <w:tc>
          <w:tcPr>
            <w:tcW w:w="624" w:type="dxa"/>
          </w:tcPr>
          <w:p>
            <w:pPr>
              <w:pStyle w:val="TableParagraph"/>
              <w:spacing w:before="71"/>
              <w:ind w:left="52"/>
              <w:jc w:val="center"/>
              <w:rPr>
                <w:sz w:val="18"/>
              </w:rPr>
            </w:pPr>
            <w:r>
              <w:rPr>
                <w:color w:val="231F20"/>
                <w:w w:val="95"/>
                <w:sz w:val="18"/>
              </w:rPr>
              <w:t>-</w:t>
            </w:r>
          </w:p>
        </w:tc>
        <w:tc>
          <w:tcPr>
            <w:tcW w:w="624" w:type="dxa"/>
          </w:tcPr>
          <w:p>
            <w:pPr>
              <w:pStyle w:val="TableParagraph"/>
              <w:jc w:val="center"/>
              <w:rPr>
                <w:sz w:val="17"/>
              </w:rPr>
            </w:pPr>
            <w:r>
              <w:rPr>
                <w:color w:val="231F20"/>
                <w:w w:val="95"/>
                <w:sz w:val="17"/>
              </w:rPr>
              <w:t>-</w:t>
            </w:r>
          </w:p>
        </w:tc>
        <w:tc>
          <w:tcPr>
            <w:tcW w:w="1176" w:type="dxa"/>
          </w:tcPr>
          <w:p>
            <w:pPr>
              <w:pStyle w:val="TableParagraph"/>
              <w:ind w:left="170"/>
              <w:jc w:val="center"/>
              <w:rPr>
                <w:sz w:val="17"/>
              </w:rPr>
            </w:pPr>
            <w:r>
              <w:rPr>
                <w:color w:val="231F20"/>
                <w:w w:val="115"/>
                <w:sz w:val="17"/>
              </w:rPr>
              <w:t>7</w:t>
            </w:r>
          </w:p>
        </w:tc>
        <w:tc>
          <w:tcPr>
            <w:tcW w:w="680" w:type="dxa"/>
          </w:tcPr>
          <w:p>
            <w:pPr>
              <w:pStyle w:val="TableParagraph"/>
              <w:ind w:right="106"/>
              <w:jc w:val="right"/>
              <w:rPr>
                <w:sz w:val="17"/>
              </w:rPr>
            </w:pPr>
            <w:r>
              <w:rPr>
                <w:color w:val="231F20"/>
                <w:w w:val="110"/>
                <w:sz w:val="17"/>
              </w:rPr>
              <w:t>2,69</w:t>
            </w:r>
          </w:p>
        </w:tc>
        <w:tc>
          <w:tcPr>
            <w:tcW w:w="680" w:type="dxa"/>
            <w:tcBorders>
              <w:right w:val="nil"/>
            </w:tcBorders>
          </w:tcPr>
          <w:p>
            <w:pPr>
              <w:pStyle w:val="TableParagraph"/>
              <w:ind w:right="111"/>
              <w:jc w:val="right"/>
              <w:rPr>
                <w:sz w:val="17"/>
              </w:rPr>
            </w:pPr>
            <w:r>
              <w:rPr>
                <w:color w:val="231F20"/>
                <w:w w:val="110"/>
                <w:sz w:val="17"/>
              </w:rPr>
              <w:t>8,6</w:t>
            </w:r>
          </w:p>
        </w:tc>
      </w:tr>
      <w:tr>
        <w:trPr>
          <w:trHeight w:val="454" w:hRule="exact"/>
        </w:trPr>
        <w:tc>
          <w:tcPr>
            <w:tcW w:w="1200" w:type="dxa"/>
            <w:tcBorders>
              <w:left w:val="nil"/>
            </w:tcBorders>
          </w:tcPr>
          <w:p>
            <w:pPr>
              <w:pStyle w:val="TableParagraph"/>
              <w:ind w:left="113"/>
              <w:rPr>
                <w:sz w:val="17"/>
              </w:rPr>
            </w:pPr>
            <w:r>
              <w:rPr>
                <w:color w:val="231F20"/>
                <w:sz w:val="17"/>
              </w:rPr>
              <w:t>Total</w:t>
            </w:r>
          </w:p>
        </w:tc>
        <w:tc>
          <w:tcPr>
            <w:tcW w:w="624" w:type="dxa"/>
          </w:tcPr>
          <w:p>
            <w:pPr>
              <w:pStyle w:val="TableParagraph"/>
              <w:ind w:left="92" w:right="92"/>
              <w:jc w:val="center"/>
              <w:rPr>
                <w:sz w:val="17"/>
              </w:rPr>
            </w:pPr>
            <w:r>
              <w:rPr>
                <w:color w:val="231F20"/>
                <w:w w:val="115"/>
                <w:sz w:val="17"/>
              </w:rPr>
              <w:t>40</w:t>
            </w:r>
          </w:p>
        </w:tc>
        <w:tc>
          <w:tcPr>
            <w:tcW w:w="680" w:type="dxa"/>
          </w:tcPr>
          <w:p>
            <w:pPr>
              <w:pStyle w:val="TableParagraph"/>
              <w:spacing w:before="71"/>
              <w:ind w:right="130"/>
              <w:jc w:val="right"/>
              <w:rPr>
                <w:sz w:val="17"/>
              </w:rPr>
            </w:pPr>
            <w:r>
              <w:rPr>
                <w:color w:val="231F20"/>
                <w:w w:val="110"/>
                <w:sz w:val="18"/>
              </w:rPr>
              <w:t>15</w:t>
            </w:r>
            <w:r>
              <w:rPr>
                <w:color w:val="231F20"/>
                <w:w w:val="110"/>
                <w:sz w:val="17"/>
              </w:rPr>
              <w:t>,38</w:t>
            </w:r>
          </w:p>
        </w:tc>
        <w:tc>
          <w:tcPr>
            <w:tcW w:w="624" w:type="dxa"/>
          </w:tcPr>
          <w:p>
            <w:pPr>
              <w:pStyle w:val="TableParagraph"/>
              <w:ind w:right="223"/>
              <w:jc w:val="right"/>
              <w:rPr>
                <w:sz w:val="17"/>
              </w:rPr>
            </w:pPr>
            <w:r>
              <w:rPr>
                <w:color w:val="231F20"/>
                <w:w w:val="115"/>
                <w:sz w:val="17"/>
              </w:rPr>
              <w:t>30</w:t>
            </w:r>
          </w:p>
        </w:tc>
        <w:tc>
          <w:tcPr>
            <w:tcW w:w="624" w:type="dxa"/>
          </w:tcPr>
          <w:p>
            <w:pPr>
              <w:pStyle w:val="TableParagraph"/>
              <w:spacing w:before="71"/>
              <w:ind w:left="163"/>
              <w:rPr>
                <w:sz w:val="17"/>
              </w:rPr>
            </w:pPr>
            <w:r>
              <w:rPr>
                <w:color w:val="231F20"/>
                <w:w w:val="110"/>
                <w:sz w:val="18"/>
              </w:rPr>
              <w:t>8</w:t>
            </w:r>
            <w:r>
              <w:rPr>
                <w:color w:val="231F20"/>
                <w:w w:val="110"/>
                <w:sz w:val="17"/>
              </w:rPr>
              <w:t>,65</w:t>
            </w:r>
          </w:p>
        </w:tc>
        <w:tc>
          <w:tcPr>
            <w:tcW w:w="624" w:type="dxa"/>
          </w:tcPr>
          <w:p>
            <w:pPr>
              <w:pStyle w:val="TableParagraph"/>
              <w:ind w:right="210"/>
              <w:jc w:val="right"/>
              <w:rPr>
                <w:sz w:val="17"/>
              </w:rPr>
            </w:pPr>
            <w:r>
              <w:rPr>
                <w:color w:val="231F20"/>
                <w:w w:val="115"/>
                <w:sz w:val="17"/>
              </w:rPr>
              <w:t>26</w:t>
            </w:r>
          </w:p>
        </w:tc>
        <w:tc>
          <w:tcPr>
            <w:tcW w:w="624" w:type="dxa"/>
          </w:tcPr>
          <w:p>
            <w:pPr>
              <w:pStyle w:val="TableParagraph"/>
              <w:spacing w:before="71"/>
              <w:ind w:left="97" w:right="48"/>
              <w:jc w:val="center"/>
              <w:rPr>
                <w:sz w:val="17"/>
              </w:rPr>
            </w:pPr>
            <w:r>
              <w:rPr>
                <w:color w:val="231F20"/>
                <w:w w:val="105"/>
                <w:sz w:val="18"/>
              </w:rPr>
              <w:t>6</w:t>
            </w:r>
            <w:r>
              <w:rPr>
                <w:color w:val="231F20"/>
                <w:w w:val="105"/>
                <w:sz w:val="17"/>
              </w:rPr>
              <w:t>,50</w:t>
            </w:r>
          </w:p>
        </w:tc>
        <w:tc>
          <w:tcPr>
            <w:tcW w:w="624" w:type="dxa"/>
          </w:tcPr>
          <w:p>
            <w:pPr>
              <w:pStyle w:val="TableParagraph"/>
              <w:jc w:val="center"/>
              <w:rPr>
                <w:sz w:val="17"/>
              </w:rPr>
            </w:pPr>
            <w:r>
              <w:rPr>
                <w:color w:val="231F20"/>
                <w:w w:val="115"/>
                <w:sz w:val="17"/>
              </w:rPr>
              <w:t>8</w:t>
            </w:r>
          </w:p>
        </w:tc>
        <w:tc>
          <w:tcPr>
            <w:tcW w:w="624" w:type="dxa"/>
          </w:tcPr>
          <w:p>
            <w:pPr>
              <w:pStyle w:val="TableParagraph"/>
              <w:spacing w:before="71"/>
              <w:ind w:left="97" w:right="45"/>
              <w:jc w:val="center"/>
              <w:rPr>
                <w:sz w:val="17"/>
              </w:rPr>
            </w:pPr>
            <w:r>
              <w:rPr>
                <w:color w:val="231F20"/>
                <w:w w:val="110"/>
                <w:sz w:val="18"/>
              </w:rPr>
              <w:t>0</w:t>
            </w:r>
            <w:r>
              <w:rPr>
                <w:color w:val="231F20"/>
                <w:w w:val="110"/>
                <w:sz w:val="17"/>
              </w:rPr>
              <w:t>,62</w:t>
            </w:r>
          </w:p>
        </w:tc>
        <w:tc>
          <w:tcPr>
            <w:tcW w:w="1176" w:type="dxa"/>
          </w:tcPr>
          <w:p>
            <w:pPr>
              <w:pStyle w:val="TableParagraph"/>
              <w:ind w:left="414" w:right="414"/>
              <w:jc w:val="center"/>
              <w:rPr>
                <w:sz w:val="17"/>
              </w:rPr>
            </w:pPr>
            <w:r>
              <w:rPr>
                <w:color w:val="231F20"/>
                <w:w w:val="115"/>
                <w:sz w:val="17"/>
              </w:rPr>
              <w:t>104</w:t>
            </w:r>
          </w:p>
        </w:tc>
        <w:tc>
          <w:tcPr>
            <w:tcW w:w="680" w:type="dxa"/>
          </w:tcPr>
          <w:p>
            <w:pPr>
              <w:pStyle w:val="TableParagraph"/>
              <w:ind w:left="140"/>
              <w:rPr>
                <w:sz w:val="17"/>
              </w:rPr>
            </w:pPr>
            <w:r>
              <w:rPr>
                <w:color w:val="231F20"/>
                <w:w w:val="110"/>
                <w:sz w:val="17"/>
              </w:rPr>
              <w:t>31,15</w:t>
            </w:r>
          </w:p>
        </w:tc>
        <w:tc>
          <w:tcPr>
            <w:tcW w:w="680" w:type="dxa"/>
            <w:tcBorders>
              <w:right w:val="nil"/>
            </w:tcBorders>
          </w:tcPr>
          <w:p>
            <w:pPr>
              <w:pStyle w:val="TableParagraph"/>
              <w:ind w:left="137"/>
              <w:rPr>
                <w:sz w:val="17"/>
              </w:rPr>
            </w:pPr>
            <w:r>
              <w:rPr>
                <w:color w:val="231F20"/>
                <w:w w:val="110"/>
                <w:sz w:val="17"/>
              </w:rPr>
              <w:t>100,0</w:t>
            </w:r>
          </w:p>
        </w:tc>
      </w:tr>
      <w:tr>
        <w:trPr>
          <w:trHeight w:val="454" w:hRule="exact"/>
        </w:trPr>
        <w:tc>
          <w:tcPr>
            <w:tcW w:w="1200" w:type="dxa"/>
            <w:tcBorders>
              <w:left w:val="nil"/>
            </w:tcBorders>
          </w:tcPr>
          <w:p>
            <w:pPr>
              <w:pStyle w:val="TableParagraph"/>
              <w:ind w:left="113"/>
              <w:rPr>
                <w:sz w:val="17"/>
              </w:rPr>
            </w:pPr>
            <w:r>
              <w:rPr>
                <w:color w:val="231F20"/>
                <w:sz w:val="17"/>
              </w:rPr>
              <w:t>Ponderador</w:t>
            </w:r>
          </w:p>
        </w:tc>
        <w:tc>
          <w:tcPr>
            <w:tcW w:w="624" w:type="dxa"/>
          </w:tcPr>
          <w:p>
            <w:pPr>
              <w:pStyle w:val="TableParagraph"/>
              <w:ind w:left="92" w:right="92"/>
              <w:jc w:val="center"/>
              <w:rPr>
                <w:sz w:val="17"/>
              </w:rPr>
            </w:pPr>
            <w:r>
              <w:rPr>
                <w:color w:val="231F20"/>
                <w:w w:val="110"/>
                <w:sz w:val="17"/>
              </w:rPr>
              <w:t>0,38</w:t>
            </w:r>
          </w:p>
        </w:tc>
        <w:tc>
          <w:tcPr>
            <w:tcW w:w="680" w:type="dxa"/>
          </w:tcPr>
          <w:p>
            <w:pPr>
              <w:pStyle w:val="TableParagraph"/>
              <w:jc w:val="center"/>
              <w:rPr>
                <w:sz w:val="17"/>
              </w:rPr>
            </w:pPr>
            <w:r>
              <w:rPr>
                <w:color w:val="231F20"/>
                <w:w w:val="95"/>
                <w:sz w:val="17"/>
              </w:rPr>
              <w:t>-</w:t>
            </w:r>
          </w:p>
        </w:tc>
        <w:tc>
          <w:tcPr>
            <w:tcW w:w="624" w:type="dxa"/>
          </w:tcPr>
          <w:p>
            <w:pPr>
              <w:pStyle w:val="TableParagraph"/>
              <w:ind w:right="173"/>
              <w:jc w:val="right"/>
              <w:rPr>
                <w:sz w:val="17"/>
              </w:rPr>
            </w:pPr>
            <w:r>
              <w:rPr>
                <w:color w:val="231F20"/>
                <w:w w:val="110"/>
                <w:sz w:val="17"/>
              </w:rPr>
              <w:t>0,29</w:t>
            </w:r>
          </w:p>
        </w:tc>
        <w:tc>
          <w:tcPr>
            <w:tcW w:w="624" w:type="dxa"/>
          </w:tcPr>
          <w:p>
            <w:pPr>
              <w:pStyle w:val="TableParagraph"/>
              <w:ind w:left="108"/>
              <w:rPr>
                <w:sz w:val="17"/>
              </w:rPr>
            </w:pPr>
            <w:r>
              <w:rPr>
                <w:color w:val="231F20"/>
                <w:w w:val="95"/>
                <w:sz w:val="17"/>
              </w:rPr>
              <w:t>-</w:t>
            </w:r>
          </w:p>
        </w:tc>
        <w:tc>
          <w:tcPr>
            <w:tcW w:w="624" w:type="dxa"/>
          </w:tcPr>
          <w:p>
            <w:pPr>
              <w:pStyle w:val="TableParagraph"/>
              <w:ind w:right="173"/>
              <w:jc w:val="right"/>
              <w:rPr>
                <w:sz w:val="17"/>
              </w:rPr>
            </w:pPr>
            <w:r>
              <w:rPr>
                <w:color w:val="231F20"/>
                <w:w w:val="110"/>
                <w:sz w:val="17"/>
              </w:rPr>
              <w:t>0,25</w:t>
            </w:r>
          </w:p>
        </w:tc>
        <w:tc>
          <w:tcPr>
            <w:tcW w:w="624" w:type="dxa"/>
          </w:tcPr>
          <w:p>
            <w:pPr>
              <w:pStyle w:val="TableParagraph"/>
              <w:jc w:val="center"/>
              <w:rPr>
                <w:sz w:val="17"/>
              </w:rPr>
            </w:pPr>
            <w:r>
              <w:rPr>
                <w:color w:val="231F20"/>
                <w:w w:val="95"/>
                <w:sz w:val="17"/>
              </w:rPr>
              <w:t>-</w:t>
            </w:r>
          </w:p>
        </w:tc>
        <w:tc>
          <w:tcPr>
            <w:tcW w:w="624" w:type="dxa"/>
          </w:tcPr>
          <w:p>
            <w:pPr>
              <w:pStyle w:val="TableParagraph"/>
              <w:ind w:left="92" w:right="92"/>
              <w:jc w:val="center"/>
              <w:rPr>
                <w:sz w:val="17"/>
              </w:rPr>
            </w:pPr>
            <w:r>
              <w:rPr>
                <w:color w:val="231F20"/>
                <w:w w:val="110"/>
                <w:sz w:val="17"/>
              </w:rPr>
              <w:t>0,08</w:t>
            </w:r>
          </w:p>
        </w:tc>
        <w:tc>
          <w:tcPr>
            <w:tcW w:w="624" w:type="dxa"/>
          </w:tcPr>
          <w:p>
            <w:pPr>
              <w:pStyle w:val="TableParagraph"/>
              <w:jc w:val="center"/>
              <w:rPr>
                <w:sz w:val="17"/>
              </w:rPr>
            </w:pPr>
            <w:r>
              <w:rPr>
                <w:color w:val="231F20"/>
                <w:w w:val="95"/>
                <w:sz w:val="17"/>
              </w:rPr>
              <w:t>-</w:t>
            </w:r>
          </w:p>
        </w:tc>
        <w:tc>
          <w:tcPr>
            <w:tcW w:w="1176" w:type="dxa"/>
          </w:tcPr>
          <w:p>
            <w:pPr>
              <w:pStyle w:val="TableParagraph"/>
              <w:jc w:val="center"/>
              <w:rPr>
                <w:sz w:val="17"/>
              </w:rPr>
            </w:pPr>
            <w:r>
              <w:rPr>
                <w:color w:val="231F20"/>
                <w:w w:val="95"/>
                <w:sz w:val="17"/>
              </w:rPr>
              <w:t>-</w:t>
            </w:r>
          </w:p>
        </w:tc>
        <w:tc>
          <w:tcPr>
            <w:tcW w:w="680" w:type="dxa"/>
          </w:tcPr>
          <w:p>
            <w:pPr>
              <w:pStyle w:val="TableParagraph"/>
              <w:ind w:left="108"/>
              <w:rPr>
                <w:sz w:val="17"/>
              </w:rPr>
            </w:pPr>
            <w:r>
              <w:rPr>
                <w:color w:val="231F20"/>
                <w:w w:val="95"/>
                <w:sz w:val="17"/>
              </w:rPr>
              <w:t>-</w:t>
            </w:r>
          </w:p>
        </w:tc>
        <w:tc>
          <w:tcPr>
            <w:tcW w:w="680" w:type="dxa"/>
            <w:tcBorders>
              <w:right w:val="nil"/>
            </w:tcBorders>
          </w:tcPr>
          <w:p>
            <w:pPr>
              <w:pStyle w:val="TableParagraph"/>
              <w:ind w:left="108"/>
              <w:rPr>
                <w:sz w:val="17"/>
              </w:rPr>
            </w:pPr>
            <w:r>
              <w:rPr>
                <w:color w:val="231F20"/>
                <w:w w:val="95"/>
                <w:sz w:val="17"/>
              </w:rPr>
              <w:t>-</w:t>
            </w:r>
          </w:p>
        </w:tc>
      </w:tr>
    </w:tbl>
    <w:p>
      <w:pPr>
        <w:spacing w:line="268" w:lineRule="auto" w:before="96"/>
        <w:ind w:left="1553" w:right="1521" w:firstLine="0"/>
        <w:jc w:val="left"/>
        <w:rPr>
          <w:sz w:val="15"/>
        </w:rPr>
      </w:pPr>
      <w:r>
        <w:rPr>
          <w:color w:val="231F20"/>
          <w:w w:val="105"/>
          <w:sz w:val="15"/>
        </w:rPr>
        <w:t>M: mención; VP: valor ponderado de cada mención = Mn × PND; VPR: sumatoria de valores ponderados por mención para cada recurso; PIAR: (VPR/VPR total) × 100.</w:t>
      </w:r>
    </w:p>
    <w:p>
      <w:pPr>
        <w:pStyle w:val="BodyText"/>
        <w:rPr>
          <w:sz w:val="28"/>
        </w:rPr>
      </w:pPr>
    </w:p>
    <w:p>
      <w:pPr>
        <w:spacing w:after="0"/>
        <w:rPr>
          <w:sz w:val="28"/>
        </w:rPr>
        <w:sectPr>
          <w:pgSz w:w="11900" w:h="14450"/>
          <w:pgMar w:header="0" w:footer="222" w:top="420" w:bottom="420" w:left="0" w:right="0"/>
        </w:sectPr>
      </w:pPr>
    </w:p>
    <w:p>
      <w:pPr>
        <w:pStyle w:val="BodyText"/>
        <w:spacing w:line="285" w:lineRule="auto" w:before="67"/>
        <w:ind w:left="1553"/>
        <w:jc w:val="both"/>
      </w:pPr>
      <w:r>
        <w:rPr>
          <w:color w:val="231F20"/>
        </w:rPr>
        <w:t>Acerca de cómo evitar estos efectos, el 25% de    los pastores señaló elementos como mantener estable el tamaño del rebaño, efectuar una di- visión de las áreas de pastoreo para permitir su recuperación y mejorar el manejo del forraje en   los  corrales.  Por  otra  </w:t>
      </w:r>
      <w:r>
        <w:rPr>
          <w:color w:val="231F20"/>
          <w:spacing w:val="2"/>
        </w:rPr>
        <w:t>parte,  </w:t>
      </w:r>
      <w:r>
        <w:rPr>
          <w:color w:val="231F20"/>
        </w:rPr>
        <w:t>el  10%  de  los </w:t>
      </w:r>
      <w:r>
        <w:rPr>
          <w:color w:val="231F20"/>
          <w:spacing w:val="28"/>
        </w:rPr>
        <w:t> </w:t>
      </w:r>
      <w:r>
        <w:rPr>
          <w:color w:val="231F20"/>
        </w:rPr>
        <w:t>pas-</w:t>
      </w:r>
    </w:p>
    <w:p>
      <w:pPr>
        <w:pStyle w:val="BodyText"/>
        <w:spacing w:line="261" w:lineRule="auto" w:before="67"/>
        <w:ind w:left="411" w:right="1549"/>
        <w:jc w:val="both"/>
      </w:pPr>
      <w:r>
        <w:rPr/>
        <w:br w:type="column"/>
      </w:r>
      <w:r>
        <w:rPr>
          <w:color w:val="231F20"/>
        </w:rPr>
        <w:t>tores mencionó un efecto positivo del pastoreo consistente en la </w:t>
      </w:r>
      <w:r>
        <w:rPr>
          <w:color w:val="231F20"/>
          <w:spacing w:val="2"/>
        </w:rPr>
        <w:t>fertilización </w:t>
      </w:r>
      <w:r>
        <w:rPr>
          <w:color w:val="231F20"/>
        </w:rPr>
        <w:t>generada por </w:t>
      </w:r>
      <w:r>
        <w:rPr>
          <w:color w:val="231F20"/>
          <w:spacing w:val="2"/>
        </w:rPr>
        <w:t>las </w:t>
      </w:r>
      <w:r>
        <w:rPr>
          <w:color w:val="231F20"/>
        </w:rPr>
        <w:t>excretas, tanto en los potreros como en las rutas de</w:t>
      </w:r>
      <w:r>
        <w:rPr>
          <w:color w:val="231F20"/>
          <w:spacing w:val="30"/>
        </w:rPr>
        <w:t> </w:t>
      </w:r>
      <w:r>
        <w:rPr>
          <w:color w:val="231F20"/>
        </w:rPr>
        <w:t>pastoreo.</w:t>
      </w:r>
    </w:p>
    <w:p>
      <w:pPr>
        <w:pStyle w:val="BodyText"/>
        <w:spacing w:line="261" w:lineRule="auto" w:before="112"/>
        <w:ind w:left="411" w:right="1551"/>
        <w:jc w:val="both"/>
      </w:pPr>
      <w:r>
        <w:rPr>
          <w:color w:val="231F20"/>
        </w:rPr>
        <w:t>Puesto que sólo una baja proporción de los pro- ductores  reconoce  los  posibles  efectos  del   pas-</w:t>
      </w:r>
    </w:p>
    <w:p>
      <w:pPr>
        <w:spacing w:after="0" w:line="261"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10.     </w:t>
      </w:r>
      <w:r>
        <w:rPr>
          <w:color w:val="231F20"/>
          <w:spacing w:val="29"/>
          <w:sz w:val="18"/>
        </w:rPr>
        <w:t> </w:t>
      </w:r>
      <w:r>
        <w:rPr>
          <w:color w:val="231F20"/>
          <w:sz w:val="18"/>
        </w:rPr>
        <w:t>La ovinocultura del Nevado de </w:t>
      </w:r>
      <w:r>
        <w:rPr>
          <w:color w:val="231F20"/>
          <w:spacing w:val="-3"/>
          <w:sz w:val="18"/>
        </w:rPr>
        <w:t>Toluca: </w:t>
      </w:r>
      <w:r>
        <w:rPr>
          <w:color w:val="231F20"/>
          <w:sz w:val="18"/>
        </w:rPr>
        <w:t>factor de deterioro o elemento de</w:t>
      </w:r>
      <w:r>
        <w:rPr>
          <w:color w:val="231F20"/>
          <w:spacing w:val="12"/>
          <w:sz w:val="18"/>
        </w:rPr>
        <w:t> </w:t>
      </w:r>
      <w:r>
        <w:rPr>
          <w:color w:val="231F20"/>
          <w:sz w:val="18"/>
        </w:rPr>
        <w:t>desarrollo...</w:t>
      </w:r>
      <w:r>
        <w:rPr>
          <w:color w:val="231F20"/>
          <w:sz w:val="22"/>
        </w:rPr>
        <w:tab/>
      </w:r>
      <w:r>
        <w:rPr>
          <w:color w:val="231F20"/>
          <w:spacing w:val="-9"/>
          <w:sz w:val="22"/>
        </w:rPr>
        <w:t>161</w:t>
      </w:r>
    </w:p>
    <w:p>
      <w:pPr>
        <w:pStyle w:val="BodyText"/>
      </w:pPr>
    </w:p>
    <w:p>
      <w:pPr>
        <w:pStyle w:val="BodyText"/>
        <w:spacing w:before="10"/>
        <w:rPr>
          <w:sz w:val="11"/>
        </w:rPr>
      </w:pPr>
      <w:r>
        <w:rPr/>
        <w:pict>
          <v:group style="position:absolute;margin-left:80.012001pt;margin-top:9.193044pt;width:436.7pt;height:162.15pt;mso-position-horizontal-relative:page;mso-position-vertical-relative:paragraph;z-index:4888;mso-wrap-distance-left:0;mso-wrap-distance-right:0" coordorigin="1600,184" coordsize="8734,3243">
            <v:shape style="position:absolute;left:1600;top:184;width:8733;height:3243" type="#_x0000_t75" stroked="false">
              <v:imagedata r:id="rId288" o:title=""/>
            </v:shape>
            <v:shape style="position:absolute;left:1714;top:312;width:109;height:180" type="#_x0000_t202" filled="false" stroked="false">
              <v:textbox inset="0,0,0,0">
                <w:txbxContent>
                  <w:p>
                    <w:pPr>
                      <w:spacing w:line="180" w:lineRule="exact" w:before="0"/>
                      <w:ind w:left="0" w:right="0" w:firstLine="0"/>
                      <w:jc w:val="left"/>
                      <w:rPr>
                        <w:sz w:val="18"/>
                      </w:rPr>
                    </w:pPr>
                    <w:r>
                      <w:rPr>
                        <w:color w:val="FFFFFF"/>
                        <w:w w:val="104"/>
                        <w:sz w:val="18"/>
                      </w:rPr>
                      <w:t>A</w:t>
                    </w:r>
                  </w:p>
                </w:txbxContent>
              </v:textbox>
              <w10:wrap type="none"/>
            </v:shape>
            <v:shape style="position:absolute;left:6107;top:312;width:113;height:180" type="#_x0000_t202" filled="false" stroked="false">
              <v:textbox inset="0,0,0,0">
                <w:txbxContent>
                  <w:p>
                    <w:pPr>
                      <w:spacing w:line="180" w:lineRule="exact" w:before="0"/>
                      <w:ind w:left="0" w:right="0" w:firstLine="0"/>
                      <w:jc w:val="left"/>
                      <w:rPr>
                        <w:sz w:val="18"/>
                      </w:rPr>
                    </w:pPr>
                    <w:r>
                      <w:rPr>
                        <w:color w:val="FFFFFF"/>
                        <w:w w:val="114"/>
                        <w:sz w:val="18"/>
                      </w:rPr>
                      <w:t>B</w:t>
                    </w:r>
                  </w:p>
                </w:txbxContent>
              </v:textbox>
              <w10:wrap type="none"/>
            </v:shape>
            <w10:wrap type="topAndBottom"/>
          </v:group>
        </w:pict>
      </w:r>
    </w:p>
    <w:p>
      <w:pPr>
        <w:spacing w:line="283" w:lineRule="auto" w:before="158"/>
        <w:ind w:left="1553" w:right="1655" w:firstLine="0"/>
        <w:jc w:val="left"/>
        <w:rPr>
          <w:sz w:val="18"/>
        </w:rPr>
      </w:pPr>
      <w:r>
        <w:rPr>
          <w:color w:val="231F20"/>
          <w:sz w:val="18"/>
        </w:rPr>
        <w:t>Figura 3. A) El pastoreo afecta la calidad de recursos como el agua. B) El pastoreo provoca la formación de caminos permanentes dentro de las zonas de   bosque.</w:t>
      </w:r>
    </w:p>
    <w:p>
      <w:pPr>
        <w:pStyle w:val="BodyText"/>
        <w:spacing w:before="9"/>
        <w:rPr>
          <w:sz w:val="28"/>
        </w:rPr>
      </w:pPr>
    </w:p>
    <w:p>
      <w:pPr>
        <w:spacing w:after="0"/>
        <w:rPr>
          <w:sz w:val="28"/>
        </w:rPr>
        <w:sectPr>
          <w:pgSz w:w="11900" w:h="14450"/>
          <w:pgMar w:header="0" w:footer="222" w:top="420" w:bottom="420" w:left="0" w:right="0"/>
        </w:sectPr>
      </w:pPr>
    </w:p>
    <w:p>
      <w:pPr>
        <w:pStyle w:val="BodyText"/>
        <w:spacing w:line="266" w:lineRule="auto" w:before="67"/>
        <w:ind w:left="1553"/>
        <w:jc w:val="both"/>
      </w:pPr>
      <w:r>
        <w:rPr>
          <w:color w:val="231F20"/>
        </w:rPr>
        <w:t>toreo, podría asumirse que aunque los pastores perciben de manera tácita la importancia de los componentes del medio natural se resisten a re- conocer y mencionar los efectos, debido posible- mente a la presión económica  y  a  la  necesidad de mantener las formas de uso de los recursos. Al respecto, la tradición y los incentivos o las motiva- ciones económicas constituyen los determinantes básicos que influyen en la mentalidad de conser- vación (Plieninger </w:t>
      </w:r>
      <w:r>
        <w:rPr>
          <w:i/>
          <w:color w:val="231F20"/>
        </w:rPr>
        <w:t>et al</w:t>
      </w:r>
      <w:r>
        <w:rPr>
          <w:color w:val="231F20"/>
        </w:rPr>
        <w:t>., 2004), a la cual contri- buyen los usos y costumbres de los grupos con arraigo en el campo, incluso en áreas naturales protegidas  </w:t>
      </w:r>
      <w:r>
        <w:rPr>
          <w:color w:val="231F20"/>
          <w:spacing w:val="-3"/>
        </w:rPr>
        <w:t>(Vega  </w:t>
      </w:r>
      <w:r>
        <w:rPr>
          <w:color w:val="231F20"/>
        </w:rPr>
        <w:t>y  Peters,</w:t>
      </w:r>
      <w:r>
        <w:rPr>
          <w:color w:val="231F20"/>
          <w:spacing w:val="-13"/>
        </w:rPr>
        <w:t> </w:t>
      </w:r>
      <w:r>
        <w:rPr>
          <w:color w:val="231F20"/>
        </w:rPr>
        <w:t>2003).</w:t>
      </w:r>
    </w:p>
    <w:p>
      <w:pPr>
        <w:pStyle w:val="BodyText"/>
      </w:pPr>
    </w:p>
    <w:p>
      <w:pPr>
        <w:pStyle w:val="BodyText"/>
        <w:spacing w:before="152"/>
        <w:ind w:left="1553"/>
        <w:jc w:val="both"/>
      </w:pPr>
      <w:r>
        <w:rPr>
          <w:color w:val="231F20"/>
          <w:w w:val="115"/>
        </w:rPr>
        <w:t>CONCLUSIONES</w:t>
      </w:r>
    </w:p>
    <w:p>
      <w:pPr>
        <w:pStyle w:val="BodyText"/>
        <w:spacing w:line="266" w:lineRule="auto" w:before="139"/>
        <w:ind w:left="1553"/>
        <w:jc w:val="both"/>
      </w:pPr>
      <w:r>
        <w:rPr>
          <w:color w:val="231F20"/>
        </w:rPr>
        <w:t>En el caso del Parque Nacional Nevado de </w:t>
      </w:r>
      <w:r>
        <w:rPr>
          <w:color w:val="231F20"/>
          <w:spacing w:val="-3"/>
        </w:rPr>
        <w:t>Toluca, </w:t>
      </w:r>
      <w:r>
        <w:rPr>
          <w:color w:val="231F20"/>
        </w:rPr>
        <w:t>la tradición del uso y el aprovechamiento de los recursos naturales, derivada de la condición de tenencia de la tierra, se fusiona con la condición  de Parque Nacional, lo cual impone como premisa básica para el desarrollo de sus pobladores crear condiciones que lleven a la preservación y la con- servación del medio natural, pero que faciliten el aprovechamiento  de  los  recursos  y  la</w:t>
      </w:r>
      <w:r>
        <w:rPr>
          <w:color w:val="231F20"/>
          <w:spacing w:val="32"/>
        </w:rPr>
        <w:t> </w:t>
      </w:r>
      <w:r>
        <w:rPr>
          <w:color w:val="231F20"/>
        </w:rPr>
        <w:t>diversidad</w:t>
      </w:r>
    </w:p>
    <w:p>
      <w:pPr>
        <w:pStyle w:val="BodyText"/>
        <w:spacing w:line="266" w:lineRule="auto" w:before="76"/>
        <w:ind w:left="413" w:right="1551"/>
        <w:jc w:val="both"/>
      </w:pPr>
      <w:r>
        <w:rPr/>
        <w:br w:type="column"/>
      </w:r>
      <w:r>
        <w:rPr>
          <w:color w:val="231F20"/>
        </w:rPr>
        <w:t>biológica, apoyados en el conocimiento y en el arraigo de las formas de producir, inclusive en su probable significación cultural.</w:t>
      </w:r>
    </w:p>
    <w:p>
      <w:pPr>
        <w:pStyle w:val="BodyText"/>
        <w:spacing w:line="266" w:lineRule="auto" w:before="112"/>
        <w:ind w:left="413" w:right="1551"/>
        <w:jc w:val="both"/>
      </w:pPr>
      <w:r>
        <w:rPr>
          <w:color w:val="231F20"/>
        </w:rPr>
        <w:t>Al respecto, tomando como referencia todos los aspectos antes comentados, se considera que la ganadería de ovinos en el Parque Nacional Neva- do de Toluca presenta componentes con el po- tencial de contribuir al desarrollo de un sector de producción rural, así como características que faci- litan su articulación con la conservación ambiental. La producción ovina es una actividad con tradición en la población y constituye una opción para per- cibir un ingreso en función del conocimiento de su territorio y de los recursos aprovechables median- te el pastoreo.</w:t>
      </w:r>
    </w:p>
    <w:p>
      <w:pPr>
        <w:pStyle w:val="BodyText"/>
        <w:spacing w:line="266" w:lineRule="auto" w:before="112"/>
        <w:ind w:left="413" w:right="1551"/>
        <w:jc w:val="both"/>
      </w:pPr>
      <w:r>
        <w:rPr>
          <w:color w:val="231F20"/>
        </w:rPr>
        <w:t>Aunque</w:t>
      </w:r>
      <w:r>
        <w:rPr>
          <w:color w:val="231F20"/>
          <w:spacing w:val="-8"/>
        </w:rPr>
        <w:t> </w:t>
      </w:r>
      <w:r>
        <w:rPr>
          <w:color w:val="231F20"/>
        </w:rPr>
        <w:t>los</w:t>
      </w:r>
      <w:r>
        <w:rPr>
          <w:color w:val="231F20"/>
          <w:spacing w:val="-8"/>
        </w:rPr>
        <w:t> </w:t>
      </w:r>
      <w:r>
        <w:rPr>
          <w:color w:val="231F20"/>
        </w:rPr>
        <w:t>productores</w:t>
      </w:r>
      <w:r>
        <w:rPr>
          <w:color w:val="231F20"/>
          <w:spacing w:val="-8"/>
        </w:rPr>
        <w:t> </w:t>
      </w:r>
      <w:r>
        <w:rPr>
          <w:color w:val="231F20"/>
        </w:rPr>
        <w:t>se</w:t>
      </w:r>
      <w:r>
        <w:rPr>
          <w:color w:val="231F20"/>
          <w:spacing w:val="-8"/>
        </w:rPr>
        <w:t> </w:t>
      </w:r>
      <w:r>
        <w:rPr>
          <w:color w:val="231F20"/>
        </w:rPr>
        <w:t>calificarían</w:t>
      </w:r>
      <w:r>
        <w:rPr>
          <w:color w:val="231F20"/>
          <w:spacing w:val="-8"/>
        </w:rPr>
        <w:t> </w:t>
      </w:r>
      <w:r>
        <w:rPr>
          <w:color w:val="231F20"/>
        </w:rPr>
        <w:t>simplemente como</w:t>
      </w:r>
      <w:r>
        <w:rPr>
          <w:color w:val="231F20"/>
          <w:spacing w:val="-20"/>
        </w:rPr>
        <w:t> </w:t>
      </w:r>
      <w:r>
        <w:rPr>
          <w:color w:val="231F20"/>
        </w:rPr>
        <w:t>recolectores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recursos</w:t>
      </w:r>
      <w:r>
        <w:rPr>
          <w:color w:val="231F20"/>
          <w:spacing w:val="-20"/>
        </w:rPr>
        <w:t> </w:t>
      </w:r>
      <w:r>
        <w:rPr>
          <w:color w:val="231F20"/>
        </w:rPr>
        <w:t>forrajeros</w:t>
      </w:r>
      <w:r>
        <w:rPr>
          <w:color w:val="231F20"/>
          <w:spacing w:val="-20"/>
        </w:rPr>
        <w:t> </w:t>
      </w:r>
      <w:r>
        <w:rPr>
          <w:color w:val="231F20"/>
        </w:rPr>
        <w:t>presen- tes en el medio natural, son portadores de un co- nocimiento que, sumado a la aplicación de criterios técnicos,</w:t>
      </w:r>
      <w:r>
        <w:rPr>
          <w:color w:val="231F20"/>
          <w:spacing w:val="-5"/>
        </w:rPr>
        <w:t> </w:t>
      </w:r>
      <w:r>
        <w:rPr>
          <w:color w:val="231F20"/>
        </w:rPr>
        <w:t>puede</w:t>
      </w:r>
      <w:r>
        <w:rPr>
          <w:color w:val="231F20"/>
          <w:spacing w:val="-5"/>
        </w:rPr>
        <w:t> </w:t>
      </w:r>
      <w:r>
        <w:rPr>
          <w:color w:val="231F20"/>
        </w:rPr>
        <w:t>contribuir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zonificación</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defi- nición de estrategias de manejo sostenible en fun- ción de la capacidad de carga de los ecosistemas y de las demandas nutricionales de los animales. </w:t>
      </w:r>
      <w:r>
        <w:rPr>
          <w:color w:val="231F20"/>
          <w:spacing w:val="-2"/>
        </w:rPr>
        <w:t>Así </w:t>
      </w:r>
      <w:r>
        <w:rPr>
          <w:color w:val="231F20"/>
        </w:rPr>
        <w:t>mismo, puede asumirse un potencial de </w:t>
      </w:r>
      <w:r>
        <w:rPr>
          <w:color w:val="231F20"/>
          <w:spacing w:val="32"/>
        </w:rPr>
        <w:t> </w:t>
      </w:r>
      <w:r>
        <w:rPr>
          <w:color w:val="231F20"/>
        </w:rPr>
        <w:t>respuesta</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162</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1" w:lineRule="auto" w:before="67"/>
        <w:ind w:left="1553"/>
        <w:jc w:val="both"/>
      </w:pPr>
      <w:r>
        <w:rPr>
          <w:color w:val="231F20"/>
        </w:rPr>
        <w:t>animal teniendo en cuenta la alta adaptación </w:t>
      </w:r>
      <w:r>
        <w:rPr>
          <w:color w:val="231F20"/>
          <w:spacing w:val="-2"/>
        </w:rPr>
        <w:t>del </w:t>
      </w:r>
      <w:r>
        <w:rPr>
          <w:color w:val="231F20"/>
        </w:rPr>
        <w:t>tipo de ovinos que se emplea, el aprovechamiento de materiales forrajeros prácticamente desconoci- dos, el empleo de subproductos agrícolas de baja calidad y el bajo uso de suplementos nutricionales, aspectos que, de ser mejorados, podrían incidir de manera positiva en el desempeño productivo y re- productivo de los animales y posiblemente en </w:t>
      </w:r>
      <w:r>
        <w:rPr>
          <w:color w:val="231F20"/>
          <w:spacing w:val="-2"/>
        </w:rPr>
        <w:t>los </w:t>
      </w:r>
      <w:r>
        <w:rPr>
          <w:color w:val="231F20"/>
        </w:rPr>
        <w:t>beneficios para los productores, sin incrementar</w:t>
      </w:r>
      <w:r>
        <w:rPr>
          <w:color w:val="231F20"/>
          <w:spacing w:val="-23"/>
        </w:rPr>
        <w:t> </w:t>
      </w:r>
      <w:r>
        <w:rPr>
          <w:color w:val="231F20"/>
          <w:spacing w:val="-2"/>
        </w:rPr>
        <w:t>las </w:t>
      </w:r>
      <w:r>
        <w:rPr>
          <w:color w:val="231F20"/>
        </w:rPr>
        <w:t>exigencias sobre el</w:t>
      </w:r>
      <w:r>
        <w:rPr>
          <w:color w:val="231F20"/>
          <w:spacing w:val="-21"/>
        </w:rPr>
        <w:t> </w:t>
      </w:r>
      <w:r>
        <w:rPr>
          <w:color w:val="231F20"/>
        </w:rPr>
        <w:t>entorno.</w:t>
      </w:r>
    </w:p>
    <w:p>
      <w:pPr>
        <w:pStyle w:val="BodyText"/>
        <w:spacing w:line="261" w:lineRule="auto" w:before="112"/>
        <w:ind w:left="1553"/>
        <w:jc w:val="both"/>
      </w:pPr>
      <w:r>
        <w:rPr>
          <w:color w:val="231F20"/>
        </w:rPr>
        <w:t>Otro aspecto que incidiría positivamente en la actividad pastoril es la aplicación de criterios y prácticas de producción sostenible junto con su in- clusión como instrumento de manejo y control de la vegetación, y de prevención de riesgos, lo que implica llevar el pastoreo a la condición de servicio ambiental, articulado a la diferenciación y la valo- ración de sus productos por su procedencia de un sector que realiza manejo y protección  ambiental.</w:t>
      </w:r>
    </w:p>
    <w:p>
      <w:pPr>
        <w:pStyle w:val="BodyText"/>
        <w:spacing w:line="261" w:lineRule="auto" w:before="112"/>
        <w:ind w:left="1553"/>
        <w:jc w:val="both"/>
      </w:pPr>
      <w:r>
        <w:rPr>
          <w:color w:val="231F20"/>
        </w:rPr>
        <w:t>Sin embargo, la posibilidad de adecuar esta for-  ma de producción incorporando la conservación depende, por un lado, del grado de apropiación  por parte de los pastores y pobladores de las loca- lidades, de la función del parque en la protección del medio ambiente y de la conservación de los recursos naturales, para lo cual resulta necesario mejorar la percepción  sobre  los  componentes  del medio natural, las interacciones y los efectos negativos de las actividades agropecuarias; y por otro lado, depende también de la apertura a la participación de las comunidades por parte de las instancias de carácter ambiental y técnico con in- jerencia en el Parque Nacional Nevado de </w:t>
      </w:r>
      <w:r>
        <w:rPr>
          <w:color w:val="231F20"/>
          <w:spacing w:val="-3"/>
        </w:rPr>
        <w:t>Toluca,    </w:t>
      </w:r>
      <w:r>
        <w:rPr>
          <w:color w:val="231F20"/>
        </w:rPr>
        <w:t>y la coherencia en la orientación de las acciones desarrolladas en las cuales se dé cabida al acceso   y al uso de los recursos naturales por parte de las comunidades.</w:t>
      </w:r>
    </w:p>
    <w:p>
      <w:pPr>
        <w:pStyle w:val="BodyText"/>
        <w:spacing w:line="261" w:lineRule="auto" w:before="112"/>
        <w:ind w:left="1553"/>
        <w:jc w:val="both"/>
      </w:pPr>
      <w:r>
        <w:rPr>
          <w:color w:val="231F20"/>
        </w:rPr>
        <w:t>De esta manera, el pastoreo  como  componente de la forma de vida rural dejaría de ser conside- rado  como  una  amenaza  para  la  conservación</w:t>
      </w:r>
      <w:r>
        <w:rPr>
          <w:color w:val="231F20"/>
          <w:spacing w:val="20"/>
        </w:rPr>
        <w:t> </w:t>
      </w:r>
      <w:r>
        <w:rPr>
          <w:color w:val="231F20"/>
        </w:rPr>
        <w:t>o</w:t>
      </w:r>
    </w:p>
    <w:p>
      <w:pPr>
        <w:pStyle w:val="BodyText"/>
        <w:spacing w:line="264" w:lineRule="auto" w:before="67"/>
        <w:ind w:left="413" w:right="1551"/>
        <w:jc w:val="both"/>
      </w:pPr>
      <w:r>
        <w:rPr/>
        <w:br w:type="column"/>
      </w:r>
      <w:r>
        <w:rPr>
          <w:color w:val="231F20"/>
        </w:rPr>
        <w:t>un factor de deterioro, y se transformaría en una oportunidad y una herramienta de desarrollo, en- tendido como la reconstrucción de las relaciones sociedad-naturaleza dentro de un marco de crea- ción de condiciones sociales, culturales, institu- cionales, éticas, y por qué no económicas, en el cual el  área  protegida,  además  de  cumplir  con  el propósito de protección y conservación del pa- trimonio natural, se articularía con la creación de beneficios</w:t>
      </w:r>
      <w:r>
        <w:rPr>
          <w:color w:val="231F20"/>
          <w:spacing w:val="28"/>
        </w:rPr>
        <w:t> </w:t>
      </w:r>
      <w:r>
        <w:rPr>
          <w:color w:val="231F20"/>
        </w:rPr>
        <w:t>sociales.</w:t>
      </w:r>
    </w:p>
    <w:p>
      <w:pPr>
        <w:pStyle w:val="BodyText"/>
      </w:pPr>
    </w:p>
    <w:p>
      <w:pPr>
        <w:pStyle w:val="BodyText"/>
        <w:spacing w:before="153"/>
        <w:ind w:left="413"/>
        <w:jc w:val="both"/>
      </w:pPr>
      <w:r>
        <w:rPr>
          <w:color w:val="231F20"/>
          <w:w w:val="110"/>
        </w:rPr>
        <w:t>BIBLIOGRAFÍA</w:t>
      </w:r>
    </w:p>
    <w:p>
      <w:pPr>
        <w:spacing w:line="271" w:lineRule="auto" w:before="137"/>
        <w:ind w:left="696" w:right="1551" w:hanging="284"/>
        <w:jc w:val="both"/>
        <w:rPr>
          <w:sz w:val="18"/>
        </w:rPr>
      </w:pPr>
      <w:r>
        <w:rPr>
          <w:color w:val="231F20"/>
          <w:sz w:val="18"/>
        </w:rPr>
        <w:t>Abasolo </w:t>
      </w:r>
      <w:r>
        <w:rPr>
          <w:color w:val="231F20"/>
          <w:spacing w:val="-3"/>
          <w:sz w:val="18"/>
        </w:rPr>
        <w:t>P.B.E.  </w:t>
      </w:r>
      <w:r>
        <w:rPr>
          <w:color w:val="231F20"/>
          <w:sz w:val="18"/>
        </w:rPr>
        <w:t>(2006). Entre el cielo y la tierra: Raíces,  un pueblo de la alta montaña en el Estado de Méxi- co. </w:t>
      </w:r>
      <w:r>
        <w:rPr>
          <w:color w:val="231F20"/>
          <w:spacing w:val="-4"/>
          <w:sz w:val="18"/>
        </w:rPr>
        <w:t>Tesis </w:t>
      </w:r>
      <w:r>
        <w:rPr>
          <w:color w:val="231F20"/>
          <w:sz w:val="18"/>
        </w:rPr>
        <w:t>de Doctorado. Universidad Iberoamericana, México,</w:t>
      </w:r>
      <w:r>
        <w:rPr>
          <w:color w:val="231F20"/>
          <w:spacing w:val="-8"/>
          <w:sz w:val="18"/>
        </w:rPr>
        <w:t> </w:t>
      </w:r>
      <w:r>
        <w:rPr>
          <w:color w:val="231F20"/>
          <w:spacing w:val="-4"/>
          <w:sz w:val="18"/>
        </w:rPr>
        <w:t>D.F.</w:t>
      </w:r>
    </w:p>
    <w:p>
      <w:pPr>
        <w:spacing w:line="271" w:lineRule="auto" w:before="57"/>
        <w:ind w:left="696" w:right="1551" w:hanging="284"/>
        <w:jc w:val="both"/>
        <w:rPr>
          <w:sz w:val="18"/>
        </w:rPr>
      </w:pPr>
      <w:r>
        <w:rPr>
          <w:color w:val="231F20"/>
          <w:sz w:val="18"/>
        </w:rPr>
        <w:t>Alemán </w:t>
      </w:r>
      <w:r>
        <w:rPr>
          <w:color w:val="231F20"/>
          <w:spacing w:val="-3"/>
          <w:sz w:val="18"/>
        </w:rPr>
        <w:t>S.T., </w:t>
      </w:r>
      <w:r>
        <w:rPr>
          <w:color w:val="231F20"/>
          <w:sz w:val="18"/>
        </w:rPr>
        <w:t>Nahed </w:t>
      </w:r>
      <w:r>
        <w:rPr>
          <w:color w:val="231F20"/>
          <w:spacing w:val="-3"/>
          <w:sz w:val="18"/>
        </w:rPr>
        <w:t>T.J., </w:t>
      </w:r>
      <w:r>
        <w:rPr>
          <w:color w:val="231F20"/>
          <w:sz w:val="18"/>
        </w:rPr>
        <w:t>López  M.  (2005).  Evaluación  de la sustentabilidad de dos sistemas de produc-  ción ovina en comunidades Tzotziles. En: Astier M., Hollands J, editores. Sustentabilidad y campesinado: seis experiencias agroecológicas en Latino América. Mundiprensa, México. pp. </w:t>
      </w:r>
      <w:r>
        <w:rPr>
          <w:color w:val="231F20"/>
          <w:spacing w:val="16"/>
          <w:sz w:val="18"/>
        </w:rPr>
        <w:t> </w:t>
      </w:r>
      <w:r>
        <w:rPr>
          <w:color w:val="231F20"/>
          <w:spacing w:val="-4"/>
          <w:sz w:val="18"/>
        </w:rPr>
        <w:t>11-55.</w:t>
      </w:r>
    </w:p>
    <w:p>
      <w:pPr>
        <w:spacing w:line="271" w:lineRule="auto" w:before="57"/>
        <w:ind w:left="696" w:right="1551" w:hanging="284"/>
        <w:jc w:val="both"/>
        <w:rPr>
          <w:sz w:val="18"/>
        </w:rPr>
      </w:pPr>
      <w:r>
        <w:rPr>
          <w:color w:val="231F20"/>
          <w:sz w:val="18"/>
        </w:rPr>
        <w:t>Bernués A., Riedel J.L., Asensio M.A., Blanco M., Sanz    A., Revilla R., </w:t>
      </w:r>
      <w:r>
        <w:rPr>
          <w:i/>
          <w:color w:val="231F20"/>
          <w:sz w:val="18"/>
        </w:rPr>
        <w:t>et al. </w:t>
      </w:r>
      <w:r>
        <w:rPr>
          <w:color w:val="231F20"/>
          <w:sz w:val="18"/>
        </w:rPr>
        <w:t>(2005). An integrated approach  to studying the role of grazing livestock systems in the conservation of rangelands in a protected</w:t>
      </w:r>
      <w:r>
        <w:rPr>
          <w:color w:val="231F20"/>
          <w:spacing w:val="-20"/>
          <w:sz w:val="18"/>
        </w:rPr>
        <w:t> </w:t>
      </w:r>
      <w:r>
        <w:rPr>
          <w:color w:val="231F20"/>
          <w:sz w:val="18"/>
        </w:rPr>
        <w:t>natural park (Sierra de Guara, Spain). </w:t>
      </w:r>
      <w:r>
        <w:rPr>
          <w:i/>
          <w:color w:val="231F20"/>
          <w:sz w:val="18"/>
        </w:rPr>
        <w:t>Livestock Production </w:t>
      </w:r>
      <w:r>
        <w:rPr>
          <w:i/>
          <w:color w:val="231F20"/>
          <w:sz w:val="18"/>
        </w:rPr>
        <w:t>Science,  </w:t>
      </w:r>
      <w:r>
        <w:rPr>
          <w:color w:val="231F20"/>
          <w:sz w:val="18"/>
        </w:rPr>
        <w:t>96: </w:t>
      </w:r>
      <w:r>
        <w:rPr>
          <w:color w:val="231F20"/>
          <w:spacing w:val="30"/>
          <w:sz w:val="18"/>
        </w:rPr>
        <w:t> </w:t>
      </w:r>
      <w:r>
        <w:rPr>
          <w:color w:val="231F20"/>
          <w:sz w:val="18"/>
        </w:rPr>
        <w:t>75-85.</w:t>
      </w:r>
    </w:p>
    <w:p>
      <w:pPr>
        <w:spacing w:line="271" w:lineRule="auto" w:before="57"/>
        <w:ind w:left="696" w:right="1551" w:hanging="284"/>
        <w:jc w:val="both"/>
        <w:rPr>
          <w:sz w:val="18"/>
        </w:rPr>
      </w:pPr>
      <w:r>
        <w:rPr>
          <w:color w:val="231F20"/>
          <w:sz w:val="18"/>
        </w:rPr>
        <w:t>Blench R. (2001). ‘You can’t go  home  again’  Pastoral- ism in the new millennium. Report prepared for the Food and Agriculture Organization of The United Na- tions. London, UK.</w:t>
      </w:r>
    </w:p>
    <w:p>
      <w:pPr>
        <w:spacing w:line="271" w:lineRule="auto" w:before="57"/>
        <w:ind w:left="696" w:right="1551" w:hanging="284"/>
        <w:jc w:val="both"/>
        <w:rPr>
          <w:sz w:val="18"/>
        </w:rPr>
      </w:pPr>
      <w:r>
        <w:rPr>
          <w:color w:val="231F20"/>
          <w:sz w:val="18"/>
        </w:rPr>
        <w:t>Brunel M.C. (2008). Poner la conservación al servicio de la producción campesina, reto para la construcción de un nuevo paradigma de desarrollo. </w:t>
      </w:r>
      <w:r>
        <w:rPr>
          <w:i/>
          <w:color w:val="231F20"/>
          <w:sz w:val="18"/>
        </w:rPr>
        <w:t>Argumentos </w:t>
      </w:r>
      <w:r>
        <w:rPr>
          <w:i/>
          <w:color w:val="231F20"/>
          <w:sz w:val="18"/>
        </w:rPr>
        <w:t>Nueva  Época,  </w:t>
      </w:r>
      <w:r>
        <w:rPr>
          <w:color w:val="231F20"/>
          <w:sz w:val="18"/>
        </w:rPr>
        <w:t>21  (57):   115-137.</w:t>
      </w:r>
    </w:p>
    <w:p>
      <w:pPr>
        <w:spacing w:line="271" w:lineRule="auto" w:before="57"/>
        <w:ind w:left="696" w:right="1551" w:hanging="284"/>
        <w:jc w:val="both"/>
        <w:rPr>
          <w:sz w:val="18"/>
        </w:rPr>
      </w:pPr>
      <w:r>
        <w:rPr>
          <w:color w:val="231F20"/>
          <w:sz w:val="18"/>
        </w:rPr>
        <w:t>Calvo I.M.S., Crecente M.R., Urbano </w:t>
      </w:r>
      <w:r>
        <w:rPr>
          <w:color w:val="231F20"/>
          <w:spacing w:val="-8"/>
          <w:sz w:val="18"/>
        </w:rPr>
        <w:t>F.P. </w:t>
      </w:r>
      <w:r>
        <w:rPr>
          <w:color w:val="231F20"/>
          <w:sz w:val="18"/>
        </w:rPr>
        <w:t>(2006). Explor- ing farmer’s knowledge as a source of information  on past and present cultural landscapes. A case  study from NW Spain. </w:t>
      </w:r>
      <w:r>
        <w:rPr>
          <w:i/>
          <w:color w:val="231F20"/>
          <w:sz w:val="18"/>
        </w:rPr>
        <w:t>Landscape and Urban Plan- </w:t>
      </w:r>
      <w:r>
        <w:rPr>
          <w:i/>
          <w:color w:val="231F20"/>
          <w:sz w:val="18"/>
        </w:rPr>
        <w:t>ning,  </w:t>
      </w:r>
      <w:r>
        <w:rPr>
          <w:color w:val="231F20"/>
          <w:spacing w:val="-3"/>
          <w:sz w:val="18"/>
        </w:rPr>
        <w:t>78: </w:t>
      </w:r>
      <w:r>
        <w:rPr>
          <w:color w:val="231F20"/>
          <w:spacing w:val="32"/>
          <w:sz w:val="18"/>
        </w:rPr>
        <w:t> </w:t>
      </w:r>
      <w:r>
        <w:rPr>
          <w:color w:val="231F20"/>
          <w:sz w:val="18"/>
        </w:rPr>
        <w:t>334-343.</w:t>
      </w:r>
    </w:p>
    <w:p>
      <w:pPr>
        <w:spacing w:after="0" w:line="271"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3"/>
          <w:sz w:val="18"/>
        </w:rPr>
        <w:t>10.     </w:t>
      </w:r>
      <w:r>
        <w:rPr>
          <w:color w:val="231F20"/>
          <w:spacing w:val="29"/>
          <w:sz w:val="18"/>
        </w:rPr>
        <w:t> </w:t>
      </w:r>
      <w:r>
        <w:rPr>
          <w:color w:val="231F20"/>
          <w:sz w:val="18"/>
        </w:rPr>
        <w:t>La ovinocultura del Nevado de </w:t>
      </w:r>
      <w:r>
        <w:rPr>
          <w:color w:val="231F20"/>
          <w:spacing w:val="-3"/>
          <w:sz w:val="18"/>
        </w:rPr>
        <w:t>Toluca: </w:t>
      </w:r>
      <w:r>
        <w:rPr>
          <w:color w:val="231F20"/>
          <w:sz w:val="18"/>
        </w:rPr>
        <w:t>factor de deterioro o elemento de</w:t>
      </w:r>
      <w:r>
        <w:rPr>
          <w:color w:val="231F20"/>
          <w:spacing w:val="12"/>
          <w:sz w:val="18"/>
        </w:rPr>
        <w:t> </w:t>
      </w:r>
      <w:r>
        <w:rPr>
          <w:color w:val="231F20"/>
          <w:sz w:val="18"/>
        </w:rPr>
        <w:t>desarrollo...</w:t>
      </w:r>
      <w:r>
        <w:rPr>
          <w:color w:val="231F20"/>
          <w:sz w:val="22"/>
        </w:rPr>
        <w:tab/>
      </w:r>
      <w:r>
        <w:rPr>
          <w:color w:val="231F20"/>
          <w:spacing w:val="-3"/>
          <w:sz w:val="22"/>
        </w:rPr>
        <w:t>163</w:t>
      </w:r>
    </w:p>
    <w:p>
      <w:pPr>
        <w:spacing w:after="0"/>
        <w:jc w:val="left"/>
        <w:rPr>
          <w:sz w:val="22"/>
        </w:rPr>
        <w:sectPr>
          <w:pgSz w:w="11900" w:h="14450"/>
          <w:pgMar w:header="0" w:footer="222" w:top="420" w:bottom="420" w:left="0" w:right="0"/>
        </w:sectPr>
      </w:pPr>
    </w:p>
    <w:p>
      <w:pPr>
        <w:pStyle w:val="BodyText"/>
        <w:rPr>
          <w:sz w:val="18"/>
        </w:rPr>
      </w:pPr>
    </w:p>
    <w:p>
      <w:pPr>
        <w:spacing w:line="266" w:lineRule="auto" w:before="129"/>
        <w:ind w:left="1837" w:right="0" w:hanging="284"/>
        <w:jc w:val="both"/>
        <w:rPr>
          <w:sz w:val="18"/>
        </w:rPr>
      </w:pPr>
      <w:r>
        <w:rPr>
          <w:color w:val="231F20"/>
          <w:sz w:val="18"/>
        </w:rPr>
        <w:t>Candeau D.R., Franco M.S. (2007). Dinámica y condi- ciones de vida de la población del Parque Nacional Nevado de Toluca en la generación de presión a los ecosistemas circundantes y de impactos ambienta- les a través de un sistema de información geográfi- ca. Investigaciones geográficas. </w:t>
      </w:r>
      <w:r>
        <w:rPr>
          <w:i/>
          <w:color w:val="231F20"/>
          <w:sz w:val="18"/>
        </w:rPr>
        <w:t>Boletín del Instituto </w:t>
      </w:r>
      <w:r>
        <w:rPr>
          <w:i/>
          <w:color w:val="231F20"/>
          <w:sz w:val="18"/>
        </w:rPr>
        <w:t>de  Geografía  UNAM,  </w:t>
      </w:r>
      <w:r>
        <w:rPr>
          <w:color w:val="231F20"/>
          <w:sz w:val="18"/>
        </w:rPr>
        <w:t>62: 44-68.</w:t>
      </w:r>
    </w:p>
    <w:p>
      <w:pPr>
        <w:spacing w:line="266" w:lineRule="auto" w:before="55"/>
        <w:ind w:left="1837" w:right="0" w:hanging="284"/>
        <w:jc w:val="both"/>
        <w:rPr>
          <w:sz w:val="18"/>
        </w:rPr>
      </w:pPr>
      <w:r>
        <w:rPr>
          <w:color w:val="231F20"/>
          <w:w w:val="105"/>
          <w:sz w:val="18"/>
        </w:rPr>
        <w:t>Cuellar A. (2008). Perspectivas de la producción ovina en México para el año </w:t>
      </w:r>
      <w:r>
        <w:rPr>
          <w:color w:val="231F20"/>
          <w:spacing w:val="-4"/>
          <w:w w:val="105"/>
          <w:sz w:val="18"/>
        </w:rPr>
        <w:t>2010. </w:t>
      </w:r>
      <w:r>
        <w:rPr>
          <w:i/>
          <w:color w:val="231F20"/>
          <w:w w:val="105"/>
          <w:sz w:val="18"/>
        </w:rPr>
        <w:t>La Revista del Borre- </w:t>
      </w:r>
      <w:r>
        <w:rPr>
          <w:i/>
          <w:color w:val="231F20"/>
          <w:w w:val="105"/>
          <w:sz w:val="18"/>
        </w:rPr>
        <w:t>go,</w:t>
      </w:r>
      <w:r>
        <w:rPr>
          <w:i/>
          <w:color w:val="231F20"/>
          <w:spacing w:val="-13"/>
          <w:w w:val="105"/>
          <w:sz w:val="18"/>
        </w:rPr>
        <w:t> </w:t>
      </w:r>
      <w:r>
        <w:rPr>
          <w:color w:val="231F20"/>
          <w:spacing w:val="-11"/>
          <w:w w:val="105"/>
          <w:sz w:val="18"/>
        </w:rPr>
        <w:t>47.</w:t>
      </w:r>
      <w:r>
        <w:rPr>
          <w:color w:val="231F20"/>
          <w:spacing w:val="-13"/>
          <w:w w:val="105"/>
          <w:sz w:val="18"/>
        </w:rPr>
        <w:t> </w:t>
      </w:r>
      <w:r>
        <w:rPr>
          <w:color w:val="231F20"/>
          <w:w w:val="105"/>
          <w:sz w:val="18"/>
        </w:rPr>
        <w:t>Disponible</w:t>
      </w:r>
      <w:r>
        <w:rPr>
          <w:color w:val="231F20"/>
          <w:spacing w:val="-13"/>
          <w:w w:val="105"/>
          <w:sz w:val="18"/>
        </w:rPr>
        <w:t> </w:t>
      </w:r>
      <w:r>
        <w:rPr>
          <w:color w:val="231F20"/>
          <w:w w:val="105"/>
          <w:sz w:val="18"/>
        </w:rPr>
        <w:t>en</w:t>
      </w:r>
      <w:r>
        <w:rPr>
          <w:color w:val="231F20"/>
          <w:spacing w:val="-13"/>
          <w:w w:val="105"/>
          <w:sz w:val="18"/>
        </w:rPr>
        <w:t> </w:t>
      </w:r>
      <w:r>
        <w:rPr>
          <w:color w:val="231F20"/>
          <w:w w:val="105"/>
          <w:sz w:val="18"/>
        </w:rPr>
        <w:t>línea</w:t>
      </w:r>
      <w:r>
        <w:rPr>
          <w:color w:val="231F20"/>
          <w:spacing w:val="-13"/>
          <w:w w:val="105"/>
          <w:sz w:val="18"/>
        </w:rPr>
        <w:t> </w:t>
      </w:r>
      <w:r>
        <w:rPr>
          <w:color w:val="231F20"/>
          <w:w w:val="105"/>
          <w:sz w:val="18"/>
        </w:rPr>
        <w:t>en:</w:t>
      </w:r>
      <w:r>
        <w:rPr>
          <w:color w:val="231F20"/>
          <w:spacing w:val="-13"/>
          <w:w w:val="105"/>
          <w:sz w:val="18"/>
        </w:rPr>
        <w:t> </w:t>
      </w:r>
      <w:r>
        <w:rPr>
          <w:color w:val="231F20"/>
          <w:w w:val="105"/>
          <w:sz w:val="18"/>
        </w:rPr>
        <w:t>http://www.borrego. com.mx/archivo/n47/p47perspectivas.php</w:t>
      </w:r>
    </w:p>
    <w:p>
      <w:pPr>
        <w:spacing w:line="266" w:lineRule="auto" w:before="55"/>
        <w:ind w:left="1837" w:right="0" w:hanging="284"/>
        <w:jc w:val="both"/>
        <w:rPr>
          <w:sz w:val="18"/>
        </w:rPr>
      </w:pPr>
      <w:r>
        <w:rPr>
          <w:color w:val="231F20"/>
          <w:sz w:val="18"/>
        </w:rPr>
        <w:t>Domínguez V.I., Huerta B.M. (2008). Concentración e interrelación mineral en suelo, forraje y suero de ovinos durante dos épocas en el Valle de Toluca, México.  </w:t>
      </w:r>
      <w:r>
        <w:rPr>
          <w:i/>
          <w:color w:val="231F20"/>
          <w:sz w:val="18"/>
        </w:rPr>
        <w:t>Agrociencia</w:t>
      </w:r>
      <w:r>
        <w:rPr>
          <w:color w:val="231F20"/>
          <w:sz w:val="18"/>
        </w:rPr>
        <w:t>,  42:  173-183.</w:t>
      </w:r>
    </w:p>
    <w:p>
      <w:pPr>
        <w:spacing w:line="266" w:lineRule="auto" w:before="55"/>
        <w:ind w:left="1837" w:right="0" w:hanging="284"/>
        <w:jc w:val="both"/>
        <w:rPr>
          <w:sz w:val="18"/>
        </w:rPr>
      </w:pPr>
      <w:r>
        <w:rPr>
          <w:color w:val="231F20"/>
          <w:sz w:val="18"/>
        </w:rPr>
        <w:t>Dzib-Can A., Torres-Hernández G., Ortiz de Montellano A., Acevez-Narro E. (2006). Management practices utilized by producers of hair sheep of two social sec- tors in Campeche, México. </w:t>
      </w:r>
      <w:r>
        <w:rPr>
          <w:i/>
          <w:color w:val="231F20"/>
          <w:sz w:val="18"/>
        </w:rPr>
        <w:t>Livestock Research for </w:t>
      </w:r>
      <w:r>
        <w:rPr>
          <w:i/>
          <w:color w:val="231F20"/>
          <w:sz w:val="18"/>
        </w:rPr>
        <w:t>Rural  Development,  </w:t>
      </w:r>
      <w:r>
        <w:rPr>
          <w:color w:val="231F20"/>
          <w:sz w:val="18"/>
        </w:rPr>
        <w:t>18:  Article #105.</w:t>
      </w:r>
    </w:p>
    <w:p>
      <w:pPr>
        <w:spacing w:line="266" w:lineRule="auto" w:before="55"/>
        <w:ind w:left="1837" w:right="0" w:hanging="284"/>
        <w:jc w:val="both"/>
        <w:rPr>
          <w:sz w:val="18"/>
        </w:rPr>
      </w:pPr>
      <w:r>
        <w:rPr>
          <w:color w:val="231F20"/>
          <w:sz w:val="18"/>
        </w:rPr>
        <w:t>Edouard </w:t>
      </w:r>
      <w:r>
        <w:rPr>
          <w:color w:val="231F20"/>
          <w:spacing w:val="-8"/>
          <w:sz w:val="18"/>
        </w:rPr>
        <w:t>F. </w:t>
      </w:r>
      <w:r>
        <w:rPr>
          <w:color w:val="231F20"/>
          <w:spacing w:val="-3"/>
          <w:sz w:val="18"/>
        </w:rPr>
        <w:t>(2010). </w:t>
      </w:r>
      <w:r>
        <w:rPr>
          <w:color w:val="231F20"/>
          <w:sz w:val="18"/>
        </w:rPr>
        <w:t>Gobernanza en la tenencia  de  la  tierra y recursos naturales en América Central. </w:t>
      </w:r>
      <w:r>
        <w:rPr>
          <w:color w:val="231F20"/>
          <w:spacing w:val="-4"/>
          <w:sz w:val="18"/>
        </w:rPr>
        <w:t>FAO. </w:t>
      </w:r>
      <w:r>
        <w:rPr>
          <w:color w:val="231F20"/>
          <w:sz w:val="18"/>
        </w:rPr>
        <w:t>Documento de trabajo sobre la tenencia de la tie-   rra </w:t>
      </w:r>
      <w:r>
        <w:rPr>
          <w:color w:val="231F20"/>
          <w:spacing w:val="-3"/>
          <w:sz w:val="18"/>
        </w:rPr>
        <w:t>18. </w:t>
      </w:r>
      <w:r>
        <w:rPr>
          <w:color w:val="231F20"/>
          <w:sz w:val="18"/>
        </w:rPr>
        <w:t>Disponible en línea en: </w:t>
      </w:r>
      <w:hyperlink r:id="rId289">
        <w:r>
          <w:rPr>
            <w:color w:val="231F20"/>
            <w:sz w:val="18"/>
          </w:rPr>
          <w:t>http://www.fao.org/</w:t>
        </w:r>
      </w:hyperlink>
      <w:r>
        <w:rPr>
          <w:color w:val="231F20"/>
          <w:sz w:val="18"/>
        </w:rPr>
        <w:t> docrep/013/al934s/al934s00.pdf</w:t>
      </w:r>
    </w:p>
    <w:p>
      <w:pPr>
        <w:spacing w:line="266" w:lineRule="auto" w:before="55"/>
        <w:ind w:left="1837" w:right="0" w:hanging="284"/>
        <w:jc w:val="both"/>
        <w:rPr>
          <w:sz w:val="18"/>
        </w:rPr>
      </w:pPr>
      <w:r>
        <w:rPr>
          <w:color w:val="231F20"/>
          <w:spacing w:val="-6"/>
          <w:w w:val="105"/>
          <w:sz w:val="18"/>
        </w:rPr>
        <w:t>FAO</w:t>
      </w:r>
      <w:r>
        <w:rPr>
          <w:color w:val="231F20"/>
          <w:spacing w:val="-9"/>
          <w:w w:val="105"/>
          <w:sz w:val="18"/>
        </w:rPr>
        <w:t> </w:t>
      </w:r>
      <w:r>
        <w:rPr>
          <w:color w:val="231F20"/>
          <w:w w:val="105"/>
          <w:sz w:val="18"/>
        </w:rPr>
        <w:t>(2001).</w:t>
      </w:r>
      <w:r>
        <w:rPr>
          <w:color w:val="231F20"/>
          <w:spacing w:val="-9"/>
          <w:w w:val="105"/>
          <w:sz w:val="18"/>
        </w:rPr>
        <w:t> </w:t>
      </w:r>
      <w:r>
        <w:rPr>
          <w:color w:val="231F20"/>
          <w:w w:val="105"/>
          <w:sz w:val="18"/>
        </w:rPr>
        <w:t>Pastoralism</w:t>
      </w:r>
      <w:r>
        <w:rPr>
          <w:color w:val="231F20"/>
          <w:spacing w:val="-9"/>
          <w:w w:val="105"/>
          <w:sz w:val="18"/>
        </w:rPr>
        <w:t> </w:t>
      </w:r>
      <w:r>
        <w:rPr>
          <w:color w:val="231F20"/>
          <w:w w:val="105"/>
          <w:sz w:val="18"/>
        </w:rPr>
        <w:t>in</w:t>
      </w:r>
      <w:r>
        <w:rPr>
          <w:color w:val="231F20"/>
          <w:spacing w:val="-9"/>
          <w:w w:val="105"/>
          <w:sz w:val="18"/>
        </w:rPr>
        <w:t> </w:t>
      </w:r>
      <w:r>
        <w:rPr>
          <w:color w:val="231F20"/>
          <w:w w:val="105"/>
          <w:sz w:val="18"/>
        </w:rPr>
        <w:t>the</w:t>
      </w:r>
      <w:r>
        <w:rPr>
          <w:color w:val="231F20"/>
          <w:spacing w:val="-9"/>
          <w:w w:val="105"/>
          <w:sz w:val="18"/>
        </w:rPr>
        <w:t> </w:t>
      </w:r>
      <w:r>
        <w:rPr>
          <w:color w:val="231F20"/>
          <w:w w:val="105"/>
          <w:sz w:val="18"/>
        </w:rPr>
        <w:t>new</w:t>
      </w:r>
      <w:r>
        <w:rPr>
          <w:color w:val="231F20"/>
          <w:spacing w:val="-9"/>
          <w:w w:val="105"/>
          <w:sz w:val="18"/>
        </w:rPr>
        <w:t> </w:t>
      </w:r>
      <w:r>
        <w:rPr>
          <w:color w:val="231F20"/>
          <w:w w:val="105"/>
          <w:sz w:val="18"/>
        </w:rPr>
        <w:t>millennium.</w:t>
      </w:r>
      <w:r>
        <w:rPr>
          <w:color w:val="231F20"/>
          <w:spacing w:val="-9"/>
          <w:w w:val="105"/>
          <w:sz w:val="18"/>
        </w:rPr>
        <w:t> </w:t>
      </w:r>
      <w:r>
        <w:rPr>
          <w:color w:val="231F20"/>
          <w:w w:val="105"/>
          <w:sz w:val="18"/>
        </w:rPr>
        <w:t>Animal production</w:t>
      </w:r>
      <w:r>
        <w:rPr>
          <w:color w:val="231F20"/>
          <w:spacing w:val="-13"/>
          <w:w w:val="105"/>
          <w:sz w:val="18"/>
        </w:rPr>
        <w:t> </w:t>
      </w:r>
      <w:r>
        <w:rPr>
          <w:color w:val="231F20"/>
          <w:w w:val="105"/>
          <w:sz w:val="18"/>
        </w:rPr>
        <w:t>and</w:t>
      </w:r>
      <w:r>
        <w:rPr>
          <w:color w:val="231F20"/>
          <w:spacing w:val="-13"/>
          <w:w w:val="105"/>
          <w:sz w:val="18"/>
        </w:rPr>
        <w:t> </w:t>
      </w:r>
      <w:r>
        <w:rPr>
          <w:color w:val="231F20"/>
          <w:w w:val="105"/>
          <w:sz w:val="18"/>
        </w:rPr>
        <w:t>health.</w:t>
      </w:r>
      <w:r>
        <w:rPr>
          <w:color w:val="231F20"/>
          <w:spacing w:val="-13"/>
          <w:w w:val="105"/>
          <w:sz w:val="18"/>
        </w:rPr>
        <w:t> </w:t>
      </w:r>
      <w:r>
        <w:rPr>
          <w:color w:val="231F20"/>
          <w:w w:val="105"/>
          <w:sz w:val="18"/>
        </w:rPr>
        <w:t>Paper</w:t>
      </w:r>
      <w:r>
        <w:rPr>
          <w:color w:val="231F20"/>
          <w:spacing w:val="-13"/>
          <w:w w:val="105"/>
          <w:sz w:val="18"/>
        </w:rPr>
        <w:t> </w:t>
      </w:r>
      <w:r>
        <w:rPr>
          <w:color w:val="231F20"/>
          <w:w w:val="105"/>
          <w:sz w:val="18"/>
        </w:rPr>
        <w:t>No</w:t>
      </w:r>
      <w:r>
        <w:rPr>
          <w:color w:val="231F20"/>
          <w:spacing w:val="-13"/>
          <w:w w:val="105"/>
          <w:sz w:val="18"/>
        </w:rPr>
        <w:t> </w:t>
      </w:r>
      <w:r>
        <w:rPr>
          <w:color w:val="231F20"/>
          <w:spacing w:val="-3"/>
          <w:w w:val="105"/>
          <w:sz w:val="18"/>
        </w:rPr>
        <w:t>150.</w:t>
      </w:r>
      <w:r>
        <w:rPr>
          <w:color w:val="231F20"/>
          <w:spacing w:val="-13"/>
          <w:w w:val="105"/>
          <w:sz w:val="18"/>
        </w:rPr>
        <w:t> </w:t>
      </w:r>
      <w:r>
        <w:rPr>
          <w:color w:val="231F20"/>
          <w:w w:val="105"/>
          <w:sz w:val="18"/>
        </w:rPr>
        <w:t>Disponible</w:t>
      </w:r>
      <w:r>
        <w:rPr>
          <w:color w:val="231F20"/>
          <w:spacing w:val="-13"/>
          <w:w w:val="105"/>
          <w:sz w:val="18"/>
        </w:rPr>
        <w:t> </w:t>
      </w:r>
      <w:r>
        <w:rPr>
          <w:color w:val="231F20"/>
          <w:w w:val="105"/>
          <w:sz w:val="18"/>
        </w:rPr>
        <w:t>en línea</w:t>
      </w:r>
      <w:r>
        <w:rPr>
          <w:color w:val="231F20"/>
          <w:spacing w:val="-11"/>
          <w:w w:val="105"/>
          <w:sz w:val="18"/>
        </w:rPr>
        <w:t> </w:t>
      </w:r>
      <w:r>
        <w:rPr>
          <w:color w:val="231F20"/>
          <w:w w:val="105"/>
          <w:sz w:val="18"/>
        </w:rPr>
        <w:t>en:</w:t>
      </w:r>
      <w:r>
        <w:rPr>
          <w:color w:val="231F20"/>
          <w:spacing w:val="-11"/>
          <w:w w:val="105"/>
          <w:sz w:val="18"/>
        </w:rPr>
        <w:t> </w:t>
      </w:r>
      <w:hyperlink r:id="rId290">
        <w:r>
          <w:rPr>
            <w:color w:val="231F20"/>
            <w:w w:val="105"/>
            <w:sz w:val="18"/>
          </w:rPr>
          <w:t>http://www.fao.org/docrep/005/y2647e/</w:t>
        </w:r>
      </w:hyperlink>
      <w:r>
        <w:rPr>
          <w:color w:val="231F20"/>
          <w:w w:val="110"/>
          <w:sz w:val="18"/>
        </w:rPr>
        <w:t> </w:t>
      </w:r>
      <w:r>
        <w:rPr>
          <w:color w:val="231F20"/>
          <w:w w:val="105"/>
          <w:sz w:val="18"/>
        </w:rPr>
        <w:t>y2647e00.htm#toc</w:t>
      </w:r>
    </w:p>
    <w:p>
      <w:pPr>
        <w:spacing w:line="266" w:lineRule="auto" w:before="55"/>
        <w:ind w:left="1837" w:right="0" w:hanging="284"/>
        <w:jc w:val="both"/>
        <w:rPr>
          <w:sz w:val="18"/>
        </w:rPr>
      </w:pPr>
      <w:r>
        <w:rPr>
          <w:color w:val="231F20"/>
          <w:w w:val="105"/>
          <w:sz w:val="18"/>
        </w:rPr>
        <w:t>FAO (2003). The state of food insecurity in the world. FAO, Rome, Italy. Disponible en línea en: http:// </w:t>
      </w:r>
      <w:hyperlink r:id="rId291">
        <w:r>
          <w:rPr>
            <w:color w:val="231F20"/>
            <w:w w:val="105"/>
            <w:sz w:val="18"/>
          </w:rPr>
          <w:t>www.fao.org/docrep/006/j0083e/j0083e03.htm</w:t>
        </w:r>
      </w:hyperlink>
    </w:p>
    <w:p>
      <w:pPr>
        <w:spacing w:line="266" w:lineRule="auto" w:before="55"/>
        <w:ind w:left="1837" w:right="0" w:hanging="284"/>
        <w:jc w:val="both"/>
        <w:rPr>
          <w:sz w:val="18"/>
        </w:rPr>
      </w:pPr>
      <w:r>
        <w:rPr>
          <w:color w:val="231F20"/>
          <w:sz w:val="18"/>
        </w:rPr>
        <w:t>Franco M.S., Regil García H.H., Ordoñez D.J.A. (2006). Dinámica de perturbación-recuperación de las zonas forestales en el Parque Nacional Nevado de Toluca. </w:t>
      </w:r>
      <w:r>
        <w:rPr>
          <w:i/>
          <w:color w:val="231F20"/>
          <w:sz w:val="18"/>
        </w:rPr>
        <w:t>Madera  y  Bosques,  </w:t>
      </w:r>
      <w:r>
        <w:rPr>
          <w:color w:val="231F20"/>
          <w:sz w:val="18"/>
        </w:rPr>
        <w:t>12(1):  17-28.</w:t>
      </w:r>
    </w:p>
    <w:p>
      <w:pPr>
        <w:spacing w:line="266" w:lineRule="auto" w:before="55"/>
        <w:ind w:left="1837" w:right="0" w:hanging="284"/>
        <w:jc w:val="both"/>
        <w:rPr>
          <w:sz w:val="18"/>
        </w:rPr>
      </w:pPr>
      <w:r>
        <w:rPr>
          <w:color w:val="231F20"/>
          <w:sz w:val="18"/>
        </w:rPr>
        <w:t>Garayo U.J.M. (2001). Los espacios naturales protegi- dos: entre la conservación y el desarrollo. </w:t>
      </w:r>
      <w:r>
        <w:rPr>
          <w:i/>
          <w:color w:val="231F20"/>
          <w:sz w:val="18"/>
        </w:rPr>
        <w:t>Lurralde, </w:t>
      </w:r>
      <w:r>
        <w:rPr>
          <w:i/>
          <w:color w:val="231F20"/>
          <w:sz w:val="18"/>
        </w:rPr>
        <w:t>Investigación y Espacio, </w:t>
      </w:r>
      <w:r>
        <w:rPr>
          <w:color w:val="231F20"/>
          <w:sz w:val="18"/>
        </w:rPr>
        <w:t>24: 271-293. Disponible en línea en: </w:t>
      </w:r>
      <w:hyperlink r:id="rId292">
        <w:r>
          <w:rPr>
            <w:color w:val="231F20"/>
            <w:sz w:val="18"/>
          </w:rPr>
          <w:t>http://www.ingeba.org/lurralde/lurranet/</w:t>
        </w:r>
      </w:hyperlink>
      <w:r>
        <w:rPr>
          <w:color w:val="231F20"/>
          <w:w w:val="98"/>
          <w:sz w:val="18"/>
        </w:rPr>
        <w:t> </w:t>
      </w:r>
      <w:r>
        <w:rPr>
          <w:color w:val="231F20"/>
          <w:sz w:val="18"/>
        </w:rPr>
        <w:t>lur24/protegid/protegid.html</w:t>
      </w:r>
    </w:p>
    <w:p>
      <w:pPr>
        <w:spacing w:line="266" w:lineRule="auto" w:before="55"/>
        <w:ind w:left="1837" w:right="0" w:hanging="284"/>
        <w:jc w:val="both"/>
        <w:rPr>
          <w:sz w:val="18"/>
        </w:rPr>
      </w:pPr>
      <w:r>
        <w:rPr>
          <w:color w:val="231F20"/>
          <w:sz w:val="18"/>
        </w:rPr>
        <w:t>Gerritzen P.R., Montero C.M., Figueroa B.P. (2003). El mundo  en  un  espejo.  Percepciones  campesinas de</w:t>
      </w:r>
    </w:p>
    <w:p>
      <w:pPr>
        <w:pStyle w:val="BodyText"/>
        <w:rPr>
          <w:sz w:val="18"/>
        </w:rPr>
      </w:pPr>
      <w:r>
        <w:rPr/>
        <w:br w:type="column"/>
      </w:r>
      <w:r>
        <w:rPr>
          <w:sz w:val="18"/>
        </w:rPr>
      </w:r>
    </w:p>
    <w:p>
      <w:pPr>
        <w:spacing w:before="129"/>
        <w:ind w:left="696" w:right="0" w:firstLine="0"/>
        <w:jc w:val="both"/>
        <w:rPr>
          <w:sz w:val="18"/>
        </w:rPr>
      </w:pPr>
      <w:r>
        <w:rPr>
          <w:color w:val="231F20"/>
          <w:sz w:val="18"/>
        </w:rPr>
        <w:t>los cambios ambientales en el occidente de   México.</w:t>
      </w:r>
    </w:p>
    <w:p>
      <w:pPr>
        <w:spacing w:line="324" w:lineRule="auto" w:before="20"/>
        <w:ind w:left="413" w:right="1509" w:firstLine="283"/>
        <w:jc w:val="left"/>
        <w:rPr>
          <w:sz w:val="18"/>
        </w:rPr>
      </w:pPr>
      <w:r>
        <w:rPr>
          <w:i/>
          <w:color w:val="231F20"/>
          <w:w w:val="105"/>
          <w:sz w:val="18"/>
        </w:rPr>
        <w:t>Economía, Sociedad y Territorio, </w:t>
      </w:r>
      <w:r>
        <w:rPr>
          <w:color w:val="231F20"/>
          <w:w w:val="105"/>
          <w:sz w:val="18"/>
        </w:rPr>
        <w:t>5 (14): 253-278. Góngora-Pérez R.D., Góngora-González S.F.,   Magaña-</w:t>
      </w:r>
    </w:p>
    <w:p>
      <w:pPr>
        <w:spacing w:line="163" w:lineRule="exact" w:before="0"/>
        <w:ind w:left="696" w:right="0" w:firstLine="0"/>
        <w:jc w:val="both"/>
        <w:rPr>
          <w:sz w:val="18"/>
        </w:rPr>
      </w:pPr>
      <w:r>
        <w:rPr>
          <w:color w:val="231F20"/>
          <w:sz w:val="18"/>
        </w:rPr>
        <w:t>Magaña  M.A.,  Lara  P.E.  (2010).  Caracterización téc-</w:t>
      </w:r>
    </w:p>
    <w:p>
      <w:pPr>
        <w:spacing w:line="261" w:lineRule="auto" w:before="20"/>
        <w:ind w:left="696" w:right="1551" w:firstLine="0"/>
        <w:jc w:val="both"/>
        <w:rPr>
          <w:sz w:val="18"/>
        </w:rPr>
      </w:pPr>
      <w:r>
        <w:rPr>
          <w:color w:val="231F20"/>
          <w:w w:val="105"/>
          <w:sz w:val="18"/>
        </w:rPr>
        <w:t>nica</w:t>
      </w:r>
      <w:r>
        <w:rPr>
          <w:color w:val="231F20"/>
          <w:spacing w:val="-5"/>
          <w:w w:val="105"/>
          <w:sz w:val="18"/>
        </w:rPr>
        <w:t> </w:t>
      </w:r>
      <w:r>
        <w:rPr>
          <w:color w:val="231F20"/>
          <w:w w:val="105"/>
          <w:sz w:val="18"/>
        </w:rPr>
        <w:t>y</w:t>
      </w:r>
      <w:r>
        <w:rPr>
          <w:color w:val="231F20"/>
          <w:spacing w:val="-5"/>
          <w:w w:val="105"/>
          <w:sz w:val="18"/>
        </w:rPr>
        <w:t> </w:t>
      </w:r>
      <w:r>
        <w:rPr>
          <w:color w:val="231F20"/>
          <w:w w:val="105"/>
          <w:sz w:val="18"/>
        </w:rPr>
        <w:t>socioeconómica</w:t>
      </w:r>
      <w:r>
        <w:rPr>
          <w:color w:val="231F20"/>
          <w:spacing w:val="-5"/>
          <w:w w:val="105"/>
          <w:sz w:val="18"/>
        </w:rPr>
        <w:t> </w:t>
      </w:r>
      <w:r>
        <w:rPr>
          <w:color w:val="231F20"/>
          <w:w w:val="105"/>
          <w:sz w:val="18"/>
        </w:rPr>
        <w:t>de</w:t>
      </w:r>
      <w:r>
        <w:rPr>
          <w:color w:val="231F20"/>
          <w:spacing w:val="-5"/>
          <w:w w:val="105"/>
          <w:sz w:val="18"/>
        </w:rPr>
        <w:t> </w:t>
      </w:r>
      <w:r>
        <w:rPr>
          <w:color w:val="231F20"/>
          <w:w w:val="105"/>
          <w:sz w:val="18"/>
        </w:rPr>
        <w:t>la</w:t>
      </w:r>
      <w:r>
        <w:rPr>
          <w:color w:val="231F20"/>
          <w:spacing w:val="-5"/>
          <w:w w:val="105"/>
          <w:sz w:val="18"/>
        </w:rPr>
        <w:t> </w:t>
      </w:r>
      <w:r>
        <w:rPr>
          <w:color w:val="231F20"/>
          <w:w w:val="105"/>
          <w:sz w:val="18"/>
        </w:rPr>
        <w:t>producción</w:t>
      </w:r>
      <w:r>
        <w:rPr>
          <w:color w:val="231F20"/>
          <w:spacing w:val="-5"/>
          <w:w w:val="105"/>
          <w:sz w:val="18"/>
        </w:rPr>
        <w:t> </w:t>
      </w:r>
      <w:r>
        <w:rPr>
          <w:color w:val="231F20"/>
          <w:w w:val="105"/>
          <w:sz w:val="18"/>
        </w:rPr>
        <w:t>ovina</w:t>
      </w:r>
      <w:r>
        <w:rPr>
          <w:color w:val="231F20"/>
          <w:spacing w:val="-5"/>
          <w:w w:val="105"/>
          <w:sz w:val="18"/>
        </w:rPr>
        <w:t> </w:t>
      </w:r>
      <w:r>
        <w:rPr>
          <w:color w:val="231F20"/>
          <w:w w:val="105"/>
          <w:sz w:val="18"/>
        </w:rPr>
        <w:t>en</w:t>
      </w:r>
      <w:r>
        <w:rPr>
          <w:color w:val="231F20"/>
          <w:spacing w:val="-5"/>
          <w:w w:val="105"/>
          <w:sz w:val="18"/>
        </w:rPr>
        <w:t> </w:t>
      </w:r>
      <w:r>
        <w:rPr>
          <w:color w:val="231F20"/>
          <w:w w:val="105"/>
          <w:sz w:val="18"/>
        </w:rPr>
        <w:t>el Estado</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Yucatán.</w:t>
      </w:r>
      <w:r>
        <w:rPr>
          <w:color w:val="231F20"/>
          <w:spacing w:val="-23"/>
          <w:w w:val="105"/>
          <w:sz w:val="18"/>
        </w:rPr>
        <w:t> </w:t>
      </w:r>
      <w:r>
        <w:rPr>
          <w:i/>
          <w:color w:val="231F20"/>
          <w:w w:val="105"/>
          <w:sz w:val="18"/>
        </w:rPr>
        <w:t>México,</w:t>
      </w:r>
      <w:r>
        <w:rPr>
          <w:i/>
          <w:color w:val="231F20"/>
          <w:spacing w:val="-23"/>
          <w:w w:val="105"/>
          <w:sz w:val="18"/>
        </w:rPr>
        <w:t> </w:t>
      </w:r>
      <w:r>
        <w:rPr>
          <w:i/>
          <w:color w:val="231F20"/>
          <w:w w:val="105"/>
          <w:sz w:val="18"/>
        </w:rPr>
        <w:t>Agronomía</w:t>
      </w:r>
      <w:r>
        <w:rPr>
          <w:i/>
          <w:color w:val="231F20"/>
          <w:spacing w:val="-23"/>
          <w:w w:val="105"/>
          <w:sz w:val="18"/>
        </w:rPr>
        <w:t> </w:t>
      </w:r>
      <w:r>
        <w:rPr>
          <w:i/>
          <w:color w:val="231F20"/>
          <w:w w:val="105"/>
          <w:sz w:val="18"/>
        </w:rPr>
        <w:t>Meso</w:t>
      </w:r>
      <w:r>
        <w:rPr>
          <w:i/>
          <w:color w:val="231F20"/>
          <w:spacing w:val="-23"/>
          <w:w w:val="105"/>
          <w:sz w:val="18"/>
        </w:rPr>
        <w:t> </w:t>
      </w:r>
      <w:r>
        <w:rPr>
          <w:i/>
          <w:color w:val="231F20"/>
          <w:w w:val="105"/>
          <w:sz w:val="18"/>
        </w:rPr>
        <w:t>Ameri- </w:t>
      </w:r>
      <w:r>
        <w:rPr>
          <w:i/>
          <w:color w:val="231F20"/>
          <w:w w:val="105"/>
          <w:sz w:val="18"/>
        </w:rPr>
        <w:t>cana,  </w:t>
      </w:r>
      <w:r>
        <w:rPr>
          <w:color w:val="231F20"/>
          <w:w w:val="105"/>
          <w:sz w:val="18"/>
        </w:rPr>
        <w:t>21  (1):</w:t>
      </w:r>
      <w:r>
        <w:rPr>
          <w:color w:val="231F20"/>
          <w:spacing w:val="22"/>
          <w:w w:val="105"/>
          <w:sz w:val="18"/>
        </w:rPr>
        <w:t> </w:t>
      </w:r>
      <w:r>
        <w:rPr>
          <w:color w:val="231F20"/>
          <w:spacing w:val="-4"/>
          <w:w w:val="105"/>
          <w:sz w:val="18"/>
        </w:rPr>
        <w:t>131-144.</w:t>
      </w:r>
    </w:p>
    <w:p>
      <w:pPr>
        <w:spacing w:line="261" w:lineRule="auto" w:before="57"/>
        <w:ind w:left="696" w:right="1551" w:hanging="284"/>
        <w:jc w:val="both"/>
        <w:rPr>
          <w:sz w:val="18"/>
        </w:rPr>
      </w:pPr>
      <w:r>
        <w:rPr>
          <w:color w:val="231F20"/>
          <w:sz w:val="18"/>
        </w:rPr>
        <w:t>Greiner R., Patterson L., Miller O. (2009). Motivations, risk perceptions and adoption of conservation prac- tices by farmers. </w:t>
      </w:r>
      <w:r>
        <w:rPr>
          <w:i/>
          <w:color w:val="231F20"/>
          <w:sz w:val="18"/>
        </w:rPr>
        <w:t>Agricultural Systems, </w:t>
      </w:r>
      <w:r>
        <w:rPr>
          <w:color w:val="231F20"/>
          <w:sz w:val="18"/>
        </w:rPr>
        <w:t>99:    86-104.</w:t>
      </w:r>
    </w:p>
    <w:p>
      <w:pPr>
        <w:spacing w:line="261" w:lineRule="auto" w:before="57"/>
        <w:ind w:left="696" w:right="1551" w:hanging="284"/>
        <w:jc w:val="both"/>
        <w:rPr>
          <w:sz w:val="18"/>
        </w:rPr>
      </w:pPr>
      <w:r>
        <w:rPr>
          <w:color w:val="231F20"/>
          <w:sz w:val="18"/>
        </w:rPr>
        <w:t>Guzmán </w:t>
      </w:r>
      <w:r>
        <w:rPr>
          <w:color w:val="231F20"/>
          <w:spacing w:val="-5"/>
          <w:sz w:val="18"/>
        </w:rPr>
        <w:t>F.V.J. </w:t>
      </w:r>
      <w:r>
        <w:rPr>
          <w:color w:val="231F20"/>
          <w:sz w:val="18"/>
        </w:rPr>
        <w:t>(2005). Evaluación  de  dos  subsistemas  de producción ovina en la meseta de los Cuchuma- tanes, Departamento de Huehuetenango. </w:t>
      </w:r>
      <w:r>
        <w:rPr>
          <w:color w:val="231F20"/>
          <w:spacing w:val="-4"/>
          <w:sz w:val="18"/>
        </w:rPr>
        <w:t>Tesis </w:t>
      </w:r>
      <w:r>
        <w:rPr>
          <w:color w:val="231F20"/>
          <w:sz w:val="18"/>
        </w:rPr>
        <w:t>de Licenciado Zootecnista. Universidad de San Carlos, Guatemala.</w:t>
      </w:r>
    </w:p>
    <w:p>
      <w:pPr>
        <w:spacing w:line="261" w:lineRule="auto" w:before="57"/>
        <w:ind w:left="696" w:right="1550" w:hanging="284"/>
        <w:jc w:val="both"/>
        <w:rPr>
          <w:sz w:val="18"/>
        </w:rPr>
      </w:pPr>
      <w:r>
        <w:rPr>
          <w:color w:val="231F20"/>
          <w:sz w:val="18"/>
        </w:rPr>
        <w:t>Hatfield R., Davies J. (2006). Global review on the economics of pastoralism. Prepared for the World Initiative for Sustainable Pastoralism. IUCN, Nairobi. Disponible en línea en: </w:t>
      </w:r>
      <w:hyperlink r:id="rId293">
        <w:r>
          <w:rPr>
            <w:color w:val="231F20"/>
            <w:sz w:val="18"/>
          </w:rPr>
          <w:t>http://www.iucn.org/wisp/</w:t>
        </w:r>
      </w:hyperlink>
      <w:r>
        <w:rPr>
          <w:color w:val="231F20"/>
          <w:sz w:val="18"/>
        </w:rPr>
        <w:t> resources/?1955/Report- Global-Review-of-the- Economics-of-Pastoralism</w:t>
      </w:r>
    </w:p>
    <w:p>
      <w:pPr>
        <w:spacing w:line="261" w:lineRule="auto" w:before="57"/>
        <w:ind w:left="696" w:right="1551" w:hanging="284"/>
        <w:jc w:val="both"/>
        <w:rPr>
          <w:sz w:val="18"/>
        </w:rPr>
      </w:pPr>
      <w:r>
        <w:rPr>
          <w:color w:val="231F20"/>
          <w:sz w:val="18"/>
        </w:rPr>
        <w:t>Herrero M., Thornton P.K., Gerber P., Reid R.S. (2009). Livestock, livelihoods and the environment: under- standing the trade-offs. </w:t>
      </w:r>
      <w:r>
        <w:rPr>
          <w:i/>
          <w:color w:val="231F20"/>
          <w:sz w:val="18"/>
        </w:rPr>
        <w:t>Current Opinion in Environ- </w:t>
      </w:r>
      <w:r>
        <w:rPr>
          <w:i/>
          <w:color w:val="231F20"/>
          <w:sz w:val="18"/>
        </w:rPr>
        <w:t>mental  Sustainability,  </w:t>
      </w:r>
      <w:r>
        <w:rPr>
          <w:color w:val="231F20"/>
          <w:sz w:val="18"/>
        </w:rPr>
        <w:t>1: 111-120.</w:t>
      </w:r>
    </w:p>
    <w:p>
      <w:pPr>
        <w:spacing w:line="261" w:lineRule="auto" w:before="57"/>
        <w:ind w:left="696" w:right="1551" w:hanging="284"/>
        <w:jc w:val="both"/>
        <w:rPr>
          <w:sz w:val="18"/>
        </w:rPr>
      </w:pPr>
      <w:r>
        <w:rPr>
          <w:color w:val="231F20"/>
          <w:sz w:val="18"/>
        </w:rPr>
        <w:t>INEGI (2000). Instituto Nacional de Estadística y Geo- grafía. XII Censo general de población y vivienda. INEGI, México.</w:t>
      </w:r>
    </w:p>
    <w:p>
      <w:pPr>
        <w:spacing w:line="261" w:lineRule="auto" w:before="57"/>
        <w:ind w:left="696" w:right="1551" w:hanging="284"/>
        <w:jc w:val="both"/>
        <w:rPr>
          <w:sz w:val="18"/>
        </w:rPr>
      </w:pPr>
      <w:r>
        <w:rPr>
          <w:color w:val="231F20"/>
          <w:sz w:val="18"/>
        </w:rPr>
        <w:t>INEGI (2005). Instituto Nacional de Estadística y Geo- grafía. Conteo de población y vivienda 2005. Datos por localidad. INEGI, México.</w:t>
      </w:r>
    </w:p>
    <w:p>
      <w:pPr>
        <w:spacing w:line="261" w:lineRule="auto" w:before="57"/>
        <w:ind w:left="696" w:right="1551" w:hanging="284"/>
        <w:jc w:val="both"/>
        <w:rPr>
          <w:sz w:val="18"/>
        </w:rPr>
      </w:pPr>
      <w:r>
        <w:rPr>
          <w:color w:val="231F20"/>
          <w:sz w:val="18"/>
        </w:rPr>
        <w:t>Lasanta T. (2010). Pastoreo en áreas de montaña: estra- tegias e impactos en el territorio. </w:t>
      </w:r>
      <w:r>
        <w:rPr>
          <w:i/>
          <w:color w:val="231F20"/>
          <w:sz w:val="18"/>
        </w:rPr>
        <w:t>Estudios Geográfi- </w:t>
      </w:r>
      <w:r>
        <w:rPr>
          <w:i/>
          <w:color w:val="231F20"/>
          <w:sz w:val="18"/>
        </w:rPr>
        <w:t>cos,  </w:t>
      </w:r>
      <w:r>
        <w:rPr>
          <w:color w:val="231F20"/>
          <w:sz w:val="18"/>
        </w:rPr>
        <w:t>LXXI  (268):   203-233.</w:t>
      </w:r>
    </w:p>
    <w:p>
      <w:pPr>
        <w:spacing w:line="261" w:lineRule="auto" w:before="57"/>
        <w:ind w:left="696" w:right="1551" w:hanging="284"/>
        <w:jc w:val="both"/>
        <w:rPr>
          <w:sz w:val="18"/>
        </w:rPr>
      </w:pPr>
      <w:r>
        <w:rPr>
          <w:color w:val="231F20"/>
          <w:sz w:val="18"/>
        </w:rPr>
        <w:t>Midmore P., Whittaker J. (2000). Economics for sus- tainable rural systems. </w:t>
      </w:r>
      <w:r>
        <w:rPr>
          <w:i/>
          <w:color w:val="231F20"/>
          <w:sz w:val="18"/>
        </w:rPr>
        <w:t>Ecological Economics, </w:t>
      </w:r>
      <w:r>
        <w:rPr>
          <w:color w:val="231F20"/>
          <w:sz w:val="18"/>
        </w:rPr>
        <w:t>35: 173-189.</w:t>
      </w:r>
    </w:p>
    <w:p>
      <w:pPr>
        <w:spacing w:line="261" w:lineRule="auto" w:before="57"/>
        <w:ind w:left="696" w:right="1551" w:hanging="284"/>
        <w:jc w:val="both"/>
        <w:rPr>
          <w:sz w:val="18"/>
        </w:rPr>
      </w:pPr>
      <w:r>
        <w:rPr>
          <w:color w:val="231F20"/>
          <w:w w:val="105"/>
          <w:sz w:val="18"/>
        </w:rPr>
        <w:t>Nava </w:t>
      </w:r>
      <w:r>
        <w:rPr>
          <w:color w:val="231F20"/>
          <w:spacing w:val="-3"/>
          <w:w w:val="105"/>
          <w:sz w:val="18"/>
        </w:rPr>
        <w:t>L.V.M., </w:t>
      </w:r>
      <w:r>
        <w:rPr>
          <w:color w:val="231F20"/>
          <w:w w:val="105"/>
          <w:sz w:val="18"/>
        </w:rPr>
        <w:t>Oliva H.J., Hinojosa C.J.A. (2006). Mortali- dad de los ovinos de pelo en tres épocas</w:t>
      </w:r>
      <w:r>
        <w:rPr>
          <w:color w:val="231F20"/>
          <w:spacing w:val="-21"/>
          <w:w w:val="105"/>
          <w:sz w:val="18"/>
        </w:rPr>
        <w:t> </w:t>
      </w:r>
      <w:r>
        <w:rPr>
          <w:color w:val="231F20"/>
          <w:w w:val="105"/>
          <w:sz w:val="18"/>
        </w:rPr>
        <w:t>climáticas en un rebaño comercial de la Chontalpa, </w:t>
      </w:r>
      <w:r>
        <w:rPr>
          <w:color w:val="231F20"/>
          <w:spacing w:val="-3"/>
          <w:w w:val="105"/>
          <w:sz w:val="18"/>
        </w:rPr>
        <w:t>Tabasco,</w:t>
      </w:r>
      <w:r>
        <w:rPr>
          <w:color w:val="231F20"/>
          <w:spacing w:val="36"/>
          <w:w w:val="105"/>
          <w:sz w:val="18"/>
        </w:rPr>
        <w:t> </w:t>
      </w:r>
      <w:r>
        <w:rPr>
          <w:color w:val="231F20"/>
          <w:w w:val="105"/>
          <w:sz w:val="18"/>
        </w:rPr>
        <w:t>México. </w:t>
      </w:r>
      <w:r>
        <w:rPr>
          <w:i/>
          <w:color w:val="231F20"/>
          <w:w w:val="105"/>
          <w:sz w:val="18"/>
        </w:rPr>
        <w:t>Universidad y Ciencia, </w:t>
      </w:r>
      <w:r>
        <w:rPr>
          <w:color w:val="231F20"/>
          <w:w w:val="105"/>
          <w:sz w:val="18"/>
        </w:rPr>
        <w:t>22 (2): </w:t>
      </w:r>
      <w:r>
        <w:rPr>
          <w:color w:val="231F20"/>
          <w:spacing w:val="21"/>
          <w:w w:val="105"/>
          <w:sz w:val="18"/>
        </w:rPr>
        <w:t> </w:t>
      </w:r>
      <w:r>
        <w:rPr>
          <w:color w:val="231F20"/>
          <w:spacing w:val="-4"/>
          <w:w w:val="105"/>
          <w:sz w:val="18"/>
        </w:rPr>
        <w:t>119-129.</w:t>
      </w:r>
    </w:p>
    <w:p>
      <w:pPr>
        <w:spacing w:line="261" w:lineRule="auto" w:before="57"/>
        <w:ind w:left="696" w:right="1551" w:hanging="284"/>
        <w:jc w:val="both"/>
        <w:rPr>
          <w:sz w:val="18"/>
        </w:rPr>
      </w:pPr>
      <w:r>
        <w:rPr>
          <w:color w:val="231F20"/>
          <w:sz w:val="18"/>
        </w:rPr>
        <w:t>Nuncio O.G., Nahel T.J., Díaz H.B., Escobedo A.F., Salva- tierra  I.E.B.  (2001).  Caracterización  de  los sistemas</w:t>
      </w:r>
    </w:p>
    <w:p>
      <w:pPr>
        <w:spacing w:after="0" w:line="261"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164</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10"/>
        <w:rPr>
          <w:sz w:val="22"/>
        </w:rPr>
      </w:pPr>
    </w:p>
    <w:p>
      <w:pPr>
        <w:spacing w:after="0"/>
        <w:rPr>
          <w:sz w:val="22"/>
        </w:rPr>
        <w:sectPr>
          <w:pgSz w:w="11900" w:h="14450"/>
          <w:pgMar w:header="0" w:footer="222" w:top="420" w:bottom="420" w:left="0" w:right="0"/>
        </w:sectPr>
      </w:pPr>
    </w:p>
    <w:p>
      <w:pPr>
        <w:spacing w:line="266" w:lineRule="auto" w:before="70"/>
        <w:ind w:left="1837" w:right="0" w:firstLine="0"/>
        <w:jc w:val="both"/>
        <w:rPr>
          <w:sz w:val="18"/>
        </w:rPr>
      </w:pPr>
      <w:r>
        <w:rPr>
          <w:color w:val="231F20"/>
          <w:sz w:val="18"/>
        </w:rPr>
        <w:t>de producción ovina en el Estado de Tabasco. </w:t>
      </w:r>
      <w:r>
        <w:rPr>
          <w:i/>
          <w:color w:val="231F20"/>
          <w:sz w:val="18"/>
        </w:rPr>
        <w:t>Agro- </w:t>
      </w:r>
      <w:r>
        <w:rPr>
          <w:i/>
          <w:color w:val="231F20"/>
          <w:sz w:val="18"/>
        </w:rPr>
        <w:t>ciencia,   </w:t>
      </w:r>
      <w:r>
        <w:rPr>
          <w:color w:val="231F20"/>
          <w:sz w:val="18"/>
        </w:rPr>
        <w:t>35   (4): 467-477.</w:t>
      </w:r>
    </w:p>
    <w:p>
      <w:pPr>
        <w:spacing w:line="266" w:lineRule="auto" w:before="55"/>
        <w:ind w:left="1837" w:right="0" w:hanging="284"/>
        <w:jc w:val="both"/>
        <w:rPr>
          <w:sz w:val="18"/>
        </w:rPr>
      </w:pPr>
      <w:r>
        <w:rPr>
          <w:color w:val="231F20"/>
          <w:sz w:val="18"/>
        </w:rPr>
        <w:t>Núñez A.J.M. (2009). Caracterización y evaluación gené- tica de rebaños ovinos en el sur del Distrito Federal. Tesis de Maestría. Colegio de postgraduados. Cam- pus Montecillo, Texcoco, Estado de México. Dispo- nible en línea en: </w:t>
      </w:r>
      <w:hyperlink r:id="rId294">
        <w:r>
          <w:rPr>
            <w:color w:val="231F20"/>
            <w:sz w:val="18"/>
          </w:rPr>
          <w:t>http://www.cm.colpos.mx/2010/</w:t>
        </w:r>
      </w:hyperlink>
      <w:r>
        <w:rPr>
          <w:color w:val="231F20"/>
          <w:sz w:val="18"/>
        </w:rPr>
        <w:t> images/tesis_p/ganaderia/tesis_caracterizacion.pdf</w:t>
      </w:r>
    </w:p>
    <w:p>
      <w:pPr>
        <w:spacing w:line="266" w:lineRule="auto" w:before="55"/>
        <w:ind w:left="1837" w:right="0" w:hanging="284"/>
        <w:jc w:val="both"/>
        <w:rPr>
          <w:sz w:val="18"/>
        </w:rPr>
      </w:pPr>
      <w:r>
        <w:rPr>
          <w:color w:val="231F20"/>
          <w:w w:val="105"/>
          <w:sz w:val="18"/>
        </w:rPr>
        <w:t>Orozco</w:t>
      </w:r>
      <w:r>
        <w:rPr>
          <w:color w:val="231F20"/>
          <w:spacing w:val="-13"/>
          <w:w w:val="105"/>
          <w:sz w:val="18"/>
        </w:rPr>
        <w:t> </w:t>
      </w:r>
      <w:r>
        <w:rPr>
          <w:color w:val="231F20"/>
          <w:w w:val="105"/>
          <w:sz w:val="18"/>
        </w:rPr>
        <w:t>H.M.E.,</w:t>
      </w:r>
      <w:r>
        <w:rPr>
          <w:color w:val="231F20"/>
          <w:spacing w:val="-13"/>
          <w:w w:val="105"/>
          <w:sz w:val="18"/>
        </w:rPr>
        <w:t> </w:t>
      </w:r>
      <w:r>
        <w:rPr>
          <w:color w:val="231F20"/>
          <w:w w:val="105"/>
          <w:sz w:val="18"/>
        </w:rPr>
        <w:t>Gutiérrez</w:t>
      </w:r>
      <w:r>
        <w:rPr>
          <w:color w:val="231F20"/>
          <w:spacing w:val="-13"/>
          <w:w w:val="105"/>
          <w:sz w:val="18"/>
        </w:rPr>
        <w:t> </w:t>
      </w:r>
      <w:r>
        <w:rPr>
          <w:color w:val="231F20"/>
          <w:w w:val="105"/>
          <w:sz w:val="18"/>
        </w:rPr>
        <w:t>M.G.,</w:t>
      </w:r>
      <w:r>
        <w:rPr>
          <w:color w:val="231F20"/>
          <w:spacing w:val="-13"/>
          <w:w w:val="105"/>
          <w:sz w:val="18"/>
        </w:rPr>
        <w:t> </w:t>
      </w:r>
      <w:r>
        <w:rPr>
          <w:color w:val="231F20"/>
          <w:w w:val="105"/>
          <w:sz w:val="18"/>
        </w:rPr>
        <w:t>Delgado</w:t>
      </w:r>
      <w:r>
        <w:rPr>
          <w:color w:val="231F20"/>
          <w:spacing w:val="-13"/>
          <w:w w:val="105"/>
          <w:sz w:val="18"/>
        </w:rPr>
        <w:t> </w:t>
      </w:r>
      <w:r>
        <w:rPr>
          <w:color w:val="231F20"/>
          <w:w w:val="105"/>
          <w:sz w:val="18"/>
        </w:rPr>
        <w:t>C.J.</w:t>
      </w:r>
      <w:r>
        <w:rPr>
          <w:color w:val="231F20"/>
          <w:spacing w:val="-13"/>
          <w:w w:val="105"/>
          <w:sz w:val="18"/>
        </w:rPr>
        <w:t> </w:t>
      </w:r>
      <w:r>
        <w:rPr>
          <w:color w:val="231F20"/>
          <w:w w:val="105"/>
          <w:sz w:val="18"/>
        </w:rPr>
        <w:t>(2009).</w:t>
      </w:r>
      <w:r>
        <w:rPr>
          <w:color w:val="231F20"/>
          <w:spacing w:val="-13"/>
          <w:w w:val="105"/>
          <w:sz w:val="18"/>
        </w:rPr>
        <w:t> </w:t>
      </w:r>
      <w:r>
        <w:rPr>
          <w:color w:val="231F20"/>
          <w:w w:val="105"/>
          <w:sz w:val="18"/>
        </w:rPr>
        <w:t>De- sarrollo</w:t>
      </w:r>
      <w:r>
        <w:rPr>
          <w:color w:val="231F20"/>
          <w:spacing w:val="-21"/>
          <w:w w:val="105"/>
          <w:sz w:val="18"/>
        </w:rPr>
        <w:t> </w:t>
      </w:r>
      <w:r>
        <w:rPr>
          <w:color w:val="231F20"/>
          <w:w w:val="105"/>
          <w:sz w:val="18"/>
        </w:rPr>
        <w:t>rural</w:t>
      </w:r>
      <w:r>
        <w:rPr>
          <w:color w:val="231F20"/>
          <w:spacing w:val="-21"/>
          <w:w w:val="105"/>
          <w:sz w:val="18"/>
        </w:rPr>
        <w:t> </w:t>
      </w:r>
      <w:r>
        <w:rPr>
          <w:color w:val="231F20"/>
          <w:w w:val="105"/>
          <w:sz w:val="18"/>
        </w:rPr>
        <w:t>y</w:t>
      </w:r>
      <w:r>
        <w:rPr>
          <w:color w:val="231F20"/>
          <w:spacing w:val="-21"/>
          <w:w w:val="105"/>
          <w:sz w:val="18"/>
        </w:rPr>
        <w:t> </w:t>
      </w:r>
      <w:r>
        <w:rPr>
          <w:color w:val="231F20"/>
          <w:w w:val="105"/>
          <w:sz w:val="18"/>
        </w:rPr>
        <w:t>deterioro</w:t>
      </w:r>
      <w:r>
        <w:rPr>
          <w:color w:val="231F20"/>
          <w:spacing w:val="-21"/>
          <w:w w:val="105"/>
          <w:sz w:val="18"/>
        </w:rPr>
        <w:t> </w:t>
      </w:r>
      <w:r>
        <w:rPr>
          <w:color w:val="231F20"/>
          <w:w w:val="105"/>
          <w:sz w:val="18"/>
        </w:rPr>
        <w:t>del</w:t>
      </w:r>
      <w:r>
        <w:rPr>
          <w:color w:val="231F20"/>
          <w:spacing w:val="-21"/>
          <w:w w:val="105"/>
          <w:sz w:val="18"/>
        </w:rPr>
        <w:t> </w:t>
      </w:r>
      <w:r>
        <w:rPr>
          <w:color w:val="231F20"/>
          <w:w w:val="105"/>
          <w:sz w:val="18"/>
        </w:rPr>
        <w:t>bosque.</w:t>
      </w:r>
      <w:r>
        <w:rPr>
          <w:color w:val="231F20"/>
          <w:spacing w:val="-21"/>
          <w:w w:val="105"/>
          <w:sz w:val="18"/>
        </w:rPr>
        <w:t> </w:t>
      </w:r>
      <w:r>
        <w:rPr>
          <w:color w:val="231F20"/>
          <w:w w:val="105"/>
          <w:sz w:val="18"/>
        </w:rPr>
        <w:t>Región</w:t>
      </w:r>
      <w:r>
        <w:rPr>
          <w:color w:val="231F20"/>
          <w:spacing w:val="-21"/>
          <w:w w:val="105"/>
          <w:sz w:val="18"/>
        </w:rPr>
        <w:t> </w:t>
      </w:r>
      <w:r>
        <w:rPr>
          <w:color w:val="231F20"/>
          <w:w w:val="105"/>
          <w:sz w:val="18"/>
        </w:rPr>
        <w:t>interes-</w:t>
      </w:r>
      <w:r>
        <w:rPr>
          <w:color w:val="231F20"/>
          <w:w w:val="95"/>
          <w:sz w:val="18"/>
        </w:rPr>
        <w:t> </w:t>
      </w:r>
      <w:r>
        <w:rPr>
          <w:color w:val="231F20"/>
          <w:w w:val="105"/>
          <w:sz w:val="18"/>
        </w:rPr>
        <w:t>tatal</w:t>
      </w:r>
      <w:r>
        <w:rPr>
          <w:color w:val="231F20"/>
          <w:spacing w:val="-27"/>
          <w:w w:val="105"/>
          <w:sz w:val="18"/>
        </w:rPr>
        <w:t> </w:t>
      </w:r>
      <w:r>
        <w:rPr>
          <w:color w:val="231F20"/>
          <w:w w:val="105"/>
          <w:sz w:val="18"/>
        </w:rPr>
        <w:t>del</w:t>
      </w:r>
      <w:r>
        <w:rPr>
          <w:color w:val="231F20"/>
          <w:spacing w:val="-27"/>
          <w:w w:val="105"/>
          <w:sz w:val="18"/>
        </w:rPr>
        <w:t> </w:t>
      </w:r>
      <w:r>
        <w:rPr>
          <w:color w:val="231F20"/>
          <w:w w:val="105"/>
          <w:sz w:val="18"/>
        </w:rPr>
        <w:t>Alto</w:t>
      </w:r>
      <w:r>
        <w:rPr>
          <w:color w:val="231F20"/>
          <w:spacing w:val="-27"/>
          <w:w w:val="105"/>
          <w:sz w:val="18"/>
        </w:rPr>
        <w:t> </w:t>
      </w:r>
      <w:r>
        <w:rPr>
          <w:color w:val="231F20"/>
          <w:w w:val="105"/>
          <w:sz w:val="18"/>
        </w:rPr>
        <w:t>Lerma.</w:t>
      </w:r>
      <w:r>
        <w:rPr>
          <w:color w:val="231F20"/>
          <w:spacing w:val="-27"/>
          <w:w w:val="105"/>
          <w:sz w:val="18"/>
        </w:rPr>
        <w:t> </w:t>
      </w:r>
      <w:r>
        <w:rPr>
          <w:i/>
          <w:color w:val="231F20"/>
          <w:w w:val="105"/>
          <w:sz w:val="18"/>
        </w:rPr>
        <w:t>Economía,</w:t>
      </w:r>
      <w:r>
        <w:rPr>
          <w:i/>
          <w:color w:val="231F20"/>
          <w:spacing w:val="-27"/>
          <w:w w:val="105"/>
          <w:sz w:val="18"/>
        </w:rPr>
        <w:t> </w:t>
      </w:r>
      <w:r>
        <w:rPr>
          <w:i/>
          <w:color w:val="231F20"/>
          <w:w w:val="105"/>
          <w:sz w:val="18"/>
        </w:rPr>
        <w:t>Sociedad</w:t>
      </w:r>
      <w:r>
        <w:rPr>
          <w:i/>
          <w:color w:val="231F20"/>
          <w:spacing w:val="-27"/>
          <w:w w:val="105"/>
          <w:sz w:val="18"/>
        </w:rPr>
        <w:t> </w:t>
      </w:r>
      <w:r>
        <w:rPr>
          <w:i/>
          <w:color w:val="231F20"/>
          <w:w w:val="105"/>
          <w:sz w:val="18"/>
        </w:rPr>
        <w:t>y</w:t>
      </w:r>
      <w:r>
        <w:rPr>
          <w:i/>
          <w:color w:val="231F20"/>
          <w:spacing w:val="-27"/>
          <w:w w:val="105"/>
          <w:sz w:val="18"/>
        </w:rPr>
        <w:t> </w:t>
      </w:r>
      <w:r>
        <w:rPr>
          <w:i/>
          <w:color w:val="231F20"/>
          <w:w w:val="105"/>
          <w:sz w:val="18"/>
        </w:rPr>
        <w:t>Territorio,</w:t>
      </w:r>
      <w:r>
        <w:rPr>
          <w:i/>
          <w:color w:val="231F20"/>
          <w:w w:val="96"/>
          <w:sz w:val="18"/>
        </w:rPr>
        <w:t> </w:t>
      </w:r>
      <w:r>
        <w:rPr>
          <w:color w:val="231F20"/>
          <w:w w:val="105"/>
          <w:sz w:val="18"/>
        </w:rPr>
        <w:t>30  (10): </w:t>
      </w:r>
      <w:r>
        <w:rPr>
          <w:color w:val="231F20"/>
          <w:spacing w:val="22"/>
          <w:w w:val="105"/>
          <w:sz w:val="18"/>
        </w:rPr>
        <w:t> </w:t>
      </w:r>
      <w:r>
        <w:rPr>
          <w:color w:val="231F20"/>
          <w:spacing w:val="-3"/>
          <w:w w:val="105"/>
          <w:sz w:val="18"/>
        </w:rPr>
        <w:t>435-472.</w:t>
      </w:r>
    </w:p>
    <w:p>
      <w:pPr>
        <w:spacing w:line="266" w:lineRule="auto" w:before="55"/>
        <w:ind w:left="1837" w:right="0" w:hanging="284"/>
        <w:jc w:val="both"/>
        <w:rPr>
          <w:sz w:val="18"/>
        </w:rPr>
      </w:pPr>
      <w:r>
        <w:rPr>
          <w:color w:val="231F20"/>
          <w:sz w:val="18"/>
        </w:rPr>
        <w:t>Philips A. (2003). Un  paradigma  moderno.  </w:t>
      </w:r>
      <w:r>
        <w:rPr>
          <w:i/>
          <w:color w:val="231F20"/>
          <w:sz w:val="18"/>
        </w:rPr>
        <w:t>Boletín  de  </w:t>
      </w:r>
      <w:r>
        <w:rPr>
          <w:i/>
          <w:color w:val="231F20"/>
          <w:sz w:val="18"/>
        </w:rPr>
        <w:t>la UICN, </w:t>
      </w:r>
      <w:r>
        <w:rPr>
          <w:color w:val="231F20"/>
          <w:sz w:val="18"/>
        </w:rPr>
        <w:t>(2): </w:t>
      </w:r>
      <w:r>
        <w:rPr>
          <w:color w:val="231F20"/>
          <w:spacing w:val="-6"/>
          <w:sz w:val="18"/>
        </w:rPr>
        <w:t>6-7. </w:t>
      </w:r>
      <w:r>
        <w:rPr>
          <w:color w:val="231F20"/>
          <w:sz w:val="18"/>
        </w:rPr>
        <w:t>Disponible en línea en: http:// cmsdata.iucn.org/downloads/vth_iucn_es.pdf</w:t>
      </w:r>
    </w:p>
    <w:p>
      <w:pPr>
        <w:spacing w:line="266" w:lineRule="auto" w:before="55"/>
        <w:ind w:left="1837" w:right="0" w:hanging="284"/>
        <w:jc w:val="both"/>
        <w:rPr>
          <w:sz w:val="18"/>
        </w:rPr>
      </w:pPr>
      <w:r>
        <w:rPr>
          <w:color w:val="231F20"/>
          <w:sz w:val="18"/>
        </w:rPr>
        <w:t>Plieninger T., Modolell J., Konold M.W. (2004). Land manager attitudes toward management, regenera- tion, and conservation of Spanish holm oak savan- nas (dehesas). </w:t>
      </w:r>
      <w:r>
        <w:rPr>
          <w:i/>
          <w:color w:val="231F20"/>
          <w:sz w:val="18"/>
        </w:rPr>
        <w:t>Landscape and Urban Planning, </w:t>
      </w:r>
      <w:r>
        <w:rPr>
          <w:color w:val="231F20"/>
          <w:sz w:val="18"/>
        </w:rPr>
        <w:t>66: 185-198.</w:t>
      </w:r>
    </w:p>
    <w:p>
      <w:pPr>
        <w:spacing w:before="55"/>
        <w:ind w:left="1553" w:right="0" w:firstLine="0"/>
        <w:jc w:val="left"/>
        <w:rPr>
          <w:sz w:val="18"/>
        </w:rPr>
      </w:pPr>
      <w:r>
        <w:rPr>
          <w:color w:val="231F20"/>
          <w:sz w:val="18"/>
        </w:rPr>
        <w:t>Ramírez B.E., Hernández C.E., Hernández C.L.M., Tórtora</w:t>
      </w:r>
    </w:p>
    <w:p>
      <w:pPr>
        <w:spacing w:line="266" w:lineRule="auto" w:before="23"/>
        <w:ind w:left="1837" w:right="0" w:firstLine="0"/>
        <w:jc w:val="both"/>
        <w:rPr>
          <w:sz w:val="18"/>
        </w:rPr>
      </w:pPr>
      <w:r>
        <w:rPr>
          <w:color w:val="231F20"/>
          <w:spacing w:val="-3"/>
          <w:sz w:val="18"/>
        </w:rPr>
        <w:t>P.J.L. </w:t>
      </w:r>
      <w:r>
        <w:rPr>
          <w:color w:val="231F20"/>
          <w:sz w:val="18"/>
        </w:rPr>
        <w:t>(2004). Efecto de un suplemento parenteral  con selenito de sodio en la mortalidad de corderos    y los valores hemáticos de selenio. </w:t>
      </w:r>
      <w:r>
        <w:rPr>
          <w:i/>
          <w:color w:val="231F20"/>
          <w:sz w:val="18"/>
        </w:rPr>
        <w:t>Agrociencia, </w:t>
      </w:r>
      <w:r>
        <w:rPr>
          <w:color w:val="231F20"/>
          <w:sz w:val="18"/>
        </w:rPr>
        <w:t>38: 43-51.</w:t>
      </w:r>
    </w:p>
    <w:p>
      <w:pPr>
        <w:spacing w:line="266" w:lineRule="auto" w:before="55"/>
        <w:ind w:left="1837" w:right="0" w:hanging="284"/>
        <w:jc w:val="both"/>
        <w:rPr>
          <w:sz w:val="18"/>
        </w:rPr>
      </w:pPr>
      <w:r>
        <w:rPr>
          <w:color w:val="231F20"/>
          <w:sz w:val="18"/>
        </w:rPr>
        <w:t>Rodríguez  J.  (2008).  Una  perspectiva  mundial  sobre  el valor económico total del pastoralismo. Informe de síntesis global basado en seis estudios de país. PNUD, IUCN, IMPS, Nairobi. Disponible en línea en: </w:t>
      </w:r>
      <w:hyperlink r:id="rId295">
        <w:r>
          <w:rPr>
            <w:color w:val="231F20"/>
            <w:sz w:val="18"/>
          </w:rPr>
          <w:t>http://data.iucn.org/wisp/es/documents_espanol/</w:t>
        </w:r>
      </w:hyperlink>
      <w:r>
        <w:rPr>
          <w:color w:val="231F20"/>
          <w:sz w:val="18"/>
        </w:rPr>
        <w:t> TEV_esp.pdf</w:t>
      </w:r>
    </w:p>
    <w:p>
      <w:pPr>
        <w:spacing w:line="266" w:lineRule="auto" w:before="55"/>
        <w:ind w:left="1837" w:right="0" w:hanging="284"/>
        <w:jc w:val="both"/>
        <w:rPr>
          <w:sz w:val="18"/>
        </w:rPr>
      </w:pPr>
      <w:r>
        <w:rPr>
          <w:color w:val="231F20"/>
          <w:sz w:val="18"/>
        </w:rPr>
        <w:t>Rzedowsky J. (1983). Vegetación de México. 1ª ed. Digi- tal. Comisión nacional para el conocimiento y uso de la biodiversidad 2006, México. Disponible en línea en: </w:t>
      </w:r>
      <w:hyperlink r:id="rId296">
        <w:r>
          <w:rPr>
            <w:color w:val="231F20"/>
            <w:sz w:val="18"/>
          </w:rPr>
          <w:t>http://www.conabio.gob.mx/institucion/centro-</w:t>
        </w:r>
      </w:hyperlink>
      <w:r>
        <w:rPr>
          <w:color w:val="231F20"/>
          <w:sz w:val="18"/>
        </w:rPr>
        <w:t> doc/doctos/vegetacion_de_mexico.html</w:t>
      </w:r>
    </w:p>
    <w:p>
      <w:pPr>
        <w:spacing w:line="266" w:lineRule="auto" w:before="55"/>
        <w:ind w:left="1837" w:right="0" w:hanging="284"/>
        <w:jc w:val="both"/>
        <w:rPr>
          <w:sz w:val="18"/>
        </w:rPr>
      </w:pPr>
      <w:r>
        <w:rPr>
          <w:color w:val="231F20"/>
          <w:sz w:val="18"/>
        </w:rPr>
        <w:t>Sánchez </w:t>
      </w:r>
      <w:r>
        <w:rPr>
          <w:color w:val="231F20"/>
          <w:spacing w:val="-3"/>
          <w:sz w:val="18"/>
        </w:rPr>
        <w:t>V.E., </w:t>
      </w:r>
      <w:r>
        <w:rPr>
          <w:color w:val="231F20"/>
          <w:sz w:val="18"/>
        </w:rPr>
        <w:t>Nava </w:t>
      </w:r>
      <w:r>
        <w:rPr>
          <w:color w:val="231F20"/>
          <w:spacing w:val="-4"/>
          <w:sz w:val="18"/>
        </w:rPr>
        <w:t>B.Y. </w:t>
      </w:r>
      <w:r>
        <w:rPr>
          <w:color w:val="231F20"/>
          <w:sz w:val="18"/>
        </w:rPr>
        <w:t>(2009). Estudio de la contribu- ción de los animales en las estrategias de los mo-  dos de vida en comunidades pobres bajo un marco conceptual de funciones de bienes. En: Reyes R.G., compilador. Acercamientos conceptuales y metodo- lógicos para el estudio de la realidad agropecuaria  </w:t>
      </w:r>
      <w:r>
        <w:rPr>
          <w:color w:val="231F20"/>
          <w:spacing w:val="7"/>
          <w:sz w:val="18"/>
        </w:rPr>
        <w:t> </w:t>
      </w:r>
      <w:r>
        <w:rPr>
          <w:color w:val="231F20"/>
          <w:sz w:val="18"/>
        </w:rPr>
        <w:t>y</w:t>
      </w:r>
    </w:p>
    <w:p>
      <w:pPr>
        <w:spacing w:line="261" w:lineRule="auto" w:before="70"/>
        <w:ind w:left="696" w:right="1551" w:firstLine="0"/>
        <w:jc w:val="both"/>
        <w:rPr>
          <w:sz w:val="18"/>
        </w:rPr>
      </w:pPr>
      <w:r>
        <w:rPr/>
        <w:br w:type="column"/>
      </w:r>
      <w:r>
        <w:rPr>
          <w:color w:val="231F20"/>
          <w:sz w:val="18"/>
        </w:rPr>
        <w:t>rural de México. Universidad Autónoma del Estado de México, México. pp.   187-238.</w:t>
      </w:r>
    </w:p>
    <w:p>
      <w:pPr>
        <w:spacing w:line="261" w:lineRule="auto" w:before="57"/>
        <w:ind w:left="696" w:right="1548" w:hanging="284"/>
        <w:jc w:val="both"/>
        <w:rPr>
          <w:sz w:val="18"/>
        </w:rPr>
      </w:pPr>
      <w:r>
        <w:rPr>
          <w:color w:val="231F20"/>
          <w:sz w:val="18"/>
        </w:rPr>
        <w:t>SAT (2012). Servicio de Administración Tributaria del Gobierno de México. Disponible en línea en: http:// </w:t>
      </w:r>
      <w:hyperlink r:id="rId297">
        <w:r>
          <w:rPr>
            <w:color w:val="231F20"/>
            <w:sz w:val="18"/>
          </w:rPr>
          <w:t>www.sat.gob.mx/sitio_internet/asistencia_contribu</w:t>
        </w:r>
      </w:hyperlink>
      <w:r>
        <w:rPr>
          <w:color w:val="231F20"/>
          <w:sz w:val="18"/>
        </w:rPr>
        <w:t> yente/informacion_frecuente/salarios_minimos/de- fault.asp</w:t>
      </w:r>
    </w:p>
    <w:p>
      <w:pPr>
        <w:spacing w:line="261" w:lineRule="auto" w:before="57"/>
        <w:ind w:left="696" w:right="1551" w:hanging="284"/>
        <w:jc w:val="both"/>
        <w:rPr>
          <w:sz w:val="18"/>
        </w:rPr>
      </w:pPr>
      <w:r>
        <w:rPr>
          <w:color w:val="231F20"/>
          <w:sz w:val="18"/>
        </w:rPr>
        <w:t>SEMARNAT (2008). Secretaría de Medio Ambiente y Recursos Naturales. Informe de la situación del me- dio ambiente en México. Compendio de estadísticas ambientales. SEMARNAT, México.</w:t>
      </w:r>
    </w:p>
    <w:p>
      <w:pPr>
        <w:spacing w:line="261" w:lineRule="auto" w:before="57"/>
        <w:ind w:left="696" w:right="1551" w:hanging="284"/>
        <w:jc w:val="both"/>
        <w:rPr>
          <w:sz w:val="18"/>
        </w:rPr>
      </w:pPr>
      <w:r>
        <w:rPr>
          <w:color w:val="231F20"/>
          <w:sz w:val="18"/>
        </w:rPr>
        <w:t>Soto M.C., Delgado M., Cuellar A. (2006). Situación de    la ovinocultura en México. Disponible en línea en: </w:t>
      </w:r>
      <w:hyperlink r:id="rId298">
        <w:r>
          <w:rPr>
            <w:color w:val="231F20"/>
            <w:sz w:val="18"/>
          </w:rPr>
          <w:t>http://www.engormix.com/situacion_ovinocultura_</w:t>
        </w:r>
      </w:hyperlink>
      <w:r>
        <w:rPr>
          <w:color w:val="231F20"/>
          <w:sz w:val="18"/>
        </w:rPr>
        <w:t> mexico_s_articulos_908_OVI.htm</w:t>
      </w:r>
    </w:p>
    <w:p>
      <w:pPr>
        <w:spacing w:line="261" w:lineRule="auto" w:before="57"/>
        <w:ind w:left="696" w:right="1551" w:hanging="284"/>
        <w:jc w:val="both"/>
        <w:rPr>
          <w:sz w:val="18"/>
        </w:rPr>
      </w:pPr>
      <w:r>
        <w:rPr>
          <w:color w:val="231F20"/>
          <w:sz w:val="18"/>
        </w:rPr>
        <w:t>Sotomayor O. </w:t>
      </w:r>
      <w:r>
        <w:rPr>
          <w:color w:val="231F20"/>
          <w:spacing w:val="-3"/>
          <w:sz w:val="18"/>
        </w:rPr>
        <w:t>(2010). </w:t>
      </w:r>
      <w:r>
        <w:rPr>
          <w:color w:val="231F20"/>
          <w:sz w:val="18"/>
        </w:rPr>
        <w:t>Gobernanza y tenencia  de  tie-  rras y recursos naturales en América Latina. </w:t>
      </w:r>
      <w:r>
        <w:rPr>
          <w:color w:val="231F20"/>
          <w:spacing w:val="-4"/>
          <w:sz w:val="18"/>
        </w:rPr>
        <w:t>FAO. </w:t>
      </w:r>
      <w:r>
        <w:rPr>
          <w:color w:val="231F20"/>
          <w:sz w:val="18"/>
        </w:rPr>
        <w:t>Documento  de  trabajo  de  la  tenencia  de  la  tierra</w:t>
      </w:r>
    </w:p>
    <w:p>
      <w:pPr>
        <w:pStyle w:val="ListParagraph"/>
        <w:numPr>
          <w:ilvl w:val="0"/>
          <w:numId w:val="12"/>
        </w:numPr>
        <w:tabs>
          <w:tab w:pos="910" w:val="left" w:leader="none"/>
        </w:tabs>
        <w:spacing w:line="261" w:lineRule="auto" w:before="0" w:after="0"/>
        <w:ind w:left="696" w:right="1551" w:firstLine="0"/>
        <w:jc w:val="both"/>
        <w:rPr>
          <w:color w:val="231F20"/>
          <w:sz w:val="18"/>
        </w:rPr>
      </w:pPr>
      <w:r>
        <w:rPr>
          <w:color w:val="231F20"/>
          <w:sz w:val="18"/>
        </w:rPr>
        <w:t>Disponible en línea en: ftp://ftp.fao.org/docrep/ fao/011/ak017s/ak017s00.pdf</w:t>
      </w:r>
    </w:p>
    <w:p>
      <w:pPr>
        <w:spacing w:line="261" w:lineRule="auto" w:before="57"/>
        <w:ind w:left="696" w:right="1551" w:hanging="284"/>
        <w:jc w:val="both"/>
        <w:rPr>
          <w:sz w:val="18"/>
        </w:rPr>
      </w:pPr>
      <w:r>
        <w:rPr>
          <w:color w:val="231F20"/>
          <w:sz w:val="18"/>
        </w:rPr>
        <w:t>Steinfeld H., Gerber P., Wassenaar T., Castel V., Rosales M., Haan C. (2009). La larga sombra del ganado. Problemas ambientales y opciones.  FAO.  Roma, Italia. Disponible en línea en: </w:t>
      </w:r>
      <w:hyperlink r:id="rId289">
        <w:r>
          <w:rPr>
            <w:color w:val="231F20"/>
            <w:sz w:val="18"/>
          </w:rPr>
          <w:t>http://www.fao.org/</w:t>
        </w:r>
      </w:hyperlink>
      <w:r>
        <w:rPr>
          <w:color w:val="231F20"/>
          <w:sz w:val="18"/>
        </w:rPr>
        <w:t> docrep/011/a0701s/a0701s00.htm</w:t>
      </w:r>
    </w:p>
    <w:p>
      <w:pPr>
        <w:spacing w:line="261" w:lineRule="auto" w:before="57"/>
        <w:ind w:left="696" w:right="1551" w:hanging="284"/>
        <w:jc w:val="both"/>
        <w:rPr>
          <w:sz w:val="18"/>
        </w:rPr>
      </w:pPr>
      <w:r>
        <w:rPr>
          <w:color w:val="231F20"/>
          <w:sz w:val="18"/>
        </w:rPr>
        <w:t>Toledo V.M., Alarcón-Chaires P., Barón L. (2002). Revi- sualizar lo rural. Un enfoque socioecológico. </w:t>
      </w:r>
      <w:r>
        <w:rPr>
          <w:i/>
          <w:color w:val="231F20"/>
          <w:sz w:val="18"/>
        </w:rPr>
        <w:t>Gaceta </w:t>
      </w:r>
      <w:r>
        <w:rPr>
          <w:i/>
          <w:color w:val="231F20"/>
          <w:sz w:val="18"/>
        </w:rPr>
        <w:t>Ecológica,  </w:t>
      </w:r>
      <w:r>
        <w:rPr>
          <w:color w:val="231F20"/>
          <w:sz w:val="18"/>
        </w:rPr>
        <w:t>62:  7-20.</w:t>
      </w:r>
    </w:p>
    <w:p>
      <w:pPr>
        <w:spacing w:line="261" w:lineRule="auto" w:before="57"/>
        <w:ind w:left="696" w:right="1551" w:hanging="284"/>
        <w:jc w:val="both"/>
        <w:rPr>
          <w:sz w:val="18"/>
        </w:rPr>
      </w:pPr>
      <w:r>
        <w:rPr>
          <w:color w:val="231F20"/>
          <w:sz w:val="18"/>
        </w:rPr>
        <w:t>Toledo V.M. (2008). Metabolismos rurales: hacia una teoría económico-ecológica de la apropiación de la naturaleza. </w:t>
      </w:r>
      <w:r>
        <w:rPr>
          <w:i/>
          <w:color w:val="231F20"/>
          <w:sz w:val="18"/>
        </w:rPr>
        <w:t>Revista Iberoamericana de Economía </w:t>
      </w:r>
      <w:r>
        <w:rPr>
          <w:i/>
          <w:color w:val="231F20"/>
          <w:sz w:val="18"/>
        </w:rPr>
        <w:t>Ecológica,  </w:t>
      </w:r>
      <w:r>
        <w:rPr>
          <w:color w:val="231F20"/>
          <w:sz w:val="18"/>
        </w:rPr>
        <w:t>7:  1-26.</w:t>
      </w:r>
    </w:p>
    <w:p>
      <w:pPr>
        <w:spacing w:line="261" w:lineRule="auto" w:before="57"/>
        <w:ind w:left="696" w:right="1551" w:hanging="284"/>
        <w:jc w:val="both"/>
        <w:rPr>
          <w:sz w:val="18"/>
        </w:rPr>
      </w:pPr>
      <w:r>
        <w:rPr>
          <w:color w:val="231F20"/>
          <w:sz w:val="18"/>
        </w:rPr>
        <w:t>Trigo F.J., Romero M.J. (1986). La relevancia de las neu- monías como causas de mortalidad en corderos. </w:t>
      </w:r>
      <w:r>
        <w:rPr>
          <w:i/>
          <w:color w:val="231F20"/>
          <w:sz w:val="18"/>
        </w:rPr>
        <w:t>Veterinaria  México,  </w:t>
      </w:r>
      <w:r>
        <w:rPr>
          <w:color w:val="231F20"/>
          <w:sz w:val="18"/>
        </w:rPr>
        <w:t>17: 116-119.</w:t>
      </w:r>
    </w:p>
    <w:p>
      <w:pPr>
        <w:spacing w:before="57"/>
        <w:ind w:left="412" w:right="1446" w:firstLine="0"/>
        <w:jc w:val="left"/>
        <w:rPr>
          <w:sz w:val="18"/>
        </w:rPr>
      </w:pPr>
      <w:r>
        <w:rPr>
          <w:color w:val="231F20"/>
          <w:sz w:val="18"/>
        </w:rPr>
        <w:t>Valerio D., García A., Acero R., Perea J., Tapia M., Romero</w:t>
      </w:r>
    </w:p>
    <w:p>
      <w:pPr>
        <w:pStyle w:val="ListParagraph"/>
        <w:numPr>
          <w:ilvl w:val="0"/>
          <w:numId w:val="15"/>
        </w:numPr>
        <w:tabs>
          <w:tab w:pos="967" w:val="left" w:leader="none"/>
        </w:tabs>
        <w:spacing w:line="261" w:lineRule="auto" w:before="20" w:after="0"/>
        <w:ind w:left="696" w:right="1551" w:firstLine="0"/>
        <w:jc w:val="both"/>
        <w:rPr>
          <w:sz w:val="18"/>
        </w:rPr>
      </w:pPr>
      <w:r>
        <w:rPr>
          <w:color w:val="231F20"/>
          <w:spacing w:val="-3"/>
          <w:w w:val="105"/>
          <w:sz w:val="18"/>
        </w:rPr>
        <w:t>(2010). </w:t>
      </w:r>
      <w:r>
        <w:rPr>
          <w:color w:val="231F20"/>
          <w:w w:val="105"/>
          <w:sz w:val="18"/>
        </w:rPr>
        <w:t>Caracterización estructural del sistema ovino-caprino de la región noroeste de Repúbli-   ca Dominicana. </w:t>
      </w:r>
      <w:r>
        <w:rPr>
          <w:i/>
          <w:color w:val="231F20"/>
          <w:w w:val="105"/>
          <w:sz w:val="18"/>
        </w:rPr>
        <w:t>Archivos de Zootecnia, </w:t>
      </w:r>
      <w:r>
        <w:rPr>
          <w:color w:val="231F20"/>
          <w:w w:val="105"/>
          <w:sz w:val="18"/>
        </w:rPr>
        <w:t>59 (227): 333-343.</w:t>
      </w:r>
    </w:p>
    <w:p>
      <w:pPr>
        <w:spacing w:line="261" w:lineRule="auto" w:before="57"/>
        <w:ind w:left="696" w:right="1553" w:hanging="284"/>
        <w:jc w:val="both"/>
        <w:rPr>
          <w:sz w:val="18"/>
        </w:rPr>
      </w:pPr>
      <w:r>
        <w:rPr>
          <w:color w:val="231F20"/>
          <w:sz w:val="18"/>
        </w:rPr>
        <w:t>Vargas L.S. (2003). Análisis y desarrollo del sistema de producción  agrosilvopastoril  caprino  para  carne en</w:t>
      </w:r>
    </w:p>
    <w:p>
      <w:pPr>
        <w:spacing w:after="0" w:line="261"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3"/>
          <w:sz w:val="18"/>
        </w:rPr>
        <w:t>10.     </w:t>
      </w:r>
      <w:r>
        <w:rPr>
          <w:color w:val="231F20"/>
          <w:spacing w:val="29"/>
          <w:sz w:val="18"/>
        </w:rPr>
        <w:t> </w:t>
      </w:r>
      <w:r>
        <w:rPr>
          <w:color w:val="231F20"/>
          <w:sz w:val="18"/>
        </w:rPr>
        <w:t>La ovinocultura del Nevado de </w:t>
      </w:r>
      <w:r>
        <w:rPr>
          <w:color w:val="231F20"/>
          <w:spacing w:val="-3"/>
          <w:sz w:val="18"/>
        </w:rPr>
        <w:t>Toluca: </w:t>
      </w:r>
      <w:r>
        <w:rPr>
          <w:color w:val="231F20"/>
          <w:sz w:val="18"/>
        </w:rPr>
        <w:t>factor de deterioro o elemento de</w:t>
      </w:r>
      <w:r>
        <w:rPr>
          <w:color w:val="231F20"/>
          <w:spacing w:val="12"/>
          <w:sz w:val="18"/>
        </w:rPr>
        <w:t> </w:t>
      </w:r>
      <w:r>
        <w:rPr>
          <w:color w:val="231F20"/>
          <w:sz w:val="18"/>
        </w:rPr>
        <w:t>desarrollo...</w:t>
      </w:r>
      <w:r>
        <w:rPr>
          <w:color w:val="231F20"/>
          <w:sz w:val="22"/>
        </w:rPr>
        <w:tab/>
      </w:r>
      <w:r>
        <w:rPr>
          <w:color w:val="231F20"/>
          <w:spacing w:val="-3"/>
          <w:sz w:val="22"/>
        </w:rPr>
        <w:t>165</w:t>
      </w:r>
    </w:p>
    <w:p>
      <w:pPr>
        <w:spacing w:after="0"/>
        <w:jc w:val="left"/>
        <w:rPr>
          <w:sz w:val="22"/>
        </w:rPr>
        <w:sectPr>
          <w:footerReference w:type="default" r:id="rId299"/>
          <w:pgSz w:w="11900" w:h="14450"/>
          <w:pgMar w:footer="222" w:header="0" w:top="420" w:bottom="420" w:left="0" w:right="0"/>
        </w:sectPr>
      </w:pPr>
    </w:p>
    <w:p>
      <w:pPr>
        <w:spacing w:line="264" w:lineRule="auto" w:before="349"/>
        <w:ind w:left="1837" w:right="0" w:firstLine="0"/>
        <w:jc w:val="both"/>
        <w:rPr>
          <w:sz w:val="18"/>
        </w:rPr>
      </w:pPr>
      <w:r>
        <w:rPr>
          <w:color w:val="231F20"/>
          <w:sz w:val="18"/>
        </w:rPr>
        <w:t>condiciones de subsistencia de Puebla, México. </w:t>
      </w:r>
      <w:r>
        <w:rPr>
          <w:color w:val="231F20"/>
          <w:spacing w:val="-8"/>
          <w:sz w:val="18"/>
        </w:rPr>
        <w:t>Te- </w:t>
      </w:r>
      <w:r>
        <w:rPr>
          <w:color w:val="231F20"/>
          <w:sz w:val="18"/>
        </w:rPr>
        <w:t>sis de Doctorado. Universidad de Córdoba, España. Disponible en línea en: </w:t>
      </w:r>
      <w:hyperlink r:id="rId300">
        <w:r>
          <w:rPr>
            <w:color w:val="231F20"/>
            <w:spacing w:val="-3"/>
            <w:sz w:val="18"/>
          </w:rPr>
          <w:t>http://www.uco.es/organiza/</w:t>
        </w:r>
      </w:hyperlink>
      <w:r>
        <w:rPr>
          <w:color w:val="231F20"/>
          <w:spacing w:val="-3"/>
          <w:sz w:val="18"/>
        </w:rPr>
        <w:t> </w:t>
      </w:r>
      <w:r>
        <w:rPr>
          <w:color w:val="231F20"/>
          <w:spacing w:val="3"/>
          <w:sz w:val="18"/>
        </w:rPr>
        <w:t>departamentos/prod-animal/economia/aula/img/ </w:t>
      </w:r>
      <w:r>
        <w:rPr>
          <w:color w:val="231F20"/>
          <w:spacing w:val="-3"/>
          <w:sz w:val="18"/>
        </w:rPr>
        <w:t>pictorex/02_17_46_samuel_b.pdf</w:t>
      </w:r>
    </w:p>
    <w:p>
      <w:pPr>
        <w:spacing w:line="264" w:lineRule="auto" w:before="57"/>
        <w:ind w:left="1837" w:right="0" w:hanging="284"/>
        <w:jc w:val="both"/>
        <w:rPr>
          <w:sz w:val="18"/>
        </w:rPr>
      </w:pPr>
      <w:r>
        <w:rPr>
          <w:color w:val="231F20"/>
          <w:sz w:val="18"/>
        </w:rPr>
        <w:t>Vázquez M.I., Vargas L.S., Zaragoza R.J.L., Bustamante G.A., Calderón S.F., Rojas A.J., Casiano V.M.A. (2009). Tipología de explotaciones ovinas en la sierra    norte</w:t>
      </w:r>
    </w:p>
    <w:p>
      <w:pPr>
        <w:pStyle w:val="BodyText"/>
        <w:rPr>
          <w:sz w:val="18"/>
        </w:rPr>
      </w:pPr>
      <w:r>
        <w:rPr/>
        <w:br w:type="column"/>
      </w:r>
      <w:r>
        <w:rPr>
          <w:sz w:val="18"/>
        </w:rPr>
      </w:r>
    </w:p>
    <w:p>
      <w:pPr>
        <w:spacing w:before="129"/>
        <w:ind w:left="694" w:right="1501" w:firstLine="0"/>
        <w:jc w:val="left"/>
        <w:rPr>
          <w:i/>
          <w:sz w:val="18"/>
        </w:rPr>
      </w:pPr>
      <w:r>
        <w:rPr>
          <w:color w:val="231F20"/>
          <w:w w:val="105"/>
          <w:sz w:val="18"/>
        </w:rPr>
        <w:t>del Estado de Puebla. </w:t>
      </w:r>
      <w:r>
        <w:rPr>
          <w:i/>
          <w:color w:val="231F20"/>
          <w:w w:val="105"/>
          <w:sz w:val="18"/>
        </w:rPr>
        <w:t>Técnica Pecuaria en México,</w:t>
      </w:r>
    </w:p>
    <w:p>
      <w:pPr>
        <w:spacing w:before="22"/>
        <w:ind w:left="694" w:right="1906" w:firstLine="0"/>
        <w:jc w:val="left"/>
        <w:rPr>
          <w:sz w:val="18"/>
        </w:rPr>
      </w:pPr>
      <w:r>
        <w:rPr>
          <w:color w:val="231F20"/>
          <w:w w:val="115"/>
          <w:sz w:val="18"/>
        </w:rPr>
        <w:t>47(4): 357-369.</w:t>
      </w:r>
    </w:p>
    <w:p>
      <w:pPr>
        <w:spacing w:line="264" w:lineRule="auto" w:before="79"/>
        <w:ind w:left="694" w:right="1551" w:hanging="284"/>
        <w:jc w:val="both"/>
        <w:rPr>
          <w:sz w:val="18"/>
        </w:rPr>
      </w:pPr>
      <w:r>
        <w:rPr>
          <w:color w:val="231F20"/>
          <w:spacing w:val="-3"/>
          <w:sz w:val="18"/>
        </w:rPr>
        <w:t>Vega </w:t>
      </w:r>
      <w:r>
        <w:rPr>
          <w:color w:val="231F20"/>
          <w:sz w:val="18"/>
        </w:rPr>
        <w:t>E., Peters  E.  (2003).  Conceptos  generales  sobre  el disturbio y sus efectos en los ecosistemas. En: Sánchez O., </w:t>
      </w:r>
      <w:r>
        <w:rPr>
          <w:color w:val="231F20"/>
          <w:spacing w:val="-3"/>
          <w:sz w:val="18"/>
        </w:rPr>
        <w:t>Vega </w:t>
      </w:r>
      <w:r>
        <w:rPr>
          <w:color w:val="231F20"/>
          <w:sz w:val="18"/>
        </w:rPr>
        <w:t>E., Peters E., Monroy-Vilchis O.,</w:t>
      </w:r>
      <w:r>
        <w:rPr>
          <w:color w:val="231F20"/>
          <w:spacing w:val="-16"/>
          <w:sz w:val="18"/>
        </w:rPr>
        <w:t> </w:t>
      </w:r>
      <w:r>
        <w:rPr>
          <w:color w:val="231F20"/>
          <w:sz w:val="18"/>
        </w:rPr>
        <w:t>edi- tores. Conservación de ecosistemas templados de montaña en México. Instituto Nacional de Ecología, México.  pp.</w:t>
      </w:r>
      <w:r>
        <w:rPr>
          <w:color w:val="231F20"/>
          <w:spacing w:val="34"/>
          <w:sz w:val="18"/>
        </w:rPr>
        <w:t> </w:t>
      </w:r>
      <w:r>
        <w:rPr>
          <w:color w:val="231F20"/>
          <w:spacing w:val="-4"/>
          <w:sz w:val="18"/>
        </w:rPr>
        <w:t>137-150.</w:t>
      </w:r>
    </w:p>
    <w:p>
      <w:pPr>
        <w:spacing w:after="0" w:line="264" w:lineRule="auto"/>
        <w:jc w:val="both"/>
        <w:rPr>
          <w:sz w:val="18"/>
        </w:rPr>
        <w:sectPr>
          <w:type w:val="continuous"/>
          <w:pgSz w:w="11900" w:h="14450"/>
          <w:pgMar w:top="420" w:bottom="420" w:left="0" w:right="0"/>
          <w:cols w:num="2" w:equalWidth="0">
            <w:col w:w="5724" w:space="40"/>
            <w:col w:w="6136"/>
          </w:cols>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ListParagraph"/>
        <w:numPr>
          <w:ilvl w:val="1"/>
          <w:numId w:val="15"/>
        </w:numPr>
        <w:tabs>
          <w:tab w:pos="2087" w:val="left" w:leader="none"/>
        </w:tabs>
        <w:spacing w:line="240" w:lineRule="auto" w:before="154" w:after="0"/>
        <w:ind w:left="2086" w:right="0" w:hanging="533"/>
        <w:jc w:val="both"/>
        <w:rPr>
          <w:sz w:val="28"/>
        </w:rPr>
      </w:pPr>
      <w:r>
        <w:rPr>
          <w:color w:val="6D6E71"/>
          <w:w w:val="120"/>
          <w:sz w:val="40"/>
        </w:rPr>
        <w:t>S</w:t>
      </w:r>
      <w:r>
        <w:rPr>
          <w:color w:val="6D6E71"/>
          <w:w w:val="120"/>
          <w:sz w:val="28"/>
        </w:rPr>
        <w:t>iStemAS  productoreS  de</w:t>
      </w:r>
      <w:r>
        <w:rPr>
          <w:color w:val="6D6E71"/>
          <w:spacing w:val="50"/>
          <w:w w:val="120"/>
          <w:sz w:val="28"/>
        </w:rPr>
        <w:t> </w:t>
      </w:r>
      <w:r>
        <w:rPr>
          <w:color w:val="6D6E71"/>
          <w:w w:val="120"/>
          <w:sz w:val="28"/>
        </w:rPr>
        <w:t>ovinoS</w:t>
      </w:r>
    </w:p>
    <w:p>
      <w:pPr>
        <w:pStyle w:val="Heading3"/>
        <w:spacing w:before="261"/>
        <w:rPr>
          <w:rFonts w:ascii="Tahoma" w:hAnsi="Tahoma"/>
          <w:sz w:val="60"/>
        </w:rPr>
      </w:pPr>
      <w:bookmarkStart w:name="_TOC_250004" w:id="8"/>
      <w:r>
        <w:rPr>
          <w:rFonts w:ascii="Tahoma" w:hAnsi="Tahoma"/>
          <w:color w:val="231F20"/>
        </w:rPr>
        <w:t>CAPÍTULO </w:t>
      </w:r>
      <w:bookmarkEnd w:id="8"/>
      <w:r>
        <w:rPr>
          <w:rFonts w:ascii="Tahoma" w:hAnsi="Tahoma"/>
          <w:color w:val="231F20"/>
          <w:sz w:val="60"/>
        </w:rPr>
        <w:t>11</w:t>
      </w:r>
    </w:p>
    <w:p>
      <w:pPr>
        <w:spacing w:before="256"/>
        <w:ind w:left="1553" w:right="2503" w:firstLine="0"/>
        <w:jc w:val="left"/>
        <w:rPr>
          <w:sz w:val="36"/>
        </w:rPr>
      </w:pPr>
      <w:r>
        <w:rPr>
          <w:color w:val="231F20"/>
          <w:w w:val="105"/>
          <w:sz w:val="36"/>
        </w:rPr>
        <w:t>CARACTERIZACIÓN DE </w:t>
      </w:r>
      <w:r>
        <w:rPr>
          <w:color w:val="231F20"/>
          <w:spacing w:val="2"/>
          <w:w w:val="105"/>
          <w:sz w:val="36"/>
        </w:rPr>
        <w:t>LAS </w:t>
      </w:r>
      <w:r>
        <w:rPr>
          <w:color w:val="231F20"/>
          <w:w w:val="105"/>
          <w:sz w:val="36"/>
        </w:rPr>
        <w:t>ZONAS BORREGUERAS DE MICHOACÁN Y </w:t>
      </w:r>
      <w:r>
        <w:rPr>
          <w:color w:val="231F20"/>
          <w:spacing w:val="2"/>
          <w:w w:val="105"/>
          <w:sz w:val="36"/>
        </w:rPr>
        <w:t>SUS</w:t>
      </w:r>
      <w:r>
        <w:rPr>
          <w:color w:val="231F20"/>
          <w:spacing w:val="69"/>
          <w:w w:val="105"/>
          <w:sz w:val="36"/>
        </w:rPr>
        <w:t> </w:t>
      </w:r>
      <w:r>
        <w:rPr>
          <w:color w:val="231F20"/>
          <w:spacing w:val="2"/>
          <w:w w:val="105"/>
          <w:sz w:val="36"/>
        </w:rPr>
        <w:t>IMPLICACIONES</w:t>
      </w:r>
    </w:p>
    <w:p>
      <w:pPr>
        <w:spacing w:before="0"/>
        <w:ind w:left="1553" w:right="0" w:firstLine="0"/>
        <w:jc w:val="both"/>
        <w:rPr>
          <w:sz w:val="36"/>
        </w:rPr>
      </w:pPr>
      <w:r>
        <w:rPr>
          <w:color w:val="231F20"/>
          <w:spacing w:val="-4"/>
          <w:w w:val="105"/>
          <w:sz w:val="36"/>
        </w:rPr>
        <w:t>PARA </w:t>
      </w:r>
      <w:r>
        <w:rPr>
          <w:color w:val="231F20"/>
          <w:w w:val="105"/>
          <w:sz w:val="36"/>
        </w:rPr>
        <w:t>EL DESARROLLO</w:t>
      </w:r>
      <w:r>
        <w:rPr>
          <w:color w:val="231F20"/>
          <w:spacing w:val="54"/>
          <w:w w:val="105"/>
          <w:sz w:val="36"/>
        </w:rPr>
        <w:t> </w:t>
      </w:r>
      <w:r>
        <w:rPr>
          <w:color w:val="231F20"/>
          <w:spacing w:val="4"/>
          <w:w w:val="105"/>
          <w:sz w:val="36"/>
        </w:rPr>
        <w:t>RURAL</w:t>
      </w:r>
    </w:p>
    <w:p>
      <w:pPr>
        <w:pStyle w:val="Heading4"/>
        <w:spacing w:before="250"/>
        <w:ind w:right="3175"/>
        <w:jc w:val="left"/>
        <w:rPr>
          <w:rFonts w:ascii="Cambria" w:hAnsi="Cambria"/>
        </w:rPr>
      </w:pPr>
      <w:r>
        <w:rPr>
          <w:rFonts w:ascii="Cambria" w:hAnsi="Cambria"/>
          <w:i/>
          <w:color w:val="231F20"/>
        </w:rPr>
        <w:t>María Guadalupe Josefina Nuncio Ochoa</w:t>
      </w:r>
      <w:r>
        <w:rPr>
          <w:rFonts w:ascii="Cambria" w:hAnsi="Cambria"/>
          <w:i/>
          <w:color w:val="231F20"/>
          <w:position w:val="9"/>
          <w:sz w:val="16"/>
        </w:rPr>
        <w:t>a,*</w:t>
      </w:r>
      <w:r>
        <w:rPr>
          <w:rFonts w:ascii="Cambria" w:hAnsi="Cambria"/>
          <w:i/>
          <w:color w:val="231F20"/>
        </w:rPr>
        <w:t>, José Nahed Toral</w:t>
      </w:r>
      <w:r>
        <w:rPr>
          <w:rFonts w:ascii="Cambria" w:hAnsi="Cambria"/>
          <w:i/>
          <w:color w:val="231F20"/>
          <w:position w:val="9"/>
          <w:sz w:val="16"/>
        </w:rPr>
        <w:t>b</w:t>
      </w:r>
      <w:r>
        <w:rPr>
          <w:rFonts w:ascii="Cambria" w:hAnsi="Cambria"/>
          <w:i/>
          <w:color w:val="231F20"/>
        </w:rPr>
        <w:t>, </w:t>
      </w:r>
      <w:r>
        <w:rPr>
          <w:rFonts w:ascii="Cambria" w:hAnsi="Cambria"/>
          <w:color w:val="231F20"/>
        </w:rPr>
        <w:t>José Herrera Camacho</w:t>
      </w:r>
      <w:r>
        <w:rPr>
          <w:rFonts w:ascii="Cambria" w:hAnsi="Cambria"/>
          <w:color w:val="231F20"/>
          <w:position w:val="9"/>
          <w:sz w:val="16"/>
        </w:rPr>
        <w:t>c</w:t>
      </w:r>
      <w:r>
        <w:rPr>
          <w:rFonts w:ascii="Cambria" w:hAnsi="Cambria"/>
          <w:color w:val="231F20"/>
        </w:rPr>
        <w:t>, Vicente Salinas    Melgoza</w:t>
      </w:r>
      <w:r>
        <w:rPr>
          <w:rFonts w:ascii="Cambria" w:hAnsi="Cambria"/>
          <w:color w:val="231F20"/>
          <w:position w:val="9"/>
          <w:sz w:val="16"/>
        </w:rPr>
        <w:t>d</w:t>
      </w:r>
      <w:r>
        <w:rPr>
          <w:rFonts w:ascii="Cambria" w:hAnsi="Cambria"/>
          <w:color w:val="231F20"/>
        </w:rPr>
        <w:t>,</w:t>
      </w:r>
    </w:p>
    <w:p>
      <w:pPr>
        <w:spacing w:line="318" w:lineRule="exact" w:before="0"/>
        <w:ind w:left="1553" w:right="0" w:firstLine="0"/>
        <w:jc w:val="both"/>
        <w:rPr>
          <w:rFonts w:ascii="Cambria" w:hAnsi="Cambria"/>
          <w:i/>
          <w:sz w:val="16"/>
        </w:rPr>
      </w:pPr>
      <w:r>
        <w:rPr>
          <w:rFonts w:ascii="Cambria" w:hAnsi="Cambria"/>
          <w:i/>
          <w:color w:val="231F20"/>
          <w:sz w:val="28"/>
        </w:rPr>
        <w:t>Carlos Manuel Arriaga Jordán</w:t>
      </w:r>
      <w:r>
        <w:rPr>
          <w:rFonts w:ascii="Cambria" w:hAnsi="Cambria"/>
          <w:i/>
          <w:color w:val="231F20"/>
          <w:position w:val="9"/>
          <w:sz w:val="16"/>
        </w:rPr>
        <w:t>a  </w:t>
      </w:r>
      <w:r>
        <w:rPr>
          <w:rFonts w:ascii="Cambria" w:hAnsi="Cambria"/>
          <w:i/>
          <w:color w:val="231F20"/>
          <w:sz w:val="28"/>
        </w:rPr>
        <w:t>y Ernesto Sánchez  Vera</w:t>
      </w:r>
      <w:r>
        <w:rPr>
          <w:rFonts w:ascii="Cambria" w:hAnsi="Cambria"/>
          <w:i/>
          <w:color w:val="231F20"/>
          <w:position w:val="9"/>
          <w:sz w:val="16"/>
        </w:rPr>
        <w:t>a</w:t>
      </w:r>
    </w:p>
    <w:p>
      <w:pPr>
        <w:pStyle w:val="BodyText"/>
        <w:spacing w:line="254" w:lineRule="auto" w:before="177"/>
        <w:ind w:left="1553" w:right="2063"/>
      </w:pPr>
      <w:r>
        <w:rPr>
          <w:color w:val="231F20"/>
          <w:position w:val="7"/>
          <w:sz w:val="11"/>
        </w:rPr>
        <w:t>a </w:t>
      </w:r>
      <w:r>
        <w:rPr>
          <w:color w:val="231F20"/>
        </w:rPr>
        <w:t>Instituto de Ciencias Agropecuarias y Rurales (ICAR), Universidad Autónoma del Estado de México (UAEM). Unidad San Cayetano. Km. 14,5 Carretera Toluca-Atlacomulco. Toluca, CP 50295, México</w:t>
      </w:r>
    </w:p>
    <w:p>
      <w:pPr>
        <w:pStyle w:val="BodyText"/>
        <w:spacing w:line="254" w:lineRule="auto" w:before="114"/>
        <w:ind w:left="1553" w:right="1655"/>
      </w:pPr>
      <w:r>
        <w:rPr>
          <w:color w:val="231F20"/>
          <w:position w:val="7"/>
          <w:sz w:val="11"/>
        </w:rPr>
        <w:t>b </w:t>
      </w:r>
      <w:r>
        <w:rPr>
          <w:color w:val="231F20"/>
        </w:rPr>
        <w:t>El Colegio de la Frontera Sur. Carretera Panamericana y Periférico Sur s/n, Barrio María Auxiliadora, San Cristóbal de Las Casas, Chiapas, CP 29290, México</w:t>
      </w:r>
    </w:p>
    <w:p>
      <w:pPr>
        <w:pStyle w:val="BodyText"/>
        <w:spacing w:line="254" w:lineRule="auto" w:before="114"/>
        <w:ind w:left="1553" w:right="1655"/>
      </w:pPr>
      <w:r>
        <w:rPr>
          <w:color w:val="231F20"/>
          <w:position w:val="7"/>
          <w:sz w:val="11"/>
        </w:rPr>
        <w:t>c </w:t>
      </w:r>
      <w:r>
        <w:rPr>
          <w:color w:val="231F20"/>
        </w:rPr>
        <w:t>Instituto de Investigaciones Agropecuarias y Forestales, Universidad Michoacana de San Nicolás de Hidalgo, Unidad Posta. Km. 9,5 Carretera Morelia-Zinapécuaro. Tarímbaro, Michoacán, CP 58880, México</w:t>
      </w:r>
    </w:p>
    <w:p>
      <w:pPr>
        <w:pStyle w:val="BodyText"/>
        <w:spacing w:line="254" w:lineRule="auto" w:before="114"/>
        <w:ind w:left="1553" w:right="2063"/>
      </w:pPr>
      <w:r>
        <w:rPr>
          <w:color w:val="231F20"/>
          <w:position w:val="7"/>
          <w:sz w:val="11"/>
        </w:rPr>
        <w:t>d </w:t>
      </w:r>
      <w:r>
        <w:rPr>
          <w:color w:val="231F20"/>
        </w:rPr>
        <w:t>Instituto Tecnológico del Valle de Morelia. Km. 6,5 Carretera Morelia-Salamanca. Col. Los Ángeles. Morelia, Michoacán, CP 58100,   México</w:t>
      </w:r>
    </w:p>
    <w:p>
      <w:pPr>
        <w:pStyle w:val="BodyText"/>
        <w:spacing w:before="3"/>
        <w:rPr>
          <w:sz w:val="23"/>
        </w:rPr>
      </w:pPr>
      <w:r>
        <w:rPr/>
        <w:pict>
          <v:line style="position:absolute;mso-position-horizontal-relative:page;mso-position-vertical-relative:paragraph;z-index:4912;mso-wrap-distance-left:0;mso-wrap-distance-right:0" from="77.692902pt,16.387936pt" to="517.062902pt,16.387936pt" stroked="true" strokeweight=".5pt" strokecolor="#231f20">
            <w10:wrap type="topAndBottom"/>
          </v:line>
        </w:pict>
      </w:r>
    </w:p>
    <w:p>
      <w:pPr>
        <w:pStyle w:val="BodyText"/>
        <w:spacing w:before="4"/>
        <w:rPr>
          <w:sz w:val="18"/>
        </w:rPr>
      </w:pPr>
    </w:p>
    <w:p>
      <w:pPr>
        <w:pStyle w:val="BodyText"/>
        <w:ind w:left="1553"/>
        <w:jc w:val="both"/>
        <w:rPr>
          <w:rFonts w:ascii="Tahoma"/>
        </w:rPr>
      </w:pPr>
      <w:r>
        <w:rPr>
          <w:rFonts w:ascii="Tahoma"/>
          <w:color w:val="231F20"/>
        </w:rPr>
        <w:t>RESUMEN</w:t>
      </w:r>
    </w:p>
    <w:p>
      <w:pPr>
        <w:pStyle w:val="BodyText"/>
        <w:spacing w:line="254" w:lineRule="auto" w:before="141"/>
        <w:ind w:left="1553" w:right="1551"/>
        <w:jc w:val="both"/>
      </w:pPr>
      <w:r>
        <w:rPr>
          <w:color w:val="231F20"/>
          <w:w w:val="105"/>
        </w:rPr>
        <w:t>En Michoacán se identifican cuatro zonas borregueras: 1) el Altiplano Michoacano (ZBAM), 2) el Bajío Michoacano (ZBBM), 3) el Valle de Apatzingán (ZBVA) y 4) el </w:t>
      </w:r>
      <w:r>
        <w:rPr>
          <w:color w:val="231F20"/>
          <w:spacing w:val="-3"/>
          <w:w w:val="105"/>
        </w:rPr>
        <w:t>Trópico </w:t>
      </w:r>
      <w:r>
        <w:rPr>
          <w:color w:val="231F20"/>
          <w:w w:val="105"/>
        </w:rPr>
        <w:t>Subhúmedo (ZBTS). Sus unidades de</w:t>
      </w:r>
      <w:r>
        <w:rPr>
          <w:color w:val="231F20"/>
          <w:spacing w:val="-12"/>
          <w:w w:val="105"/>
        </w:rPr>
        <w:t> </w:t>
      </w:r>
      <w:r>
        <w:rPr>
          <w:color w:val="231F20"/>
          <w:w w:val="105"/>
        </w:rPr>
        <w:t>producción</w:t>
      </w:r>
      <w:r>
        <w:rPr>
          <w:color w:val="231F20"/>
          <w:spacing w:val="-12"/>
          <w:w w:val="105"/>
        </w:rPr>
        <w:t> </w:t>
      </w:r>
      <w:r>
        <w:rPr>
          <w:color w:val="231F20"/>
          <w:w w:val="105"/>
        </w:rPr>
        <w:t>ovina</w:t>
      </w:r>
      <w:r>
        <w:rPr>
          <w:color w:val="231F20"/>
          <w:spacing w:val="-12"/>
          <w:w w:val="105"/>
        </w:rPr>
        <w:t> </w:t>
      </w:r>
      <w:r>
        <w:rPr>
          <w:color w:val="231F20"/>
          <w:w w:val="105"/>
        </w:rPr>
        <w:t>fueron</w:t>
      </w:r>
      <w:r>
        <w:rPr>
          <w:color w:val="231F20"/>
          <w:spacing w:val="-12"/>
          <w:w w:val="105"/>
        </w:rPr>
        <w:t> </w:t>
      </w:r>
      <w:r>
        <w:rPr>
          <w:color w:val="231F20"/>
          <w:w w:val="105"/>
        </w:rPr>
        <w:t>caracterizadas</w:t>
      </w:r>
      <w:r>
        <w:rPr>
          <w:color w:val="231F20"/>
          <w:spacing w:val="-12"/>
          <w:w w:val="105"/>
        </w:rPr>
        <w:t> </w:t>
      </w:r>
      <w:r>
        <w:rPr>
          <w:color w:val="231F20"/>
          <w:w w:val="105"/>
        </w:rPr>
        <w:t>bajo</w:t>
      </w:r>
      <w:r>
        <w:rPr>
          <w:color w:val="231F20"/>
          <w:spacing w:val="-12"/>
          <w:w w:val="105"/>
        </w:rPr>
        <w:t> </w:t>
      </w:r>
      <w:r>
        <w:rPr>
          <w:color w:val="231F20"/>
          <w:w w:val="105"/>
        </w:rPr>
        <w:t>criterios</w:t>
      </w:r>
      <w:r>
        <w:rPr>
          <w:color w:val="231F20"/>
          <w:spacing w:val="-12"/>
          <w:w w:val="105"/>
        </w:rPr>
        <w:t> </w:t>
      </w:r>
      <w:r>
        <w:rPr>
          <w:color w:val="231F20"/>
          <w:w w:val="105"/>
        </w:rPr>
        <w:t>fisicobióticos</w:t>
      </w:r>
      <w:r>
        <w:rPr>
          <w:color w:val="231F20"/>
          <w:spacing w:val="-12"/>
          <w:w w:val="105"/>
        </w:rPr>
        <w:t> </w:t>
      </w:r>
      <w:r>
        <w:rPr>
          <w:color w:val="231F20"/>
          <w:w w:val="105"/>
        </w:rPr>
        <w:t>y</w:t>
      </w:r>
      <w:r>
        <w:rPr>
          <w:color w:val="231F20"/>
          <w:spacing w:val="-12"/>
          <w:w w:val="105"/>
        </w:rPr>
        <w:t> </w:t>
      </w:r>
      <w:r>
        <w:rPr>
          <w:color w:val="231F20"/>
          <w:w w:val="105"/>
        </w:rPr>
        <w:t>aspectos</w:t>
      </w:r>
      <w:r>
        <w:rPr>
          <w:color w:val="231F20"/>
          <w:spacing w:val="-12"/>
          <w:w w:val="105"/>
        </w:rPr>
        <w:t> </w:t>
      </w:r>
      <w:r>
        <w:rPr>
          <w:color w:val="231F20"/>
          <w:w w:val="105"/>
        </w:rPr>
        <w:t>socioeconómicos</w:t>
      </w:r>
      <w:r>
        <w:rPr>
          <w:color w:val="231F20"/>
          <w:spacing w:val="-12"/>
          <w:w w:val="105"/>
        </w:rPr>
        <w:t> </w:t>
      </w:r>
      <w:r>
        <w:rPr>
          <w:color w:val="231F20"/>
          <w:w w:val="105"/>
        </w:rPr>
        <w:t>y</w:t>
      </w:r>
      <w:r>
        <w:rPr>
          <w:color w:val="231F20"/>
          <w:spacing w:val="-12"/>
          <w:w w:val="105"/>
        </w:rPr>
        <w:t> </w:t>
      </w:r>
      <w:r>
        <w:rPr>
          <w:color w:val="231F20"/>
          <w:w w:val="105"/>
        </w:rPr>
        <w:t>tec- nológicos. Se encontró que la ZBAM contribuye con cerca del 50% de la población ovina estatal, por su ubicación</w:t>
      </w:r>
      <w:r>
        <w:rPr>
          <w:color w:val="231F20"/>
          <w:spacing w:val="-3"/>
          <w:w w:val="105"/>
        </w:rPr>
        <w:t> </w:t>
      </w:r>
      <w:r>
        <w:rPr>
          <w:color w:val="231F20"/>
          <w:w w:val="105"/>
        </w:rPr>
        <w:t>geográfica</w:t>
      </w:r>
      <w:r>
        <w:rPr>
          <w:color w:val="231F20"/>
          <w:spacing w:val="-3"/>
          <w:w w:val="105"/>
        </w:rPr>
        <w:t> </w:t>
      </w:r>
      <w:r>
        <w:rPr>
          <w:color w:val="231F20"/>
          <w:w w:val="105"/>
        </w:rPr>
        <w:t>y</w:t>
      </w:r>
      <w:r>
        <w:rPr>
          <w:color w:val="231F20"/>
          <w:spacing w:val="-3"/>
          <w:w w:val="105"/>
        </w:rPr>
        <w:t> </w:t>
      </w:r>
      <w:r>
        <w:rPr>
          <w:color w:val="231F20"/>
          <w:w w:val="105"/>
        </w:rPr>
        <w:t>su</w:t>
      </w:r>
      <w:r>
        <w:rPr>
          <w:color w:val="231F20"/>
          <w:spacing w:val="-3"/>
          <w:w w:val="105"/>
        </w:rPr>
        <w:t> </w:t>
      </w:r>
      <w:r>
        <w:rPr>
          <w:color w:val="231F20"/>
          <w:w w:val="105"/>
        </w:rPr>
        <w:t>colindancia</w:t>
      </w:r>
      <w:r>
        <w:rPr>
          <w:color w:val="231F20"/>
          <w:spacing w:val="-3"/>
          <w:w w:val="105"/>
        </w:rPr>
        <w:t> </w:t>
      </w:r>
      <w:r>
        <w:rPr>
          <w:color w:val="231F20"/>
          <w:w w:val="105"/>
        </w:rPr>
        <w:t>con</w:t>
      </w:r>
      <w:r>
        <w:rPr>
          <w:color w:val="231F20"/>
          <w:spacing w:val="-3"/>
          <w:w w:val="105"/>
        </w:rPr>
        <w:t> </w:t>
      </w:r>
      <w:r>
        <w:rPr>
          <w:color w:val="231F20"/>
          <w:w w:val="105"/>
        </w:rPr>
        <w:t>el</w:t>
      </w:r>
      <w:r>
        <w:rPr>
          <w:color w:val="231F20"/>
          <w:spacing w:val="-3"/>
          <w:w w:val="105"/>
        </w:rPr>
        <w:t> </w:t>
      </w:r>
      <w:r>
        <w:rPr>
          <w:color w:val="231F20"/>
          <w:w w:val="105"/>
        </w:rPr>
        <w:t>Estado</w:t>
      </w:r>
      <w:r>
        <w:rPr>
          <w:color w:val="231F20"/>
          <w:spacing w:val="-3"/>
          <w:w w:val="105"/>
        </w:rPr>
        <w:t> </w:t>
      </w:r>
      <w:r>
        <w:rPr>
          <w:color w:val="231F20"/>
          <w:w w:val="105"/>
        </w:rPr>
        <w:t>México,</w:t>
      </w:r>
      <w:r>
        <w:rPr>
          <w:color w:val="231F20"/>
          <w:spacing w:val="-3"/>
          <w:w w:val="105"/>
        </w:rPr>
        <w:t> </w:t>
      </w:r>
      <w:r>
        <w:rPr>
          <w:color w:val="231F20"/>
          <w:w w:val="105"/>
        </w:rPr>
        <w:t>que</w:t>
      </w:r>
      <w:r>
        <w:rPr>
          <w:color w:val="231F20"/>
          <w:spacing w:val="-3"/>
          <w:w w:val="105"/>
        </w:rPr>
        <w:t> </w:t>
      </w:r>
      <w:r>
        <w:rPr>
          <w:color w:val="231F20"/>
          <w:w w:val="105"/>
        </w:rPr>
        <w:t>es</w:t>
      </w:r>
      <w:r>
        <w:rPr>
          <w:color w:val="231F20"/>
          <w:spacing w:val="-3"/>
          <w:w w:val="105"/>
        </w:rPr>
        <w:t> </w:t>
      </w:r>
      <w:r>
        <w:rPr>
          <w:color w:val="231F20"/>
          <w:w w:val="105"/>
        </w:rPr>
        <w:t>el</w:t>
      </w:r>
      <w:r>
        <w:rPr>
          <w:color w:val="231F20"/>
          <w:spacing w:val="-3"/>
          <w:w w:val="105"/>
        </w:rPr>
        <w:t> </w:t>
      </w:r>
      <w:r>
        <w:rPr>
          <w:color w:val="231F20"/>
          <w:w w:val="105"/>
        </w:rPr>
        <w:t>mayor</w:t>
      </w:r>
      <w:r>
        <w:rPr>
          <w:color w:val="231F20"/>
          <w:spacing w:val="-3"/>
          <w:w w:val="105"/>
        </w:rPr>
        <w:t> </w:t>
      </w:r>
      <w:r>
        <w:rPr>
          <w:color w:val="231F20"/>
          <w:w w:val="105"/>
        </w:rPr>
        <w:t>productor</w:t>
      </w:r>
      <w:r>
        <w:rPr>
          <w:color w:val="231F20"/>
          <w:spacing w:val="-3"/>
          <w:w w:val="105"/>
        </w:rPr>
        <w:t> </w:t>
      </w:r>
      <w:r>
        <w:rPr>
          <w:color w:val="231F20"/>
          <w:w w:val="105"/>
        </w:rPr>
        <w:t>y</w:t>
      </w:r>
      <w:r>
        <w:rPr>
          <w:color w:val="231F20"/>
          <w:spacing w:val="-3"/>
          <w:w w:val="105"/>
        </w:rPr>
        <w:t> </w:t>
      </w:r>
      <w:r>
        <w:rPr>
          <w:color w:val="231F20"/>
          <w:w w:val="105"/>
        </w:rPr>
        <w:t>consumidor</w:t>
      </w:r>
      <w:r>
        <w:rPr>
          <w:color w:val="231F20"/>
          <w:spacing w:val="-3"/>
          <w:w w:val="105"/>
        </w:rPr>
        <w:t> </w:t>
      </w:r>
      <w:r>
        <w:rPr>
          <w:color w:val="231F20"/>
          <w:w w:val="105"/>
        </w:rPr>
        <w:t>de carne</w:t>
      </w:r>
      <w:r>
        <w:rPr>
          <w:color w:val="231F20"/>
          <w:spacing w:val="-8"/>
          <w:w w:val="105"/>
        </w:rPr>
        <w:t> </w:t>
      </w:r>
      <w:r>
        <w:rPr>
          <w:color w:val="231F20"/>
          <w:w w:val="105"/>
        </w:rPr>
        <w:t>ovina.</w:t>
      </w:r>
      <w:r>
        <w:rPr>
          <w:color w:val="231F20"/>
          <w:spacing w:val="-8"/>
          <w:w w:val="105"/>
        </w:rPr>
        <w:t> </w:t>
      </w:r>
      <w:r>
        <w:rPr>
          <w:color w:val="231F20"/>
          <w:w w:val="105"/>
        </w:rPr>
        <w:t>La</w:t>
      </w:r>
      <w:r>
        <w:rPr>
          <w:color w:val="231F20"/>
          <w:spacing w:val="-8"/>
          <w:w w:val="105"/>
        </w:rPr>
        <w:t> </w:t>
      </w:r>
      <w:r>
        <w:rPr>
          <w:color w:val="231F20"/>
          <w:w w:val="105"/>
        </w:rPr>
        <w:t>ZBAM</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ZBTS</w:t>
      </w:r>
      <w:r>
        <w:rPr>
          <w:color w:val="231F20"/>
          <w:spacing w:val="-8"/>
          <w:w w:val="105"/>
        </w:rPr>
        <w:t> </w:t>
      </w:r>
      <w:r>
        <w:rPr>
          <w:color w:val="231F20"/>
          <w:w w:val="105"/>
        </w:rPr>
        <w:t>tienen</w:t>
      </w:r>
      <w:r>
        <w:rPr>
          <w:color w:val="231F20"/>
          <w:spacing w:val="-8"/>
          <w:w w:val="105"/>
        </w:rPr>
        <w:t> </w:t>
      </w:r>
      <w:r>
        <w:rPr>
          <w:color w:val="231F20"/>
          <w:w w:val="105"/>
        </w:rPr>
        <w:t>la</w:t>
      </w:r>
      <w:r>
        <w:rPr>
          <w:color w:val="231F20"/>
          <w:spacing w:val="-8"/>
          <w:w w:val="105"/>
        </w:rPr>
        <w:t> </w:t>
      </w:r>
      <w:r>
        <w:rPr>
          <w:color w:val="231F20"/>
          <w:w w:val="105"/>
        </w:rPr>
        <w:t>mayor</w:t>
      </w:r>
      <w:r>
        <w:rPr>
          <w:color w:val="231F20"/>
          <w:spacing w:val="-8"/>
          <w:w w:val="105"/>
        </w:rPr>
        <w:t> </w:t>
      </w:r>
      <w:r>
        <w:rPr>
          <w:color w:val="231F20"/>
          <w:w w:val="105"/>
        </w:rPr>
        <w:t>tradición</w:t>
      </w:r>
      <w:r>
        <w:rPr>
          <w:color w:val="231F20"/>
          <w:spacing w:val="-8"/>
          <w:w w:val="105"/>
        </w:rPr>
        <w:t> </w:t>
      </w:r>
      <w:r>
        <w:rPr>
          <w:color w:val="231F20"/>
          <w:w w:val="105"/>
        </w:rPr>
        <w:t>ovina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Estado,</w:t>
      </w:r>
      <w:r>
        <w:rPr>
          <w:color w:val="231F20"/>
          <w:spacing w:val="-8"/>
          <w:w w:val="105"/>
        </w:rPr>
        <w:t> </w:t>
      </w:r>
      <w:r>
        <w:rPr>
          <w:color w:val="231F20"/>
          <w:w w:val="105"/>
        </w:rPr>
        <w:t>con</w:t>
      </w:r>
      <w:r>
        <w:rPr>
          <w:color w:val="231F20"/>
          <w:spacing w:val="-8"/>
          <w:w w:val="105"/>
        </w:rPr>
        <w:t> </w:t>
      </w:r>
      <w:r>
        <w:rPr>
          <w:color w:val="231F20"/>
          <w:w w:val="105"/>
        </w:rPr>
        <w:t>un</w:t>
      </w:r>
      <w:r>
        <w:rPr>
          <w:color w:val="231F20"/>
          <w:spacing w:val="-8"/>
          <w:w w:val="105"/>
        </w:rPr>
        <w:t> </w:t>
      </w:r>
      <w:r>
        <w:rPr>
          <w:color w:val="231F20"/>
          <w:w w:val="105"/>
        </w:rPr>
        <w:t>tiempo</w:t>
      </w:r>
      <w:r>
        <w:rPr>
          <w:color w:val="231F20"/>
          <w:spacing w:val="-8"/>
          <w:w w:val="105"/>
        </w:rPr>
        <w:t> </w:t>
      </w:r>
      <w:r>
        <w:rPr>
          <w:color w:val="231F20"/>
          <w:w w:val="105"/>
        </w:rPr>
        <w:t>dedicado</w:t>
      </w:r>
      <w:r>
        <w:rPr>
          <w:color w:val="231F20"/>
          <w:spacing w:val="-8"/>
          <w:w w:val="105"/>
        </w:rPr>
        <w:t> </w:t>
      </w:r>
      <w:r>
        <w:rPr>
          <w:color w:val="231F20"/>
          <w:w w:val="105"/>
        </w:rPr>
        <w:t>a</w:t>
      </w:r>
      <w:r>
        <w:rPr>
          <w:color w:val="231F20"/>
          <w:spacing w:val="-8"/>
          <w:w w:val="105"/>
        </w:rPr>
        <w:t> </w:t>
      </w:r>
      <w:r>
        <w:rPr>
          <w:color w:val="231F20"/>
          <w:w w:val="105"/>
        </w:rPr>
        <w:t>la ovinocultura</w:t>
      </w:r>
      <w:r>
        <w:rPr>
          <w:color w:val="231F20"/>
          <w:spacing w:val="-14"/>
          <w:w w:val="105"/>
        </w:rPr>
        <w:t> </w:t>
      </w:r>
      <w:r>
        <w:rPr>
          <w:color w:val="231F20"/>
          <w:w w:val="105"/>
        </w:rPr>
        <w:t>que</w:t>
      </w:r>
      <w:r>
        <w:rPr>
          <w:color w:val="231F20"/>
          <w:spacing w:val="-14"/>
          <w:w w:val="105"/>
        </w:rPr>
        <w:t> </w:t>
      </w:r>
      <w:r>
        <w:rPr>
          <w:color w:val="231F20"/>
          <w:w w:val="105"/>
        </w:rPr>
        <w:t>oscila</w:t>
      </w:r>
      <w:r>
        <w:rPr>
          <w:color w:val="231F20"/>
          <w:spacing w:val="-14"/>
          <w:w w:val="105"/>
        </w:rPr>
        <w:t> </w:t>
      </w:r>
      <w:r>
        <w:rPr>
          <w:color w:val="231F20"/>
          <w:w w:val="105"/>
        </w:rPr>
        <w:t>entre</w:t>
      </w:r>
      <w:r>
        <w:rPr>
          <w:color w:val="231F20"/>
          <w:spacing w:val="-14"/>
          <w:w w:val="105"/>
        </w:rPr>
        <w:t> </w:t>
      </w:r>
      <w:r>
        <w:rPr>
          <w:color w:val="231F20"/>
          <w:spacing w:val="-5"/>
          <w:w w:val="105"/>
        </w:rPr>
        <w:t>17</w:t>
      </w:r>
      <w:r>
        <w:rPr>
          <w:color w:val="231F20"/>
          <w:spacing w:val="-14"/>
          <w:w w:val="105"/>
        </w:rPr>
        <w:t> </w:t>
      </w:r>
      <w:r>
        <w:rPr>
          <w:color w:val="231F20"/>
          <w:w w:val="105"/>
        </w:rPr>
        <w:t>y</w:t>
      </w:r>
      <w:r>
        <w:rPr>
          <w:color w:val="231F20"/>
          <w:spacing w:val="-14"/>
          <w:w w:val="105"/>
        </w:rPr>
        <w:t> </w:t>
      </w:r>
      <w:r>
        <w:rPr>
          <w:color w:val="231F20"/>
          <w:w w:val="105"/>
        </w:rPr>
        <w:t>34</w:t>
      </w:r>
      <w:r>
        <w:rPr>
          <w:color w:val="231F20"/>
          <w:spacing w:val="-14"/>
          <w:w w:val="105"/>
        </w:rPr>
        <w:t> </w:t>
      </w:r>
      <w:r>
        <w:rPr>
          <w:color w:val="231F20"/>
          <w:w w:val="105"/>
        </w:rPr>
        <w:t>años.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ZBBM</w:t>
      </w:r>
      <w:r>
        <w:rPr>
          <w:color w:val="231F20"/>
          <w:spacing w:val="-14"/>
          <w:w w:val="105"/>
        </w:rPr>
        <w:t> </w:t>
      </w:r>
      <w:r>
        <w:rPr>
          <w:color w:val="231F20"/>
          <w:w w:val="105"/>
        </w:rPr>
        <w:t>se</w:t>
      </w:r>
      <w:r>
        <w:rPr>
          <w:color w:val="231F20"/>
          <w:spacing w:val="-14"/>
          <w:w w:val="105"/>
        </w:rPr>
        <w:t> </w:t>
      </w:r>
      <w:r>
        <w:rPr>
          <w:color w:val="231F20"/>
          <w:w w:val="105"/>
        </w:rPr>
        <w:t>observa</w:t>
      </w:r>
      <w:r>
        <w:rPr>
          <w:color w:val="231F20"/>
          <w:spacing w:val="-14"/>
          <w:w w:val="105"/>
        </w:rPr>
        <w:t> </w:t>
      </w:r>
      <w:r>
        <w:rPr>
          <w:color w:val="231F20"/>
          <w:w w:val="105"/>
        </w:rPr>
        <w:t>una</w:t>
      </w:r>
      <w:r>
        <w:rPr>
          <w:color w:val="231F20"/>
          <w:spacing w:val="-14"/>
          <w:w w:val="105"/>
        </w:rPr>
        <w:t> </w:t>
      </w:r>
      <w:r>
        <w:rPr>
          <w:color w:val="231F20"/>
          <w:w w:val="105"/>
        </w:rPr>
        <w:t>reconversión</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sector</w:t>
      </w:r>
      <w:r>
        <w:rPr>
          <w:color w:val="231F20"/>
          <w:spacing w:val="-14"/>
          <w:w w:val="105"/>
        </w:rPr>
        <w:t> </w:t>
      </w:r>
      <w:r>
        <w:rPr>
          <w:color w:val="231F20"/>
          <w:w w:val="105"/>
        </w:rPr>
        <w:t>pecuario, con una caída de la producción porcina y una creciente importancia económica de los ovinos, bajo un modelo</w:t>
      </w:r>
      <w:r>
        <w:rPr>
          <w:color w:val="231F20"/>
          <w:spacing w:val="-26"/>
          <w:w w:val="105"/>
        </w:rPr>
        <w:t> </w:t>
      </w:r>
      <w:r>
        <w:rPr>
          <w:color w:val="231F20"/>
          <w:w w:val="105"/>
        </w:rPr>
        <w:t>empresarial,</w:t>
      </w:r>
      <w:r>
        <w:rPr>
          <w:color w:val="231F20"/>
          <w:spacing w:val="-26"/>
          <w:w w:val="105"/>
        </w:rPr>
        <w:t> </w:t>
      </w:r>
      <w:r>
        <w:rPr>
          <w:color w:val="231F20"/>
          <w:w w:val="105"/>
        </w:rPr>
        <w:t>con</w:t>
      </w:r>
      <w:r>
        <w:rPr>
          <w:color w:val="231F20"/>
          <w:spacing w:val="-26"/>
          <w:w w:val="105"/>
        </w:rPr>
        <w:t> </w:t>
      </w:r>
      <w:r>
        <w:rPr>
          <w:color w:val="231F20"/>
          <w:w w:val="105"/>
        </w:rPr>
        <w:t>mayor</w:t>
      </w:r>
      <w:r>
        <w:rPr>
          <w:color w:val="231F20"/>
          <w:spacing w:val="-26"/>
          <w:w w:val="105"/>
        </w:rPr>
        <w:t> </w:t>
      </w:r>
      <w:r>
        <w:rPr>
          <w:color w:val="231F20"/>
          <w:w w:val="105"/>
        </w:rPr>
        <w:t>nivel</w:t>
      </w:r>
      <w:r>
        <w:rPr>
          <w:color w:val="231F20"/>
          <w:spacing w:val="-26"/>
          <w:w w:val="105"/>
        </w:rPr>
        <w:t> </w:t>
      </w:r>
      <w:r>
        <w:rPr>
          <w:color w:val="231F20"/>
          <w:w w:val="105"/>
        </w:rPr>
        <w:t>tecnológico,</w:t>
      </w:r>
      <w:r>
        <w:rPr>
          <w:color w:val="231F20"/>
          <w:spacing w:val="-26"/>
          <w:w w:val="105"/>
        </w:rPr>
        <w:t> </w:t>
      </w:r>
      <w:r>
        <w:rPr>
          <w:color w:val="231F20"/>
          <w:w w:val="105"/>
        </w:rPr>
        <w:t>y</w:t>
      </w:r>
      <w:r>
        <w:rPr>
          <w:color w:val="231F20"/>
          <w:spacing w:val="-26"/>
          <w:w w:val="105"/>
        </w:rPr>
        <w:t> </w:t>
      </w:r>
      <w:r>
        <w:rPr>
          <w:color w:val="231F20"/>
          <w:w w:val="105"/>
        </w:rPr>
        <w:t>mejor</w:t>
      </w:r>
      <w:r>
        <w:rPr>
          <w:color w:val="231F20"/>
          <w:spacing w:val="-26"/>
          <w:w w:val="105"/>
        </w:rPr>
        <w:t> </w:t>
      </w:r>
      <w:r>
        <w:rPr>
          <w:color w:val="231F20"/>
          <w:w w:val="105"/>
        </w:rPr>
        <w:t>productividad</w:t>
      </w:r>
      <w:r>
        <w:rPr>
          <w:color w:val="231F20"/>
          <w:spacing w:val="-26"/>
          <w:w w:val="105"/>
        </w:rPr>
        <w:t> </w:t>
      </w:r>
      <w:r>
        <w:rPr>
          <w:color w:val="231F20"/>
          <w:w w:val="105"/>
        </w:rPr>
        <w:t>y</w:t>
      </w:r>
      <w:r>
        <w:rPr>
          <w:color w:val="231F20"/>
          <w:spacing w:val="-26"/>
          <w:w w:val="105"/>
        </w:rPr>
        <w:t> </w:t>
      </w:r>
      <w:r>
        <w:rPr>
          <w:color w:val="231F20"/>
          <w:w w:val="105"/>
        </w:rPr>
        <w:t>rentabilidad.</w:t>
      </w:r>
    </w:p>
    <w:p>
      <w:pPr>
        <w:pStyle w:val="BodyText"/>
        <w:spacing w:before="105"/>
        <w:ind w:left="1553"/>
        <w:jc w:val="both"/>
      </w:pPr>
      <w:r>
        <w:rPr>
          <w:rFonts w:ascii="Tahoma" w:hAnsi="Tahoma"/>
          <w:color w:val="231F20"/>
        </w:rPr>
        <w:t>Palabras clave</w:t>
      </w:r>
      <w:r>
        <w:rPr>
          <w:color w:val="231F20"/>
        </w:rPr>
        <w:t>: Zonas borregueras - Desarrollo rural - Producción ovina -   Michoacán.</w:t>
      </w:r>
    </w:p>
    <w:p>
      <w:pPr>
        <w:pStyle w:val="BodyText"/>
        <w:spacing w:before="3"/>
      </w:pPr>
      <w:r>
        <w:rPr/>
        <w:pict>
          <v:line style="position:absolute;mso-position-horizontal-relative:page;mso-position-vertical-relative:paragraph;z-index:4936;mso-wrap-distance-left:0;mso-wrap-distance-right:0" from="77.692902pt,14.572355pt" to="517.062902pt,14.572355pt" stroked="true" strokeweight=".5pt" strokecolor="#231f20">
            <w10:wrap type="topAndBottom"/>
          </v:line>
        </w:pict>
      </w:r>
      <w:r>
        <w:rPr/>
        <w:pict>
          <v:group style="position:absolute;margin-left:77.692902pt;margin-top:21.379856pt;width:70.9pt;height:.5pt;mso-position-horizontal-relative:page;mso-position-vertical-relative:paragraph;z-index:4960;mso-wrap-distance-left:0;mso-wrap-distance-right:0" coordorigin="1554,428" coordsize="1418,10">
            <v:line style="position:absolute" from="1589,433" to="2951,433" stroked="true" strokeweight=".5pt" strokecolor="#231f20">
              <v:stroke dashstyle="dash"/>
            </v:line>
            <v:line style="position:absolute" from="1559,433" to="1559,433" stroked="true" strokeweight=".5pt" strokecolor="#231f20"/>
            <v:line style="position:absolute" from="2966,433" to="2966,433" stroked="true" strokeweight=".5pt" strokecolor="#231f20"/>
            <w10:wrap type="topAndBottom"/>
          </v:group>
        </w:pict>
      </w:r>
    </w:p>
    <w:p>
      <w:pPr>
        <w:pStyle w:val="BodyText"/>
        <w:spacing w:before="2"/>
        <w:rPr>
          <w:sz w:val="5"/>
        </w:rPr>
      </w:pPr>
    </w:p>
    <w:p>
      <w:pPr>
        <w:spacing w:after="0"/>
        <w:rPr>
          <w:sz w:val="5"/>
        </w:rPr>
        <w:sectPr>
          <w:pgSz w:w="11900" w:h="14450"/>
          <w:pgMar w:header="0" w:footer="222" w:top="420" w:bottom="420" w:left="0" w:right="0"/>
        </w:sectPr>
      </w:pPr>
    </w:p>
    <w:p>
      <w:pPr>
        <w:spacing w:before="70"/>
        <w:ind w:left="1553" w:right="-14" w:firstLine="0"/>
        <w:jc w:val="left"/>
        <w:rPr>
          <w:sz w:val="16"/>
        </w:rPr>
      </w:pPr>
      <w:r>
        <w:rPr>
          <w:color w:val="231F20"/>
          <w:sz w:val="16"/>
        </w:rPr>
        <w:t>* Para correspondencia:  </w:t>
      </w:r>
      <w:hyperlink r:id="rId301">
        <w:r>
          <w:rPr>
            <w:color w:val="231F20"/>
            <w:sz w:val="16"/>
          </w:rPr>
          <w:t>kaab5@yahoo.com.mx</w:t>
        </w:r>
      </w:hyperlink>
    </w:p>
    <w:p>
      <w:pPr>
        <w:spacing w:before="177"/>
        <w:ind w:left="1526" w:right="1526" w:firstLine="0"/>
        <w:jc w:val="center"/>
        <w:rPr>
          <w:sz w:val="22"/>
        </w:rPr>
      </w:pPr>
      <w:r>
        <w:rPr/>
        <w:br w:type="column"/>
      </w:r>
      <w:r>
        <w:rPr>
          <w:color w:val="231F20"/>
          <w:w w:val="115"/>
          <w:sz w:val="22"/>
        </w:rPr>
        <w:t>167</w:t>
      </w:r>
    </w:p>
    <w:p>
      <w:pPr>
        <w:spacing w:after="0"/>
        <w:jc w:val="center"/>
        <w:rPr>
          <w:sz w:val="22"/>
        </w:rPr>
        <w:sectPr>
          <w:type w:val="continuous"/>
          <w:pgSz w:w="11900" w:h="14450"/>
          <w:pgMar w:top="420" w:bottom="420" w:left="0" w:right="0"/>
          <w:cols w:num="2" w:equalWidth="0">
            <w:col w:w="4699" w:space="3717"/>
            <w:col w:w="3484"/>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168</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67"/>
        <w:ind w:left="1553"/>
        <w:jc w:val="both"/>
        <w:rPr>
          <w:rFonts w:ascii="Tahoma" w:hAnsi="Tahoma"/>
        </w:rPr>
      </w:pPr>
      <w:r>
        <w:rPr>
          <w:rFonts w:ascii="Tahoma" w:hAnsi="Tahoma"/>
          <w:color w:val="231F20"/>
        </w:rPr>
        <w:t>INTRODUCCIÓN</w:t>
      </w:r>
    </w:p>
    <w:p>
      <w:pPr>
        <w:pStyle w:val="BodyText"/>
        <w:spacing w:line="256" w:lineRule="auto" w:before="142"/>
        <w:ind w:left="1553"/>
        <w:jc w:val="both"/>
      </w:pPr>
      <w:r>
        <w:rPr>
          <w:color w:val="231F20"/>
        </w:rPr>
        <w:t>En México, en el año </w:t>
      </w:r>
      <w:r>
        <w:rPr>
          <w:color w:val="231F20"/>
          <w:spacing w:val="-8"/>
        </w:rPr>
        <w:t>2007, </w:t>
      </w:r>
      <w:r>
        <w:rPr>
          <w:color w:val="231F20"/>
        </w:rPr>
        <w:t>el inventario de ovinos era de  </w:t>
      </w:r>
      <w:r>
        <w:rPr>
          <w:color w:val="231F20"/>
          <w:spacing w:val="6"/>
        </w:rPr>
        <w:t>7306600 </w:t>
      </w:r>
      <w:r>
        <w:rPr>
          <w:color w:val="231F20"/>
        </w:rPr>
        <w:t>cabezas  (INEGI,  </w:t>
      </w:r>
      <w:r>
        <w:rPr>
          <w:color w:val="231F20"/>
          <w:spacing w:val="-4"/>
        </w:rPr>
        <w:t>2010).  </w:t>
      </w:r>
      <w:r>
        <w:rPr>
          <w:color w:val="231F20"/>
        </w:rPr>
        <w:t>De  </w:t>
      </w:r>
      <w:r>
        <w:rPr>
          <w:color w:val="231F20"/>
          <w:spacing w:val="-3"/>
        </w:rPr>
        <w:t>1980 </w:t>
      </w:r>
      <w:r>
        <w:rPr>
          <w:color w:val="231F20"/>
        </w:rPr>
        <w:t>a </w:t>
      </w:r>
      <w:r>
        <w:rPr>
          <w:color w:val="231F20"/>
          <w:spacing w:val="-5"/>
        </w:rPr>
        <w:t>2010, </w:t>
      </w:r>
      <w:r>
        <w:rPr>
          <w:color w:val="231F20"/>
        </w:rPr>
        <w:t>la producción de carne tuvo un crecimien- to del 40,5%, hasta llegar a las </w:t>
      </w:r>
      <w:r>
        <w:rPr>
          <w:color w:val="231F20"/>
          <w:spacing w:val="4"/>
        </w:rPr>
        <w:t>54966 </w:t>
      </w:r>
      <w:r>
        <w:rPr>
          <w:color w:val="231F20"/>
        </w:rPr>
        <w:t>toneladas </w:t>
      </w:r>
      <w:r>
        <w:rPr>
          <w:color w:val="231F20"/>
          <w:spacing w:val="-3"/>
        </w:rPr>
        <w:t>(SIAP, </w:t>
      </w:r>
      <w:r>
        <w:rPr>
          <w:color w:val="231F20"/>
          <w:spacing w:val="-4"/>
        </w:rPr>
        <w:t>2011). </w:t>
      </w:r>
      <w:r>
        <w:rPr>
          <w:color w:val="231F20"/>
        </w:rPr>
        <w:t>A pesar de ello, la producción na- cional es deficitaria, ya que las importaciones de carne de ovino se  han  mantenido  elevadas  en  los últimos años y actualmente oscilan entre el 43,48% y el 50% del consumo nacional, lo que significa algo menos de </w:t>
      </w:r>
      <w:r>
        <w:rPr>
          <w:color w:val="231F20"/>
          <w:spacing w:val="4"/>
        </w:rPr>
        <w:t>50000 </w:t>
      </w:r>
      <w:r>
        <w:rPr>
          <w:color w:val="231F20"/>
        </w:rPr>
        <w:t>toneladas de las </w:t>
      </w:r>
      <w:r>
        <w:rPr>
          <w:color w:val="231F20"/>
          <w:spacing w:val="2"/>
        </w:rPr>
        <w:t>100000 </w:t>
      </w:r>
      <w:r>
        <w:rPr>
          <w:color w:val="231F20"/>
        </w:rPr>
        <w:t>que se consumen en nuestro país (Artea- ga, </w:t>
      </w:r>
      <w:r>
        <w:rPr>
          <w:color w:val="231F20"/>
          <w:spacing w:val="-3"/>
        </w:rPr>
        <w:t>2007). </w:t>
      </w:r>
      <w:r>
        <w:rPr>
          <w:color w:val="231F20"/>
        </w:rPr>
        <w:t>La carne de ovino se importa principal- mente de Australia y Nueva Zelanda, que cuentan con más del 90% de la producción ovina mundial, además de Canadá, Estados Unidos y últimamen- te Uruguay (Mondragón-Ancelmo </w:t>
      </w:r>
      <w:r>
        <w:rPr>
          <w:rFonts w:ascii="Cambria" w:hAnsi="Cambria"/>
          <w:i/>
          <w:color w:val="231F20"/>
        </w:rPr>
        <w:t>et al</w:t>
      </w:r>
      <w:r>
        <w:rPr>
          <w:color w:val="231F20"/>
        </w:rPr>
        <w:t>., </w:t>
      </w:r>
      <w:r>
        <w:rPr>
          <w:color w:val="231F20"/>
          <w:spacing w:val="-4"/>
        </w:rPr>
        <w:t>2010). </w:t>
      </w:r>
      <w:r>
        <w:rPr>
          <w:color w:val="231F20"/>
        </w:rPr>
        <w:t>Estos datos sugieren que México requiere, en el mediano plazo, aumentar el volumen de produc- ción de carne de ovino para autoabastecerse, así como mejorar el grado de sustentabilidad de los sistemas de producción  prevalecientes  mediante la generación y la aplicación de tecnologías ade- cuadas a los diferentes tipos de productores y de sistemas de producción establecidos en las diver- sas zonas agroecológicas del país. Los principales Estados de la República Mexicana productores de ganado ovino en pie, según cifras del SIAP </w:t>
      </w:r>
      <w:r>
        <w:rPr>
          <w:color w:val="231F20"/>
          <w:spacing w:val="-4"/>
        </w:rPr>
        <w:t>(2011) </w:t>
      </w:r>
      <w:r>
        <w:rPr>
          <w:color w:val="231F20"/>
        </w:rPr>
        <w:t>para el año </w:t>
      </w:r>
      <w:r>
        <w:rPr>
          <w:color w:val="231F20"/>
          <w:spacing w:val="-5"/>
        </w:rPr>
        <w:t>2010, </w:t>
      </w:r>
      <w:r>
        <w:rPr>
          <w:color w:val="231F20"/>
        </w:rPr>
        <w:t>fueron el Estado de México (con una   participación   de   15,2%),   Hidalgo  </w:t>
      </w:r>
      <w:r>
        <w:rPr>
          <w:color w:val="231F20"/>
          <w:spacing w:val="23"/>
        </w:rPr>
        <w:t> </w:t>
      </w:r>
      <w:r>
        <w:rPr>
          <w:color w:val="231F20"/>
        </w:rPr>
        <w:t>(12,4%),</w:t>
      </w:r>
    </w:p>
    <w:p>
      <w:pPr>
        <w:pStyle w:val="BodyText"/>
        <w:spacing w:line="243" w:lineRule="exact"/>
        <w:ind w:left="1553"/>
        <w:jc w:val="both"/>
      </w:pPr>
      <w:r>
        <w:rPr>
          <w:color w:val="231F20"/>
          <w:w w:val="110"/>
        </w:rPr>
        <w:t>Veracruz (9,3%), Puebla (6,7%), Jalisco  (6,5%),</w:t>
      </w:r>
    </w:p>
    <w:p>
      <w:pPr>
        <w:pStyle w:val="BodyText"/>
        <w:spacing w:before="16"/>
        <w:ind w:left="1553"/>
        <w:jc w:val="both"/>
      </w:pPr>
      <w:r>
        <w:rPr>
          <w:color w:val="231F20"/>
          <w:w w:val="105"/>
        </w:rPr>
        <w:t>Zacatecas (5,8%), Chihuahua (4,3%),   </w:t>
      </w:r>
      <w:r>
        <w:rPr>
          <w:color w:val="231F20"/>
          <w:spacing w:val="-3"/>
          <w:w w:val="105"/>
        </w:rPr>
        <w:t>Tamaulipas</w:t>
      </w:r>
    </w:p>
    <w:p>
      <w:pPr>
        <w:pStyle w:val="BodyText"/>
        <w:spacing w:line="256" w:lineRule="auto" w:before="16"/>
        <w:ind w:left="1553"/>
        <w:jc w:val="both"/>
      </w:pPr>
      <w:r>
        <w:rPr>
          <w:color w:val="231F20"/>
          <w:w w:val="105"/>
        </w:rPr>
        <w:t>(4,3%), Sinaloa (4,1%), Tlaxcala (3,2%), San Luis Potosí (3,1%) y Michoacán (2,6%). Este último Estado,</w:t>
      </w:r>
      <w:r>
        <w:rPr>
          <w:color w:val="231F20"/>
          <w:spacing w:val="-21"/>
          <w:w w:val="105"/>
        </w:rPr>
        <w:t> </w:t>
      </w:r>
      <w:r>
        <w:rPr>
          <w:color w:val="231F20"/>
          <w:w w:val="105"/>
        </w:rPr>
        <w:t>ubicado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decimosegundo</w:t>
      </w:r>
      <w:r>
        <w:rPr>
          <w:color w:val="231F20"/>
          <w:spacing w:val="-21"/>
          <w:w w:val="105"/>
        </w:rPr>
        <w:t> </w:t>
      </w:r>
      <w:r>
        <w:rPr>
          <w:color w:val="231F20"/>
          <w:w w:val="105"/>
        </w:rPr>
        <w:t>lugar,</w:t>
      </w:r>
      <w:r>
        <w:rPr>
          <w:color w:val="231F20"/>
          <w:spacing w:val="-21"/>
          <w:w w:val="105"/>
        </w:rPr>
        <w:t> </w:t>
      </w:r>
      <w:r>
        <w:rPr>
          <w:color w:val="231F20"/>
          <w:w w:val="105"/>
        </w:rPr>
        <w:t>sufrió una pérdida del 0,3% en comparación con la</w:t>
      </w:r>
      <w:r>
        <w:rPr>
          <w:color w:val="231F20"/>
          <w:spacing w:val="-31"/>
          <w:w w:val="105"/>
        </w:rPr>
        <w:t> </w:t>
      </w:r>
      <w:r>
        <w:rPr>
          <w:color w:val="231F20"/>
          <w:w w:val="105"/>
        </w:rPr>
        <w:t>con- tribución</w:t>
      </w:r>
      <w:r>
        <w:rPr>
          <w:color w:val="231F20"/>
          <w:spacing w:val="-9"/>
          <w:w w:val="105"/>
        </w:rPr>
        <w:t> </w:t>
      </w:r>
      <w:r>
        <w:rPr>
          <w:color w:val="231F20"/>
          <w:w w:val="105"/>
        </w:rPr>
        <w:t>que</w:t>
      </w:r>
      <w:r>
        <w:rPr>
          <w:color w:val="231F20"/>
          <w:spacing w:val="-9"/>
          <w:w w:val="105"/>
        </w:rPr>
        <w:t> </w:t>
      </w:r>
      <w:r>
        <w:rPr>
          <w:color w:val="231F20"/>
          <w:w w:val="105"/>
        </w:rPr>
        <w:t>registraba</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año</w:t>
      </w:r>
      <w:r>
        <w:rPr>
          <w:color w:val="231F20"/>
          <w:spacing w:val="-9"/>
          <w:w w:val="105"/>
        </w:rPr>
        <w:t> </w:t>
      </w:r>
      <w:r>
        <w:rPr>
          <w:color w:val="231F20"/>
          <w:w w:val="105"/>
        </w:rPr>
        <w:t>1980.</w:t>
      </w:r>
    </w:p>
    <w:p>
      <w:pPr>
        <w:pStyle w:val="BodyText"/>
        <w:spacing w:line="256" w:lineRule="auto" w:before="112"/>
        <w:ind w:left="1553"/>
        <w:jc w:val="both"/>
      </w:pPr>
      <w:r>
        <w:rPr>
          <w:color w:val="231F20"/>
        </w:rPr>
        <w:t>La producción ovina en el medio rural de México</w:t>
      </w:r>
      <w:r>
        <w:rPr>
          <w:color w:val="231F20"/>
          <w:spacing w:val="-14"/>
        </w:rPr>
        <w:t> </w:t>
      </w:r>
      <w:r>
        <w:rPr>
          <w:color w:val="231F20"/>
        </w:rPr>
        <w:t>se caracteriza por un bajo rendimiento, como conse- cuencia del manejo deficiente en los sistemas de producción tradicionales,  del  empobrecimiento de</w:t>
      </w:r>
      <w:r>
        <w:rPr>
          <w:color w:val="231F20"/>
          <w:spacing w:val="27"/>
        </w:rPr>
        <w:t> </w:t>
      </w:r>
      <w:r>
        <w:rPr>
          <w:color w:val="231F20"/>
        </w:rPr>
        <w:t>las</w:t>
      </w:r>
      <w:r>
        <w:rPr>
          <w:color w:val="231F20"/>
          <w:spacing w:val="27"/>
        </w:rPr>
        <w:t> </w:t>
      </w:r>
      <w:r>
        <w:rPr>
          <w:color w:val="231F20"/>
        </w:rPr>
        <w:t>praderas</w:t>
      </w:r>
      <w:r>
        <w:rPr>
          <w:color w:val="231F20"/>
          <w:spacing w:val="27"/>
        </w:rPr>
        <w:t> </w:t>
      </w:r>
      <w:r>
        <w:rPr>
          <w:color w:val="231F20"/>
        </w:rPr>
        <w:t>naturales</w:t>
      </w:r>
      <w:r>
        <w:rPr>
          <w:color w:val="231F20"/>
          <w:spacing w:val="27"/>
        </w:rPr>
        <w:t> </w:t>
      </w:r>
      <w:r>
        <w:rPr>
          <w:color w:val="231F20"/>
        </w:rPr>
        <w:t>para</w:t>
      </w:r>
      <w:r>
        <w:rPr>
          <w:color w:val="231F20"/>
          <w:spacing w:val="27"/>
        </w:rPr>
        <w:t> </w:t>
      </w:r>
      <w:r>
        <w:rPr>
          <w:color w:val="231F20"/>
        </w:rPr>
        <w:t>su</w:t>
      </w:r>
      <w:r>
        <w:rPr>
          <w:color w:val="231F20"/>
          <w:spacing w:val="27"/>
        </w:rPr>
        <w:t> </w:t>
      </w:r>
      <w:r>
        <w:rPr>
          <w:color w:val="231F20"/>
        </w:rPr>
        <w:t>pastoreo,</w:t>
      </w:r>
      <w:r>
        <w:rPr>
          <w:color w:val="231F20"/>
          <w:spacing w:val="27"/>
        </w:rPr>
        <w:t> </w:t>
      </w:r>
      <w:r>
        <w:rPr>
          <w:color w:val="231F20"/>
        </w:rPr>
        <w:t>de</w:t>
      </w:r>
      <w:r>
        <w:rPr>
          <w:color w:val="231F20"/>
          <w:spacing w:val="27"/>
        </w:rPr>
        <w:t> </w:t>
      </w:r>
      <w:r>
        <w:rPr>
          <w:color w:val="231F20"/>
        </w:rPr>
        <w:t>la</w:t>
      </w:r>
    </w:p>
    <w:p>
      <w:pPr>
        <w:pStyle w:val="BodyText"/>
        <w:spacing w:line="259" w:lineRule="auto" w:before="67"/>
        <w:ind w:left="412" w:right="1551"/>
        <w:jc w:val="both"/>
      </w:pPr>
      <w:r>
        <w:rPr/>
        <w:br w:type="column"/>
      </w:r>
      <w:r>
        <w:rPr>
          <w:color w:val="231F20"/>
        </w:rPr>
        <w:t>falta de organización de los productores, de polí- ticas públicas gubernamentales deficientes o mal implementadas, de la carencia de estandarización en los precios, de la nula clasificación de la carne en canal y en cortes, de una asesoría técnica de- ficiente y del nulo control de registros técnicos y económicos  (Acevedo  </w:t>
      </w:r>
      <w:r>
        <w:rPr>
          <w:rFonts w:ascii="Cambria" w:hAnsi="Cambria"/>
          <w:i/>
          <w:color w:val="231F20"/>
        </w:rPr>
        <w:t>et  al</w:t>
      </w:r>
      <w:r>
        <w:rPr>
          <w:color w:val="231F20"/>
        </w:rPr>
        <w:t>.,</w:t>
      </w:r>
      <w:r>
        <w:rPr>
          <w:color w:val="231F20"/>
          <w:spacing w:val="1"/>
        </w:rPr>
        <w:t> </w:t>
      </w:r>
      <w:r>
        <w:rPr>
          <w:color w:val="231F20"/>
          <w:spacing w:val="-5"/>
        </w:rPr>
        <w:t>2011).</w:t>
      </w:r>
    </w:p>
    <w:p>
      <w:pPr>
        <w:pStyle w:val="BodyText"/>
        <w:spacing w:line="259" w:lineRule="auto" w:before="114"/>
        <w:ind w:left="412" w:right="1551"/>
        <w:jc w:val="both"/>
      </w:pPr>
      <w:r>
        <w:rPr>
          <w:color w:val="231F20"/>
        </w:rPr>
        <w:t>En los últimos años, el Estado de Michoacán se ha posicionado entre los que tienen mayor número  de cabezas ovinas; no obstante,  se  desconocen  las características de sus zonas ovinocultoras y del papel que desempeñan en el desarrollo rural, por lo que el presente trabajo pretende caracterizar las zonas borregueras de Michoacán e identificar la contribución de la actividad ovina al desarrollo ru- ral, considerando la diversificación de las unidades de</w:t>
      </w:r>
      <w:r>
        <w:rPr>
          <w:color w:val="231F20"/>
          <w:spacing w:val="21"/>
        </w:rPr>
        <w:t> </w:t>
      </w:r>
      <w:r>
        <w:rPr>
          <w:color w:val="231F20"/>
        </w:rPr>
        <w:t>producción.</w:t>
      </w:r>
    </w:p>
    <w:p>
      <w:pPr>
        <w:pStyle w:val="BodyText"/>
        <w:spacing w:line="259" w:lineRule="auto" w:before="114"/>
        <w:ind w:left="412" w:right="1551"/>
        <w:jc w:val="both"/>
      </w:pPr>
      <w:r>
        <w:rPr>
          <w:color w:val="231F20"/>
        </w:rPr>
        <w:t>Es de importancia el análisis espacial de la agricul- tura, es decir, definir áreas homogéneas en cuanto a clima, tipo y uso del suelo, pasturas, animales, estructuras de la producción, función del sistema y sus interacciones, ya que esto permite diferenciar  y seleccionar lugares representativos con el propó- sito</w:t>
      </w:r>
      <w:r>
        <w:rPr>
          <w:color w:val="231F20"/>
          <w:spacing w:val="-5"/>
        </w:rPr>
        <w:t> </w:t>
      </w:r>
      <w:r>
        <w:rPr>
          <w:color w:val="231F20"/>
        </w:rPr>
        <w:t>de</w:t>
      </w:r>
      <w:r>
        <w:rPr>
          <w:color w:val="231F20"/>
          <w:spacing w:val="-5"/>
        </w:rPr>
        <w:t> </w:t>
      </w:r>
      <w:r>
        <w:rPr>
          <w:color w:val="231F20"/>
        </w:rPr>
        <w:t>priorizar</w:t>
      </w:r>
      <w:r>
        <w:rPr>
          <w:color w:val="231F20"/>
          <w:spacing w:val="-5"/>
        </w:rPr>
        <w:t> </w:t>
      </w:r>
      <w:r>
        <w:rPr>
          <w:color w:val="231F20"/>
        </w:rPr>
        <w:t>y</w:t>
      </w:r>
      <w:r>
        <w:rPr>
          <w:color w:val="231F20"/>
          <w:spacing w:val="-5"/>
        </w:rPr>
        <w:t> </w:t>
      </w:r>
      <w:r>
        <w:rPr>
          <w:color w:val="231F20"/>
        </w:rPr>
        <w:t>planificar</w:t>
      </w:r>
      <w:r>
        <w:rPr>
          <w:color w:val="231F20"/>
          <w:spacing w:val="-5"/>
        </w:rPr>
        <w:t> </w:t>
      </w:r>
      <w:r>
        <w:rPr>
          <w:color w:val="231F20"/>
        </w:rPr>
        <w:t>la</w:t>
      </w:r>
      <w:r>
        <w:rPr>
          <w:color w:val="231F20"/>
          <w:spacing w:val="-5"/>
        </w:rPr>
        <w:t> </w:t>
      </w:r>
      <w:r>
        <w:rPr>
          <w:color w:val="231F20"/>
        </w:rPr>
        <w:t>investigación,</w:t>
      </w:r>
      <w:r>
        <w:rPr>
          <w:color w:val="231F20"/>
          <w:spacing w:val="-5"/>
        </w:rPr>
        <w:t> </w:t>
      </w:r>
      <w:r>
        <w:rPr>
          <w:color w:val="231F20"/>
        </w:rPr>
        <w:t>y</w:t>
      </w:r>
      <w:r>
        <w:rPr>
          <w:color w:val="231F20"/>
          <w:spacing w:val="-5"/>
        </w:rPr>
        <w:t> </w:t>
      </w:r>
      <w:r>
        <w:rPr>
          <w:color w:val="231F20"/>
        </w:rPr>
        <w:t>gene- rar o adoptar tecnologías en espacios geográficos relativamente amplios para grupos de agricultores con circunstancias parecidas. Este tipo de investi- gación resuelve el problema de la imposibilidad de generar tecnologías específicas para cada parcela  o finca (Laird, </w:t>
      </w:r>
      <w:r>
        <w:rPr>
          <w:color w:val="231F20"/>
          <w:spacing w:val="-4"/>
        </w:rPr>
        <w:t>1991; </w:t>
      </w:r>
      <w:r>
        <w:rPr>
          <w:color w:val="231F20"/>
        </w:rPr>
        <w:t>Kessler y Moolhuijzen, 1994; Nahed,  </w:t>
      </w:r>
      <w:r>
        <w:rPr>
          <w:rFonts w:ascii="Cambria" w:hAnsi="Cambria"/>
          <w:i/>
          <w:color w:val="231F20"/>
        </w:rPr>
        <w:t>et  al.</w:t>
      </w:r>
      <w:r>
        <w:rPr>
          <w:rFonts w:ascii="Cambria" w:hAnsi="Cambria"/>
          <w:i/>
          <w:color w:val="231F20"/>
          <w:spacing w:val="21"/>
        </w:rPr>
        <w:t> </w:t>
      </w:r>
      <w:r>
        <w:rPr>
          <w:color w:val="231F20"/>
        </w:rPr>
        <w:t>2003).</w:t>
      </w:r>
    </w:p>
    <w:p>
      <w:pPr>
        <w:pStyle w:val="BodyText"/>
      </w:pPr>
    </w:p>
    <w:p>
      <w:pPr>
        <w:pStyle w:val="BodyText"/>
        <w:spacing w:before="144"/>
        <w:ind w:left="412"/>
        <w:jc w:val="both"/>
        <w:rPr>
          <w:rFonts w:ascii="Tahoma"/>
        </w:rPr>
      </w:pPr>
      <w:r>
        <w:rPr>
          <w:rFonts w:ascii="Tahoma"/>
          <w:color w:val="231F20"/>
        </w:rPr>
        <w:t>ANTECEDENTES</w:t>
      </w:r>
    </w:p>
    <w:p>
      <w:pPr>
        <w:spacing w:before="146"/>
        <w:ind w:left="412" w:right="0" w:firstLine="0"/>
        <w:jc w:val="both"/>
        <w:rPr>
          <w:rFonts w:ascii="Cambria" w:hAnsi="Cambria"/>
          <w:i/>
          <w:sz w:val="20"/>
        </w:rPr>
      </w:pPr>
      <w:r>
        <w:rPr>
          <w:rFonts w:ascii="Cambria" w:hAnsi="Cambria"/>
          <w:i/>
          <w:color w:val="231F20"/>
          <w:w w:val="105"/>
          <w:sz w:val="20"/>
        </w:rPr>
        <w:t>La ganadería en Michoacán y sus    limitaciones</w:t>
      </w:r>
    </w:p>
    <w:p>
      <w:pPr>
        <w:pStyle w:val="BodyText"/>
        <w:spacing w:line="259" w:lineRule="auto" w:before="143"/>
        <w:ind w:left="412" w:right="1551"/>
        <w:jc w:val="both"/>
      </w:pPr>
      <w:r>
        <w:rPr>
          <w:color w:val="231F20"/>
        </w:rPr>
        <w:t>En el Estado de Michoacán, la ganadería bovina ocupa al 8,6% de su población económicamente activa y es la actividad que genera el mayor núme- ro de empleos permanentes en el sector pecuario; no obstante, cada vez produce menos riqueza por unidad de trabajo que otras actividades   pecuarias</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3"/>
          <w:sz w:val="18"/>
        </w:rPr>
        <w:t>11.   </w:t>
      </w:r>
      <w:r>
        <w:rPr>
          <w:color w:val="231F20"/>
          <w:sz w:val="18"/>
        </w:rPr>
        <w:t>Caracterización de las zonas borregueras de Michoacán y  </w:t>
      </w:r>
      <w:r>
        <w:rPr>
          <w:color w:val="231F20"/>
          <w:spacing w:val="31"/>
          <w:sz w:val="18"/>
        </w:rPr>
        <w:t> </w:t>
      </w:r>
      <w:r>
        <w:rPr>
          <w:color w:val="231F20"/>
          <w:sz w:val="18"/>
        </w:rPr>
        <w:t>sus</w:t>
      </w:r>
      <w:r>
        <w:rPr>
          <w:color w:val="231F20"/>
          <w:spacing w:val="13"/>
          <w:sz w:val="18"/>
        </w:rPr>
        <w:t> </w:t>
      </w:r>
      <w:r>
        <w:rPr>
          <w:color w:val="231F20"/>
          <w:sz w:val="18"/>
        </w:rPr>
        <w:t>implicaciones...</w:t>
      </w:r>
      <w:r>
        <w:rPr>
          <w:color w:val="231F20"/>
          <w:sz w:val="22"/>
        </w:rPr>
        <w:tab/>
      </w:r>
      <w:r>
        <w:rPr>
          <w:color w:val="231F20"/>
          <w:spacing w:val="-3"/>
          <w:sz w:val="22"/>
        </w:rPr>
        <w:t>169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9" w:lineRule="auto"/>
        <w:ind w:left="1553"/>
        <w:jc w:val="both"/>
      </w:pPr>
      <w:r>
        <w:rPr>
          <w:color w:val="231F20"/>
        </w:rPr>
        <w:t>(Sánchez y Sánchez, 2005), y se desarrolla en un sistema de economía familiar o de pequeño pro- ductor en una amplia población campesina, donde las unidades de producción ganadera ocupan una superficie mayor de dos millones de hectáreas, de las cuales el 85% se dedican a la  ganadería,  el  </w:t>
      </w:r>
      <w:r>
        <w:rPr>
          <w:color w:val="231F20"/>
          <w:spacing w:val="-3"/>
        </w:rPr>
        <w:t>14% </w:t>
      </w:r>
      <w:r>
        <w:rPr>
          <w:color w:val="231F20"/>
        </w:rPr>
        <w:t>a la agricultura y el </w:t>
      </w:r>
      <w:r>
        <w:rPr>
          <w:color w:val="231F20"/>
          <w:spacing w:val="-5"/>
        </w:rPr>
        <w:t>1% </w:t>
      </w:r>
      <w:r>
        <w:rPr>
          <w:color w:val="231F20"/>
        </w:rPr>
        <w:t>a otras actividades (Sánchez y Sánchez, 2005). Esto indica, por un  lado, una escasa diversificación productiva en las unidades de producción bovina del Estado de Mi- choacán, y por otro, que hay una extensa superfi- cie dedicada a la ganadería, poco rentable desde  el punto de vista económico porque requiere una gran inversión y genera un escaso retorno para el productor.</w:t>
      </w:r>
    </w:p>
    <w:p>
      <w:pPr>
        <w:pStyle w:val="BodyText"/>
        <w:spacing w:line="259" w:lineRule="auto" w:before="113"/>
        <w:ind w:left="1553"/>
        <w:jc w:val="both"/>
      </w:pPr>
      <w:r>
        <w:rPr>
          <w:color w:val="231F20"/>
        </w:rPr>
        <w:t>La situación actual de la ganadería en el Estado    de Michoacán ha llevado a un gran número de ganaderos a buscar alternativas productivas que, comparadas con la ganadería bovina, representen un menor costo de producción y contribuyan al ingreso económico de la unidad de producción o del sistema de producción familiar. En este senti- do, la ovinocultura les ha parecido una alternativa viable por la adaptabilidad de la especie a dife- rentes ambientes, porque se obtiene una mayor cantidad de carne por hectárea y porque el pre-  cio del kilo de borrego en pie es más alto y se mantiene más estable que el de otras especies (Mondragón-Ancelmo </w:t>
      </w:r>
      <w:r>
        <w:rPr>
          <w:rFonts w:ascii="Cambria" w:hAnsi="Cambria"/>
          <w:i/>
          <w:color w:val="231F20"/>
        </w:rPr>
        <w:t>et al., </w:t>
      </w:r>
      <w:r>
        <w:rPr>
          <w:color w:val="231F20"/>
          <w:spacing w:val="-4"/>
        </w:rPr>
        <w:t>2011). </w:t>
      </w:r>
      <w:r>
        <w:rPr>
          <w:color w:val="231F20"/>
        </w:rPr>
        <w:t>Esto ha  te- nido un impacto positivo en la población  ovina, con un incremento en el número de cabezas en   los diversos Estados de la República Mexicana, y Michoacán no ha sido la excepción;  prueba  de  ello es el rápido crecimiento del inventario estatal, que  en  </w:t>
      </w:r>
      <w:r>
        <w:rPr>
          <w:color w:val="231F20"/>
          <w:spacing w:val="-5"/>
        </w:rPr>
        <w:t>1997   </w:t>
      </w:r>
      <w:r>
        <w:rPr>
          <w:color w:val="231F20"/>
        </w:rPr>
        <w:t>contabilizaba  </w:t>
      </w:r>
      <w:r>
        <w:rPr>
          <w:color w:val="231F20"/>
          <w:spacing w:val="2"/>
        </w:rPr>
        <w:t>220085  </w:t>
      </w:r>
      <w:r>
        <w:rPr>
          <w:color w:val="231F20"/>
        </w:rPr>
        <w:t>cabezas,   </w:t>
      </w:r>
      <w:r>
        <w:rPr>
          <w:color w:val="231F20"/>
          <w:spacing w:val="4"/>
        </w:rPr>
        <w:t> </w:t>
      </w:r>
      <w:r>
        <w:rPr>
          <w:color w:val="231F20"/>
        </w:rPr>
        <w:t>en</w:t>
      </w:r>
    </w:p>
    <w:p>
      <w:pPr>
        <w:pStyle w:val="BodyText"/>
        <w:spacing w:line="259" w:lineRule="auto"/>
        <w:ind w:left="1553"/>
        <w:jc w:val="both"/>
      </w:pPr>
      <w:r>
        <w:rPr>
          <w:color w:val="231F20"/>
        </w:rPr>
        <w:t>2005 llegó a  </w:t>
      </w:r>
      <w:r>
        <w:rPr>
          <w:color w:val="231F20"/>
          <w:spacing w:val="2"/>
        </w:rPr>
        <w:t>240268  </w:t>
      </w:r>
      <w:r>
        <w:rPr>
          <w:color w:val="231F20"/>
        </w:rPr>
        <w:t>(Gómez,  2008)  y  en  2009  la Secretaría de Agricultura, Ganadería, Desarrollo Rural, Pesca y Alimentación (SAGARPA, 2009) reportó </w:t>
      </w:r>
      <w:r>
        <w:rPr>
          <w:color w:val="231F20"/>
          <w:spacing w:val="2"/>
        </w:rPr>
        <w:t>248500. </w:t>
      </w:r>
      <w:r>
        <w:rPr>
          <w:color w:val="231F20"/>
        </w:rPr>
        <w:t>Este incremento en  el  número de cabezas obedeció a la creciente demanda de ovinos para abastecer el mercado en los centros  de</w:t>
      </w:r>
      <w:r>
        <w:rPr>
          <w:color w:val="231F20"/>
          <w:spacing w:val="30"/>
        </w:rPr>
        <w:t> </w:t>
      </w:r>
      <w:r>
        <w:rPr>
          <w:color w:val="231F20"/>
        </w:rPr>
        <w:t>mayor</w:t>
      </w:r>
      <w:r>
        <w:rPr>
          <w:color w:val="231F20"/>
          <w:spacing w:val="30"/>
        </w:rPr>
        <w:t> </w:t>
      </w:r>
      <w:r>
        <w:rPr>
          <w:color w:val="231F20"/>
        </w:rPr>
        <w:t>consumo,</w:t>
      </w:r>
      <w:r>
        <w:rPr>
          <w:color w:val="231F20"/>
          <w:spacing w:val="30"/>
        </w:rPr>
        <w:t> </w:t>
      </w:r>
      <w:r>
        <w:rPr>
          <w:color w:val="231F20"/>
        </w:rPr>
        <w:t>como</w:t>
      </w:r>
      <w:r>
        <w:rPr>
          <w:color w:val="231F20"/>
          <w:spacing w:val="30"/>
        </w:rPr>
        <w:t> </w:t>
      </w:r>
      <w:r>
        <w:rPr>
          <w:color w:val="231F20"/>
        </w:rPr>
        <w:t>el</w:t>
      </w:r>
      <w:r>
        <w:rPr>
          <w:color w:val="231F20"/>
          <w:spacing w:val="30"/>
        </w:rPr>
        <w:t> </w:t>
      </w:r>
      <w:r>
        <w:rPr>
          <w:color w:val="231F20"/>
        </w:rPr>
        <w:t>Estado</w:t>
      </w:r>
      <w:r>
        <w:rPr>
          <w:color w:val="231F20"/>
          <w:spacing w:val="30"/>
        </w:rPr>
        <w:t> </w:t>
      </w:r>
      <w:r>
        <w:rPr>
          <w:color w:val="231F20"/>
        </w:rPr>
        <w:t>de</w:t>
      </w:r>
      <w:r>
        <w:rPr>
          <w:color w:val="231F20"/>
          <w:spacing w:val="30"/>
        </w:rPr>
        <w:t> </w:t>
      </w:r>
      <w:r>
        <w:rPr>
          <w:color w:val="231F20"/>
        </w:rPr>
        <w:t>México</w:t>
      </w:r>
      <w:r>
        <w:rPr>
          <w:color w:val="231F20"/>
          <w:spacing w:val="30"/>
        </w:rPr>
        <w:t> </w:t>
      </w:r>
      <w:r>
        <w:rPr>
          <w:color w:val="231F20"/>
        </w:rPr>
        <w:t>y</w:t>
      </w:r>
    </w:p>
    <w:p>
      <w:pPr>
        <w:pStyle w:val="BodyText"/>
        <w:spacing w:before="3"/>
        <w:rPr>
          <w:sz w:val="28"/>
        </w:rPr>
      </w:pPr>
      <w:r>
        <w:rPr/>
        <w:br w:type="column"/>
      </w:r>
      <w:r>
        <w:rPr>
          <w:sz w:val="28"/>
        </w:rPr>
      </w:r>
    </w:p>
    <w:p>
      <w:pPr>
        <w:pStyle w:val="BodyText"/>
        <w:spacing w:line="259" w:lineRule="auto"/>
        <w:ind w:left="412" w:right="1551"/>
        <w:jc w:val="both"/>
      </w:pPr>
      <w:r>
        <w:rPr>
          <w:color w:val="231F20"/>
        </w:rPr>
        <w:t>Puebla (Arteaga, 2007; Gómez, 2008). Asimismo, esta demanda se ha acentuado en las principales ciudades del Estado de  Michoacán.</w:t>
      </w:r>
    </w:p>
    <w:p>
      <w:pPr>
        <w:pStyle w:val="BodyText"/>
        <w:spacing w:line="259" w:lineRule="auto" w:before="114"/>
        <w:ind w:left="412" w:right="1551"/>
        <w:jc w:val="both"/>
      </w:pPr>
      <w:r>
        <w:rPr>
          <w:color w:val="231F20"/>
        </w:rPr>
        <w:t>El Programa Nacional  de  los  Recursos  Genéti-  cos Pecuarios de México (SAGARPA, 2004) ha señalado que sólo un 20% de las explotaciones ovinas en el país se consideran tecnificadas o se- mitecnificadas, y el otro 80%  son  explotaciones  de sistemas tradicionales  o  de  traspatio,  donde  el problema reside en la escasa organización de   los productores, el alto porcentaje de problemas sanitarios y las deficientes alimentación y repro- ducción, que resultan en un baja productividad de los</w:t>
      </w:r>
      <w:r>
        <w:rPr>
          <w:color w:val="231F20"/>
          <w:spacing w:val="16"/>
        </w:rPr>
        <w:t> </w:t>
      </w:r>
      <w:r>
        <w:rPr>
          <w:color w:val="231F20"/>
        </w:rPr>
        <w:t>rebaños.</w:t>
      </w:r>
    </w:p>
    <w:p>
      <w:pPr>
        <w:pStyle w:val="BodyText"/>
        <w:spacing w:line="259" w:lineRule="auto" w:before="114"/>
        <w:ind w:left="412" w:right="1551"/>
        <w:jc w:val="both"/>
      </w:pPr>
      <w:r>
        <w:rPr>
          <w:color w:val="231F20"/>
        </w:rPr>
        <w:t>Actualmente la demanda de carne ha superado la oferta, y los ovinocultores en situaciones econó- micamente difíciles llegan a vender incluso el pie de cría, porque la carne de ovino es la única que mantiene un precio al alza, sin importar los movi- mientos financieros ni las importaciones (Arteaga, </w:t>
      </w:r>
      <w:r>
        <w:rPr>
          <w:color w:val="231F20"/>
          <w:spacing w:val="-3"/>
        </w:rPr>
        <w:t>2007). </w:t>
      </w:r>
      <w:r>
        <w:rPr>
          <w:color w:val="231F20"/>
        </w:rPr>
        <w:t>Esto, a su vez, se conjuga con la necesidad de tecnificar la ganadería ovina con el fin de incre- mentar la producción para abastecer el potencial mercado   (Gómez, </w:t>
      </w:r>
      <w:r>
        <w:rPr>
          <w:color w:val="231F20"/>
          <w:spacing w:val="11"/>
        </w:rPr>
        <w:t> </w:t>
      </w:r>
      <w:r>
        <w:rPr>
          <w:color w:val="231F20"/>
        </w:rPr>
        <w:t>2008).</w:t>
      </w:r>
    </w:p>
    <w:p>
      <w:pPr>
        <w:pStyle w:val="BodyText"/>
        <w:spacing w:line="259" w:lineRule="auto" w:before="114"/>
        <w:ind w:left="412" w:right="1551"/>
        <w:jc w:val="both"/>
      </w:pPr>
      <w:r>
        <w:rPr>
          <w:color w:val="231F20"/>
        </w:rPr>
        <w:t>Con el propósito de comprender las  interaccio-  nes de la ganadería ovina con su ambiente físico     y socioeconómico se han efectuado estudios en varias regiones tropicales de México (Nuncio </w:t>
      </w:r>
      <w:r>
        <w:rPr>
          <w:rFonts w:ascii="Cambria" w:hAnsi="Cambria"/>
          <w:i/>
          <w:color w:val="231F20"/>
        </w:rPr>
        <w:t>et al</w:t>
      </w:r>
      <w:r>
        <w:rPr>
          <w:color w:val="231F20"/>
        </w:rPr>
        <w:t>.</w:t>
      </w:r>
      <w:r>
        <w:rPr>
          <w:rFonts w:ascii="Cambria" w:hAnsi="Cambria"/>
          <w:i/>
          <w:color w:val="231F20"/>
        </w:rPr>
        <w:t>, </w:t>
      </w:r>
      <w:r>
        <w:rPr>
          <w:color w:val="231F20"/>
          <w:spacing w:val="-3"/>
        </w:rPr>
        <w:t>2001; </w:t>
      </w:r>
      <w:r>
        <w:rPr>
          <w:color w:val="231F20"/>
        </w:rPr>
        <w:t>Alemán </w:t>
      </w:r>
      <w:r>
        <w:rPr>
          <w:rFonts w:ascii="Cambria" w:hAnsi="Cambria"/>
          <w:i/>
          <w:color w:val="231F20"/>
        </w:rPr>
        <w:t>et al</w:t>
      </w:r>
      <w:r>
        <w:rPr>
          <w:color w:val="231F20"/>
        </w:rPr>
        <w:t>., </w:t>
      </w:r>
      <w:r>
        <w:rPr>
          <w:color w:val="231F20"/>
          <w:spacing w:val="-3"/>
        </w:rPr>
        <w:t>2007). </w:t>
      </w:r>
      <w:r>
        <w:rPr>
          <w:color w:val="231F20"/>
        </w:rPr>
        <w:t>No obstante, como requisito para planificar su desarrollo poco se ha logrado en Michoacán al respecto, por lo que se pretende que al finalizar la lectura pueda tenerse una idea más clara de la situación de la produc- ción ovina y su interrelación con el desarrollo</w:t>
      </w:r>
      <w:r>
        <w:rPr>
          <w:color w:val="231F20"/>
          <w:spacing w:val="4"/>
        </w:rPr>
        <w:t> </w:t>
      </w:r>
      <w:r>
        <w:rPr>
          <w:color w:val="231F20"/>
        </w:rPr>
        <w:t>rural.</w:t>
      </w:r>
    </w:p>
    <w:p>
      <w:pPr>
        <w:pStyle w:val="BodyText"/>
      </w:pPr>
    </w:p>
    <w:p>
      <w:pPr>
        <w:pStyle w:val="BodyText"/>
        <w:spacing w:before="144"/>
        <w:ind w:left="412"/>
        <w:jc w:val="both"/>
        <w:rPr>
          <w:rFonts w:ascii="Tahoma"/>
        </w:rPr>
      </w:pPr>
      <w:r>
        <w:rPr>
          <w:rFonts w:ascii="Tahoma"/>
          <w:color w:val="231F20"/>
        </w:rPr>
        <w:t>DESARROLLO DEL ESTUDIO</w:t>
      </w:r>
    </w:p>
    <w:p>
      <w:pPr>
        <w:pStyle w:val="BodyText"/>
        <w:spacing w:line="259" w:lineRule="auto" w:before="146"/>
        <w:ind w:left="412" w:right="1551"/>
        <w:jc w:val="both"/>
      </w:pPr>
      <w:r>
        <w:rPr>
          <w:color w:val="231F20"/>
        </w:rPr>
        <w:t>El estudio se realizó durante el año </w:t>
      </w:r>
      <w:r>
        <w:rPr>
          <w:color w:val="231F20"/>
          <w:spacing w:val="-6"/>
        </w:rPr>
        <w:t>2011 </w:t>
      </w:r>
      <w:r>
        <w:rPr>
          <w:color w:val="231F20"/>
        </w:rPr>
        <w:t>en </w:t>
      </w:r>
      <w:r>
        <w:rPr>
          <w:color w:val="231F20"/>
          <w:spacing w:val="-5"/>
        </w:rPr>
        <w:t>152 </w:t>
      </w:r>
      <w:r>
        <w:rPr>
          <w:color w:val="231F20"/>
        </w:rPr>
        <w:t>unidades de producción, en las cuales se  aplicó una entrevista semiestructurada y un cuestionario (Padua, </w:t>
      </w:r>
      <w:r>
        <w:rPr>
          <w:color w:val="231F20"/>
          <w:spacing w:val="-4"/>
        </w:rPr>
        <w:t>1981;  </w:t>
      </w:r>
      <w:r>
        <w:rPr>
          <w:color w:val="231F20"/>
          <w:spacing w:val="-3"/>
        </w:rPr>
        <w:t>Vela,  2001).  </w:t>
      </w:r>
      <w:r>
        <w:rPr>
          <w:color w:val="231F20"/>
        </w:rPr>
        <w:t>Las unidades se  </w:t>
      </w:r>
      <w:r>
        <w:rPr>
          <w:color w:val="231F20"/>
          <w:spacing w:val="25"/>
        </w:rPr>
        <w:t> </w:t>
      </w:r>
      <w:r>
        <w:rPr>
          <w:color w:val="231F20"/>
        </w:rPr>
        <w:t>eligie-</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6"/>
          <w:w w:val="120"/>
          <w:sz w:val="22"/>
        </w:rPr>
        <w:t>170</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67"/>
        <w:ind w:left="1553"/>
        <w:jc w:val="both"/>
      </w:pPr>
      <w:r>
        <w:rPr>
          <w:color w:val="231F20"/>
        </w:rPr>
        <w:t>ron según los siguientes criterios: a) región    física,</w:t>
      </w:r>
    </w:p>
    <w:p>
      <w:pPr>
        <w:pStyle w:val="BodyText"/>
        <w:spacing w:line="268" w:lineRule="auto" w:before="29"/>
        <w:ind w:left="1553"/>
        <w:jc w:val="both"/>
      </w:pPr>
      <w:r>
        <w:rPr>
          <w:color w:val="231F20"/>
        </w:rPr>
        <w:t>b) tenencia de la tierra (privada o ejidal), c) núme- ro de ovinos por unidad de producción (de acuer- do con el tabulador de la población de ovinos por municipio y el número de unidades de producción ovina con uso de tecnología por municipio; INEGI, </w:t>
      </w:r>
      <w:r>
        <w:rPr>
          <w:color w:val="231F20"/>
          <w:spacing w:val="-4"/>
        </w:rPr>
        <w:t>2010), </w:t>
      </w:r>
      <w:r>
        <w:rPr>
          <w:color w:val="231F20"/>
        </w:rPr>
        <w:t>d) condiciones climáticas, y e)  las  regio-  nes ganaderas del Estado de Michoacán descritas por Sánchez y Sánchez (2005), dada la estrecha relación entre los bovinos y los ovinos, ya que en ciertos casos se considera a la ovinocultura como actividad secundaria a la ganadería mayor; y por su importancia para definir el nivel de desarrollo de los sistemas productivos según los criterios de la Comisión Económica para América Latina (CEPAL) (1982)   y   Dufumier</w:t>
      </w:r>
      <w:r>
        <w:rPr>
          <w:color w:val="231F20"/>
          <w:spacing w:val="38"/>
        </w:rPr>
        <w:t> </w:t>
      </w:r>
      <w:r>
        <w:rPr>
          <w:color w:val="231F20"/>
        </w:rPr>
        <w:t>(1993).</w:t>
      </w:r>
    </w:p>
    <w:p>
      <w:pPr>
        <w:pStyle w:val="BodyText"/>
        <w:spacing w:line="268" w:lineRule="auto" w:before="114"/>
        <w:ind w:left="1553"/>
        <w:jc w:val="both"/>
      </w:pPr>
      <w:r>
        <w:rPr>
          <w:color w:val="231F20"/>
        </w:rPr>
        <w:t>Para ubicar las zonas borregueras se realizó una</w:t>
      </w:r>
      <w:r>
        <w:rPr>
          <w:color w:val="231F20"/>
          <w:spacing w:val="-18"/>
        </w:rPr>
        <w:t> </w:t>
      </w:r>
      <w:r>
        <w:rPr>
          <w:color w:val="231F20"/>
        </w:rPr>
        <w:t>so- breposición de las coberturas temáticas</w:t>
      </w:r>
      <w:r>
        <w:rPr>
          <w:color w:val="231F20"/>
          <w:spacing w:val="5"/>
        </w:rPr>
        <w:t> </w:t>
      </w:r>
      <w:r>
        <w:rPr>
          <w:color w:val="231F20"/>
        </w:rPr>
        <w:t>anteriores,</w:t>
      </w:r>
    </w:p>
    <w:p>
      <w:pPr>
        <w:pStyle w:val="BodyText"/>
        <w:spacing w:line="256" w:lineRule="auto" w:before="67"/>
        <w:ind w:left="413" w:right="1551"/>
        <w:jc w:val="both"/>
      </w:pPr>
      <w:r>
        <w:rPr/>
        <w:br w:type="column"/>
      </w:r>
      <w:r>
        <w:rPr>
          <w:color w:val="231F20"/>
        </w:rPr>
        <w:t>se siguió el criterio de regionalización ecológica, se empleó la información sobre la población  ovina por municipios de Michoacán de los anuarios esta- dísticos del INEGI de los años 1994 a 2009 (infor- mación en línea) y del Censo Agrícola Ganadero y Forestal de 2007, y se trazaron los transectos que fueron utilizados para el levantamiento de las en- cuestas.</w:t>
      </w:r>
    </w:p>
    <w:p>
      <w:pPr>
        <w:pStyle w:val="BodyText"/>
        <w:spacing w:before="6"/>
        <w:rPr>
          <w:sz w:val="18"/>
        </w:rPr>
      </w:pPr>
    </w:p>
    <w:p>
      <w:pPr>
        <w:spacing w:line="266" w:lineRule="auto" w:before="1"/>
        <w:ind w:left="413" w:right="3055" w:firstLine="0"/>
        <w:jc w:val="left"/>
        <w:rPr>
          <w:rFonts w:ascii="Cambria" w:hAnsi="Cambria"/>
          <w:i/>
          <w:sz w:val="20"/>
        </w:rPr>
      </w:pPr>
      <w:r>
        <w:rPr>
          <w:rFonts w:ascii="Cambria" w:hAnsi="Cambria"/>
          <w:i/>
          <w:color w:val="231F20"/>
          <w:w w:val="105"/>
          <w:sz w:val="20"/>
        </w:rPr>
        <w:t>Caracterización fisicobiótica </w:t>
      </w:r>
      <w:r>
        <w:rPr>
          <w:rFonts w:ascii="Cambria" w:hAnsi="Cambria"/>
          <w:i/>
          <w:color w:val="231F20"/>
          <w:w w:val="105"/>
          <w:sz w:val="20"/>
        </w:rPr>
        <w:t>de  las  zonas borregueras</w:t>
      </w:r>
    </w:p>
    <w:p>
      <w:pPr>
        <w:pStyle w:val="BodyText"/>
        <w:spacing w:line="256" w:lineRule="auto" w:before="113"/>
        <w:ind w:left="413" w:right="1551"/>
        <w:jc w:val="both"/>
      </w:pPr>
      <w:r>
        <w:rPr>
          <w:color w:val="231F20"/>
        </w:rPr>
        <w:t>En el estudio se identificaron cuatro zonas borre- gueras: Altiplano Michoacano (ZBAM), Bajío Mi- choacano (ZBBM), Valle de Apatzingán (ZBVA) y Trópico  Subhúmedo  (ZBTS)  (Fig.  1),  integradas por 24 municipios, que coinciden  con  cuatro  de las cinco regiones ganaderas del Estado de Mi- choacán descritas por Sánchez y Sánchez (2005), cada una de ellas con características  propias.</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7"/>
        <w:rPr>
          <w:sz w:val="29"/>
        </w:rPr>
      </w:pPr>
    </w:p>
    <w:p>
      <w:pPr>
        <w:pStyle w:val="BodyText"/>
        <w:ind w:left="2371"/>
      </w:pPr>
      <w:r>
        <w:rPr/>
        <w:drawing>
          <wp:inline distT="0" distB="0" distL="0" distR="0">
            <wp:extent cx="4547837" cy="3273552"/>
            <wp:effectExtent l="0" t="0" r="0" b="0"/>
            <wp:docPr id="167" name="image228.png" descr=""/>
            <wp:cNvGraphicFramePr>
              <a:graphicFrameLocks noChangeAspect="1"/>
            </wp:cNvGraphicFramePr>
            <a:graphic>
              <a:graphicData uri="http://schemas.openxmlformats.org/drawingml/2006/picture">
                <pic:pic>
                  <pic:nvPicPr>
                    <pic:cNvPr id="168" name="image228.png"/>
                    <pic:cNvPicPr/>
                  </pic:nvPicPr>
                  <pic:blipFill>
                    <a:blip r:embed="rId302" cstate="print"/>
                    <a:stretch>
                      <a:fillRect/>
                    </a:stretch>
                  </pic:blipFill>
                  <pic:spPr>
                    <a:xfrm>
                      <a:off x="0" y="0"/>
                      <a:ext cx="4547837" cy="3273552"/>
                    </a:xfrm>
                    <a:prstGeom prst="rect">
                      <a:avLst/>
                    </a:prstGeom>
                  </pic:spPr>
                </pic:pic>
              </a:graphicData>
            </a:graphic>
          </wp:inline>
        </w:drawing>
      </w:r>
      <w:r>
        <w:rPr/>
      </w:r>
    </w:p>
    <w:p>
      <w:pPr>
        <w:spacing w:before="111"/>
        <w:ind w:left="3477" w:right="2503" w:firstLine="0"/>
        <w:jc w:val="left"/>
        <w:rPr>
          <w:sz w:val="18"/>
        </w:rPr>
      </w:pPr>
      <w:r>
        <w:rPr>
          <w:rFonts w:ascii="Tahoma" w:hAnsi="Tahoma"/>
          <w:color w:val="231F20"/>
          <w:sz w:val="18"/>
        </w:rPr>
        <w:t>Figura 1.  </w:t>
      </w:r>
      <w:r>
        <w:rPr>
          <w:color w:val="231F20"/>
          <w:sz w:val="18"/>
        </w:rPr>
        <w:t>Zonas borregueras y regiones ganaderas de  Michoacán.</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drawing>
          <wp:anchor distT="0" distB="0" distL="0" distR="0" allowOverlap="1" layoutInCell="1" locked="0" behindDoc="1" simplePos="0" relativeHeight="267943535">
            <wp:simplePos x="0" y="0"/>
            <wp:positionH relativeFrom="page">
              <wp:posOffset>1310382</wp:posOffset>
            </wp:positionH>
            <wp:positionV relativeFrom="paragraph">
              <wp:posOffset>441658</wp:posOffset>
            </wp:positionV>
            <wp:extent cx="4927849" cy="2800646"/>
            <wp:effectExtent l="0" t="0" r="0" b="0"/>
            <wp:wrapNone/>
            <wp:docPr id="169" name="image229.png" descr=""/>
            <wp:cNvGraphicFramePr>
              <a:graphicFrameLocks noChangeAspect="1"/>
            </wp:cNvGraphicFramePr>
            <a:graphic>
              <a:graphicData uri="http://schemas.openxmlformats.org/drawingml/2006/picture">
                <pic:pic>
                  <pic:nvPicPr>
                    <pic:cNvPr id="170" name="image229.png"/>
                    <pic:cNvPicPr/>
                  </pic:nvPicPr>
                  <pic:blipFill>
                    <a:blip r:embed="rId303" cstate="print"/>
                    <a:stretch>
                      <a:fillRect/>
                    </a:stretch>
                  </pic:blipFill>
                  <pic:spPr>
                    <a:xfrm>
                      <a:off x="0" y="0"/>
                      <a:ext cx="4927849" cy="2800646"/>
                    </a:xfrm>
                    <a:prstGeom prst="rect">
                      <a:avLst/>
                    </a:prstGeom>
                  </pic:spPr>
                </pic:pic>
              </a:graphicData>
            </a:graphic>
          </wp:anchor>
        </w:drawing>
      </w:r>
      <w:r>
        <w:rPr>
          <w:color w:val="231F20"/>
          <w:sz w:val="18"/>
        </w:rPr>
        <w:t>Capítulo </w:t>
      </w:r>
      <w:r>
        <w:rPr>
          <w:color w:val="231F20"/>
          <w:spacing w:val="-3"/>
          <w:sz w:val="18"/>
        </w:rPr>
        <w:t>11.   </w:t>
      </w:r>
      <w:r>
        <w:rPr>
          <w:color w:val="231F20"/>
          <w:sz w:val="18"/>
        </w:rPr>
        <w:t>Caracterización de las zonas borregueras de Michoacán y  </w:t>
      </w:r>
      <w:r>
        <w:rPr>
          <w:color w:val="231F20"/>
          <w:spacing w:val="31"/>
          <w:sz w:val="18"/>
        </w:rPr>
        <w:t> </w:t>
      </w:r>
      <w:r>
        <w:rPr>
          <w:color w:val="231F20"/>
          <w:sz w:val="18"/>
        </w:rPr>
        <w:t>sus</w:t>
      </w:r>
      <w:r>
        <w:rPr>
          <w:color w:val="231F20"/>
          <w:spacing w:val="13"/>
          <w:sz w:val="18"/>
        </w:rPr>
        <w:t> </w:t>
      </w:r>
      <w:r>
        <w:rPr>
          <w:color w:val="231F20"/>
          <w:sz w:val="18"/>
        </w:rPr>
        <w:t>implicaciones...</w:t>
      </w:r>
      <w:r>
        <w:rPr>
          <w:color w:val="231F20"/>
          <w:sz w:val="22"/>
        </w:rPr>
        <w:tab/>
      </w:r>
      <w:r>
        <w:rPr>
          <w:color w:val="231F20"/>
          <w:spacing w:val="-9"/>
          <w:sz w:val="22"/>
        </w:rPr>
        <w:t>171</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47"/>
        <w:ind w:left="135" w:right="140" w:firstLine="0"/>
        <w:jc w:val="center"/>
        <w:rPr>
          <w:sz w:val="18"/>
        </w:rPr>
      </w:pPr>
      <w:r>
        <w:rPr>
          <w:rFonts w:ascii="Tahoma" w:hAnsi="Tahoma"/>
          <w:color w:val="231F20"/>
          <w:sz w:val="18"/>
        </w:rPr>
        <w:t>Figura 2.  </w:t>
      </w:r>
      <w:r>
        <w:rPr>
          <w:color w:val="231F20"/>
          <w:sz w:val="18"/>
        </w:rPr>
        <w:t>Zonas borregueras en el Estado de Michoacán y sus climas    correspondientes.</w:t>
      </w:r>
    </w:p>
    <w:p>
      <w:pPr>
        <w:pStyle w:val="BodyText"/>
        <w:rPr>
          <w:sz w:val="13"/>
        </w:rPr>
      </w:pPr>
    </w:p>
    <w:p>
      <w:pPr>
        <w:spacing w:after="0"/>
        <w:rPr>
          <w:sz w:val="13"/>
        </w:rPr>
        <w:sectPr>
          <w:pgSz w:w="11900" w:h="14450"/>
          <w:pgMar w:header="0" w:footer="222" w:top="420" w:bottom="420" w:left="0" w:right="0"/>
        </w:sectPr>
      </w:pPr>
    </w:p>
    <w:p>
      <w:pPr>
        <w:pStyle w:val="BodyText"/>
        <w:spacing w:line="268" w:lineRule="auto" w:before="68"/>
        <w:ind w:left="1558"/>
        <w:jc w:val="both"/>
      </w:pPr>
      <w:r>
        <w:rPr>
          <w:color w:val="231F20"/>
        </w:rPr>
        <w:t>La ZBAM comprende la zona centro y oriente del Estado de Michoacán, el clima dominante es el templado y semifrío, con una temperatura media anual  de  </w:t>
      </w:r>
      <w:r>
        <w:rPr>
          <w:color w:val="231F20"/>
          <w:spacing w:val="-5"/>
        </w:rPr>
        <w:t>12  </w:t>
      </w:r>
      <w:r>
        <w:rPr>
          <w:color w:val="231F20"/>
        </w:rPr>
        <w:t>°C  a  </w:t>
      </w:r>
      <w:r>
        <w:rPr>
          <w:color w:val="231F20"/>
          <w:spacing w:val="-5"/>
        </w:rPr>
        <w:t>18  </w:t>
      </w:r>
      <w:r>
        <w:rPr>
          <w:color w:val="231F20"/>
        </w:rPr>
        <w:t>°C  en  el  83%  del  territorio</w:t>
      </w:r>
    </w:p>
    <w:p>
      <w:pPr>
        <w:pStyle w:val="BodyText"/>
        <w:spacing w:line="268" w:lineRule="auto" w:before="68"/>
        <w:ind w:left="412" w:right="1547"/>
        <w:jc w:val="both"/>
      </w:pPr>
      <w:r>
        <w:rPr/>
        <w:br w:type="column"/>
      </w:r>
      <w:r>
        <w:rPr>
          <w:color w:val="231F20"/>
        </w:rPr>
        <w:t>(Fig. 2). Las principales subprovincias fisiográficas identificadas fueron Mil Cumbres (61,7%), De- presión del Balsas (14,4%) y la Sierra y el Bajío Michoacanos  (9,9%)  (Fig.  3).  Es  la  zona  de   ma-</w:t>
      </w:r>
    </w:p>
    <w:p>
      <w:pPr>
        <w:spacing w:after="0" w:line="268" w:lineRule="auto"/>
        <w:jc w:val="both"/>
        <w:sectPr>
          <w:type w:val="continuous"/>
          <w:pgSz w:w="11900" w:h="14450"/>
          <w:pgMar w:top="420" w:bottom="420" w:left="0" w:right="0"/>
          <w:cols w:num="2" w:equalWidth="0">
            <w:col w:w="5726" w:space="40"/>
            <w:col w:w="6134"/>
          </w:cols>
        </w:sectPr>
      </w:pPr>
    </w:p>
    <w:p>
      <w:pPr>
        <w:pStyle w:val="BodyText"/>
        <w:spacing w:before="10"/>
        <w:rPr>
          <w:sz w:val="8"/>
        </w:rPr>
      </w:pPr>
    </w:p>
    <w:p>
      <w:pPr>
        <w:pStyle w:val="BodyText"/>
        <w:ind w:left="2158"/>
      </w:pPr>
      <w:r>
        <w:rPr/>
        <w:drawing>
          <wp:inline distT="0" distB="0" distL="0" distR="0">
            <wp:extent cx="4763047" cy="3073717"/>
            <wp:effectExtent l="0" t="0" r="0" b="0"/>
            <wp:docPr id="171" name="image230.png" descr=""/>
            <wp:cNvGraphicFramePr>
              <a:graphicFrameLocks noChangeAspect="1"/>
            </wp:cNvGraphicFramePr>
            <a:graphic>
              <a:graphicData uri="http://schemas.openxmlformats.org/drawingml/2006/picture">
                <pic:pic>
                  <pic:nvPicPr>
                    <pic:cNvPr id="172" name="image230.png"/>
                    <pic:cNvPicPr/>
                  </pic:nvPicPr>
                  <pic:blipFill>
                    <a:blip r:embed="rId304" cstate="print"/>
                    <a:stretch>
                      <a:fillRect/>
                    </a:stretch>
                  </pic:blipFill>
                  <pic:spPr>
                    <a:xfrm>
                      <a:off x="0" y="0"/>
                      <a:ext cx="4763047" cy="3073717"/>
                    </a:xfrm>
                    <a:prstGeom prst="rect">
                      <a:avLst/>
                    </a:prstGeom>
                  </pic:spPr>
                </pic:pic>
              </a:graphicData>
            </a:graphic>
          </wp:inline>
        </w:drawing>
      </w:r>
      <w:r>
        <w:rPr/>
      </w:r>
    </w:p>
    <w:p>
      <w:pPr>
        <w:pStyle w:val="BodyText"/>
        <w:spacing w:before="6"/>
        <w:rPr>
          <w:sz w:val="9"/>
        </w:rPr>
      </w:pPr>
    </w:p>
    <w:p>
      <w:pPr>
        <w:spacing w:before="63"/>
        <w:ind w:left="2749" w:right="2503" w:firstLine="0"/>
        <w:jc w:val="left"/>
        <w:rPr>
          <w:sz w:val="18"/>
        </w:rPr>
      </w:pPr>
      <w:r>
        <w:rPr>
          <w:rFonts w:ascii="Tahoma" w:hAnsi="Tahoma"/>
          <w:color w:val="231F20"/>
          <w:sz w:val="18"/>
        </w:rPr>
        <w:t>Figura 3.  </w:t>
      </w:r>
      <w:r>
        <w:rPr>
          <w:color w:val="231F20"/>
          <w:sz w:val="18"/>
        </w:rPr>
        <w:t>Zonas borregueras y subprovincias fisiográficas en el Estado de  Michoacán.</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6"/>
          <w:w w:val="120"/>
          <w:sz w:val="22"/>
        </w:rPr>
        <w:t>172</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yor importancia ovinocultora, conformada por los municipios de Epitacio Huerta, Contepec, Ciudad Hidalgo, Zitácuaro, Maravatío, Ocampo, Senguio, Tlalpujahua, Zinapécuaro, Álvaro Obregón, Junga- peo, Morelia y </w:t>
      </w:r>
      <w:r>
        <w:rPr>
          <w:color w:val="231F20"/>
          <w:spacing w:val="-3"/>
        </w:rPr>
        <w:t>Tuxpan, </w:t>
      </w:r>
      <w:r>
        <w:rPr>
          <w:color w:val="231F20"/>
        </w:rPr>
        <w:t>donde se contabilizaron más  de  2400  ovinos  por  municipio  (Cuadro  1)   y se estima una población superior a las </w:t>
      </w:r>
      <w:r>
        <w:rPr>
          <w:color w:val="231F20"/>
          <w:spacing w:val="2"/>
        </w:rPr>
        <w:t>108000 </w:t>
      </w:r>
      <w:r>
        <w:rPr>
          <w:color w:val="231F20"/>
        </w:rPr>
        <w:t>cabezas de ovinos, que representan el 49,5% del total estatal. La zona comprende  una  superficie de 617825 ha, de las cuales 331772  (el  </w:t>
      </w:r>
      <w:r>
        <w:rPr>
          <w:color w:val="231F20"/>
          <w:spacing w:val="-3"/>
        </w:rPr>
        <w:t>53,7%)  </w:t>
      </w:r>
      <w:r>
        <w:rPr>
          <w:color w:val="231F20"/>
        </w:rPr>
        <w:t>son de uso agropecuario, con un 39,8% de la superficie dedicado a la agricultura y un 13,9% a pastizales. Por otra parte, el 46,6% de la zona co- rresponde al tipo de tenencia de la tierra ejidal y el resto es pequeña </w:t>
      </w:r>
      <w:r>
        <w:rPr>
          <w:color w:val="231F20"/>
          <w:spacing w:val="11"/>
        </w:rPr>
        <w:t> </w:t>
      </w:r>
      <w:r>
        <w:rPr>
          <w:color w:val="231F20"/>
        </w:rPr>
        <w:t>propiedad.</w:t>
      </w:r>
    </w:p>
    <w:p>
      <w:pPr>
        <w:pStyle w:val="BodyText"/>
        <w:spacing w:line="256" w:lineRule="auto" w:before="114"/>
        <w:ind w:left="1553"/>
        <w:jc w:val="both"/>
      </w:pPr>
      <w:r>
        <w:rPr>
          <w:color w:val="231F20"/>
        </w:rPr>
        <w:t>La ZBBM se localiza en la zona noreste del Estado de Michoacán e incluye los municipios borregue- ros de La Piedad, José Sixto Verduzco, Puruándiro, Venustiano Carranza y Zacapu, con una población ovina total de </w:t>
      </w:r>
      <w:r>
        <w:rPr>
          <w:color w:val="231F20"/>
          <w:spacing w:val="2"/>
        </w:rPr>
        <w:t>15450 </w:t>
      </w:r>
      <w:r>
        <w:rPr>
          <w:color w:val="231F20"/>
        </w:rPr>
        <w:t>cabezas, lo que correspon-  de al 6,8% de los ovinos del Estado. Los climas identificados fueron cálido y semicálido  (56%),  con temperatura media anual superior a los </w:t>
      </w:r>
      <w:r>
        <w:rPr>
          <w:color w:val="231F20"/>
          <w:spacing w:val="-5"/>
        </w:rPr>
        <w:t>18 </w:t>
      </w:r>
      <w:r>
        <w:rPr>
          <w:color w:val="231F20"/>
        </w:rPr>
        <w:t>°C,  y templado semifrío (44%), con una temperatura media anual de </w:t>
      </w:r>
      <w:r>
        <w:rPr>
          <w:color w:val="231F20"/>
          <w:spacing w:val="-5"/>
        </w:rPr>
        <w:t>12  </w:t>
      </w:r>
      <w:r>
        <w:rPr>
          <w:color w:val="231F20"/>
        </w:rPr>
        <w:t>°C a </w:t>
      </w:r>
      <w:r>
        <w:rPr>
          <w:color w:val="231F20"/>
          <w:spacing w:val="-5"/>
        </w:rPr>
        <w:t>18  </w:t>
      </w:r>
      <w:r>
        <w:rPr>
          <w:color w:val="231F20"/>
        </w:rPr>
        <w:t>°C (Fig. 2). La fisiogra-  fía identificada en la zona fue principalmente de Sierra y Bajío Michoacano (65,4%), Neovolcánica </w:t>
      </w:r>
      <w:r>
        <w:rPr>
          <w:color w:val="231F20"/>
          <w:spacing w:val="-3"/>
        </w:rPr>
        <w:t>Tarasca </w:t>
      </w:r>
      <w:r>
        <w:rPr>
          <w:color w:val="231F20"/>
        </w:rPr>
        <w:t>(13,0%) y Chapala  (11,6%).  La  superficie es de 188587 ha, de las cuales el 54,3% se des-   tina al uso agrícola y sólo el 9,4% a pastizales. El tipo de tenencia de la tierra predominante es el ejidal  (64%)  (Fig. </w:t>
      </w:r>
      <w:r>
        <w:rPr>
          <w:color w:val="231F20"/>
          <w:spacing w:val="36"/>
        </w:rPr>
        <w:t> </w:t>
      </w:r>
      <w:r>
        <w:rPr>
          <w:color w:val="231F20"/>
        </w:rPr>
        <w:t>3).</w:t>
      </w:r>
    </w:p>
    <w:p>
      <w:pPr>
        <w:pStyle w:val="BodyText"/>
        <w:spacing w:line="256" w:lineRule="auto" w:before="114"/>
        <w:ind w:left="1553"/>
        <w:jc w:val="both"/>
      </w:pPr>
      <w:r>
        <w:rPr>
          <w:color w:val="231F20"/>
        </w:rPr>
        <w:t>La ZBVA se localiza en el suroeste del Estado de Michoacán y comprende los municipios de Apat- zingán, Mujica y Parácuaro. Los climas encontra- dos  fueron  árido  y  semiárido  (53,5%),  y  cálido  y semicálido  (46,5%);  el  </w:t>
      </w:r>
      <w:r>
        <w:rPr>
          <w:color w:val="231F20"/>
          <w:spacing w:val="-6"/>
        </w:rPr>
        <w:t>97,5%</w:t>
      </w:r>
      <w:r>
        <w:rPr>
          <w:color w:val="231F20"/>
          <w:spacing w:val="33"/>
        </w:rPr>
        <w:t> </w:t>
      </w:r>
      <w:r>
        <w:rPr>
          <w:color w:val="231F20"/>
        </w:rPr>
        <w:t>de  esta  zona tiene una temperatura media  anual  de  22  °C  (Fig. 2). La fisiografía muestra la depresión de </w:t>
      </w:r>
      <w:r>
        <w:rPr>
          <w:color w:val="231F20"/>
          <w:spacing w:val="-7"/>
        </w:rPr>
        <w:t>Te-</w:t>
      </w:r>
      <w:r>
        <w:rPr>
          <w:color w:val="231F20"/>
          <w:spacing w:val="31"/>
        </w:rPr>
        <w:t> </w:t>
      </w:r>
      <w:r>
        <w:rPr>
          <w:color w:val="231F20"/>
        </w:rPr>
        <w:t>palcatepec  (49,3%),  la  Cordillera  Costera  del</w:t>
      </w:r>
      <w:r>
        <w:rPr>
          <w:color w:val="231F20"/>
          <w:spacing w:val="44"/>
        </w:rPr>
        <w:t> </w:t>
      </w:r>
      <w:r>
        <w:rPr>
          <w:color w:val="231F20"/>
        </w:rPr>
        <w:t>Sur</w:t>
      </w:r>
    </w:p>
    <w:p>
      <w:pPr>
        <w:pStyle w:val="BodyText"/>
        <w:spacing w:line="259" w:lineRule="auto" w:before="67"/>
        <w:ind w:left="412" w:right="1550"/>
        <w:jc w:val="both"/>
      </w:pPr>
      <w:r>
        <w:rPr/>
        <w:br w:type="column"/>
      </w:r>
      <w:r>
        <w:rPr>
          <w:color w:val="231F20"/>
        </w:rPr>
        <w:t>(32,9%) y la Escarpa Limítrofe del Sur (16,9%). Cuenta con una superficie total  de  </w:t>
      </w:r>
      <w:r>
        <w:rPr>
          <w:color w:val="231F20"/>
          <w:spacing w:val="3"/>
        </w:rPr>
        <w:t>250900  </w:t>
      </w:r>
      <w:r>
        <w:rPr>
          <w:color w:val="231F20"/>
        </w:rPr>
        <w:t>ha,  de las cuales se destina a la agricultura el 44,0%      y sólo el </w:t>
      </w:r>
      <w:r>
        <w:rPr>
          <w:color w:val="231F20"/>
          <w:spacing w:val="-8"/>
        </w:rPr>
        <w:t>7,7% </w:t>
      </w:r>
      <w:r>
        <w:rPr>
          <w:color w:val="231F20"/>
        </w:rPr>
        <w:t>es de pastizal. El 53,4% de la te- nencia de la tierra es de tipo ejidal y el resto es pequeña  propiedad  (Fig.</w:t>
      </w:r>
      <w:r>
        <w:rPr>
          <w:color w:val="231F20"/>
          <w:spacing w:val="35"/>
        </w:rPr>
        <w:t> </w:t>
      </w:r>
      <w:r>
        <w:rPr>
          <w:color w:val="231F20"/>
        </w:rPr>
        <w:t>3).</w:t>
      </w:r>
    </w:p>
    <w:p>
      <w:pPr>
        <w:pStyle w:val="BodyText"/>
        <w:spacing w:line="259" w:lineRule="auto" w:before="114"/>
        <w:ind w:left="412" w:right="1551"/>
        <w:jc w:val="both"/>
      </w:pPr>
      <w:r>
        <w:rPr>
          <w:color w:val="231F20"/>
        </w:rPr>
        <w:t>La ZBTS se localiza en el sur y el sureste del Estado, y sólo se incluyeron tres municipios para el estudio de los sistemas de producción ovina: Huetamo,  San Lucas y </w:t>
      </w:r>
      <w:r>
        <w:rPr>
          <w:color w:val="231F20"/>
          <w:spacing w:val="-3"/>
        </w:rPr>
        <w:t>Tuzantla. </w:t>
      </w:r>
      <w:r>
        <w:rPr>
          <w:color w:val="231F20"/>
        </w:rPr>
        <w:t>Éstos tienen una población ovina de </w:t>
      </w:r>
      <w:r>
        <w:rPr>
          <w:color w:val="231F20"/>
          <w:spacing w:val="3"/>
        </w:rPr>
        <w:t>12909 </w:t>
      </w:r>
      <w:r>
        <w:rPr>
          <w:color w:val="231F20"/>
        </w:rPr>
        <w:t>cabezas, lo que representa  el  5,9% del total de ovinos del Estado. Los climas encontrados fueron  cálido  y  semicálido  (52,6%), y árido y semiárido (46,8%). El 96,5%  de  esta  zona tiene una temperatura media anual de 22 °C (Fig. 2). La fisiografía corresponde a la Depresión del Balsas </w:t>
      </w:r>
      <w:r>
        <w:rPr>
          <w:color w:val="231F20"/>
          <w:spacing w:val="-5"/>
        </w:rPr>
        <w:t>(87,4%) </w:t>
      </w:r>
      <w:r>
        <w:rPr>
          <w:color w:val="231F20"/>
        </w:rPr>
        <w:t>y la Cordillera Costera del Sur (11,2%). Los tres municipios suman  una  superfi- cie de 354277 ha, de las  cuales  el  26,9%  es  de uso agrícola y el 14,5% es pastizal. El 53% de la tenencia de la tierra es del tipo ejidal (Fig.  </w:t>
      </w:r>
      <w:r>
        <w:rPr>
          <w:color w:val="231F20"/>
          <w:spacing w:val="24"/>
        </w:rPr>
        <w:t> </w:t>
      </w:r>
      <w:r>
        <w:rPr>
          <w:color w:val="231F20"/>
        </w:rPr>
        <w:t>3).</w:t>
      </w:r>
    </w:p>
    <w:p>
      <w:pPr>
        <w:pStyle w:val="BodyText"/>
      </w:pPr>
    </w:p>
    <w:p>
      <w:pPr>
        <w:pStyle w:val="BodyText"/>
        <w:spacing w:before="7"/>
      </w:pPr>
    </w:p>
    <w:p>
      <w:pPr>
        <w:spacing w:line="283" w:lineRule="auto" w:before="0"/>
        <w:ind w:left="412" w:right="1561" w:firstLine="0"/>
        <w:jc w:val="both"/>
        <w:rPr>
          <w:sz w:val="18"/>
        </w:rPr>
      </w:pPr>
      <w:r>
        <w:rPr/>
        <w:pict>
          <v:shape style="position:absolute;margin-left:308.466614pt;margin-top:31.673698pt;width:208.6pt;height:192.4pt;mso-position-horizontal-relative:page;mso-position-vertical-relative:paragraph;z-index:5008"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41"/>
                    <w:gridCol w:w="808"/>
                    <w:gridCol w:w="1134"/>
                    <w:gridCol w:w="874"/>
                  </w:tblGrid>
                  <w:tr>
                    <w:trPr>
                      <w:trHeight w:val="629" w:hRule="exact"/>
                    </w:trPr>
                    <w:tc>
                      <w:tcPr>
                        <w:tcW w:w="1341" w:type="dxa"/>
                        <w:tcBorders>
                          <w:left w:val="nil"/>
                        </w:tcBorders>
                      </w:tcPr>
                      <w:p>
                        <w:pPr>
                          <w:pStyle w:val="TableParagraph"/>
                          <w:spacing w:before="2"/>
                          <w:rPr>
                            <w:sz w:val="17"/>
                          </w:rPr>
                        </w:pPr>
                      </w:p>
                      <w:p>
                        <w:pPr>
                          <w:pStyle w:val="TableParagraph"/>
                          <w:spacing w:before="0"/>
                          <w:ind w:left="303"/>
                          <w:rPr>
                            <w:rFonts w:ascii="Cambria"/>
                            <w:i/>
                            <w:sz w:val="18"/>
                          </w:rPr>
                        </w:pPr>
                        <w:r>
                          <w:rPr>
                            <w:rFonts w:ascii="Cambria"/>
                            <w:i/>
                            <w:color w:val="231F20"/>
                            <w:w w:val="105"/>
                            <w:sz w:val="18"/>
                          </w:rPr>
                          <w:t>Municipio</w:t>
                        </w:r>
                      </w:p>
                    </w:tc>
                    <w:tc>
                      <w:tcPr>
                        <w:tcW w:w="808" w:type="dxa"/>
                      </w:tcPr>
                      <w:p>
                        <w:pPr>
                          <w:pStyle w:val="TableParagraph"/>
                          <w:spacing w:before="79"/>
                          <w:ind w:left="100" w:right="100"/>
                          <w:jc w:val="center"/>
                          <w:rPr>
                            <w:rFonts w:ascii="Cambria" w:hAnsi="Cambria"/>
                            <w:i/>
                            <w:sz w:val="18"/>
                          </w:rPr>
                        </w:pPr>
                        <w:r>
                          <w:rPr>
                            <w:rFonts w:ascii="Cambria" w:hAnsi="Cambria"/>
                            <w:i/>
                            <w:color w:val="231F20"/>
                            <w:sz w:val="18"/>
                          </w:rPr>
                          <w:t>N°</w:t>
                        </w:r>
                      </w:p>
                      <w:p>
                        <w:pPr>
                          <w:pStyle w:val="TableParagraph"/>
                          <w:spacing w:before="49"/>
                          <w:ind w:left="100" w:right="100"/>
                          <w:jc w:val="center"/>
                          <w:rPr>
                            <w:rFonts w:ascii="Cambria"/>
                            <w:i/>
                            <w:sz w:val="18"/>
                          </w:rPr>
                        </w:pPr>
                        <w:r>
                          <w:rPr>
                            <w:rFonts w:ascii="Cambria"/>
                            <w:i/>
                            <w:color w:val="231F20"/>
                            <w:w w:val="110"/>
                            <w:sz w:val="18"/>
                          </w:rPr>
                          <w:t>ovinos</w:t>
                        </w:r>
                      </w:p>
                    </w:tc>
                    <w:tc>
                      <w:tcPr>
                        <w:tcW w:w="1134" w:type="dxa"/>
                      </w:tcPr>
                      <w:p>
                        <w:pPr>
                          <w:pStyle w:val="TableParagraph"/>
                          <w:spacing w:before="2"/>
                          <w:rPr>
                            <w:sz w:val="17"/>
                          </w:rPr>
                        </w:pPr>
                      </w:p>
                      <w:p>
                        <w:pPr>
                          <w:pStyle w:val="TableParagraph"/>
                          <w:spacing w:before="0"/>
                          <w:ind w:left="168"/>
                          <w:rPr>
                            <w:rFonts w:ascii="Cambria"/>
                            <w:i/>
                            <w:sz w:val="18"/>
                          </w:rPr>
                        </w:pPr>
                        <w:r>
                          <w:rPr>
                            <w:rFonts w:ascii="Cambria"/>
                            <w:i/>
                            <w:color w:val="231F20"/>
                            <w:w w:val="105"/>
                            <w:sz w:val="18"/>
                          </w:rPr>
                          <w:t>Municipio</w:t>
                        </w:r>
                      </w:p>
                    </w:tc>
                    <w:tc>
                      <w:tcPr>
                        <w:tcW w:w="874" w:type="dxa"/>
                        <w:tcBorders>
                          <w:right w:val="nil"/>
                        </w:tcBorders>
                      </w:tcPr>
                      <w:p>
                        <w:pPr>
                          <w:pStyle w:val="TableParagraph"/>
                          <w:spacing w:before="79"/>
                          <w:ind w:left="149" w:right="152"/>
                          <w:jc w:val="center"/>
                          <w:rPr>
                            <w:rFonts w:ascii="Cambria" w:hAnsi="Cambria"/>
                            <w:i/>
                            <w:sz w:val="18"/>
                          </w:rPr>
                        </w:pPr>
                        <w:r>
                          <w:rPr>
                            <w:rFonts w:ascii="Cambria" w:hAnsi="Cambria"/>
                            <w:i/>
                            <w:color w:val="231F20"/>
                            <w:sz w:val="18"/>
                          </w:rPr>
                          <w:t>N°</w:t>
                        </w:r>
                      </w:p>
                      <w:p>
                        <w:pPr>
                          <w:pStyle w:val="TableParagraph"/>
                          <w:spacing w:before="49"/>
                          <w:ind w:left="149" w:right="152"/>
                          <w:jc w:val="center"/>
                          <w:rPr>
                            <w:rFonts w:ascii="Cambria"/>
                            <w:i/>
                            <w:sz w:val="18"/>
                          </w:rPr>
                        </w:pPr>
                        <w:r>
                          <w:rPr>
                            <w:rFonts w:ascii="Cambria"/>
                            <w:i/>
                            <w:color w:val="231F20"/>
                            <w:w w:val="110"/>
                            <w:sz w:val="18"/>
                          </w:rPr>
                          <w:t>ovinos</w:t>
                        </w:r>
                      </w:p>
                    </w:tc>
                  </w:tr>
                  <w:tr>
                    <w:trPr>
                      <w:trHeight w:val="354" w:hRule="exact"/>
                    </w:trPr>
                    <w:tc>
                      <w:tcPr>
                        <w:tcW w:w="1341" w:type="dxa"/>
                        <w:tcBorders>
                          <w:left w:val="nil"/>
                        </w:tcBorders>
                      </w:tcPr>
                      <w:p>
                        <w:pPr>
                          <w:pStyle w:val="TableParagraph"/>
                          <w:ind w:left="113"/>
                          <w:rPr>
                            <w:sz w:val="17"/>
                          </w:rPr>
                        </w:pPr>
                        <w:r>
                          <w:rPr>
                            <w:color w:val="231F20"/>
                            <w:sz w:val="17"/>
                          </w:rPr>
                          <w:t>Álvaro Obregón</w:t>
                        </w:r>
                      </w:p>
                    </w:tc>
                    <w:tc>
                      <w:tcPr>
                        <w:tcW w:w="808" w:type="dxa"/>
                      </w:tcPr>
                      <w:p>
                        <w:pPr>
                          <w:pStyle w:val="TableParagraph"/>
                          <w:ind w:left="238" w:right="100"/>
                          <w:jc w:val="center"/>
                          <w:rPr>
                            <w:sz w:val="17"/>
                          </w:rPr>
                        </w:pPr>
                        <w:r>
                          <w:rPr>
                            <w:color w:val="231F20"/>
                            <w:w w:val="115"/>
                            <w:sz w:val="17"/>
                          </w:rPr>
                          <w:t>2796</w:t>
                        </w:r>
                      </w:p>
                    </w:tc>
                    <w:tc>
                      <w:tcPr>
                        <w:tcW w:w="1134" w:type="dxa"/>
                      </w:tcPr>
                      <w:p>
                        <w:pPr>
                          <w:pStyle w:val="TableParagraph"/>
                          <w:ind w:left="108"/>
                          <w:rPr>
                            <w:sz w:val="17"/>
                          </w:rPr>
                        </w:pPr>
                        <w:r>
                          <w:rPr>
                            <w:color w:val="231F20"/>
                            <w:w w:val="105"/>
                            <w:sz w:val="17"/>
                          </w:rPr>
                          <w:t>Senguio</w:t>
                        </w:r>
                      </w:p>
                    </w:tc>
                    <w:tc>
                      <w:tcPr>
                        <w:tcW w:w="874" w:type="dxa"/>
                        <w:tcBorders>
                          <w:right w:val="nil"/>
                        </w:tcBorders>
                      </w:tcPr>
                      <w:p>
                        <w:pPr>
                          <w:pStyle w:val="TableParagraph"/>
                          <w:ind w:left="149" w:right="152"/>
                          <w:jc w:val="center"/>
                          <w:rPr>
                            <w:sz w:val="17"/>
                          </w:rPr>
                        </w:pPr>
                        <w:r>
                          <w:rPr>
                            <w:color w:val="231F20"/>
                            <w:w w:val="115"/>
                            <w:sz w:val="17"/>
                          </w:rPr>
                          <w:t>5311</w:t>
                        </w:r>
                      </w:p>
                    </w:tc>
                  </w:tr>
                  <w:tr>
                    <w:trPr>
                      <w:trHeight w:val="354" w:hRule="exact"/>
                    </w:trPr>
                    <w:tc>
                      <w:tcPr>
                        <w:tcW w:w="1341" w:type="dxa"/>
                        <w:tcBorders>
                          <w:left w:val="nil"/>
                        </w:tcBorders>
                      </w:tcPr>
                      <w:p>
                        <w:pPr>
                          <w:pStyle w:val="TableParagraph"/>
                          <w:ind w:left="113"/>
                          <w:rPr>
                            <w:sz w:val="17"/>
                          </w:rPr>
                        </w:pPr>
                        <w:r>
                          <w:rPr>
                            <w:color w:val="231F20"/>
                            <w:w w:val="105"/>
                            <w:sz w:val="17"/>
                          </w:rPr>
                          <w:t>Contepec</w:t>
                        </w:r>
                      </w:p>
                    </w:tc>
                    <w:tc>
                      <w:tcPr>
                        <w:tcW w:w="808" w:type="dxa"/>
                      </w:tcPr>
                      <w:p>
                        <w:pPr>
                          <w:pStyle w:val="TableParagraph"/>
                          <w:ind w:left="115" w:right="98"/>
                          <w:jc w:val="center"/>
                          <w:rPr>
                            <w:sz w:val="17"/>
                          </w:rPr>
                        </w:pPr>
                        <w:r>
                          <w:rPr>
                            <w:color w:val="231F20"/>
                            <w:w w:val="115"/>
                            <w:sz w:val="17"/>
                          </w:rPr>
                          <w:t>15 515</w:t>
                        </w:r>
                      </w:p>
                    </w:tc>
                    <w:tc>
                      <w:tcPr>
                        <w:tcW w:w="1134" w:type="dxa"/>
                      </w:tcPr>
                      <w:p>
                        <w:pPr>
                          <w:pStyle w:val="TableParagraph"/>
                          <w:ind w:left="108"/>
                          <w:rPr>
                            <w:sz w:val="17"/>
                          </w:rPr>
                        </w:pPr>
                        <w:r>
                          <w:rPr>
                            <w:color w:val="231F20"/>
                            <w:sz w:val="17"/>
                          </w:rPr>
                          <w:t>Tlalpujahua</w:t>
                        </w:r>
                      </w:p>
                    </w:tc>
                    <w:tc>
                      <w:tcPr>
                        <w:tcW w:w="874" w:type="dxa"/>
                        <w:tcBorders>
                          <w:right w:val="nil"/>
                        </w:tcBorders>
                      </w:tcPr>
                      <w:p>
                        <w:pPr>
                          <w:pStyle w:val="TableParagraph"/>
                          <w:ind w:left="142" w:right="152"/>
                          <w:jc w:val="center"/>
                          <w:rPr>
                            <w:sz w:val="17"/>
                          </w:rPr>
                        </w:pPr>
                        <w:r>
                          <w:rPr>
                            <w:color w:val="231F20"/>
                            <w:w w:val="115"/>
                            <w:sz w:val="17"/>
                          </w:rPr>
                          <w:t>7401</w:t>
                        </w:r>
                      </w:p>
                    </w:tc>
                  </w:tr>
                  <w:tr>
                    <w:trPr>
                      <w:trHeight w:val="354" w:hRule="exact"/>
                    </w:trPr>
                    <w:tc>
                      <w:tcPr>
                        <w:tcW w:w="1341" w:type="dxa"/>
                        <w:tcBorders>
                          <w:left w:val="nil"/>
                        </w:tcBorders>
                      </w:tcPr>
                      <w:p>
                        <w:pPr>
                          <w:pStyle w:val="TableParagraph"/>
                          <w:ind w:left="113"/>
                          <w:rPr>
                            <w:sz w:val="17"/>
                          </w:rPr>
                        </w:pPr>
                        <w:r>
                          <w:rPr>
                            <w:color w:val="231F20"/>
                            <w:sz w:val="17"/>
                          </w:rPr>
                          <w:t>Epitacio Huerta</w:t>
                        </w:r>
                      </w:p>
                    </w:tc>
                    <w:tc>
                      <w:tcPr>
                        <w:tcW w:w="808" w:type="dxa"/>
                      </w:tcPr>
                      <w:p>
                        <w:pPr>
                          <w:pStyle w:val="TableParagraph"/>
                          <w:ind w:left="115" w:right="98"/>
                          <w:jc w:val="center"/>
                          <w:rPr>
                            <w:sz w:val="17"/>
                          </w:rPr>
                        </w:pPr>
                        <w:r>
                          <w:rPr>
                            <w:color w:val="231F20"/>
                            <w:w w:val="115"/>
                            <w:sz w:val="17"/>
                          </w:rPr>
                          <w:t>24 015</w:t>
                        </w:r>
                      </w:p>
                    </w:tc>
                    <w:tc>
                      <w:tcPr>
                        <w:tcW w:w="1134" w:type="dxa"/>
                      </w:tcPr>
                      <w:p>
                        <w:pPr>
                          <w:pStyle w:val="TableParagraph"/>
                          <w:ind w:left="108"/>
                          <w:rPr>
                            <w:sz w:val="17"/>
                          </w:rPr>
                        </w:pPr>
                        <w:r>
                          <w:rPr>
                            <w:color w:val="231F20"/>
                            <w:sz w:val="17"/>
                          </w:rPr>
                          <w:t>Tuxpan</w:t>
                        </w:r>
                      </w:p>
                    </w:tc>
                    <w:tc>
                      <w:tcPr>
                        <w:tcW w:w="874" w:type="dxa"/>
                        <w:tcBorders>
                          <w:right w:val="nil"/>
                        </w:tcBorders>
                      </w:tcPr>
                      <w:p>
                        <w:pPr>
                          <w:pStyle w:val="TableParagraph"/>
                          <w:ind w:left="146" w:right="152"/>
                          <w:jc w:val="center"/>
                          <w:rPr>
                            <w:sz w:val="17"/>
                          </w:rPr>
                        </w:pPr>
                        <w:r>
                          <w:rPr>
                            <w:color w:val="231F20"/>
                            <w:w w:val="115"/>
                            <w:sz w:val="17"/>
                          </w:rPr>
                          <w:t>5131</w:t>
                        </w:r>
                      </w:p>
                    </w:tc>
                  </w:tr>
                  <w:tr>
                    <w:trPr>
                      <w:trHeight w:val="354" w:hRule="exact"/>
                    </w:trPr>
                    <w:tc>
                      <w:tcPr>
                        <w:tcW w:w="1341" w:type="dxa"/>
                        <w:tcBorders>
                          <w:left w:val="nil"/>
                        </w:tcBorders>
                      </w:tcPr>
                      <w:p>
                        <w:pPr>
                          <w:pStyle w:val="TableParagraph"/>
                          <w:ind w:left="113"/>
                          <w:rPr>
                            <w:sz w:val="17"/>
                          </w:rPr>
                        </w:pPr>
                        <w:r>
                          <w:rPr>
                            <w:color w:val="231F20"/>
                            <w:w w:val="105"/>
                            <w:sz w:val="17"/>
                          </w:rPr>
                          <w:t>Ciudad Hidalgo</w:t>
                        </w:r>
                      </w:p>
                    </w:tc>
                    <w:tc>
                      <w:tcPr>
                        <w:tcW w:w="808" w:type="dxa"/>
                      </w:tcPr>
                      <w:p>
                        <w:pPr>
                          <w:pStyle w:val="TableParagraph"/>
                          <w:ind w:left="237" w:right="100"/>
                          <w:jc w:val="center"/>
                          <w:rPr>
                            <w:sz w:val="17"/>
                          </w:rPr>
                        </w:pPr>
                        <w:r>
                          <w:rPr>
                            <w:color w:val="231F20"/>
                            <w:w w:val="115"/>
                            <w:sz w:val="17"/>
                          </w:rPr>
                          <w:t>7216</w:t>
                        </w:r>
                      </w:p>
                    </w:tc>
                    <w:tc>
                      <w:tcPr>
                        <w:tcW w:w="1134" w:type="dxa"/>
                      </w:tcPr>
                      <w:p>
                        <w:pPr>
                          <w:pStyle w:val="TableParagraph"/>
                          <w:ind w:left="108"/>
                          <w:rPr>
                            <w:sz w:val="17"/>
                          </w:rPr>
                        </w:pPr>
                        <w:r>
                          <w:rPr>
                            <w:color w:val="231F20"/>
                            <w:sz w:val="17"/>
                          </w:rPr>
                          <w:t>Zinapécuaro</w:t>
                        </w:r>
                      </w:p>
                    </w:tc>
                    <w:tc>
                      <w:tcPr>
                        <w:tcW w:w="874" w:type="dxa"/>
                        <w:tcBorders>
                          <w:right w:val="nil"/>
                        </w:tcBorders>
                      </w:tcPr>
                      <w:p>
                        <w:pPr>
                          <w:pStyle w:val="TableParagraph"/>
                          <w:ind w:left="149" w:right="152"/>
                          <w:jc w:val="center"/>
                          <w:rPr>
                            <w:sz w:val="17"/>
                          </w:rPr>
                        </w:pPr>
                        <w:r>
                          <w:rPr>
                            <w:color w:val="231F20"/>
                            <w:w w:val="115"/>
                            <w:sz w:val="17"/>
                          </w:rPr>
                          <w:t>4939</w:t>
                        </w:r>
                      </w:p>
                    </w:tc>
                  </w:tr>
                  <w:tr>
                    <w:trPr>
                      <w:trHeight w:val="354" w:hRule="exact"/>
                    </w:trPr>
                    <w:tc>
                      <w:tcPr>
                        <w:tcW w:w="1341" w:type="dxa"/>
                        <w:tcBorders>
                          <w:left w:val="nil"/>
                        </w:tcBorders>
                      </w:tcPr>
                      <w:p>
                        <w:pPr>
                          <w:pStyle w:val="TableParagraph"/>
                          <w:ind w:left="113"/>
                          <w:rPr>
                            <w:sz w:val="17"/>
                          </w:rPr>
                        </w:pPr>
                        <w:r>
                          <w:rPr>
                            <w:color w:val="231F20"/>
                            <w:w w:val="105"/>
                            <w:sz w:val="17"/>
                          </w:rPr>
                          <w:t>Jungapeo</w:t>
                        </w:r>
                      </w:p>
                    </w:tc>
                    <w:tc>
                      <w:tcPr>
                        <w:tcW w:w="808" w:type="dxa"/>
                      </w:tcPr>
                      <w:p>
                        <w:pPr>
                          <w:pStyle w:val="TableParagraph"/>
                          <w:ind w:left="230" w:right="100"/>
                          <w:jc w:val="center"/>
                          <w:rPr>
                            <w:sz w:val="17"/>
                          </w:rPr>
                        </w:pPr>
                        <w:r>
                          <w:rPr>
                            <w:color w:val="231F20"/>
                            <w:w w:val="115"/>
                            <w:sz w:val="17"/>
                          </w:rPr>
                          <w:t>3002</w:t>
                        </w:r>
                      </w:p>
                    </w:tc>
                    <w:tc>
                      <w:tcPr>
                        <w:tcW w:w="1134" w:type="dxa"/>
                      </w:tcPr>
                      <w:p>
                        <w:pPr>
                          <w:pStyle w:val="TableParagraph"/>
                          <w:ind w:left="108"/>
                          <w:rPr>
                            <w:sz w:val="17"/>
                          </w:rPr>
                        </w:pPr>
                        <w:r>
                          <w:rPr>
                            <w:color w:val="231F20"/>
                            <w:sz w:val="17"/>
                          </w:rPr>
                          <w:t>Zitácuaro</w:t>
                        </w:r>
                      </w:p>
                    </w:tc>
                    <w:tc>
                      <w:tcPr>
                        <w:tcW w:w="874" w:type="dxa"/>
                        <w:tcBorders>
                          <w:right w:val="nil"/>
                        </w:tcBorders>
                      </w:tcPr>
                      <w:p>
                        <w:pPr>
                          <w:pStyle w:val="TableParagraph"/>
                          <w:ind w:left="142" w:right="152"/>
                          <w:jc w:val="center"/>
                          <w:rPr>
                            <w:sz w:val="17"/>
                          </w:rPr>
                        </w:pPr>
                        <w:r>
                          <w:rPr>
                            <w:color w:val="231F20"/>
                            <w:w w:val="115"/>
                            <w:sz w:val="17"/>
                          </w:rPr>
                          <w:t>9701</w:t>
                        </w:r>
                      </w:p>
                    </w:tc>
                  </w:tr>
                  <w:tr>
                    <w:trPr>
                      <w:trHeight w:val="354" w:hRule="exact"/>
                    </w:trPr>
                    <w:tc>
                      <w:tcPr>
                        <w:tcW w:w="1341" w:type="dxa"/>
                        <w:tcBorders>
                          <w:left w:val="nil"/>
                        </w:tcBorders>
                      </w:tcPr>
                      <w:p>
                        <w:pPr>
                          <w:pStyle w:val="TableParagraph"/>
                          <w:ind w:left="113"/>
                          <w:rPr>
                            <w:sz w:val="17"/>
                          </w:rPr>
                        </w:pPr>
                        <w:r>
                          <w:rPr>
                            <w:color w:val="231F20"/>
                            <w:sz w:val="17"/>
                          </w:rPr>
                          <w:t>Maravatío</w:t>
                        </w:r>
                      </w:p>
                    </w:tc>
                    <w:tc>
                      <w:tcPr>
                        <w:tcW w:w="808" w:type="dxa"/>
                      </w:tcPr>
                      <w:p>
                        <w:pPr>
                          <w:pStyle w:val="TableParagraph"/>
                          <w:ind w:left="115" w:right="94"/>
                          <w:jc w:val="center"/>
                          <w:rPr>
                            <w:sz w:val="17"/>
                          </w:rPr>
                        </w:pPr>
                        <w:r>
                          <w:rPr>
                            <w:color w:val="231F20"/>
                            <w:w w:val="115"/>
                            <w:sz w:val="17"/>
                          </w:rPr>
                          <w:t>15762</w:t>
                        </w:r>
                      </w:p>
                    </w:tc>
                    <w:tc>
                      <w:tcPr>
                        <w:tcW w:w="1134" w:type="dxa"/>
                      </w:tcPr>
                      <w:p>
                        <w:pPr>
                          <w:pStyle w:val="TableParagraph"/>
                          <w:ind w:left="108"/>
                          <w:rPr>
                            <w:sz w:val="17"/>
                          </w:rPr>
                        </w:pPr>
                        <w:r>
                          <w:rPr>
                            <w:color w:val="231F20"/>
                            <w:w w:val="105"/>
                            <w:sz w:val="17"/>
                          </w:rPr>
                          <w:t>Ocampo</w:t>
                        </w:r>
                      </w:p>
                    </w:tc>
                    <w:tc>
                      <w:tcPr>
                        <w:tcW w:w="874" w:type="dxa"/>
                        <w:tcBorders>
                          <w:right w:val="nil"/>
                        </w:tcBorders>
                      </w:tcPr>
                      <w:p>
                        <w:pPr>
                          <w:pStyle w:val="TableParagraph"/>
                          <w:ind w:left="149" w:right="152"/>
                          <w:jc w:val="center"/>
                          <w:rPr>
                            <w:sz w:val="17"/>
                          </w:rPr>
                        </w:pPr>
                        <w:r>
                          <w:rPr>
                            <w:color w:val="231F20"/>
                            <w:w w:val="115"/>
                            <w:sz w:val="17"/>
                          </w:rPr>
                          <w:t>4346</w:t>
                        </w:r>
                      </w:p>
                    </w:tc>
                  </w:tr>
                  <w:tr>
                    <w:trPr>
                      <w:trHeight w:val="362" w:hRule="exact"/>
                    </w:trPr>
                    <w:tc>
                      <w:tcPr>
                        <w:tcW w:w="1341" w:type="dxa"/>
                        <w:tcBorders>
                          <w:left w:val="nil"/>
                        </w:tcBorders>
                      </w:tcPr>
                      <w:p>
                        <w:pPr>
                          <w:pStyle w:val="TableParagraph"/>
                          <w:ind w:left="113"/>
                          <w:rPr>
                            <w:sz w:val="17"/>
                          </w:rPr>
                        </w:pPr>
                        <w:r>
                          <w:rPr>
                            <w:color w:val="231F20"/>
                            <w:sz w:val="17"/>
                          </w:rPr>
                          <w:t>Morelia</w:t>
                        </w:r>
                      </w:p>
                    </w:tc>
                    <w:tc>
                      <w:tcPr>
                        <w:tcW w:w="808" w:type="dxa"/>
                      </w:tcPr>
                      <w:p>
                        <w:pPr>
                          <w:pStyle w:val="TableParagraph"/>
                          <w:ind w:left="237" w:right="100"/>
                          <w:jc w:val="center"/>
                          <w:rPr>
                            <w:sz w:val="17"/>
                          </w:rPr>
                        </w:pPr>
                        <w:r>
                          <w:rPr>
                            <w:color w:val="231F20"/>
                            <w:w w:val="115"/>
                            <w:sz w:val="17"/>
                          </w:rPr>
                          <w:t>2876</w:t>
                        </w:r>
                      </w:p>
                    </w:tc>
                    <w:tc>
                      <w:tcPr>
                        <w:tcW w:w="1134" w:type="dxa"/>
                      </w:tcPr>
                      <w:p>
                        <w:pPr/>
                      </w:p>
                    </w:tc>
                    <w:tc>
                      <w:tcPr>
                        <w:tcW w:w="874" w:type="dxa"/>
                        <w:tcBorders>
                          <w:right w:val="nil"/>
                        </w:tcBorders>
                      </w:tcPr>
                      <w:p>
                        <w:pPr/>
                      </w:p>
                    </w:tc>
                  </w:tr>
                  <w:tr>
                    <w:trPr>
                      <w:trHeight w:val="362" w:hRule="exact"/>
                    </w:trPr>
                    <w:tc>
                      <w:tcPr>
                        <w:tcW w:w="1341" w:type="dxa"/>
                        <w:tcBorders>
                          <w:left w:val="nil"/>
                        </w:tcBorders>
                      </w:tcPr>
                      <w:p>
                        <w:pPr>
                          <w:pStyle w:val="TableParagraph"/>
                          <w:ind w:left="113"/>
                          <w:rPr>
                            <w:rFonts w:ascii="Tahoma"/>
                            <w:sz w:val="17"/>
                          </w:rPr>
                        </w:pPr>
                        <w:r>
                          <w:rPr>
                            <w:rFonts w:ascii="Tahoma"/>
                            <w:color w:val="231F20"/>
                            <w:sz w:val="17"/>
                          </w:rPr>
                          <w:t>Total</w:t>
                        </w:r>
                      </w:p>
                    </w:tc>
                    <w:tc>
                      <w:tcPr>
                        <w:tcW w:w="2815" w:type="dxa"/>
                        <w:gridSpan w:val="3"/>
                        <w:tcBorders>
                          <w:right w:val="nil"/>
                        </w:tcBorders>
                      </w:tcPr>
                      <w:p>
                        <w:pPr>
                          <w:pStyle w:val="TableParagraph"/>
                          <w:ind w:left="108" w:right="276"/>
                          <w:rPr>
                            <w:rFonts w:ascii="Tahoma"/>
                            <w:sz w:val="17"/>
                          </w:rPr>
                        </w:pPr>
                        <w:r>
                          <w:rPr>
                            <w:rFonts w:ascii="Tahoma"/>
                            <w:color w:val="231F20"/>
                            <w:w w:val="105"/>
                            <w:sz w:val="17"/>
                          </w:rPr>
                          <w:t>108 011</w:t>
                        </w:r>
                      </w:p>
                    </w:tc>
                  </w:tr>
                  <w:tr>
                    <w:trPr>
                      <w:trHeight w:val="362" w:hRule="exact"/>
                    </w:trPr>
                    <w:tc>
                      <w:tcPr>
                        <w:tcW w:w="1341" w:type="dxa"/>
                        <w:tcBorders>
                          <w:left w:val="nil"/>
                        </w:tcBorders>
                      </w:tcPr>
                      <w:p>
                        <w:pPr>
                          <w:pStyle w:val="TableParagraph"/>
                          <w:ind w:left="113"/>
                          <w:rPr>
                            <w:rFonts w:ascii="Tahoma"/>
                            <w:sz w:val="17"/>
                          </w:rPr>
                        </w:pPr>
                        <w:r>
                          <w:rPr>
                            <w:rFonts w:ascii="Tahoma"/>
                            <w:color w:val="231F20"/>
                            <w:sz w:val="17"/>
                          </w:rPr>
                          <w:t>% estatal</w:t>
                        </w:r>
                      </w:p>
                    </w:tc>
                    <w:tc>
                      <w:tcPr>
                        <w:tcW w:w="2815" w:type="dxa"/>
                        <w:gridSpan w:val="3"/>
                        <w:tcBorders>
                          <w:right w:val="nil"/>
                        </w:tcBorders>
                      </w:tcPr>
                      <w:p>
                        <w:pPr>
                          <w:pStyle w:val="TableParagraph"/>
                          <w:ind w:left="497" w:right="276"/>
                          <w:rPr>
                            <w:rFonts w:ascii="Tahoma"/>
                            <w:sz w:val="17"/>
                          </w:rPr>
                        </w:pPr>
                        <w:r>
                          <w:rPr>
                            <w:rFonts w:ascii="Tahoma"/>
                            <w:color w:val="231F20"/>
                            <w:sz w:val="17"/>
                          </w:rPr>
                          <w:t>49,5</w:t>
                        </w:r>
                      </w:p>
                    </w:tc>
                  </w:tr>
                </w:tbl>
                <w:p>
                  <w:pPr>
                    <w:pStyle w:val="BodyText"/>
                  </w:pPr>
                </w:p>
              </w:txbxContent>
            </v:textbox>
            <w10:wrap type="none"/>
          </v:shape>
        </w:pict>
      </w:r>
      <w:r>
        <w:rPr>
          <w:rFonts w:ascii="Tahoma" w:hAnsi="Tahoma"/>
          <w:color w:val="231F20"/>
          <w:sz w:val="18"/>
        </w:rPr>
        <w:t>Cuadro 1. </w:t>
      </w:r>
      <w:r>
        <w:rPr>
          <w:color w:val="231F20"/>
          <w:sz w:val="18"/>
        </w:rPr>
        <w:t>Municipios y población de la zona borregue- ra del Altiplano Michoacano.</w:t>
      </w:r>
    </w:p>
    <w:p>
      <w:pPr>
        <w:spacing w:after="0" w:line="283"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11.   </w:t>
      </w:r>
      <w:r>
        <w:rPr>
          <w:color w:val="231F20"/>
          <w:sz w:val="18"/>
        </w:rPr>
        <w:t>Caracterización de las zonas borregueras de Michoacán y  </w:t>
      </w:r>
      <w:r>
        <w:rPr>
          <w:color w:val="231F20"/>
          <w:spacing w:val="31"/>
          <w:sz w:val="18"/>
        </w:rPr>
        <w:t> </w:t>
      </w:r>
      <w:r>
        <w:rPr>
          <w:color w:val="231F20"/>
          <w:sz w:val="18"/>
        </w:rPr>
        <w:t>sus</w:t>
      </w:r>
      <w:r>
        <w:rPr>
          <w:color w:val="231F20"/>
          <w:spacing w:val="13"/>
          <w:sz w:val="18"/>
        </w:rPr>
        <w:t> </w:t>
      </w:r>
      <w:r>
        <w:rPr>
          <w:color w:val="231F20"/>
          <w:sz w:val="18"/>
        </w:rPr>
        <w:t>implicaciones...</w:t>
      </w:r>
      <w:r>
        <w:rPr>
          <w:color w:val="231F20"/>
          <w:sz w:val="22"/>
        </w:rPr>
        <w:tab/>
      </w:r>
      <w:r>
        <w:rPr>
          <w:color w:val="231F20"/>
          <w:spacing w:val="-9"/>
          <w:sz w:val="22"/>
        </w:rPr>
        <w:t>173</w:t>
      </w:r>
    </w:p>
    <w:p>
      <w:pPr>
        <w:spacing w:after="0"/>
        <w:jc w:val="left"/>
        <w:rPr>
          <w:sz w:val="22"/>
        </w:rPr>
        <w:sectPr>
          <w:pgSz w:w="11900" w:h="14450"/>
          <w:pgMar w:header="0" w:footer="222" w:top="420" w:bottom="420" w:left="0" w:right="0"/>
        </w:sectPr>
      </w:pPr>
    </w:p>
    <w:p>
      <w:pPr>
        <w:pStyle w:val="BodyText"/>
        <w:spacing w:before="11"/>
        <w:rPr>
          <w:sz w:val="28"/>
        </w:rPr>
      </w:pPr>
    </w:p>
    <w:p>
      <w:pPr>
        <w:spacing w:line="273" w:lineRule="auto" w:before="1"/>
        <w:ind w:left="1553" w:right="643" w:firstLine="0"/>
        <w:jc w:val="left"/>
        <w:rPr>
          <w:rFonts w:ascii="Cambria" w:hAnsi="Cambria"/>
          <w:i/>
          <w:sz w:val="20"/>
        </w:rPr>
      </w:pPr>
      <w:r>
        <w:rPr>
          <w:rFonts w:ascii="Cambria" w:hAnsi="Cambria"/>
          <w:i/>
          <w:color w:val="231F20"/>
          <w:w w:val="105"/>
          <w:sz w:val="20"/>
        </w:rPr>
        <w:t>Análisis de las actividades productivas </w:t>
      </w:r>
      <w:r>
        <w:rPr>
          <w:rFonts w:ascii="Cambria" w:hAnsi="Cambria"/>
          <w:i/>
          <w:color w:val="231F20"/>
          <w:w w:val="105"/>
          <w:sz w:val="20"/>
        </w:rPr>
        <w:t>en las unidades ovinocultoras por   zona</w:t>
      </w:r>
    </w:p>
    <w:p>
      <w:pPr>
        <w:pStyle w:val="BodyText"/>
        <w:spacing w:line="261" w:lineRule="auto" w:before="112"/>
        <w:ind w:left="1553"/>
        <w:jc w:val="both"/>
      </w:pPr>
      <w:r>
        <w:rPr>
          <w:color w:val="231F20"/>
        </w:rPr>
        <w:t>Las unidades de producción ovinas desarrollan di- versas actividades agropecuarias (Cuadro 2), y en- tre ellas la ganadería bovina y los animales de solar (aves, cerdos) cumplen una función importante. Estas unidades de producción también realizan ac- tividades no agropecuarias, en las cuales los pro- ductores pecuarios se desempeñan como empleados estatales, federales, jornaleros, trans- portistas y comerciantes. Estas</w:t>
      </w:r>
      <w:r>
        <w:rPr>
          <w:color w:val="231F20"/>
          <w:spacing w:val="6"/>
        </w:rPr>
        <w:t> </w:t>
      </w:r>
      <w:r>
        <w:rPr>
          <w:color w:val="231F20"/>
        </w:rPr>
        <w:t>últimas</w:t>
      </w:r>
      <w:r>
        <w:rPr>
          <w:color w:val="231F20"/>
          <w:spacing w:val="12"/>
        </w:rPr>
        <w:t> </w:t>
      </w:r>
      <w:r>
        <w:rPr>
          <w:color w:val="231F20"/>
        </w:rPr>
        <w:t>actividades</w:t>
      </w:r>
      <w:r>
        <w:rPr>
          <w:color w:val="231F20"/>
          <w:w w:val="99"/>
        </w:rPr>
        <w:t> </w:t>
      </w:r>
      <w:r>
        <w:rPr>
          <w:color w:val="231F20"/>
        </w:rPr>
        <w:t>han mostrado ser de importancia en la participa- ción económica de las unidades de producción ovina de </w:t>
      </w:r>
      <w:r>
        <w:rPr>
          <w:color w:val="231F20"/>
          <w:spacing w:val="-3"/>
        </w:rPr>
        <w:t>ZBVA  </w:t>
      </w:r>
      <w:r>
        <w:rPr>
          <w:color w:val="231F20"/>
        </w:rPr>
        <w:t>y ZBTS (Cuadro 2), debido a que    los productores o algún miembro de la familia se dedican a alguna de ellas y complementan el in- greso económico de las unidades de producción agropecuarias.</w:t>
      </w:r>
    </w:p>
    <w:p>
      <w:pPr>
        <w:pStyle w:val="BodyText"/>
        <w:spacing w:line="261" w:lineRule="auto" w:before="113"/>
        <w:ind w:left="1553"/>
        <w:jc w:val="both"/>
      </w:pPr>
      <w:r>
        <w:rPr>
          <w:color w:val="231F20"/>
        </w:rPr>
        <w:t>En ZBAM, </w:t>
      </w:r>
      <w:r>
        <w:rPr>
          <w:color w:val="231F20"/>
          <w:spacing w:val="-3"/>
        </w:rPr>
        <w:t>ZBVA  </w:t>
      </w:r>
      <w:r>
        <w:rPr>
          <w:color w:val="231F20"/>
        </w:rPr>
        <w:t>y ZBTS se desarrolla la agricultu-  ra en más del </w:t>
      </w:r>
      <w:r>
        <w:rPr>
          <w:color w:val="231F20"/>
          <w:spacing w:val="-6"/>
        </w:rPr>
        <w:t>91% </w:t>
      </w:r>
      <w:r>
        <w:rPr>
          <w:color w:val="231F20"/>
        </w:rPr>
        <w:t>de las unidades  de  produc-  ción ovina. En </w:t>
      </w:r>
      <w:r>
        <w:rPr>
          <w:color w:val="231F20"/>
          <w:spacing w:val="-3"/>
        </w:rPr>
        <w:t>ZBVA </w:t>
      </w:r>
      <w:r>
        <w:rPr>
          <w:color w:val="231F20"/>
        </w:rPr>
        <w:t>y ZBBM un alto porcentaje (83,5%) comercializa los excedentes agrícolas, lo que genera un ingreso adicional a la unidad de producción, mientras en ZBAM y ZBTS la actividad agrícola está encaminada al autoabasto. Por    </w:t>
      </w:r>
      <w:r>
        <w:rPr>
          <w:color w:val="231F20"/>
          <w:spacing w:val="3"/>
        </w:rPr>
        <w:t> </w:t>
      </w:r>
      <w:r>
        <w:rPr>
          <w:color w:val="231F20"/>
        </w:rPr>
        <w:t>otro</w:t>
      </w:r>
    </w:p>
    <w:p>
      <w:pPr>
        <w:pStyle w:val="BodyText"/>
        <w:spacing w:before="3"/>
        <w:rPr>
          <w:sz w:val="28"/>
        </w:rPr>
      </w:pPr>
      <w:r>
        <w:rPr/>
        <w:br w:type="column"/>
      </w:r>
      <w:r>
        <w:rPr>
          <w:sz w:val="28"/>
        </w:rPr>
      </w:r>
    </w:p>
    <w:p>
      <w:pPr>
        <w:pStyle w:val="BodyText"/>
        <w:spacing w:line="261" w:lineRule="auto"/>
        <w:ind w:left="413" w:right="1552"/>
        <w:jc w:val="both"/>
      </w:pPr>
      <w:r>
        <w:rPr>
          <w:color w:val="231F20"/>
        </w:rPr>
        <w:t>lado, el 81,2% de la producción ovina en ZBTS se combina con animales de  solar.</w:t>
      </w:r>
    </w:p>
    <w:p>
      <w:pPr>
        <w:pStyle w:val="BodyText"/>
        <w:spacing w:line="261" w:lineRule="auto" w:before="114"/>
        <w:ind w:left="413" w:right="1551"/>
        <w:jc w:val="both"/>
      </w:pPr>
      <w:r>
        <w:rPr>
          <w:color w:val="231F20"/>
        </w:rPr>
        <w:t>En el </w:t>
      </w:r>
      <w:r>
        <w:rPr>
          <w:color w:val="231F20"/>
          <w:spacing w:val="-3"/>
        </w:rPr>
        <w:t>73% </w:t>
      </w:r>
      <w:r>
        <w:rPr>
          <w:color w:val="231F20"/>
        </w:rPr>
        <w:t>de las  unidades  de  producción  ovina de la ZBBM la producción de bovinos resultó ser una actividad importante, pues el 85% de ellas percibe ingresos por la venta de lácteos y de animales en pie. Adicionalmente, destaca que el 46,6% de las unidades de producción ovina de la ZBBM tienen animales de solar, y que de éstas el </w:t>
      </w:r>
      <w:r>
        <w:rPr>
          <w:color w:val="231F20"/>
          <w:spacing w:val="-3"/>
        </w:rPr>
        <w:t>100% </w:t>
      </w:r>
      <w:r>
        <w:rPr>
          <w:color w:val="231F20"/>
        </w:rPr>
        <w:t>consiguen ingresos por la venta de sus pro- ductos, principalmente cerdos, huevos y aves de corral (algunas unidades inicialmente eran granjas de porcinos que han introducido ovinos debido a   la crisis que sufrió la porcicultura en México y a la entrada en vigor del </w:t>
      </w:r>
      <w:r>
        <w:rPr>
          <w:color w:val="231F20"/>
          <w:spacing w:val="-3"/>
        </w:rPr>
        <w:t>Tratado </w:t>
      </w:r>
      <w:r>
        <w:rPr>
          <w:color w:val="231F20"/>
        </w:rPr>
        <w:t>de Libre Comercio de América del Norte, por lo que esta región ha sido afectada en la producción de porcinos; Bobadilla  </w:t>
      </w:r>
      <w:r>
        <w:rPr>
          <w:rFonts w:ascii="Cambria" w:hAnsi="Cambria"/>
          <w:i/>
          <w:color w:val="231F20"/>
        </w:rPr>
        <w:t>et  al.</w:t>
      </w:r>
      <w:r>
        <w:rPr>
          <w:color w:val="231F20"/>
        </w:rPr>
        <w:t>,</w:t>
      </w:r>
      <w:r>
        <w:rPr>
          <w:color w:val="231F20"/>
          <w:spacing w:val="38"/>
        </w:rPr>
        <w:t> </w:t>
      </w:r>
      <w:r>
        <w:rPr>
          <w:color w:val="231F20"/>
          <w:spacing w:val="-4"/>
        </w:rPr>
        <w:t>2010).</w:t>
      </w:r>
    </w:p>
    <w:p>
      <w:pPr>
        <w:pStyle w:val="BodyText"/>
        <w:spacing w:line="261" w:lineRule="auto" w:before="114"/>
        <w:ind w:left="413" w:right="1551"/>
        <w:jc w:val="both"/>
      </w:pPr>
      <w:r>
        <w:rPr>
          <w:color w:val="231F20"/>
        </w:rPr>
        <w:t>Es evidente que la diversificación de las unidades de producción ovina desempeña un papel funda- mental como generadora de ingresos y contribuye a mantener la estabilidad económica en momen- tos de crisis, así como el estado nutricional de las familias campesinas. </w:t>
      </w:r>
      <w:r>
        <w:rPr>
          <w:color w:val="231F20"/>
          <w:spacing w:val="-3"/>
        </w:rPr>
        <w:t>También </w:t>
      </w:r>
      <w:r>
        <w:rPr>
          <w:color w:val="231F20"/>
        </w:rPr>
        <w:t>en otros estudios realizados  en  </w:t>
      </w:r>
      <w:r>
        <w:rPr>
          <w:color w:val="231F20"/>
          <w:spacing w:val="-3"/>
        </w:rPr>
        <w:t>Tabasco  </w:t>
      </w:r>
      <w:r>
        <w:rPr>
          <w:color w:val="231F20"/>
        </w:rPr>
        <w:t>(Nuncio  y  Escobedo,</w:t>
      </w:r>
      <w:r>
        <w:rPr>
          <w:color w:val="231F20"/>
          <w:spacing w:val="-11"/>
        </w:rPr>
        <w:t> </w:t>
      </w:r>
      <w:r>
        <w:rPr>
          <w:color w:val="231F20"/>
        </w:rPr>
        <w:t>2004;</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11"/>
        <w:rPr>
          <w:sz w:val="18"/>
        </w:rPr>
      </w:pPr>
    </w:p>
    <w:p>
      <w:pPr>
        <w:spacing w:line="283" w:lineRule="auto" w:before="0"/>
        <w:ind w:left="1553" w:right="1655" w:firstLine="0"/>
        <w:jc w:val="left"/>
        <w:rPr>
          <w:sz w:val="18"/>
        </w:rPr>
      </w:pPr>
      <w:r>
        <w:rPr>
          <w:rFonts w:ascii="Tahoma" w:hAnsi="Tahoma"/>
          <w:color w:val="231F20"/>
          <w:sz w:val="18"/>
        </w:rPr>
        <w:t>Cuadro 2. </w:t>
      </w:r>
      <w:r>
        <w:rPr>
          <w:color w:val="231F20"/>
          <w:sz w:val="18"/>
        </w:rPr>
        <w:t>Unidades de producción ovina por zona borreguera asociadas a otras actividades productivas, y contribu- ción a la economía familiar.</w:t>
      </w:r>
    </w:p>
    <w:p>
      <w:pPr>
        <w:pStyle w:val="BodyText"/>
        <w:spacing w:before="7" w:after="1"/>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886"/>
        <w:gridCol w:w="737"/>
        <w:gridCol w:w="737"/>
        <w:gridCol w:w="737"/>
        <w:gridCol w:w="737"/>
        <w:gridCol w:w="737"/>
        <w:gridCol w:w="737"/>
        <w:gridCol w:w="737"/>
        <w:gridCol w:w="737"/>
      </w:tblGrid>
      <w:tr>
        <w:trPr>
          <w:trHeight w:val="629" w:hRule="exact"/>
        </w:trPr>
        <w:tc>
          <w:tcPr>
            <w:tcW w:w="2886" w:type="dxa"/>
            <w:vMerge w:val="restart"/>
            <w:tcBorders>
              <w:top w:val="nil"/>
              <w:left w:val="nil"/>
              <w:right w:val="nil"/>
            </w:tcBorders>
          </w:tcPr>
          <w:p>
            <w:pPr/>
          </w:p>
        </w:tc>
        <w:tc>
          <w:tcPr>
            <w:tcW w:w="2948" w:type="dxa"/>
            <w:gridSpan w:val="4"/>
            <w:tcBorders>
              <w:left w:val="nil"/>
            </w:tcBorders>
          </w:tcPr>
          <w:p>
            <w:pPr>
              <w:pStyle w:val="TableParagraph"/>
              <w:spacing w:line="295" w:lineRule="auto" w:before="79"/>
              <w:ind w:left="489" w:right="478" w:firstLine="80"/>
              <w:rPr>
                <w:rFonts w:ascii="Cambria" w:hAnsi="Cambria"/>
                <w:i/>
                <w:sz w:val="18"/>
              </w:rPr>
            </w:pPr>
            <w:r>
              <w:rPr>
                <w:rFonts w:ascii="Cambria" w:hAnsi="Cambria"/>
                <w:i/>
                <w:color w:val="231F20"/>
                <w:w w:val="105"/>
                <w:sz w:val="18"/>
              </w:rPr>
              <w:t>UPO con participación </w:t>
            </w:r>
            <w:r>
              <w:rPr>
                <w:rFonts w:ascii="Cambria" w:hAnsi="Cambria"/>
                <w:i/>
                <w:color w:val="231F20"/>
                <w:w w:val="105"/>
                <w:sz w:val="18"/>
              </w:rPr>
              <w:t>de otras actividades  (%)</w:t>
            </w:r>
          </w:p>
        </w:tc>
        <w:tc>
          <w:tcPr>
            <w:tcW w:w="2948" w:type="dxa"/>
            <w:gridSpan w:val="4"/>
            <w:tcBorders>
              <w:right w:val="nil"/>
            </w:tcBorders>
          </w:tcPr>
          <w:p>
            <w:pPr>
              <w:pStyle w:val="TableParagraph"/>
              <w:spacing w:line="295" w:lineRule="auto" w:before="79"/>
              <w:ind w:left="357" w:right="6" w:hanging="109"/>
              <w:rPr>
                <w:rFonts w:ascii="Cambria" w:hAnsi="Cambria"/>
                <w:i/>
                <w:sz w:val="18"/>
              </w:rPr>
            </w:pPr>
            <w:r>
              <w:rPr>
                <w:rFonts w:ascii="Cambria" w:hAnsi="Cambria"/>
                <w:i/>
                <w:color w:val="231F20"/>
                <w:w w:val="110"/>
                <w:sz w:val="18"/>
              </w:rPr>
              <w:t>UPO con ingresos económicos </w:t>
            </w:r>
            <w:r>
              <w:rPr>
                <w:rFonts w:ascii="Cambria" w:hAnsi="Cambria"/>
                <w:i/>
                <w:color w:val="231F20"/>
                <w:w w:val="110"/>
                <w:sz w:val="18"/>
              </w:rPr>
              <w:t>por venta de productos (%)</w:t>
            </w:r>
          </w:p>
        </w:tc>
      </w:tr>
      <w:tr>
        <w:trPr>
          <w:trHeight w:val="354" w:hRule="exact"/>
        </w:trPr>
        <w:tc>
          <w:tcPr>
            <w:tcW w:w="2886" w:type="dxa"/>
            <w:vMerge/>
            <w:tcBorders>
              <w:left w:val="nil"/>
              <w:right w:val="nil"/>
            </w:tcBorders>
          </w:tcPr>
          <w:p>
            <w:pPr/>
          </w:p>
        </w:tc>
        <w:tc>
          <w:tcPr>
            <w:tcW w:w="737" w:type="dxa"/>
            <w:tcBorders>
              <w:left w:val="nil"/>
            </w:tcBorders>
          </w:tcPr>
          <w:p>
            <w:pPr>
              <w:pStyle w:val="TableParagraph"/>
              <w:ind w:right="198"/>
              <w:jc w:val="right"/>
              <w:rPr>
                <w:sz w:val="17"/>
              </w:rPr>
            </w:pPr>
            <w:r>
              <w:rPr>
                <w:color w:val="231F20"/>
                <w:sz w:val="17"/>
              </w:rPr>
              <w:t>ZBAM</w:t>
            </w:r>
          </w:p>
        </w:tc>
        <w:tc>
          <w:tcPr>
            <w:tcW w:w="737" w:type="dxa"/>
          </w:tcPr>
          <w:p>
            <w:pPr>
              <w:pStyle w:val="TableParagraph"/>
              <w:ind w:right="184"/>
              <w:jc w:val="right"/>
              <w:rPr>
                <w:sz w:val="17"/>
              </w:rPr>
            </w:pPr>
            <w:r>
              <w:rPr>
                <w:color w:val="231F20"/>
                <w:sz w:val="17"/>
              </w:rPr>
              <w:t>ZBBM</w:t>
            </w:r>
          </w:p>
        </w:tc>
        <w:tc>
          <w:tcPr>
            <w:tcW w:w="737" w:type="dxa"/>
          </w:tcPr>
          <w:p>
            <w:pPr>
              <w:pStyle w:val="TableParagraph"/>
              <w:ind w:left="108"/>
              <w:rPr>
                <w:sz w:val="17"/>
              </w:rPr>
            </w:pPr>
            <w:r>
              <w:rPr>
                <w:color w:val="231F20"/>
                <w:sz w:val="17"/>
              </w:rPr>
              <w:t>ZBVA</w:t>
            </w:r>
          </w:p>
        </w:tc>
        <w:tc>
          <w:tcPr>
            <w:tcW w:w="737" w:type="dxa"/>
          </w:tcPr>
          <w:p>
            <w:pPr>
              <w:pStyle w:val="TableParagraph"/>
              <w:ind w:left="108"/>
              <w:rPr>
                <w:sz w:val="17"/>
              </w:rPr>
            </w:pPr>
            <w:r>
              <w:rPr>
                <w:color w:val="231F20"/>
                <w:w w:val="105"/>
                <w:sz w:val="17"/>
              </w:rPr>
              <w:t>ZBTS</w:t>
            </w:r>
          </w:p>
        </w:tc>
        <w:tc>
          <w:tcPr>
            <w:tcW w:w="737" w:type="dxa"/>
          </w:tcPr>
          <w:p>
            <w:pPr>
              <w:pStyle w:val="TableParagraph"/>
              <w:ind w:right="200"/>
              <w:jc w:val="right"/>
              <w:rPr>
                <w:sz w:val="17"/>
              </w:rPr>
            </w:pPr>
            <w:r>
              <w:rPr>
                <w:color w:val="231F20"/>
                <w:sz w:val="17"/>
              </w:rPr>
              <w:t>ZBAM</w:t>
            </w:r>
          </w:p>
        </w:tc>
        <w:tc>
          <w:tcPr>
            <w:tcW w:w="737" w:type="dxa"/>
          </w:tcPr>
          <w:p>
            <w:pPr>
              <w:pStyle w:val="TableParagraph"/>
              <w:ind w:left="108"/>
              <w:rPr>
                <w:sz w:val="17"/>
              </w:rPr>
            </w:pPr>
            <w:r>
              <w:rPr>
                <w:color w:val="231F20"/>
                <w:w w:val="105"/>
                <w:sz w:val="17"/>
              </w:rPr>
              <w:t>ZBBM</w:t>
            </w:r>
          </w:p>
        </w:tc>
        <w:tc>
          <w:tcPr>
            <w:tcW w:w="737" w:type="dxa"/>
          </w:tcPr>
          <w:p>
            <w:pPr>
              <w:pStyle w:val="TableParagraph"/>
              <w:ind w:left="108"/>
              <w:rPr>
                <w:sz w:val="17"/>
              </w:rPr>
            </w:pPr>
            <w:r>
              <w:rPr>
                <w:color w:val="231F20"/>
                <w:sz w:val="17"/>
              </w:rPr>
              <w:t>ZBVA</w:t>
            </w:r>
          </w:p>
        </w:tc>
        <w:tc>
          <w:tcPr>
            <w:tcW w:w="737" w:type="dxa"/>
            <w:tcBorders>
              <w:right w:val="nil"/>
            </w:tcBorders>
          </w:tcPr>
          <w:p>
            <w:pPr>
              <w:pStyle w:val="TableParagraph"/>
              <w:ind w:left="107"/>
              <w:rPr>
                <w:sz w:val="17"/>
              </w:rPr>
            </w:pPr>
            <w:r>
              <w:rPr>
                <w:color w:val="231F20"/>
                <w:w w:val="105"/>
                <w:sz w:val="17"/>
              </w:rPr>
              <w:t>ZBTS</w:t>
            </w:r>
          </w:p>
        </w:tc>
      </w:tr>
      <w:tr>
        <w:trPr>
          <w:trHeight w:val="354" w:hRule="exact"/>
        </w:trPr>
        <w:tc>
          <w:tcPr>
            <w:tcW w:w="2886" w:type="dxa"/>
            <w:tcBorders>
              <w:left w:val="nil"/>
            </w:tcBorders>
          </w:tcPr>
          <w:p>
            <w:pPr>
              <w:pStyle w:val="TableParagraph"/>
              <w:ind w:left="112"/>
              <w:rPr>
                <w:sz w:val="17"/>
              </w:rPr>
            </w:pPr>
            <w:r>
              <w:rPr>
                <w:color w:val="231F20"/>
                <w:sz w:val="17"/>
              </w:rPr>
              <w:t>Bovinos</w:t>
            </w:r>
          </w:p>
        </w:tc>
        <w:tc>
          <w:tcPr>
            <w:tcW w:w="737" w:type="dxa"/>
          </w:tcPr>
          <w:p>
            <w:pPr>
              <w:pStyle w:val="TableParagraph"/>
              <w:ind w:right="197"/>
              <w:jc w:val="right"/>
              <w:rPr>
                <w:sz w:val="17"/>
              </w:rPr>
            </w:pPr>
            <w:r>
              <w:rPr>
                <w:color w:val="231F20"/>
                <w:w w:val="110"/>
                <w:sz w:val="17"/>
              </w:rPr>
              <w:t>54,6</w:t>
            </w:r>
          </w:p>
        </w:tc>
        <w:tc>
          <w:tcPr>
            <w:tcW w:w="737" w:type="dxa"/>
          </w:tcPr>
          <w:p>
            <w:pPr>
              <w:pStyle w:val="TableParagraph"/>
              <w:ind w:right="198"/>
              <w:jc w:val="right"/>
              <w:rPr>
                <w:sz w:val="17"/>
              </w:rPr>
            </w:pPr>
            <w:r>
              <w:rPr>
                <w:color w:val="231F20"/>
                <w:w w:val="110"/>
                <w:sz w:val="17"/>
              </w:rPr>
              <w:t>73,0</w:t>
            </w:r>
          </w:p>
        </w:tc>
        <w:tc>
          <w:tcPr>
            <w:tcW w:w="737" w:type="dxa"/>
          </w:tcPr>
          <w:p>
            <w:pPr>
              <w:pStyle w:val="TableParagraph"/>
              <w:ind w:right="195"/>
              <w:jc w:val="right"/>
              <w:rPr>
                <w:sz w:val="17"/>
              </w:rPr>
            </w:pPr>
            <w:r>
              <w:rPr>
                <w:color w:val="231F20"/>
                <w:w w:val="110"/>
                <w:sz w:val="17"/>
              </w:rPr>
              <w:t>46,0</w:t>
            </w:r>
          </w:p>
        </w:tc>
        <w:tc>
          <w:tcPr>
            <w:tcW w:w="737" w:type="dxa"/>
          </w:tcPr>
          <w:p>
            <w:pPr>
              <w:pStyle w:val="TableParagraph"/>
              <w:ind w:right="198"/>
              <w:jc w:val="right"/>
              <w:rPr>
                <w:sz w:val="17"/>
              </w:rPr>
            </w:pPr>
            <w:r>
              <w:rPr>
                <w:color w:val="231F20"/>
                <w:w w:val="110"/>
                <w:sz w:val="17"/>
              </w:rPr>
              <w:t>43,7</w:t>
            </w:r>
          </w:p>
        </w:tc>
        <w:tc>
          <w:tcPr>
            <w:tcW w:w="737" w:type="dxa"/>
          </w:tcPr>
          <w:p>
            <w:pPr>
              <w:pStyle w:val="TableParagraph"/>
              <w:ind w:right="198"/>
              <w:jc w:val="right"/>
              <w:rPr>
                <w:sz w:val="17"/>
              </w:rPr>
            </w:pPr>
            <w:r>
              <w:rPr>
                <w:color w:val="231F20"/>
                <w:w w:val="110"/>
                <w:sz w:val="17"/>
              </w:rPr>
              <w:t>75,5</w:t>
            </w:r>
          </w:p>
        </w:tc>
        <w:tc>
          <w:tcPr>
            <w:tcW w:w="737" w:type="dxa"/>
          </w:tcPr>
          <w:p>
            <w:pPr>
              <w:pStyle w:val="TableParagraph"/>
              <w:ind w:left="108"/>
              <w:rPr>
                <w:sz w:val="17"/>
              </w:rPr>
            </w:pPr>
            <w:r>
              <w:rPr>
                <w:color w:val="231F20"/>
                <w:w w:val="110"/>
                <w:sz w:val="17"/>
              </w:rPr>
              <w:t>85,0</w:t>
            </w:r>
          </w:p>
        </w:tc>
        <w:tc>
          <w:tcPr>
            <w:tcW w:w="737" w:type="dxa"/>
          </w:tcPr>
          <w:p>
            <w:pPr>
              <w:pStyle w:val="TableParagraph"/>
              <w:ind w:left="108"/>
              <w:rPr>
                <w:sz w:val="17"/>
              </w:rPr>
            </w:pPr>
            <w:r>
              <w:rPr>
                <w:color w:val="231F20"/>
                <w:w w:val="115"/>
                <w:sz w:val="17"/>
              </w:rPr>
              <w:t>100</w:t>
            </w:r>
          </w:p>
        </w:tc>
        <w:tc>
          <w:tcPr>
            <w:tcW w:w="737" w:type="dxa"/>
            <w:tcBorders>
              <w:right w:val="nil"/>
            </w:tcBorders>
          </w:tcPr>
          <w:p>
            <w:pPr>
              <w:pStyle w:val="TableParagraph"/>
              <w:ind w:left="107"/>
              <w:rPr>
                <w:sz w:val="17"/>
              </w:rPr>
            </w:pPr>
            <w:r>
              <w:rPr>
                <w:color w:val="231F20"/>
                <w:w w:val="115"/>
                <w:sz w:val="17"/>
              </w:rPr>
              <w:t>100</w:t>
            </w:r>
          </w:p>
        </w:tc>
      </w:tr>
      <w:tr>
        <w:trPr>
          <w:trHeight w:val="354" w:hRule="exact"/>
        </w:trPr>
        <w:tc>
          <w:tcPr>
            <w:tcW w:w="2886" w:type="dxa"/>
            <w:tcBorders>
              <w:left w:val="nil"/>
            </w:tcBorders>
          </w:tcPr>
          <w:p>
            <w:pPr>
              <w:pStyle w:val="TableParagraph"/>
              <w:ind w:left="112"/>
              <w:rPr>
                <w:sz w:val="17"/>
              </w:rPr>
            </w:pPr>
            <w:r>
              <w:rPr>
                <w:color w:val="231F20"/>
                <w:sz w:val="17"/>
              </w:rPr>
              <w:t>Animales de solar (cerdos y   aves)</w:t>
            </w:r>
          </w:p>
        </w:tc>
        <w:tc>
          <w:tcPr>
            <w:tcW w:w="737" w:type="dxa"/>
          </w:tcPr>
          <w:p>
            <w:pPr>
              <w:pStyle w:val="TableParagraph"/>
              <w:ind w:right="195"/>
              <w:jc w:val="right"/>
              <w:rPr>
                <w:sz w:val="17"/>
              </w:rPr>
            </w:pPr>
            <w:r>
              <w:rPr>
                <w:color w:val="231F20"/>
                <w:w w:val="110"/>
                <w:sz w:val="17"/>
              </w:rPr>
              <w:t>68,5</w:t>
            </w:r>
          </w:p>
        </w:tc>
        <w:tc>
          <w:tcPr>
            <w:tcW w:w="737" w:type="dxa"/>
          </w:tcPr>
          <w:p>
            <w:pPr>
              <w:pStyle w:val="TableParagraph"/>
              <w:ind w:right="195"/>
              <w:jc w:val="right"/>
              <w:rPr>
                <w:sz w:val="17"/>
              </w:rPr>
            </w:pPr>
            <w:r>
              <w:rPr>
                <w:color w:val="231F20"/>
                <w:w w:val="110"/>
                <w:sz w:val="17"/>
              </w:rPr>
              <w:t>46,6</w:t>
            </w:r>
          </w:p>
        </w:tc>
        <w:tc>
          <w:tcPr>
            <w:tcW w:w="737" w:type="dxa"/>
          </w:tcPr>
          <w:p>
            <w:pPr>
              <w:pStyle w:val="TableParagraph"/>
              <w:ind w:right="199"/>
              <w:jc w:val="right"/>
              <w:rPr>
                <w:sz w:val="17"/>
              </w:rPr>
            </w:pPr>
            <w:r>
              <w:rPr>
                <w:color w:val="231F20"/>
                <w:w w:val="110"/>
                <w:sz w:val="17"/>
              </w:rPr>
              <w:t>61,5</w:t>
            </w:r>
          </w:p>
        </w:tc>
        <w:tc>
          <w:tcPr>
            <w:tcW w:w="737" w:type="dxa"/>
          </w:tcPr>
          <w:p>
            <w:pPr>
              <w:pStyle w:val="TableParagraph"/>
              <w:ind w:right="199"/>
              <w:jc w:val="right"/>
              <w:rPr>
                <w:sz w:val="17"/>
              </w:rPr>
            </w:pPr>
            <w:r>
              <w:rPr>
                <w:color w:val="231F20"/>
                <w:w w:val="110"/>
                <w:sz w:val="17"/>
              </w:rPr>
              <w:t>81,2</w:t>
            </w:r>
          </w:p>
        </w:tc>
        <w:tc>
          <w:tcPr>
            <w:tcW w:w="737" w:type="dxa"/>
          </w:tcPr>
          <w:p>
            <w:pPr>
              <w:pStyle w:val="TableParagraph"/>
              <w:ind w:right="195"/>
              <w:jc w:val="right"/>
              <w:rPr>
                <w:sz w:val="17"/>
              </w:rPr>
            </w:pPr>
            <w:r>
              <w:rPr>
                <w:color w:val="231F20"/>
                <w:w w:val="110"/>
                <w:sz w:val="17"/>
              </w:rPr>
              <w:t>64,8</w:t>
            </w:r>
          </w:p>
        </w:tc>
        <w:tc>
          <w:tcPr>
            <w:tcW w:w="737" w:type="dxa"/>
          </w:tcPr>
          <w:p>
            <w:pPr>
              <w:pStyle w:val="TableParagraph"/>
              <w:ind w:left="107"/>
              <w:rPr>
                <w:sz w:val="17"/>
              </w:rPr>
            </w:pPr>
            <w:r>
              <w:rPr>
                <w:color w:val="231F20"/>
                <w:w w:val="115"/>
                <w:sz w:val="17"/>
              </w:rPr>
              <w:t>100</w:t>
            </w:r>
          </w:p>
        </w:tc>
        <w:tc>
          <w:tcPr>
            <w:tcW w:w="737" w:type="dxa"/>
          </w:tcPr>
          <w:p>
            <w:pPr>
              <w:pStyle w:val="TableParagraph"/>
              <w:ind w:right="202"/>
              <w:jc w:val="right"/>
              <w:rPr>
                <w:sz w:val="17"/>
              </w:rPr>
            </w:pPr>
            <w:r>
              <w:rPr>
                <w:color w:val="231F20"/>
                <w:w w:val="110"/>
                <w:sz w:val="17"/>
              </w:rPr>
              <w:t>50,0</w:t>
            </w:r>
          </w:p>
        </w:tc>
        <w:tc>
          <w:tcPr>
            <w:tcW w:w="737" w:type="dxa"/>
            <w:tcBorders>
              <w:right w:val="nil"/>
            </w:tcBorders>
          </w:tcPr>
          <w:p>
            <w:pPr>
              <w:pStyle w:val="TableParagraph"/>
              <w:ind w:right="207"/>
              <w:jc w:val="right"/>
              <w:rPr>
                <w:sz w:val="17"/>
              </w:rPr>
            </w:pPr>
            <w:r>
              <w:rPr>
                <w:color w:val="231F20"/>
                <w:w w:val="110"/>
                <w:sz w:val="17"/>
              </w:rPr>
              <w:t>53,8</w:t>
            </w:r>
          </w:p>
        </w:tc>
      </w:tr>
      <w:tr>
        <w:trPr>
          <w:trHeight w:val="354" w:hRule="exact"/>
        </w:trPr>
        <w:tc>
          <w:tcPr>
            <w:tcW w:w="2886" w:type="dxa"/>
            <w:tcBorders>
              <w:left w:val="nil"/>
            </w:tcBorders>
          </w:tcPr>
          <w:p>
            <w:pPr>
              <w:pStyle w:val="TableParagraph"/>
              <w:ind w:left="112"/>
              <w:rPr>
                <w:sz w:val="17"/>
              </w:rPr>
            </w:pPr>
            <w:r>
              <w:rPr>
                <w:color w:val="231F20"/>
                <w:sz w:val="17"/>
              </w:rPr>
              <w:t>Agricultura</w:t>
            </w:r>
          </w:p>
        </w:tc>
        <w:tc>
          <w:tcPr>
            <w:tcW w:w="737" w:type="dxa"/>
          </w:tcPr>
          <w:p>
            <w:pPr>
              <w:pStyle w:val="TableParagraph"/>
              <w:ind w:right="199"/>
              <w:jc w:val="right"/>
              <w:rPr>
                <w:sz w:val="17"/>
              </w:rPr>
            </w:pPr>
            <w:r>
              <w:rPr>
                <w:color w:val="231F20"/>
                <w:w w:val="110"/>
                <w:sz w:val="17"/>
              </w:rPr>
              <w:t>91,0</w:t>
            </w:r>
          </w:p>
        </w:tc>
        <w:tc>
          <w:tcPr>
            <w:tcW w:w="737" w:type="dxa"/>
          </w:tcPr>
          <w:p>
            <w:pPr>
              <w:pStyle w:val="TableParagraph"/>
              <w:ind w:right="199"/>
              <w:jc w:val="right"/>
              <w:rPr>
                <w:sz w:val="17"/>
              </w:rPr>
            </w:pPr>
            <w:r>
              <w:rPr>
                <w:color w:val="231F20"/>
                <w:w w:val="110"/>
                <w:sz w:val="17"/>
              </w:rPr>
              <w:t>66,7</w:t>
            </w:r>
          </w:p>
        </w:tc>
        <w:tc>
          <w:tcPr>
            <w:tcW w:w="737" w:type="dxa"/>
          </w:tcPr>
          <w:p>
            <w:pPr>
              <w:pStyle w:val="TableParagraph"/>
              <w:ind w:right="195"/>
              <w:jc w:val="right"/>
              <w:rPr>
                <w:sz w:val="17"/>
              </w:rPr>
            </w:pPr>
            <w:r>
              <w:rPr>
                <w:color w:val="231F20"/>
                <w:w w:val="110"/>
                <w:sz w:val="17"/>
              </w:rPr>
              <w:t>92,0</w:t>
            </w:r>
          </w:p>
        </w:tc>
        <w:tc>
          <w:tcPr>
            <w:tcW w:w="737" w:type="dxa"/>
          </w:tcPr>
          <w:p>
            <w:pPr>
              <w:pStyle w:val="TableParagraph"/>
              <w:ind w:right="199"/>
              <w:jc w:val="right"/>
              <w:rPr>
                <w:sz w:val="17"/>
              </w:rPr>
            </w:pPr>
            <w:r>
              <w:rPr>
                <w:color w:val="231F20"/>
                <w:w w:val="110"/>
                <w:sz w:val="17"/>
              </w:rPr>
              <w:t>93,7</w:t>
            </w:r>
          </w:p>
        </w:tc>
        <w:tc>
          <w:tcPr>
            <w:tcW w:w="737" w:type="dxa"/>
          </w:tcPr>
          <w:p>
            <w:pPr>
              <w:pStyle w:val="TableParagraph"/>
              <w:ind w:right="207"/>
              <w:jc w:val="right"/>
              <w:rPr>
                <w:sz w:val="17"/>
              </w:rPr>
            </w:pPr>
            <w:r>
              <w:rPr>
                <w:color w:val="231F20"/>
                <w:w w:val="110"/>
                <w:sz w:val="17"/>
              </w:rPr>
              <w:t>37,6</w:t>
            </w:r>
          </w:p>
        </w:tc>
        <w:tc>
          <w:tcPr>
            <w:tcW w:w="737" w:type="dxa"/>
          </w:tcPr>
          <w:p>
            <w:pPr>
              <w:pStyle w:val="TableParagraph"/>
              <w:ind w:left="107"/>
              <w:rPr>
                <w:sz w:val="17"/>
              </w:rPr>
            </w:pPr>
            <w:r>
              <w:rPr>
                <w:color w:val="231F20"/>
                <w:w w:val="110"/>
                <w:sz w:val="17"/>
              </w:rPr>
              <w:t>79,4</w:t>
            </w:r>
          </w:p>
        </w:tc>
        <w:tc>
          <w:tcPr>
            <w:tcW w:w="737" w:type="dxa"/>
          </w:tcPr>
          <w:p>
            <w:pPr>
              <w:pStyle w:val="TableParagraph"/>
              <w:ind w:right="199"/>
              <w:jc w:val="right"/>
              <w:rPr>
                <w:sz w:val="17"/>
              </w:rPr>
            </w:pPr>
            <w:r>
              <w:rPr>
                <w:color w:val="231F20"/>
                <w:w w:val="110"/>
                <w:sz w:val="17"/>
              </w:rPr>
              <w:t>83,5</w:t>
            </w:r>
          </w:p>
        </w:tc>
        <w:tc>
          <w:tcPr>
            <w:tcW w:w="737" w:type="dxa"/>
            <w:tcBorders>
              <w:right w:val="nil"/>
            </w:tcBorders>
          </w:tcPr>
          <w:p>
            <w:pPr>
              <w:pStyle w:val="TableParagraph"/>
              <w:ind w:right="208"/>
              <w:jc w:val="right"/>
              <w:rPr>
                <w:sz w:val="17"/>
              </w:rPr>
            </w:pPr>
            <w:r>
              <w:rPr>
                <w:color w:val="231F20"/>
                <w:w w:val="110"/>
                <w:sz w:val="17"/>
              </w:rPr>
              <w:t>33,4</w:t>
            </w:r>
          </w:p>
        </w:tc>
      </w:tr>
      <w:tr>
        <w:trPr>
          <w:trHeight w:val="354" w:hRule="exact"/>
        </w:trPr>
        <w:tc>
          <w:tcPr>
            <w:tcW w:w="2886" w:type="dxa"/>
            <w:tcBorders>
              <w:left w:val="nil"/>
            </w:tcBorders>
          </w:tcPr>
          <w:p>
            <w:pPr>
              <w:pStyle w:val="TableParagraph"/>
              <w:ind w:left="112"/>
              <w:rPr>
                <w:sz w:val="17"/>
              </w:rPr>
            </w:pPr>
            <w:r>
              <w:rPr>
                <w:color w:val="231F20"/>
                <w:sz w:val="17"/>
              </w:rPr>
              <w:t>No agropecuario</w:t>
            </w:r>
          </w:p>
        </w:tc>
        <w:tc>
          <w:tcPr>
            <w:tcW w:w="737" w:type="dxa"/>
          </w:tcPr>
          <w:p>
            <w:pPr>
              <w:pStyle w:val="TableParagraph"/>
              <w:ind w:right="199"/>
              <w:jc w:val="right"/>
              <w:rPr>
                <w:sz w:val="17"/>
              </w:rPr>
            </w:pPr>
            <w:r>
              <w:rPr>
                <w:color w:val="231F20"/>
                <w:w w:val="110"/>
                <w:sz w:val="17"/>
              </w:rPr>
              <w:t>43,7</w:t>
            </w:r>
          </w:p>
        </w:tc>
        <w:tc>
          <w:tcPr>
            <w:tcW w:w="737" w:type="dxa"/>
          </w:tcPr>
          <w:p>
            <w:pPr>
              <w:pStyle w:val="TableParagraph"/>
              <w:ind w:right="197"/>
              <w:jc w:val="right"/>
              <w:rPr>
                <w:sz w:val="17"/>
              </w:rPr>
            </w:pPr>
            <w:r>
              <w:rPr>
                <w:color w:val="231F20"/>
                <w:w w:val="110"/>
                <w:sz w:val="17"/>
              </w:rPr>
              <w:t>33,3</w:t>
            </w:r>
          </w:p>
        </w:tc>
        <w:tc>
          <w:tcPr>
            <w:tcW w:w="737" w:type="dxa"/>
          </w:tcPr>
          <w:p>
            <w:pPr>
              <w:pStyle w:val="TableParagraph"/>
              <w:ind w:right="199"/>
              <w:jc w:val="right"/>
              <w:rPr>
                <w:sz w:val="17"/>
              </w:rPr>
            </w:pPr>
            <w:r>
              <w:rPr>
                <w:color w:val="231F20"/>
                <w:w w:val="110"/>
                <w:sz w:val="17"/>
              </w:rPr>
              <w:t>61,5</w:t>
            </w:r>
          </w:p>
        </w:tc>
        <w:tc>
          <w:tcPr>
            <w:tcW w:w="737" w:type="dxa"/>
          </w:tcPr>
          <w:p>
            <w:pPr>
              <w:pStyle w:val="TableParagraph"/>
              <w:ind w:right="199"/>
              <w:jc w:val="right"/>
              <w:rPr>
                <w:sz w:val="17"/>
              </w:rPr>
            </w:pPr>
            <w:r>
              <w:rPr>
                <w:color w:val="231F20"/>
                <w:w w:val="110"/>
                <w:sz w:val="17"/>
              </w:rPr>
              <w:t>75,0</w:t>
            </w:r>
          </w:p>
        </w:tc>
        <w:tc>
          <w:tcPr>
            <w:tcW w:w="737" w:type="dxa"/>
          </w:tcPr>
          <w:p>
            <w:pPr>
              <w:pStyle w:val="TableParagraph"/>
              <w:ind w:right="1"/>
              <w:jc w:val="center"/>
              <w:rPr>
                <w:sz w:val="17"/>
              </w:rPr>
            </w:pPr>
            <w:r>
              <w:rPr>
                <w:color w:val="231F20"/>
                <w:w w:val="95"/>
                <w:sz w:val="17"/>
              </w:rPr>
              <w:t>-</w:t>
            </w:r>
          </w:p>
        </w:tc>
        <w:tc>
          <w:tcPr>
            <w:tcW w:w="737" w:type="dxa"/>
          </w:tcPr>
          <w:p>
            <w:pPr>
              <w:pStyle w:val="TableParagraph"/>
              <w:ind w:right="1"/>
              <w:jc w:val="center"/>
              <w:rPr>
                <w:sz w:val="17"/>
              </w:rPr>
            </w:pPr>
            <w:r>
              <w:rPr>
                <w:color w:val="231F20"/>
                <w:w w:val="95"/>
                <w:sz w:val="17"/>
              </w:rPr>
              <w:t>-</w:t>
            </w:r>
          </w:p>
        </w:tc>
        <w:tc>
          <w:tcPr>
            <w:tcW w:w="737" w:type="dxa"/>
          </w:tcPr>
          <w:p>
            <w:pPr>
              <w:pStyle w:val="TableParagraph"/>
              <w:ind w:right="1"/>
              <w:jc w:val="center"/>
              <w:rPr>
                <w:sz w:val="17"/>
              </w:rPr>
            </w:pPr>
            <w:r>
              <w:rPr>
                <w:color w:val="231F20"/>
                <w:w w:val="95"/>
                <w:sz w:val="17"/>
              </w:rPr>
              <w:t>-</w:t>
            </w:r>
          </w:p>
        </w:tc>
        <w:tc>
          <w:tcPr>
            <w:tcW w:w="737" w:type="dxa"/>
            <w:tcBorders>
              <w:right w:val="nil"/>
            </w:tcBorders>
          </w:tcPr>
          <w:p>
            <w:pPr>
              <w:pStyle w:val="TableParagraph"/>
              <w:ind w:right="5"/>
              <w:jc w:val="center"/>
              <w:rPr>
                <w:sz w:val="17"/>
              </w:rPr>
            </w:pPr>
            <w:r>
              <w:rPr>
                <w:color w:val="231F20"/>
                <w:w w:val="95"/>
                <w:sz w:val="17"/>
              </w:rPr>
              <w:t>-</w:t>
            </w:r>
          </w:p>
        </w:tc>
      </w:tr>
    </w:tbl>
    <w:p>
      <w:pPr>
        <w:spacing w:before="90"/>
        <w:ind w:left="1553" w:right="2503" w:firstLine="0"/>
        <w:jc w:val="left"/>
        <w:rPr>
          <w:sz w:val="15"/>
        </w:rPr>
      </w:pPr>
      <w:r>
        <w:rPr>
          <w:color w:val="231F20"/>
          <w:sz w:val="15"/>
        </w:rPr>
        <w:t>UPO: unidades de producción   ovina.</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6"/>
          <w:w w:val="120"/>
          <w:sz w:val="22"/>
        </w:rPr>
        <w:t>174</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4" w:lineRule="auto" w:before="67"/>
        <w:ind w:left="1553"/>
        <w:jc w:val="both"/>
      </w:pPr>
      <w:r>
        <w:rPr>
          <w:color w:val="231F20"/>
        </w:rPr>
        <w:t>Nuncio </w:t>
      </w:r>
      <w:r>
        <w:rPr>
          <w:rFonts w:ascii="Cambria" w:hAnsi="Cambria"/>
          <w:i/>
          <w:color w:val="231F20"/>
        </w:rPr>
        <w:t>et al.</w:t>
      </w:r>
      <w:r>
        <w:rPr>
          <w:color w:val="231F20"/>
        </w:rPr>
        <w:t>, </w:t>
      </w:r>
      <w:r>
        <w:rPr>
          <w:color w:val="231F20"/>
          <w:spacing w:val="-3"/>
        </w:rPr>
        <w:t>2001) </w:t>
      </w:r>
      <w:r>
        <w:rPr>
          <w:color w:val="231F20"/>
        </w:rPr>
        <w:t>se ha encontrado que, sin importar el nivel socioeconómico, el 95% de los ovinocultores tenían otra actividad agropecuaria, y que los de bajos recursos, para complementar el ingreso familiar, incluso trabajaban como jornale- ros, y los de nivel medio y alto para reinvertir sus capitales tanto en ganadería mayor como en plan- taciones comerciales de cacao, plátano y foresta- les, entre otras. Otros autores señalan que el 34% de las unidades de producción  ovinas  en  Méxi-  co viven solamente de esta actividad (Medrano, 2000), lo que indica que el resto de los ovinocul- tores del país tienen otra actividad complementa- ria, como se aprecia en este </w:t>
      </w:r>
      <w:r>
        <w:rPr>
          <w:color w:val="231F20"/>
          <w:spacing w:val="37"/>
        </w:rPr>
        <w:t> </w:t>
      </w:r>
      <w:r>
        <w:rPr>
          <w:color w:val="231F20"/>
        </w:rPr>
        <w:t>estudio.</w:t>
      </w:r>
    </w:p>
    <w:p>
      <w:pPr>
        <w:pStyle w:val="BodyText"/>
        <w:spacing w:before="4"/>
        <w:rPr>
          <w:sz w:val="23"/>
        </w:rPr>
      </w:pPr>
    </w:p>
    <w:p>
      <w:pPr>
        <w:spacing w:line="266" w:lineRule="auto" w:before="0"/>
        <w:ind w:left="1553" w:right="849" w:firstLine="0"/>
        <w:jc w:val="left"/>
        <w:rPr>
          <w:rFonts w:ascii="Cambria" w:hAnsi="Cambria"/>
          <w:i/>
          <w:sz w:val="20"/>
        </w:rPr>
      </w:pPr>
      <w:r>
        <w:rPr>
          <w:rFonts w:ascii="Cambria" w:hAnsi="Cambria"/>
          <w:i/>
          <w:color w:val="231F20"/>
          <w:w w:val="110"/>
          <w:sz w:val="20"/>
        </w:rPr>
        <w:t>Aporte económico del ganado ovino </w:t>
      </w:r>
      <w:r>
        <w:rPr>
          <w:rFonts w:ascii="Cambria" w:hAnsi="Cambria"/>
          <w:i/>
          <w:color w:val="231F20"/>
          <w:w w:val="110"/>
          <w:sz w:val="20"/>
        </w:rPr>
        <w:t>a las unidades de producción</w:t>
      </w:r>
    </w:p>
    <w:p>
      <w:pPr>
        <w:pStyle w:val="BodyText"/>
        <w:spacing w:line="254" w:lineRule="auto" w:before="112"/>
        <w:ind w:left="1553"/>
        <w:jc w:val="both"/>
      </w:pPr>
      <w:r>
        <w:rPr>
          <w:color w:val="231F20"/>
        </w:rPr>
        <w:t>El mayor ingreso económico mensual por la venta de ovinos y sus subproductos  (Fig.  4)  se  obser- vó en las unidades de la ZBBM, con un promedio mensual de $12841, posiblemente porque estas unidades son de tipo empresarial que</w:t>
      </w:r>
      <w:r>
        <w:rPr>
          <w:color w:val="231F20"/>
          <w:spacing w:val="1"/>
        </w:rPr>
        <w:t> </w:t>
      </w:r>
      <w:r>
        <w:rPr>
          <w:color w:val="231F20"/>
        </w:rPr>
        <w:t>pasaron</w:t>
      </w:r>
      <w:r>
        <w:rPr>
          <w:color w:val="231F20"/>
          <w:spacing w:val="22"/>
        </w:rPr>
        <w:t> </w:t>
      </w:r>
      <w:r>
        <w:rPr>
          <w:color w:val="231F20"/>
        </w:rPr>
        <w:t>de</w:t>
      </w:r>
      <w:r>
        <w:rPr>
          <w:color w:val="231F20"/>
          <w:w w:val="103"/>
        </w:rPr>
        <w:t> </w:t>
      </w:r>
      <w:r>
        <w:rPr>
          <w:color w:val="231F20"/>
        </w:rPr>
        <w:t>ser granjas porcinas a dedicarse a la producción ovina o bovina, o a ambas, con una mínima in- versión. En la ZBAM, aunque es la de mayor im- portancia por la población ovina que concentra, el ingreso  mensual  fue  de  </w:t>
      </w:r>
      <w:r>
        <w:rPr>
          <w:color w:val="231F20"/>
          <w:spacing w:val="-3"/>
        </w:rPr>
        <w:t>$3105  </w:t>
      </w:r>
      <w:r>
        <w:rPr>
          <w:color w:val="231F20"/>
        </w:rPr>
        <w:t>pesos,  debido   </w:t>
      </w:r>
      <w:r>
        <w:rPr>
          <w:color w:val="231F20"/>
          <w:spacing w:val="16"/>
        </w:rPr>
        <w:t> </w:t>
      </w:r>
      <w:r>
        <w:rPr>
          <w:color w:val="231F20"/>
        </w:rPr>
        <w:t>a</w:t>
      </w:r>
    </w:p>
    <w:p>
      <w:pPr>
        <w:pStyle w:val="BodyText"/>
        <w:spacing w:line="264" w:lineRule="auto" w:before="67"/>
        <w:ind w:left="413" w:right="1551"/>
        <w:jc w:val="both"/>
      </w:pPr>
      <w:r>
        <w:rPr/>
        <w:br w:type="column"/>
      </w:r>
      <w:r>
        <w:rPr>
          <w:color w:val="231F20"/>
        </w:rPr>
        <w:t>que las unidades de producción son de tipo social  o</w:t>
      </w:r>
      <w:r>
        <w:rPr>
          <w:color w:val="231F20"/>
          <w:spacing w:val="-22"/>
        </w:rPr>
        <w:t> </w:t>
      </w:r>
      <w:r>
        <w:rPr>
          <w:color w:val="231F20"/>
        </w:rPr>
        <w:t>familiar.</w:t>
      </w:r>
    </w:p>
    <w:p>
      <w:pPr>
        <w:pStyle w:val="BodyText"/>
        <w:spacing w:line="264" w:lineRule="auto" w:before="113"/>
        <w:ind w:left="413" w:right="1551"/>
        <w:jc w:val="both"/>
      </w:pPr>
      <w:r>
        <w:rPr>
          <w:color w:val="231F20"/>
        </w:rPr>
        <w:t>La participación del aporte económico del sistema ovino a la unidad de producción familiar fue supe- rior al 30% en ZBAM, ZBBM y ZBTS, mientras que en </w:t>
      </w:r>
      <w:r>
        <w:rPr>
          <w:color w:val="231F20"/>
          <w:spacing w:val="-3"/>
        </w:rPr>
        <w:t>ZBVA </w:t>
      </w:r>
      <w:r>
        <w:rPr>
          <w:color w:val="231F20"/>
        </w:rPr>
        <w:t>sólo significó el  12,6%  de  los  ingresos  de la unidad familiar (Fig. 4). Esto coincide con el estudio realizado por </w:t>
      </w:r>
      <w:r>
        <w:rPr>
          <w:color w:val="231F20"/>
          <w:spacing w:val="-4"/>
        </w:rPr>
        <w:t>Nahed-Toral  </w:t>
      </w:r>
      <w:r>
        <w:rPr>
          <w:rFonts w:ascii="Cambria" w:hAnsi="Cambria"/>
          <w:i/>
          <w:color w:val="231F20"/>
        </w:rPr>
        <w:t>et  al.  </w:t>
      </w:r>
      <w:r>
        <w:rPr>
          <w:color w:val="231F20"/>
        </w:rPr>
        <w:t>(2003),  en el cual la participación económica del sistema ovino en las unidades de producción familiar ovi- nocultoras de los Altos de Chiapas aportaba más del  30%  de  los</w:t>
      </w:r>
      <w:r>
        <w:rPr>
          <w:color w:val="231F20"/>
          <w:spacing w:val="1"/>
        </w:rPr>
        <w:t> </w:t>
      </w:r>
      <w:r>
        <w:rPr>
          <w:color w:val="231F20"/>
        </w:rPr>
        <w:t>ingresos.</w:t>
      </w:r>
    </w:p>
    <w:p>
      <w:pPr>
        <w:pStyle w:val="BodyText"/>
        <w:spacing w:before="7"/>
        <w:rPr>
          <w:sz w:val="18"/>
        </w:rPr>
      </w:pPr>
    </w:p>
    <w:p>
      <w:pPr>
        <w:spacing w:line="276" w:lineRule="auto" w:before="0"/>
        <w:ind w:left="413" w:right="1676" w:firstLine="0"/>
        <w:jc w:val="left"/>
        <w:rPr>
          <w:rFonts w:ascii="Cambria" w:hAnsi="Cambria"/>
          <w:i/>
          <w:sz w:val="20"/>
        </w:rPr>
      </w:pPr>
      <w:r>
        <w:rPr>
          <w:rFonts w:ascii="Cambria" w:hAnsi="Cambria"/>
          <w:i/>
          <w:color w:val="231F20"/>
          <w:w w:val="105"/>
          <w:sz w:val="20"/>
        </w:rPr>
        <w:t>Análisis de los sistemas de producción ovina </w:t>
      </w:r>
      <w:r>
        <w:rPr>
          <w:rFonts w:ascii="Cambria" w:hAnsi="Cambria"/>
          <w:i/>
          <w:color w:val="231F20"/>
          <w:w w:val="105"/>
          <w:sz w:val="20"/>
        </w:rPr>
        <w:t>por zona</w:t>
      </w:r>
    </w:p>
    <w:p>
      <w:pPr>
        <w:pStyle w:val="BodyText"/>
        <w:spacing w:line="264" w:lineRule="auto" w:before="112"/>
        <w:ind w:left="413" w:right="1551"/>
        <w:jc w:val="both"/>
      </w:pPr>
      <w:r>
        <w:rPr>
          <w:color w:val="231F20"/>
        </w:rPr>
        <w:t>Las unidades de producción de ovinos comparten como característica común que están desarrolla- das por personas con una edad igual o superior       a los 50 años. En la ZBTS se encontraron los pro- ductores de mayor edad (Cuadro 3) y con más  años en la actividad ovina; esta zona, y la ZBAM, llevan dedicándose al desarrollo de la actividad ovina entre </w:t>
      </w:r>
      <w:r>
        <w:rPr>
          <w:color w:val="231F20"/>
          <w:spacing w:val="-5"/>
        </w:rPr>
        <w:t>17 </w:t>
      </w:r>
      <w:r>
        <w:rPr>
          <w:color w:val="231F20"/>
        </w:rPr>
        <w:t>y 34 años. Un aspecto importante a destacar es que ambas colindan con el Estado de México, que es el mayor  consumidor  de  ovinos de  todo  el  país  (Mondragón-Ancelmo,</w:t>
      </w:r>
      <w:r>
        <w:rPr>
          <w:color w:val="231F20"/>
          <w:spacing w:val="-13"/>
        </w:rPr>
        <w:t> </w:t>
      </w:r>
      <w:r>
        <w:rPr>
          <w:color w:val="231F20"/>
          <w:spacing w:val="-4"/>
        </w:rPr>
        <w:t>2010).</w:t>
      </w:r>
    </w:p>
    <w:p>
      <w:pPr>
        <w:spacing w:after="0" w:line="264"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spacing w:before="8"/>
        <w:rPr>
          <w:sz w:val="18"/>
        </w:rPr>
      </w:pPr>
    </w:p>
    <w:p>
      <w:pPr>
        <w:spacing w:before="0"/>
        <w:ind w:left="2996" w:right="2503" w:firstLine="0"/>
        <w:jc w:val="left"/>
        <w:rPr>
          <w:sz w:val="16"/>
        </w:rPr>
      </w:pPr>
      <w:r>
        <w:rPr/>
        <w:pict>
          <v:group style="position:absolute;margin-left:163.923294pt;margin-top:-16.561928pt;width:276.55pt;height:118.4pt;mso-position-horizontal-relative:page;mso-position-vertical-relative:paragraph;z-index:5224" coordorigin="3278,-331" coordsize="5531,2368">
            <v:rect style="position:absolute;left:3632;top:-31;width:391;height:2008" filled="true" fillcolor="#939598" stroked="false">
              <v:fill type="solid"/>
            </v:rect>
            <v:rect style="position:absolute;left:4022;top:1781;width:391;height:195" filled="true" fillcolor="#c6c8ca" stroked="false">
              <v:fill type="solid"/>
            </v:rect>
            <v:rect style="position:absolute;left:4997;top:31;width:391;height:1946" filled="true" fillcolor="#939598" stroked="false">
              <v:fill type="solid"/>
            </v:rect>
            <v:rect style="position:absolute;left:5387;top:1171;width:391;height:805" filled="true" fillcolor="#c6c8ca" stroked="false">
              <v:fill type="solid"/>
            </v:rect>
            <v:rect style="position:absolute;left:6364;top:1185;width:391;height:791" filled="true" fillcolor="#939598" stroked="false">
              <v:fill type="solid"/>
            </v:rect>
            <v:rect style="position:absolute;left:6754;top:1705;width:389;height:271" filled="true" fillcolor="#c6c8ca" stroked="false">
              <v:fill type="solid"/>
            </v:rect>
            <v:rect style="position:absolute;left:7729;top:-100;width:390;height:2077" filled="true" fillcolor="#939598" stroked="false">
              <v:fill type="solid"/>
            </v:rect>
            <v:rect style="position:absolute;left:8119;top:1571;width:391;height:406" filled="true" fillcolor="#c6c8ca" stroked="false">
              <v:fill type="solid"/>
            </v:rect>
            <v:shape style="position:absolute;left:-52;top:2567;width:5516;height:2249" coordorigin="-52,2567" coordsize="5516,2249" path="m3338,1977l3338,-220m3286,1977l3338,1977m3286,1662l3338,1662m3286,1349l3338,1349m3286,1035l3338,1035m3286,722l3338,722m3286,408l3338,408m3286,95l3338,95m3286,-220l3338,-220m3338,1977l8802,1977m3338,1977l3338,2029m4705,1977l4705,2029m6070,1977l6070,2029m7437,1977l7437,2029m8802,1977l8802,2029e" filled="false" stroked="true" strokeweight=".72pt" strokecolor="#989a9d">
              <v:path arrowok="t"/>
            </v:shape>
            <v:shape style="position:absolute;left:3699;top:-262;width:317;height:160" type="#_x0000_t202" filled="false" stroked="false">
              <v:textbox inset="0,0,0,0">
                <w:txbxContent>
                  <w:p>
                    <w:pPr>
                      <w:spacing w:line="160" w:lineRule="exact" w:before="0"/>
                      <w:ind w:left="0" w:right="-15" w:firstLine="0"/>
                      <w:jc w:val="left"/>
                      <w:rPr>
                        <w:sz w:val="16"/>
                      </w:rPr>
                    </w:pPr>
                    <w:r>
                      <w:rPr>
                        <w:color w:val="231F20"/>
                        <w:w w:val="110"/>
                        <w:sz w:val="16"/>
                      </w:rPr>
                      <w:t>32,0</w:t>
                    </w:r>
                  </w:p>
                </w:txbxContent>
              </v:textbox>
              <w10:wrap type="none"/>
            </v:shape>
            <v:shape style="position:absolute;left:7798;top:-331;width:317;height:160" type="#_x0000_t202" filled="false" stroked="false">
              <v:textbox inset="0,0,0,0">
                <w:txbxContent>
                  <w:p>
                    <w:pPr>
                      <w:spacing w:line="160" w:lineRule="exact" w:before="0"/>
                      <w:ind w:left="0" w:right="-15" w:firstLine="0"/>
                      <w:jc w:val="left"/>
                      <w:rPr>
                        <w:sz w:val="16"/>
                      </w:rPr>
                    </w:pPr>
                    <w:r>
                      <w:rPr>
                        <w:color w:val="231F20"/>
                        <w:w w:val="110"/>
                        <w:sz w:val="16"/>
                      </w:rPr>
                      <w:t>33,1</w:t>
                    </w:r>
                  </w:p>
                </w:txbxContent>
              </v:textbox>
              <w10:wrap type="none"/>
            </v:shape>
            <v:shape style="position:absolute;left:5066;top:-200;width:317;height:160" type="#_x0000_t202" filled="false" stroked="false">
              <v:textbox inset="0,0,0,0">
                <w:txbxContent>
                  <w:p>
                    <w:pPr>
                      <w:spacing w:line="160" w:lineRule="exact" w:before="0"/>
                      <w:ind w:left="0" w:right="-15" w:firstLine="0"/>
                      <w:jc w:val="left"/>
                      <w:rPr>
                        <w:sz w:val="16"/>
                      </w:rPr>
                    </w:pPr>
                    <w:r>
                      <w:rPr>
                        <w:color w:val="231F20"/>
                        <w:w w:val="110"/>
                        <w:sz w:val="16"/>
                      </w:rPr>
                      <w:t>31,0</w:t>
                    </w:r>
                  </w:p>
                </w:txbxContent>
              </v:textbox>
              <w10:wrap type="none"/>
            </v:shape>
            <v:shape style="position:absolute;left:5420;top:940;width:410;height:160" type="#_x0000_t202" filled="false" stroked="false">
              <v:textbox inset="0,0,0,0">
                <w:txbxContent>
                  <w:p>
                    <w:pPr>
                      <w:spacing w:line="160" w:lineRule="exact" w:before="0"/>
                      <w:ind w:left="0" w:right="-11" w:firstLine="0"/>
                      <w:jc w:val="left"/>
                      <w:rPr>
                        <w:sz w:val="16"/>
                      </w:rPr>
                    </w:pPr>
                    <w:r>
                      <w:rPr>
                        <w:color w:val="231F20"/>
                        <w:w w:val="110"/>
                        <w:sz w:val="16"/>
                      </w:rPr>
                      <w:t>12,84</w:t>
                    </w:r>
                  </w:p>
                </w:txbxContent>
              </v:textbox>
              <w10:wrap type="none"/>
            </v:shape>
            <v:shape style="position:absolute;left:6432;top:955;width:317;height:160" type="#_x0000_t202" filled="false" stroked="false">
              <v:textbox inset="0,0,0,0">
                <w:txbxContent>
                  <w:p>
                    <w:pPr>
                      <w:spacing w:line="160" w:lineRule="exact" w:before="0"/>
                      <w:ind w:left="0" w:right="-15" w:firstLine="0"/>
                      <w:jc w:val="left"/>
                      <w:rPr>
                        <w:sz w:val="16"/>
                      </w:rPr>
                    </w:pPr>
                    <w:r>
                      <w:rPr>
                        <w:color w:val="231F20"/>
                        <w:w w:val="110"/>
                        <w:sz w:val="16"/>
                      </w:rPr>
                      <w:t>12,6</w:t>
                    </w:r>
                  </w:p>
                </w:txbxContent>
              </v:textbox>
              <w10:wrap type="none"/>
            </v:shape>
            <v:shape style="position:absolute;left:8189;top:1340;width:317;height:160" type="#_x0000_t202" filled="false" stroked="false">
              <v:textbox inset="0,0,0,0">
                <w:txbxContent>
                  <w:p>
                    <w:pPr>
                      <w:spacing w:line="160" w:lineRule="exact" w:before="0"/>
                      <w:ind w:left="0" w:right="-15" w:firstLine="0"/>
                      <w:jc w:val="left"/>
                      <w:rPr>
                        <w:sz w:val="16"/>
                      </w:rPr>
                    </w:pPr>
                    <w:r>
                      <w:rPr>
                        <w:color w:val="231F20"/>
                        <w:w w:val="110"/>
                        <w:sz w:val="16"/>
                      </w:rPr>
                      <w:t>6,47</w:t>
                    </w:r>
                  </w:p>
                </w:txbxContent>
              </v:textbox>
              <w10:wrap type="none"/>
            </v:shape>
            <v:shape style="position:absolute;left:4090;top:1551;width:317;height:160" type="#_x0000_t202" filled="false" stroked="false">
              <v:textbox inset="0,0,0,0">
                <w:txbxContent>
                  <w:p>
                    <w:pPr>
                      <w:spacing w:line="160" w:lineRule="exact" w:before="0"/>
                      <w:ind w:left="0" w:right="-15" w:firstLine="0"/>
                      <w:jc w:val="left"/>
                      <w:rPr>
                        <w:sz w:val="16"/>
                      </w:rPr>
                    </w:pPr>
                    <w:r>
                      <w:rPr>
                        <w:color w:val="231F20"/>
                        <w:w w:val="110"/>
                        <w:sz w:val="16"/>
                      </w:rPr>
                      <w:t>3,11</w:t>
                    </w:r>
                  </w:p>
                </w:txbxContent>
              </v:textbox>
              <w10:wrap type="none"/>
            </v:shape>
            <v:shape style="position:absolute;left:6823;top:1474;width:317;height:160" type="#_x0000_t202" filled="false" stroked="false">
              <v:textbox inset="0,0,0,0">
                <w:txbxContent>
                  <w:p>
                    <w:pPr>
                      <w:spacing w:line="160" w:lineRule="exact" w:before="0"/>
                      <w:ind w:left="0" w:right="-15" w:firstLine="0"/>
                      <w:jc w:val="left"/>
                      <w:rPr>
                        <w:sz w:val="16"/>
                      </w:rPr>
                    </w:pPr>
                    <w:r>
                      <w:rPr>
                        <w:color w:val="231F20"/>
                        <w:w w:val="110"/>
                        <w:sz w:val="16"/>
                      </w:rPr>
                      <w:t>4,32</w:t>
                    </w:r>
                  </w:p>
                </w:txbxContent>
              </v:textbox>
              <w10:wrap type="none"/>
            </v:shape>
            <w10:wrap type="none"/>
          </v:group>
        </w:pict>
      </w:r>
      <w:r>
        <w:rPr>
          <w:color w:val="231F20"/>
          <w:w w:val="115"/>
          <w:sz w:val="16"/>
        </w:rPr>
        <w:t>30</w:t>
      </w:r>
    </w:p>
    <w:p>
      <w:pPr>
        <w:spacing w:before="118"/>
        <w:ind w:left="2996" w:right="2503" w:firstLine="0"/>
        <w:jc w:val="left"/>
        <w:rPr>
          <w:sz w:val="16"/>
        </w:rPr>
      </w:pPr>
      <w:r>
        <w:rPr>
          <w:color w:val="231F20"/>
          <w:w w:val="115"/>
          <w:sz w:val="16"/>
        </w:rPr>
        <w:t>25</w:t>
      </w:r>
    </w:p>
    <w:p>
      <w:pPr>
        <w:spacing w:before="118"/>
        <w:ind w:left="2996" w:right="2503" w:firstLine="0"/>
        <w:jc w:val="left"/>
        <w:rPr>
          <w:sz w:val="16"/>
        </w:rPr>
      </w:pPr>
      <w:r>
        <w:rPr>
          <w:color w:val="231F20"/>
          <w:w w:val="115"/>
          <w:sz w:val="16"/>
        </w:rPr>
        <w:t>20</w:t>
      </w:r>
    </w:p>
    <w:p>
      <w:pPr>
        <w:spacing w:before="118"/>
        <w:ind w:left="2996" w:right="2503" w:firstLine="0"/>
        <w:jc w:val="left"/>
        <w:rPr>
          <w:sz w:val="16"/>
        </w:rPr>
      </w:pPr>
      <w:r>
        <w:rPr>
          <w:color w:val="231F20"/>
          <w:w w:val="115"/>
          <w:sz w:val="16"/>
        </w:rPr>
        <w:t>15</w:t>
      </w:r>
    </w:p>
    <w:p>
      <w:pPr>
        <w:spacing w:before="118"/>
        <w:ind w:left="2996" w:right="2503" w:firstLine="0"/>
        <w:jc w:val="left"/>
        <w:rPr>
          <w:sz w:val="16"/>
        </w:rPr>
      </w:pPr>
      <w:r>
        <w:rPr>
          <w:color w:val="231F20"/>
          <w:w w:val="115"/>
          <w:sz w:val="16"/>
        </w:rPr>
        <w:t>10</w:t>
      </w:r>
    </w:p>
    <w:p>
      <w:pPr>
        <w:spacing w:before="118"/>
        <w:ind w:left="3093" w:right="0" w:firstLine="0"/>
        <w:jc w:val="left"/>
        <w:rPr>
          <w:sz w:val="16"/>
        </w:rPr>
      </w:pPr>
      <w:r>
        <w:rPr>
          <w:color w:val="231F20"/>
          <w:w w:val="115"/>
          <w:sz w:val="16"/>
        </w:rPr>
        <w:t>5</w:t>
      </w:r>
    </w:p>
    <w:p>
      <w:pPr>
        <w:spacing w:before="118"/>
        <w:ind w:left="3093" w:right="0" w:firstLine="0"/>
        <w:jc w:val="left"/>
        <w:rPr>
          <w:sz w:val="16"/>
        </w:rPr>
      </w:pPr>
      <w:r>
        <w:rPr>
          <w:color w:val="231F20"/>
          <w:w w:val="115"/>
          <w:sz w:val="16"/>
        </w:rPr>
        <w:t>0</w:t>
      </w:r>
    </w:p>
    <w:p>
      <w:pPr>
        <w:tabs>
          <w:tab w:pos="1501" w:val="left" w:leader="none"/>
          <w:tab w:pos="2886" w:val="left" w:leader="none"/>
          <w:tab w:pos="4250" w:val="left" w:leader="none"/>
        </w:tabs>
        <w:spacing w:before="13"/>
        <w:ind w:left="135" w:right="0" w:firstLine="0"/>
        <w:jc w:val="center"/>
        <w:rPr>
          <w:sz w:val="16"/>
        </w:rPr>
      </w:pPr>
      <w:r>
        <w:rPr>
          <w:color w:val="231F20"/>
          <w:w w:val="110"/>
          <w:sz w:val="16"/>
        </w:rPr>
        <w:t>ZBAM</w:t>
        <w:tab/>
        <w:t>ZBBM</w:t>
        <w:tab/>
      </w:r>
      <w:r>
        <w:rPr>
          <w:color w:val="231F20"/>
          <w:spacing w:val="-3"/>
          <w:w w:val="110"/>
          <w:sz w:val="16"/>
        </w:rPr>
        <w:t>ZBVA</w:t>
        <w:tab/>
      </w:r>
      <w:r>
        <w:rPr>
          <w:color w:val="231F20"/>
          <w:w w:val="110"/>
          <w:sz w:val="16"/>
        </w:rPr>
        <w:t>ZBTS</w:t>
      </w:r>
    </w:p>
    <w:p>
      <w:pPr>
        <w:tabs>
          <w:tab w:pos="1301" w:val="left" w:leader="none"/>
        </w:tabs>
        <w:spacing w:before="105"/>
        <w:ind w:left="161" w:right="0" w:firstLine="0"/>
        <w:jc w:val="center"/>
        <w:rPr>
          <w:sz w:val="16"/>
        </w:rPr>
      </w:pPr>
      <w:r>
        <w:rPr/>
        <w:pict>
          <v:line style="position:absolute;mso-position-horizontal-relative:page;mso-position-vertical-relative:paragraph;z-index:5248" from="240.785004pt,10.908886pt" to="244.846004pt,10.908886pt" stroked="true" strokeweight="4.061pt" strokecolor="#939598">
            <w10:wrap type="none"/>
          </v:line>
        </w:pict>
      </w:r>
      <w:r>
        <w:rPr/>
        <w:pict>
          <v:line style="position:absolute;mso-position-horizontal-relative:page;mso-position-vertical-relative:paragraph;z-index:-491632" from="296.317993pt,10.908886pt" to="300.377993pt,10.908886pt" stroked="true" strokeweight="4.061pt" strokecolor="#c6c8ca">
            <w10:wrap type="none"/>
          </v:line>
        </w:pict>
      </w:r>
      <w:r>
        <w:rPr>
          <w:color w:val="231F20"/>
          <w:w w:val="110"/>
          <w:sz w:val="16"/>
        </w:rPr>
        <w:t>Porcentaje</w:t>
        <w:tab/>
        <w:t>Miles de</w:t>
      </w:r>
      <w:r>
        <w:rPr>
          <w:color w:val="231F20"/>
          <w:spacing w:val="-2"/>
          <w:w w:val="110"/>
          <w:sz w:val="16"/>
        </w:rPr>
        <w:t> </w:t>
      </w:r>
      <w:r>
        <w:rPr>
          <w:color w:val="231F20"/>
          <w:w w:val="110"/>
          <w:sz w:val="16"/>
        </w:rPr>
        <w:t>pesos</w:t>
      </w:r>
    </w:p>
    <w:p>
      <w:pPr>
        <w:spacing w:before="135"/>
        <w:ind w:left="1561" w:right="0" w:firstLine="0"/>
        <w:jc w:val="left"/>
        <w:rPr>
          <w:sz w:val="18"/>
        </w:rPr>
      </w:pPr>
      <w:r>
        <w:rPr>
          <w:rFonts w:ascii="Tahoma"/>
          <w:color w:val="231F20"/>
          <w:sz w:val="18"/>
        </w:rPr>
        <w:t>Figura 4. </w:t>
      </w:r>
      <w:r>
        <w:rPr>
          <w:color w:val="231F20"/>
          <w:sz w:val="18"/>
        </w:rPr>
        <w:t>Ingreso promedio mensual y porcentaje de aporte a la unidad familiar por ventas de ovinos y sus productos.</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11.   </w:t>
      </w:r>
      <w:r>
        <w:rPr>
          <w:color w:val="231F20"/>
          <w:sz w:val="18"/>
        </w:rPr>
        <w:t>Caracterización de las zonas borregueras de Michoacán y  </w:t>
      </w:r>
      <w:r>
        <w:rPr>
          <w:color w:val="231F20"/>
          <w:spacing w:val="31"/>
          <w:sz w:val="18"/>
        </w:rPr>
        <w:t> </w:t>
      </w:r>
      <w:r>
        <w:rPr>
          <w:color w:val="231F20"/>
          <w:sz w:val="18"/>
        </w:rPr>
        <w:t>sus</w:t>
      </w:r>
      <w:r>
        <w:rPr>
          <w:color w:val="231F20"/>
          <w:spacing w:val="13"/>
          <w:sz w:val="18"/>
        </w:rPr>
        <w:t> </w:t>
      </w:r>
      <w:r>
        <w:rPr>
          <w:color w:val="231F20"/>
          <w:sz w:val="18"/>
        </w:rPr>
        <w:t>implicaciones...</w:t>
      </w:r>
      <w:r>
        <w:rPr>
          <w:color w:val="231F20"/>
          <w:sz w:val="22"/>
        </w:rPr>
        <w:tab/>
      </w:r>
      <w:r>
        <w:rPr>
          <w:color w:val="231F20"/>
          <w:spacing w:val="-9"/>
          <w:sz w:val="22"/>
        </w:rPr>
        <w:t>175</w:t>
      </w:r>
    </w:p>
    <w:p>
      <w:pPr>
        <w:spacing w:before="340"/>
        <w:ind w:left="1553" w:right="2503" w:firstLine="0"/>
        <w:jc w:val="left"/>
        <w:rPr>
          <w:sz w:val="18"/>
        </w:rPr>
      </w:pPr>
      <w:r>
        <w:rPr>
          <w:rFonts w:ascii="Tahoma" w:hAnsi="Tahoma"/>
          <w:color w:val="231F20"/>
          <w:sz w:val="18"/>
        </w:rPr>
        <w:t>Cuadro 3.    </w:t>
      </w:r>
      <w:r>
        <w:rPr>
          <w:color w:val="231F20"/>
          <w:sz w:val="18"/>
        </w:rPr>
        <w:t>Indicadores sociales de las unidades de producción ovina por zona.</w:t>
      </w:r>
    </w:p>
    <w:p>
      <w:pPr>
        <w:pStyle w:val="BodyText"/>
        <w:spacing w:before="10"/>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113"/>
        <w:gridCol w:w="1417"/>
        <w:gridCol w:w="1417"/>
        <w:gridCol w:w="1417"/>
        <w:gridCol w:w="1417"/>
      </w:tblGrid>
      <w:tr>
        <w:trPr>
          <w:trHeight w:val="375" w:hRule="exact"/>
        </w:trPr>
        <w:tc>
          <w:tcPr>
            <w:tcW w:w="3113" w:type="dxa"/>
            <w:tcBorders>
              <w:left w:val="nil"/>
            </w:tcBorders>
          </w:tcPr>
          <w:p>
            <w:pPr>
              <w:pStyle w:val="TableParagraph"/>
              <w:spacing w:before="79"/>
              <w:ind w:left="1036" w:right="1031"/>
              <w:jc w:val="center"/>
              <w:rPr>
                <w:rFonts w:ascii="Cambria"/>
                <w:i/>
                <w:sz w:val="18"/>
              </w:rPr>
            </w:pPr>
            <w:r>
              <w:rPr>
                <w:rFonts w:ascii="Cambria"/>
                <w:i/>
                <w:color w:val="231F20"/>
                <w:w w:val="110"/>
                <w:sz w:val="18"/>
              </w:rPr>
              <w:t>Concepto</w:t>
            </w:r>
          </w:p>
        </w:tc>
        <w:tc>
          <w:tcPr>
            <w:tcW w:w="1417" w:type="dxa"/>
          </w:tcPr>
          <w:p>
            <w:pPr>
              <w:pStyle w:val="TableParagraph"/>
              <w:spacing w:before="79"/>
              <w:ind w:left="189" w:right="189"/>
              <w:jc w:val="center"/>
              <w:rPr>
                <w:rFonts w:ascii="Cambria"/>
                <w:i/>
                <w:sz w:val="18"/>
              </w:rPr>
            </w:pPr>
            <w:r>
              <w:rPr>
                <w:rFonts w:ascii="Cambria"/>
                <w:i/>
                <w:color w:val="231F20"/>
                <w:w w:val="105"/>
                <w:sz w:val="18"/>
              </w:rPr>
              <w:t>ZBAM</w:t>
            </w:r>
          </w:p>
        </w:tc>
        <w:tc>
          <w:tcPr>
            <w:tcW w:w="1417" w:type="dxa"/>
          </w:tcPr>
          <w:p>
            <w:pPr>
              <w:pStyle w:val="TableParagraph"/>
              <w:spacing w:before="79"/>
              <w:ind w:left="189" w:right="186"/>
              <w:jc w:val="center"/>
              <w:rPr>
                <w:rFonts w:ascii="Cambria"/>
                <w:i/>
                <w:sz w:val="18"/>
              </w:rPr>
            </w:pPr>
            <w:r>
              <w:rPr>
                <w:rFonts w:ascii="Cambria"/>
                <w:i/>
                <w:color w:val="231F20"/>
                <w:w w:val="105"/>
                <w:sz w:val="18"/>
              </w:rPr>
              <w:t>ZBBM</w:t>
            </w:r>
          </w:p>
        </w:tc>
        <w:tc>
          <w:tcPr>
            <w:tcW w:w="1417" w:type="dxa"/>
          </w:tcPr>
          <w:p>
            <w:pPr>
              <w:pStyle w:val="TableParagraph"/>
              <w:spacing w:before="79"/>
              <w:ind w:left="184" w:right="189"/>
              <w:jc w:val="center"/>
              <w:rPr>
                <w:rFonts w:ascii="Cambria"/>
                <w:i/>
                <w:sz w:val="18"/>
              </w:rPr>
            </w:pPr>
            <w:r>
              <w:rPr>
                <w:rFonts w:ascii="Cambria"/>
                <w:i/>
                <w:color w:val="231F20"/>
                <w:sz w:val="18"/>
              </w:rPr>
              <w:t>ZBVA</w:t>
            </w:r>
          </w:p>
        </w:tc>
        <w:tc>
          <w:tcPr>
            <w:tcW w:w="1417" w:type="dxa"/>
            <w:tcBorders>
              <w:right w:val="nil"/>
            </w:tcBorders>
          </w:tcPr>
          <w:p>
            <w:pPr>
              <w:pStyle w:val="TableParagraph"/>
              <w:spacing w:before="79"/>
              <w:ind w:left="289" w:right="293"/>
              <w:jc w:val="center"/>
              <w:rPr>
                <w:rFonts w:ascii="Cambria"/>
                <w:i/>
                <w:sz w:val="18"/>
              </w:rPr>
            </w:pPr>
            <w:r>
              <w:rPr>
                <w:rFonts w:ascii="Cambria"/>
                <w:i/>
                <w:color w:val="231F20"/>
                <w:w w:val="105"/>
                <w:sz w:val="18"/>
              </w:rPr>
              <w:t>ZBTS</w:t>
            </w:r>
          </w:p>
        </w:tc>
      </w:tr>
      <w:tr>
        <w:trPr>
          <w:trHeight w:val="354" w:hRule="exact"/>
        </w:trPr>
        <w:tc>
          <w:tcPr>
            <w:tcW w:w="3113" w:type="dxa"/>
            <w:tcBorders>
              <w:left w:val="nil"/>
            </w:tcBorders>
          </w:tcPr>
          <w:p>
            <w:pPr>
              <w:pStyle w:val="TableParagraph"/>
              <w:ind w:left="113"/>
              <w:rPr>
                <w:sz w:val="17"/>
              </w:rPr>
            </w:pPr>
            <w:r>
              <w:rPr>
                <w:color w:val="231F20"/>
                <w:sz w:val="17"/>
              </w:rPr>
              <w:t>Edad del productor</w:t>
            </w:r>
          </w:p>
        </w:tc>
        <w:tc>
          <w:tcPr>
            <w:tcW w:w="1417" w:type="dxa"/>
          </w:tcPr>
          <w:p>
            <w:pPr>
              <w:pStyle w:val="TableParagraph"/>
              <w:ind w:left="189" w:right="189"/>
              <w:jc w:val="center"/>
              <w:rPr>
                <w:sz w:val="17"/>
              </w:rPr>
            </w:pPr>
            <w:r>
              <w:rPr>
                <w:color w:val="231F20"/>
                <w:w w:val="115"/>
                <w:sz w:val="17"/>
              </w:rPr>
              <w:t>51,5±11,5</w:t>
            </w:r>
          </w:p>
        </w:tc>
        <w:tc>
          <w:tcPr>
            <w:tcW w:w="1417" w:type="dxa"/>
          </w:tcPr>
          <w:p>
            <w:pPr>
              <w:pStyle w:val="TableParagraph"/>
              <w:ind w:left="189" w:right="189"/>
              <w:jc w:val="center"/>
              <w:rPr>
                <w:sz w:val="17"/>
              </w:rPr>
            </w:pPr>
            <w:r>
              <w:rPr>
                <w:color w:val="231F20"/>
                <w:w w:val="115"/>
                <w:sz w:val="17"/>
              </w:rPr>
              <w:t>55,0±14,1</w:t>
            </w:r>
          </w:p>
        </w:tc>
        <w:tc>
          <w:tcPr>
            <w:tcW w:w="1417" w:type="dxa"/>
          </w:tcPr>
          <w:p>
            <w:pPr>
              <w:pStyle w:val="TableParagraph"/>
              <w:ind w:left="189" w:right="189"/>
              <w:jc w:val="center"/>
              <w:rPr>
                <w:sz w:val="17"/>
              </w:rPr>
            </w:pPr>
            <w:r>
              <w:rPr>
                <w:color w:val="231F20"/>
                <w:w w:val="115"/>
                <w:sz w:val="17"/>
              </w:rPr>
              <w:t>53,7±10,1</w:t>
            </w:r>
          </w:p>
        </w:tc>
        <w:tc>
          <w:tcPr>
            <w:tcW w:w="1417" w:type="dxa"/>
            <w:tcBorders>
              <w:right w:val="nil"/>
            </w:tcBorders>
          </w:tcPr>
          <w:p>
            <w:pPr>
              <w:pStyle w:val="TableParagraph"/>
              <w:ind w:left="289" w:right="293"/>
              <w:jc w:val="center"/>
              <w:rPr>
                <w:sz w:val="17"/>
              </w:rPr>
            </w:pPr>
            <w:r>
              <w:rPr>
                <w:color w:val="231F20"/>
                <w:w w:val="115"/>
                <w:sz w:val="17"/>
              </w:rPr>
              <w:t>56,9±13,6</w:t>
            </w:r>
          </w:p>
        </w:tc>
      </w:tr>
      <w:tr>
        <w:trPr>
          <w:trHeight w:val="354" w:hRule="exact"/>
        </w:trPr>
        <w:tc>
          <w:tcPr>
            <w:tcW w:w="3113" w:type="dxa"/>
            <w:tcBorders>
              <w:left w:val="nil"/>
            </w:tcBorders>
          </w:tcPr>
          <w:p>
            <w:pPr>
              <w:pStyle w:val="TableParagraph"/>
              <w:ind w:left="113"/>
              <w:rPr>
                <w:sz w:val="17"/>
              </w:rPr>
            </w:pPr>
            <w:r>
              <w:rPr>
                <w:color w:val="231F20"/>
                <w:sz w:val="17"/>
              </w:rPr>
              <w:t>Años en la actividad</w:t>
            </w:r>
          </w:p>
        </w:tc>
        <w:tc>
          <w:tcPr>
            <w:tcW w:w="1417" w:type="dxa"/>
          </w:tcPr>
          <w:p>
            <w:pPr>
              <w:pStyle w:val="TableParagraph"/>
              <w:ind w:left="189" w:right="189"/>
              <w:jc w:val="center"/>
              <w:rPr>
                <w:sz w:val="17"/>
              </w:rPr>
            </w:pPr>
            <w:r>
              <w:rPr>
                <w:color w:val="231F20"/>
                <w:w w:val="115"/>
                <w:sz w:val="17"/>
              </w:rPr>
              <w:t>17,3±14,7</w:t>
            </w:r>
          </w:p>
        </w:tc>
        <w:tc>
          <w:tcPr>
            <w:tcW w:w="1417" w:type="dxa"/>
          </w:tcPr>
          <w:p>
            <w:pPr>
              <w:pStyle w:val="TableParagraph"/>
              <w:ind w:left="189" w:right="189"/>
              <w:jc w:val="center"/>
              <w:rPr>
                <w:sz w:val="17"/>
              </w:rPr>
            </w:pPr>
            <w:r>
              <w:rPr>
                <w:color w:val="231F20"/>
                <w:w w:val="115"/>
                <w:sz w:val="17"/>
              </w:rPr>
              <w:t>6,0±4,0</w:t>
            </w:r>
          </w:p>
        </w:tc>
        <w:tc>
          <w:tcPr>
            <w:tcW w:w="1417" w:type="dxa"/>
          </w:tcPr>
          <w:p>
            <w:pPr>
              <w:pStyle w:val="TableParagraph"/>
              <w:ind w:left="189" w:right="189"/>
              <w:jc w:val="center"/>
              <w:rPr>
                <w:sz w:val="17"/>
              </w:rPr>
            </w:pPr>
            <w:r>
              <w:rPr>
                <w:color w:val="231F20"/>
                <w:w w:val="115"/>
                <w:sz w:val="17"/>
              </w:rPr>
              <w:t>9,9±8,4</w:t>
            </w:r>
          </w:p>
        </w:tc>
        <w:tc>
          <w:tcPr>
            <w:tcW w:w="1417" w:type="dxa"/>
            <w:tcBorders>
              <w:right w:val="nil"/>
            </w:tcBorders>
          </w:tcPr>
          <w:p>
            <w:pPr>
              <w:pStyle w:val="TableParagraph"/>
              <w:ind w:left="289" w:right="293"/>
              <w:jc w:val="center"/>
              <w:rPr>
                <w:sz w:val="17"/>
              </w:rPr>
            </w:pPr>
            <w:r>
              <w:rPr>
                <w:color w:val="231F20"/>
                <w:w w:val="115"/>
                <w:sz w:val="17"/>
              </w:rPr>
              <w:t>17,9±17,4</w:t>
            </w:r>
          </w:p>
        </w:tc>
      </w:tr>
      <w:tr>
        <w:trPr>
          <w:trHeight w:val="354" w:hRule="exact"/>
        </w:trPr>
        <w:tc>
          <w:tcPr>
            <w:tcW w:w="3113" w:type="dxa"/>
            <w:tcBorders>
              <w:left w:val="nil"/>
            </w:tcBorders>
          </w:tcPr>
          <w:p>
            <w:pPr>
              <w:pStyle w:val="TableParagraph"/>
              <w:ind w:left="113"/>
              <w:rPr>
                <w:sz w:val="17"/>
              </w:rPr>
            </w:pPr>
            <w:r>
              <w:rPr>
                <w:color w:val="231F20"/>
                <w:sz w:val="17"/>
              </w:rPr>
              <w:t>Nº ovinos al inicio</w:t>
            </w:r>
          </w:p>
        </w:tc>
        <w:tc>
          <w:tcPr>
            <w:tcW w:w="1417" w:type="dxa"/>
          </w:tcPr>
          <w:p>
            <w:pPr>
              <w:pStyle w:val="TableParagraph"/>
              <w:ind w:left="189" w:right="189"/>
              <w:jc w:val="center"/>
              <w:rPr>
                <w:sz w:val="17"/>
              </w:rPr>
            </w:pPr>
            <w:r>
              <w:rPr>
                <w:color w:val="231F20"/>
                <w:w w:val="115"/>
                <w:sz w:val="17"/>
              </w:rPr>
              <w:t>12,4±15,7</w:t>
            </w:r>
          </w:p>
        </w:tc>
        <w:tc>
          <w:tcPr>
            <w:tcW w:w="1417" w:type="dxa"/>
          </w:tcPr>
          <w:p>
            <w:pPr>
              <w:pStyle w:val="TableParagraph"/>
              <w:ind w:left="189" w:right="189"/>
              <w:jc w:val="center"/>
              <w:rPr>
                <w:sz w:val="17"/>
              </w:rPr>
            </w:pPr>
            <w:r>
              <w:rPr>
                <w:color w:val="231F20"/>
                <w:w w:val="115"/>
                <w:sz w:val="17"/>
              </w:rPr>
              <w:t>14,8±15,3</w:t>
            </w:r>
          </w:p>
        </w:tc>
        <w:tc>
          <w:tcPr>
            <w:tcW w:w="1417" w:type="dxa"/>
          </w:tcPr>
          <w:p>
            <w:pPr>
              <w:pStyle w:val="TableParagraph"/>
              <w:ind w:left="189" w:right="189"/>
              <w:jc w:val="center"/>
              <w:rPr>
                <w:sz w:val="17"/>
              </w:rPr>
            </w:pPr>
            <w:r>
              <w:rPr>
                <w:color w:val="231F20"/>
                <w:w w:val="115"/>
                <w:sz w:val="17"/>
              </w:rPr>
              <w:t>24,8±51,2</w:t>
            </w:r>
          </w:p>
        </w:tc>
        <w:tc>
          <w:tcPr>
            <w:tcW w:w="1417" w:type="dxa"/>
            <w:tcBorders>
              <w:right w:val="nil"/>
            </w:tcBorders>
          </w:tcPr>
          <w:p>
            <w:pPr>
              <w:pStyle w:val="TableParagraph"/>
              <w:ind w:left="289" w:right="293"/>
              <w:jc w:val="center"/>
              <w:rPr>
                <w:sz w:val="17"/>
              </w:rPr>
            </w:pPr>
            <w:r>
              <w:rPr>
                <w:color w:val="231F20"/>
                <w:w w:val="115"/>
                <w:sz w:val="17"/>
              </w:rPr>
              <w:t>19,6±17,6</w:t>
            </w:r>
          </w:p>
        </w:tc>
      </w:tr>
      <w:tr>
        <w:trPr>
          <w:trHeight w:val="354" w:hRule="exact"/>
        </w:trPr>
        <w:tc>
          <w:tcPr>
            <w:tcW w:w="3113" w:type="dxa"/>
            <w:tcBorders>
              <w:left w:val="nil"/>
            </w:tcBorders>
          </w:tcPr>
          <w:p>
            <w:pPr>
              <w:pStyle w:val="TableParagraph"/>
              <w:ind w:left="113"/>
              <w:rPr>
                <w:sz w:val="17"/>
              </w:rPr>
            </w:pPr>
            <w:r>
              <w:rPr>
                <w:color w:val="231F20"/>
                <w:sz w:val="17"/>
              </w:rPr>
              <w:t>Nº ovinos el día de la   encuesta</w:t>
            </w:r>
          </w:p>
        </w:tc>
        <w:tc>
          <w:tcPr>
            <w:tcW w:w="1417" w:type="dxa"/>
          </w:tcPr>
          <w:p>
            <w:pPr>
              <w:pStyle w:val="TableParagraph"/>
              <w:ind w:left="189" w:right="189"/>
              <w:jc w:val="center"/>
              <w:rPr>
                <w:sz w:val="17"/>
              </w:rPr>
            </w:pPr>
            <w:r>
              <w:rPr>
                <w:color w:val="231F20"/>
                <w:w w:val="115"/>
                <w:sz w:val="17"/>
              </w:rPr>
              <w:t>69,5±72,8</w:t>
            </w:r>
          </w:p>
        </w:tc>
        <w:tc>
          <w:tcPr>
            <w:tcW w:w="1417" w:type="dxa"/>
          </w:tcPr>
          <w:p>
            <w:pPr>
              <w:pStyle w:val="TableParagraph"/>
              <w:ind w:left="189" w:right="189"/>
              <w:jc w:val="center"/>
              <w:rPr>
                <w:sz w:val="17"/>
              </w:rPr>
            </w:pPr>
            <w:r>
              <w:rPr>
                <w:color w:val="231F20"/>
                <w:w w:val="115"/>
                <w:sz w:val="17"/>
              </w:rPr>
              <w:t>187,5±313,2</w:t>
            </w:r>
          </w:p>
        </w:tc>
        <w:tc>
          <w:tcPr>
            <w:tcW w:w="1417" w:type="dxa"/>
          </w:tcPr>
          <w:p>
            <w:pPr>
              <w:pStyle w:val="TableParagraph"/>
              <w:ind w:left="189" w:right="189"/>
              <w:jc w:val="center"/>
              <w:rPr>
                <w:sz w:val="17"/>
              </w:rPr>
            </w:pPr>
            <w:r>
              <w:rPr>
                <w:color w:val="231F20"/>
                <w:w w:val="115"/>
                <w:sz w:val="17"/>
              </w:rPr>
              <w:t>151,9±177,4</w:t>
            </w:r>
          </w:p>
        </w:tc>
        <w:tc>
          <w:tcPr>
            <w:tcW w:w="1417" w:type="dxa"/>
            <w:tcBorders>
              <w:right w:val="nil"/>
            </w:tcBorders>
          </w:tcPr>
          <w:p>
            <w:pPr>
              <w:pStyle w:val="TableParagraph"/>
              <w:ind w:left="289" w:right="293"/>
              <w:jc w:val="center"/>
              <w:rPr>
                <w:sz w:val="17"/>
              </w:rPr>
            </w:pPr>
            <w:r>
              <w:rPr>
                <w:color w:val="231F20"/>
                <w:w w:val="115"/>
                <w:sz w:val="17"/>
              </w:rPr>
              <w:t>76,2±49,5</w:t>
            </w:r>
          </w:p>
        </w:tc>
      </w:tr>
      <w:tr>
        <w:trPr>
          <w:trHeight w:val="354" w:hRule="exact"/>
        </w:trPr>
        <w:tc>
          <w:tcPr>
            <w:tcW w:w="3113" w:type="dxa"/>
            <w:tcBorders>
              <w:left w:val="nil"/>
            </w:tcBorders>
          </w:tcPr>
          <w:p>
            <w:pPr>
              <w:pStyle w:val="TableParagraph"/>
              <w:ind w:left="113"/>
              <w:rPr>
                <w:sz w:val="17"/>
              </w:rPr>
            </w:pPr>
            <w:r>
              <w:rPr>
                <w:color w:val="231F20"/>
                <w:sz w:val="17"/>
              </w:rPr>
              <w:t>Superficie de la unidad   (ha)</w:t>
            </w:r>
          </w:p>
        </w:tc>
        <w:tc>
          <w:tcPr>
            <w:tcW w:w="1417" w:type="dxa"/>
          </w:tcPr>
          <w:p>
            <w:pPr>
              <w:pStyle w:val="TableParagraph"/>
              <w:ind w:left="189" w:right="189"/>
              <w:jc w:val="center"/>
              <w:rPr>
                <w:sz w:val="17"/>
              </w:rPr>
            </w:pPr>
            <w:r>
              <w:rPr>
                <w:color w:val="231F20"/>
                <w:w w:val="115"/>
                <w:sz w:val="17"/>
              </w:rPr>
              <w:t>9,6±11,7</w:t>
            </w:r>
          </w:p>
        </w:tc>
        <w:tc>
          <w:tcPr>
            <w:tcW w:w="1417" w:type="dxa"/>
          </w:tcPr>
          <w:p>
            <w:pPr>
              <w:pStyle w:val="TableParagraph"/>
              <w:ind w:left="189" w:right="189"/>
              <w:jc w:val="center"/>
              <w:rPr>
                <w:sz w:val="17"/>
              </w:rPr>
            </w:pPr>
            <w:r>
              <w:rPr>
                <w:color w:val="231F20"/>
                <w:w w:val="115"/>
                <w:sz w:val="17"/>
              </w:rPr>
              <w:t>11,9±18,9</w:t>
            </w:r>
          </w:p>
        </w:tc>
        <w:tc>
          <w:tcPr>
            <w:tcW w:w="1417" w:type="dxa"/>
          </w:tcPr>
          <w:p>
            <w:pPr>
              <w:pStyle w:val="TableParagraph"/>
              <w:ind w:left="189" w:right="189"/>
              <w:jc w:val="center"/>
              <w:rPr>
                <w:sz w:val="17"/>
              </w:rPr>
            </w:pPr>
            <w:r>
              <w:rPr>
                <w:color w:val="231F20"/>
                <w:w w:val="115"/>
                <w:sz w:val="17"/>
              </w:rPr>
              <w:t>23,8±19,6</w:t>
            </w:r>
          </w:p>
        </w:tc>
        <w:tc>
          <w:tcPr>
            <w:tcW w:w="1417" w:type="dxa"/>
            <w:tcBorders>
              <w:right w:val="nil"/>
            </w:tcBorders>
          </w:tcPr>
          <w:p>
            <w:pPr>
              <w:pStyle w:val="TableParagraph"/>
              <w:ind w:left="289" w:right="293"/>
              <w:jc w:val="center"/>
              <w:rPr>
                <w:sz w:val="17"/>
              </w:rPr>
            </w:pPr>
            <w:r>
              <w:rPr>
                <w:color w:val="231F20"/>
                <w:w w:val="115"/>
                <w:sz w:val="17"/>
              </w:rPr>
              <w:t>52,2±84,0</w:t>
            </w:r>
          </w:p>
        </w:tc>
      </w:tr>
    </w:tbl>
    <w:p>
      <w:pPr>
        <w:spacing w:before="90"/>
        <w:ind w:left="1553" w:right="2503" w:firstLine="0"/>
        <w:jc w:val="left"/>
        <w:rPr>
          <w:sz w:val="15"/>
        </w:rPr>
      </w:pPr>
      <w:r>
        <w:rPr>
          <w:color w:val="231F20"/>
          <w:sz w:val="15"/>
        </w:rPr>
        <w:t>Valores presentados como media y desviacion  estándar.</w:t>
      </w:r>
    </w:p>
    <w:p>
      <w:pPr>
        <w:pStyle w:val="BodyText"/>
      </w:pPr>
    </w:p>
    <w:p>
      <w:pPr>
        <w:spacing w:after="0"/>
        <w:sectPr>
          <w:pgSz w:w="11900" w:h="14450"/>
          <w:pgMar w:header="0" w:footer="222" w:top="420" w:bottom="420" w:left="0" w:right="0"/>
        </w:sectPr>
      </w:pPr>
    </w:p>
    <w:p>
      <w:pPr>
        <w:pStyle w:val="BodyText"/>
        <w:spacing w:before="5"/>
        <w:rPr>
          <w:sz w:val="19"/>
        </w:rPr>
      </w:pPr>
    </w:p>
    <w:p>
      <w:pPr>
        <w:pStyle w:val="BodyText"/>
        <w:spacing w:line="259" w:lineRule="auto"/>
        <w:ind w:left="1553"/>
        <w:jc w:val="both"/>
      </w:pPr>
      <w:r>
        <w:rPr>
          <w:color w:val="231F20"/>
        </w:rPr>
        <w:t>Los rebaños de la ZBBM  son  los  más  numero-  sos y de tipo empresarial. Aunque los rebaños de  la </w:t>
      </w:r>
      <w:r>
        <w:rPr>
          <w:color w:val="231F20"/>
          <w:spacing w:val="-3"/>
        </w:rPr>
        <w:t>ZBVA </w:t>
      </w:r>
      <w:r>
        <w:rPr>
          <w:color w:val="231F20"/>
        </w:rPr>
        <w:t>son los que se iniciaron con un mayor número de cabezas (Cuadro 3), en ellos el creci- miento no ha sido tan grande como en la ZBBM,   lo que indica que  en  estos  últimos  la  actividad  es empresarial. Según los datos presentados por Cuellar (2006), el pequeño productor de tipo so- cial se encuentra marginado y no recibe asistencia técnica ni apoyo institucional, mientras que el pro- ductor de tipo empresarial se dedica principalmen- te a la producción de ovinos de abasto, el pie de cría con calidad genética y los grandes rebaños, y recibe asistencia técnica especializada, lleva a cabo técnicas de producción, dispone de crédito y cuen- ta con instalaciones</w:t>
      </w:r>
      <w:r>
        <w:rPr>
          <w:color w:val="231F20"/>
          <w:spacing w:val="38"/>
        </w:rPr>
        <w:t> </w:t>
      </w:r>
      <w:r>
        <w:rPr>
          <w:color w:val="231F20"/>
        </w:rPr>
        <w:t>funcionales.</w:t>
      </w:r>
    </w:p>
    <w:p>
      <w:pPr>
        <w:pStyle w:val="BodyText"/>
        <w:spacing w:line="259" w:lineRule="auto" w:before="112"/>
        <w:ind w:left="1553"/>
        <w:jc w:val="both"/>
      </w:pPr>
      <w:r>
        <w:rPr>
          <w:color w:val="231F20"/>
        </w:rPr>
        <w:t>Por otra parte, en la ZBTS hay unidades de pro- ducción con una superficie mayor de 50 ha (Cua- dro 3), mientras que en la ZBAM las unidades tienden a ser pequeñas en extensión territorial, de tipo social e incluso de traspatio, situación simi-   lar a la observada en otros Estados (Nuncio </w:t>
      </w:r>
      <w:r>
        <w:rPr>
          <w:rFonts w:ascii="Cambria" w:hAnsi="Cambria"/>
          <w:i/>
          <w:color w:val="231F20"/>
        </w:rPr>
        <w:t>et al., </w:t>
      </w:r>
      <w:r>
        <w:rPr>
          <w:color w:val="231F20"/>
        </w:rPr>
        <w:t>2004) con sistemas que no cuentan con superfi- cies de cultivo ni de pastoreo, donde tienen esta- bulados a sus ovinos en pequeños corrales dentro del predio o solar de la </w:t>
      </w:r>
      <w:r>
        <w:rPr>
          <w:color w:val="231F20"/>
          <w:spacing w:val="33"/>
        </w:rPr>
        <w:t> </w:t>
      </w:r>
      <w:r>
        <w:rPr>
          <w:color w:val="231F20"/>
        </w:rPr>
        <w:t>casa.</w:t>
      </w:r>
    </w:p>
    <w:p>
      <w:pPr>
        <w:pStyle w:val="BodyText"/>
        <w:spacing w:line="259" w:lineRule="auto" w:before="112"/>
        <w:ind w:left="1553"/>
        <w:jc w:val="both"/>
      </w:pPr>
      <w:r>
        <w:rPr>
          <w:color w:val="231F20"/>
        </w:rPr>
        <w:t>En cuanto a la tenencia de la tierra (Fig. 5) es im- portante destacar que en las unidades de   produc-</w:t>
      </w:r>
    </w:p>
    <w:p>
      <w:pPr>
        <w:pStyle w:val="BodyText"/>
        <w:spacing w:before="5"/>
        <w:rPr>
          <w:sz w:val="19"/>
        </w:rPr>
      </w:pPr>
      <w:r>
        <w:rPr/>
        <w:br w:type="column"/>
      </w:r>
      <w:r>
        <w:rPr>
          <w:sz w:val="19"/>
        </w:rPr>
      </w:r>
    </w:p>
    <w:p>
      <w:pPr>
        <w:pStyle w:val="BodyText"/>
        <w:spacing w:line="273" w:lineRule="auto"/>
        <w:ind w:left="413" w:right="1551"/>
        <w:jc w:val="both"/>
      </w:pPr>
      <w:r>
        <w:rPr>
          <w:color w:val="231F20"/>
        </w:rPr>
        <w:t>ción ovina de la ZBBM se encuentran los dos tipos de tenencia de la tierra: el 60% es pequeña pro- piedad y el resto es de tipo ejidal. Por el contrario, en la ZBVA el 60% es de tipo ejidal y el resto se distribuye entre pequeña propiedad (30%) y am- bos  tipos  de  tenencia (10%).</w:t>
      </w:r>
    </w:p>
    <w:p>
      <w:pPr>
        <w:pStyle w:val="BodyText"/>
        <w:spacing w:line="273" w:lineRule="auto" w:before="112"/>
        <w:ind w:left="413" w:right="1551"/>
        <w:jc w:val="both"/>
      </w:pPr>
      <w:r>
        <w:rPr>
          <w:color w:val="231F20"/>
        </w:rPr>
        <w:t>El manejo de los rebaños ovinos (Cuadro 4) y su alimentación se basan en su mayoría en el pas- toreo, excepto en la ZBAM, donde alrededor del 20% de los productores mantienen a sus ovinos estabulados debido a que no tienen tierras para     el desarrollo de esta actividad porque las destinan a la agricultura, o bien no cuentan con mano de obra asalariada o familiar encargada de vigilar a   los animales en pastoreo, pues en varios casos los productores mayores manifestaron que a los jóve- nes no les atrae esta actividad. Por otra parte, al- rededor del 50% de los productores de ovinos de las cuatro zonas complementan con granos o fo- rrajes el alimento de sus rebaños al menos en una época del año, principalmente durante la sequía    o los meses invernales. Esto evidencia la estrecha relación entre el subsistema agrícola y el pecua-  rio, pues, cuando la agricultura es de subsistencia, destinar a los ovinos granos y forrajes producidos dentro de la unidad permite obtener ganancias económicas extra al vender los </w:t>
      </w:r>
      <w:r>
        <w:rPr>
          <w:color w:val="231F20"/>
          <w:spacing w:val="15"/>
        </w:rPr>
        <w:t> </w:t>
      </w:r>
      <w:r>
        <w:rPr>
          <w:color w:val="231F20"/>
        </w:rPr>
        <w:t>borregos.</w:t>
      </w:r>
    </w:p>
    <w:p>
      <w:pPr>
        <w:spacing w:after="0" w:line="273"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6"/>
          <w:w w:val="120"/>
          <w:sz w:val="22"/>
        </w:rPr>
        <w:t>176</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1"/>
        <w:rPr>
          <w:sz w:val="24"/>
        </w:rPr>
      </w:pPr>
    </w:p>
    <w:p>
      <w:pPr>
        <w:spacing w:before="79"/>
        <w:ind w:left="3595" w:right="2503" w:firstLine="0"/>
        <w:jc w:val="left"/>
        <w:rPr>
          <w:rFonts w:ascii="Arial"/>
          <w:sz w:val="16"/>
        </w:rPr>
      </w:pPr>
      <w:r>
        <w:rPr/>
        <w:pict>
          <v:group style="position:absolute;margin-left:197.898102pt;margin-top:6.585177pt;width:222.8pt;height:139.450pt;mso-position-horizontal-relative:page;mso-position-vertical-relative:paragraph;z-index:-491584" coordorigin="3958,132" coordsize="4456,2789">
            <v:rect style="position:absolute;left:4184;top:1136;width:244;height:1742" filled="true" fillcolor="#dcddde" stroked="false">
              <v:fill type="solid"/>
            </v:rect>
            <v:rect style="position:absolute;left:4429;top:1527;width:246;height:1351" filled="true" fillcolor="#b2b4b6" stroked="false">
              <v:fill type="solid"/>
            </v:rect>
            <v:rect style="position:absolute;left:4675;top:2132;width:244;height:746" filled="true" fillcolor="#231f20" stroked="false">
              <v:fill type="solid"/>
            </v:rect>
            <v:rect style="position:absolute;left:5286;top:1342;width:244;height:1536" filled="true" fillcolor="#dcddde" stroked="false">
              <v:fill type="solid"/>
            </v:rect>
            <v:rect style="position:absolute;left:5531;top:574;width:244;height:2304" filled="true" fillcolor="#b2b4b6" stroked="false">
              <v:fill type="solid"/>
            </v:rect>
            <v:rect style="position:absolute;left:6387;top:514;width:244;height:2364" filled="true" fillcolor="#dcddde" stroked="false">
              <v:fill type="solid"/>
            </v:rect>
            <v:rect style="position:absolute;left:6631;top:1697;width:244;height:1181" filled="true" fillcolor="#b2b4b6" stroked="false">
              <v:fill type="solid"/>
            </v:rect>
            <v:rect style="position:absolute;left:6876;top:2583;width:246;height:295" filled="true" fillcolor="#231f20" stroked="false">
              <v:fill type="solid"/>
            </v:rect>
            <v:rect style="position:absolute;left:7488;top:958;width:244;height:1920" filled="true" fillcolor="#dcddde" stroked="false">
              <v:fill type="solid"/>
            </v:rect>
            <v:rect style="position:absolute;left:7732;top:1198;width:246;height:1680" filled="true" fillcolor="#b2b4b6" stroked="false">
              <v:fill type="solid"/>
            </v:rect>
            <v:rect style="position:absolute;left:7978;top:2638;width:244;height:240" filled="true" fillcolor="#231f20" stroked="false">
              <v:fill type="solid"/>
            </v:rect>
            <v:shape style="position:absolute;left:-35;top:10012;width:4441;height:2724" coordorigin="-35,10012" coordsize="4441,2724" path="m4001,2878l4001,189m3965,2878l4001,2878m3965,2494l4001,2494m3965,2111l4001,2111m3965,1726l4001,1726m3965,1342l4001,1342m3965,958l4001,958m3965,574l4001,574m3965,189l4001,189m4001,2878l8406,2878m4001,2878l4001,2913m5103,2878l5103,2913m6203,2878l6203,2913m7304,2878l7304,2913m8406,2878l8406,2913e" filled="false" stroked="true" strokeweight=".72pt" strokecolor="#989a9d">
              <v:path arrowok="t"/>
            </v:shape>
            <v:line style="position:absolute" from="4604,220" to="4665,220" stroked="true" strokeweight="3.038pt" strokecolor="#dcddde"/>
            <v:line style="position:absolute" from="5246,220" to="5307,220" stroked="true" strokeweight="3.038pt" strokecolor="#b2b4b6"/>
            <v:line style="position:absolute" from="6885,220" to="6946,220" stroked="true" strokeweight="3.038pt" strokecolor="#231f20"/>
            <v:shape style="position:absolute;left:4719;top:132;width:2782;height:160" type="#_x0000_t202" filled="false" stroked="false">
              <v:textbox inset="0,0,0,0">
                <w:txbxContent>
                  <w:p>
                    <w:pPr>
                      <w:tabs>
                        <w:tab w:pos="625" w:val="left" w:leader="none"/>
                        <w:tab w:pos="2281" w:val="left" w:leader="none"/>
                      </w:tabs>
                      <w:spacing w:line="160" w:lineRule="exact" w:before="0"/>
                      <w:ind w:left="0" w:right="0" w:firstLine="0"/>
                      <w:jc w:val="left"/>
                      <w:rPr>
                        <w:rFonts w:ascii="Arial" w:hAnsi="Arial"/>
                        <w:sz w:val="16"/>
                      </w:rPr>
                    </w:pPr>
                    <w:r>
                      <w:rPr>
                        <w:rFonts w:ascii="Arial" w:hAnsi="Arial"/>
                        <w:color w:val="231F20"/>
                        <w:sz w:val="16"/>
                      </w:rPr>
                      <w:t>Ejidal</w:t>
                      <w:tab/>
                      <w:t>Pequeña Propiedad</w:t>
                      <w:tab/>
                      <w:t>Ambos</w:t>
                    </w:r>
                  </w:p>
                </w:txbxContent>
              </v:textbox>
              <w10:wrap type="none"/>
            </v:shape>
            <w10:wrap type="none"/>
          </v:group>
        </w:pict>
      </w:r>
      <w:r>
        <w:rPr>
          <w:rFonts w:ascii="Arial"/>
          <w:color w:val="231F20"/>
          <w:sz w:val="16"/>
        </w:rPr>
        <w:t>70,0</w:t>
      </w:r>
    </w:p>
    <w:p>
      <w:pPr>
        <w:pStyle w:val="BodyText"/>
        <w:spacing w:before="6"/>
        <w:rPr>
          <w:rFonts w:ascii="Arial"/>
          <w:sz w:val="10"/>
        </w:rPr>
      </w:pPr>
    </w:p>
    <w:p>
      <w:pPr>
        <w:spacing w:before="79"/>
        <w:ind w:left="3595" w:right="2503" w:firstLine="0"/>
        <w:jc w:val="left"/>
        <w:rPr>
          <w:rFonts w:ascii="Arial"/>
          <w:sz w:val="16"/>
        </w:rPr>
      </w:pPr>
      <w:r>
        <w:rPr>
          <w:rFonts w:ascii="Arial"/>
          <w:color w:val="231F20"/>
          <w:sz w:val="16"/>
        </w:rPr>
        <w:t>60,0</w:t>
      </w:r>
    </w:p>
    <w:p>
      <w:pPr>
        <w:pStyle w:val="BodyText"/>
        <w:spacing w:before="6"/>
        <w:rPr>
          <w:rFonts w:ascii="Arial"/>
          <w:sz w:val="10"/>
        </w:rPr>
      </w:pPr>
    </w:p>
    <w:p>
      <w:pPr>
        <w:spacing w:before="79"/>
        <w:ind w:left="3595" w:right="2503" w:firstLine="0"/>
        <w:jc w:val="left"/>
        <w:rPr>
          <w:rFonts w:ascii="Arial"/>
          <w:sz w:val="16"/>
        </w:rPr>
      </w:pPr>
      <w:r>
        <w:rPr>
          <w:rFonts w:ascii="Arial"/>
          <w:color w:val="231F20"/>
          <w:sz w:val="16"/>
        </w:rPr>
        <w:t>50,0</w:t>
      </w:r>
    </w:p>
    <w:p>
      <w:pPr>
        <w:pStyle w:val="BodyText"/>
        <w:spacing w:before="6"/>
        <w:rPr>
          <w:rFonts w:ascii="Arial"/>
          <w:sz w:val="10"/>
        </w:rPr>
      </w:pPr>
    </w:p>
    <w:p>
      <w:pPr>
        <w:spacing w:before="79"/>
        <w:ind w:left="3595" w:right="2503" w:firstLine="0"/>
        <w:jc w:val="left"/>
        <w:rPr>
          <w:rFonts w:ascii="Arial"/>
          <w:sz w:val="16"/>
        </w:rPr>
      </w:pPr>
      <w:r>
        <w:rPr/>
        <w:pict>
          <v:shape style="position:absolute;margin-left:165.7314pt;margin-top:-4.162071pt;width:10pt;height:40.3pt;mso-position-horizontal-relative:page;mso-position-vertical-relative:paragraph;z-index:5344" type="#_x0000_t202" filled="false" stroked="false">
            <v:textbox inset="0,0,0,0" style="layout-flow:vertical;mso-layout-flow-alt:bottom-to-top">
              <w:txbxContent>
                <w:p>
                  <w:pPr>
                    <w:spacing w:line="183" w:lineRule="exact" w:before="0"/>
                    <w:ind w:left="20" w:right="-605" w:firstLine="0"/>
                    <w:jc w:val="left"/>
                    <w:rPr>
                      <w:rFonts w:ascii="Arial"/>
                      <w:sz w:val="16"/>
                    </w:rPr>
                  </w:pPr>
                  <w:r>
                    <w:rPr>
                      <w:rFonts w:ascii="Arial"/>
                      <w:color w:val="231F20"/>
                      <w:w w:val="99"/>
                      <w:sz w:val="16"/>
                    </w:rPr>
                    <w:t>Porcentaj</w:t>
                  </w:r>
                  <w:r>
                    <w:rPr>
                      <w:rFonts w:ascii="Arial"/>
                      <w:color w:val="231F20"/>
                      <w:w w:val="99"/>
                      <w:sz w:val="16"/>
                    </w:rPr>
                    <w:t>e</w:t>
                  </w:r>
                </w:p>
              </w:txbxContent>
            </v:textbox>
            <w10:wrap type="none"/>
          </v:shape>
        </w:pict>
      </w:r>
      <w:r>
        <w:rPr>
          <w:rFonts w:ascii="Arial"/>
          <w:color w:val="231F20"/>
          <w:sz w:val="16"/>
        </w:rPr>
        <w:t>40,0</w:t>
      </w:r>
    </w:p>
    <w:p>
      <w:pPr>
        <w:pStyle w:val="BodyText"/>
        <w:spacing w:before="6"/>
        <w:rPr>
          <w:rFonts w:ascii="Arial"/>
          <w:sz w:val="10"/>
        </w:rPr>
      </w:pPr>
    </w:p>
    <w:p>
      <w:pPr>
        <w:spacing w:before="79"/>
        <w:ind w:left="3595" w:right="2503" w:firstLine="0"/>
        <w:jc w:val="left"/>
        <w:rPr>
          <w:rFonts w:ascii="Arial"/>
          <w:sz w:val="16"/>
        </w:rPr>
      </w:pPr>
      <w:r>
        <w:rPr>
          <w:rFonts w:ascii="Arial"/>
          <w:color w:val="231F20"/>
          <w:sz w:val="16"/>
        </w:rPr>
        <w:t>30,0</w:t>
      </w:r>
    </w:p>
    <w:p>
      <w:pPr>
        <w:pStyle w:val="BodyText"/>
        <w:spacing w:before="6"/>
        <w:rPr>
          <w:rFonts w:ascii="Arial"/>
          <w:sz w:val="10"/>
        </w:rPr>
      </w:pPr>
    </w:p>
    <w:p>
      <w:pPr>
        <w:spacing w:before="79"/>
        <w:ind w:left="3595" w:right="2503" w:firstLine="0"/>
        <w:jc w:val="left"/>
        <w:rPr>
          <w:rFonts w:ascii="Arial"/>
          <w:sz w:val="16"/>
        </w:rPr>
      </w:pPr>
      <w:r>
        <w:rPr>
          <w:rFonts w:ascii="Arial"/>
          <w:color w:val="231F20"/>
          <w:sz w:val="16"/>
        </w:rPr>
        <w:t>20,0</w:t>
      </w:r>
    </w:p>
    <w:p>
      <w:pPr>
        <w:pStyle w:val="BodyText"/>
        <w:spacing w:before="6"/>
        <w:rPr>
          <w:rFonts w:ascii="Arial"/>
          <w:sz w:val="10"/>
        </w:rPr>
      </w:pPr>
    </w:p>
    <w:p>
      <w:pPr>
        <w:spacing w:before="79"/>
        <w:ind w:left="3595" w:right="2503" w:firstLine="0"/>
        <w:jc w:val="left"/>
        <w:rPr>
          <w:rFonts w:ascii="Arial"/>
          <w:sz w:val="16"/>
        </w:rPr>
      </w:pPr>
      <w:r>
        <w:rPr>
          <w:rFonts w:ascii="Arial"/>
          <w:color w:val="231F20"/>
          <w:sz w:val="16"/>
        </w:rPr>
        <w:t>10,0</w:t>
      </w:r>
    </w:p>
    <w:p>
      <w:pPr>
        <w:pStyle w:val="BodyText"/>
        <w:spacing w:before="6"/>
        <w:rPr>
          <w:rFonts w:ascii="Arial"/>
          <w:sz w:val="10"/>
        </w:rPr>
      </w:pPr>
    </w:p>
    <w:p>
      <w:pPr>
        <w:spacing w:after="0"/>
        <w:rPr>
          <w:rFonts w:ascii="Arial"/>
          <w:sz w:val="10"/>
        </w:rPr>
        <w:sectPr>
          <w:pgSz w:w="11900" w:h="14450"/>
          <w:pgMar w:header="0" w:footer="222" w:top="420" w:bottom="420" w:left="0" w:right="0"/>
        </w:sectPr>
      </w:pPr>
    </w:p>
    <w:p>
      <w:pPr>
        <w:spacing w:before="79"/>
        <w:ind w:left="0" w:right="0" w:firstLine="0"/>
        <w:jc w:val="right"/>
        <w:rPr>
          <w:rFonts w:ascii="Arial"/>
          <w:sz w:val="16"/>
        </w:rPr>
      </w:pPr>
      <w:r>
        <w:rPr>
          <w:rFonts w:ascii="Arial"/>
          <w:color w:val="231F20"/>
          <w:sz w:val="16"/>
        </w:rPr>
        <w:t>0,0</w:t>
      </w:r>
    </w:p>
    <w:p>
      <w:pPr>
        <w:pStyle w:val="BodyText"/>
        <w:spacing w:before="2"/>
        <w:rPr>
          <w:rFonts w:ascii="Arial"/>
          <w:sz w:val="19"/>
        </w:rPr>
      </w:pPr>
      <w:r>
        <w:rPr/>
        <w:br w:type="column"/>
      </w:r>
      <w:r>
        <w:rPr>
          <w:rFonts w:ascii="Arial"/>
          <w:sz w:val="19"/>
        </w:rPr>
      </w:r>
    </w:p>
    <w:p>
      <w:pPr>
        <w:tabs>
          <w:tab w:pos="1566" w:val="left" w:leader="none"/>
          <w:tab w:pos="2678" w:val="left" w:leader="none"/>
          <w:tab w:pos="3782" w:val="left" w:leader="none"/>
        </w:tabs>
        <w:spacing w:before="0"/>
        <w:ind w:left="465" w:right="0" w:firstLine="0"/>
        <w:jc w:val="left"/>
        <w:rPr>
          <w:rFonts w:ascii="Arial"/>
          <w:sz w:val="16"/>
        </w:rPr>
      </w:pPr>
      <w:r>
        <w:rPr>
          <w:rFonts w:ascii="Arial"/>
          <w:color w:val="231F20"/>
          <w:sz w:val="16"/>
        </w:rPr>
        <w:t>ZBAM</w:t>
        <w:tab/>
        <w:t>ZBBM</w:t>
        <w:tab/>
        <w:t>ZBVA</w:t>
        <w:tab/>
        <w:t>ZBTS</w:t>
      </w:r>
    </w:p>
    <w:p>
      <w:pPr>
        <w:spacing w:after="0"/>
        <w:jc w:val="left"/>
        <w:rPr>
          <w:rFonts w:ascii="Arial"/>
          <w:sz w:val="16"/>
        </w:rPr>
        <w:sectPr>
          <w:type w:val="continuous"/>
          <w:pgSz w:w="11900" w:h="14450"/>
          <w:pgMar w:top="420" w:bottom="420" w:left="0" w:right="0"/>
          <w:cols w:num="2" w:equalWidth="0">
            <w:col w:w="3883" w:space="40"/>
            <w:col w:w="7977"/>
          </w:cols>
        </w:sectPr>
      </w:pPr>
    </w:p>
    <w:p>
      <w:pPr>
        <w:spacing w:before="146"/>
        <w:ind w:left="2689" w:right="2503" w:firstLine="0"/>
        <w:jc w:val="left"/>
        <w:rPr>
          <w:sz w:val="18"/>
        </w:rPr>
      </w:pPr>
      <w:r>
        <w:rPr>
          <w:rFonts w:ascii="Tahoma" w:hAnsi="Tahoma"/>
          <w:color w:val="231F20"/>
          <w:sz w:val="18"/>
        </w:rPr>
        <w:t>Figura 5.    </w:t>
      </w:r>
      <w:r>
        <w:rPr>
          <w:color w:val="231F20"/>
          <w:sz w:val="18"/>
        </w:rPr>
        <w:t>Tipo de tenencia de la tierra en las unidades de producción ovina por zonas.</w:t>
      </w:r>
    </w:p>
    <w:p>
      <w:pPr>
        <w:pStyle w:val="BodyText"/>
        <w:spacing w:before="9"/>
        <w:rPr>
          <w:sz w:val="21"/>
        </w:rPr>
      </w:pPr>
    </w:p>
    <w:p>
      <w:pPr>
        <w:spacing w:after="0"/>
        <w:rPr>
          <w:sz w:val="21"/>
        </w:rPr>
        <w:sectPr>
          <w:type w:val="continuous"/>
          <w:pgSz w:w="11900" w:h="14450"/>
          <w:pgMar w:top="420" w:bottom="420" w:left="0" w:right="0"/>
        </w:sectPr>
      </w:pPr>
    </w:p>
    <w:p>
      <w:pPr>
        <w:pStyle w:val="BodyText"/>
        <w:spacing w:line="268" w:lineRule="auto" w:before="68"/>
        <w:ind w:left="1553"/>
        <w:jc w:val="both"/>
      </w:pPr>
      <w:r>
        <w:rPr>
          <w:color w:val="231F20"/>
        </w:rPr>
        <w:t>En cuanto a la sanidad del rebaño, las cuatro zonas utilizan algún tipo de desparasitante. En la ZBBM el </w:t>
      </w:r>
      <w:r>
        <w:rPr>
          <w:color w:val="231F20"/>
          <w:spacing w:val="-4"/>
        </w:rPr>
        <w:t>100% </w:t>
      </w:r>
      <w:r>
        <w:rPr>
          <w:color w:val="231F20"/>
        </w:rPr>
        <w:t>de los productores desparasita su rebaño al menos una </w:t>
      </w:r>
      <w:r>
        <w:rPr>
          <w:color w:val="231F20"/>
          <w:spacing w:val="-3"/>
        </w:rPr>
        <w:t>vez </w:t>
      </w:r>
      <w:r>
        <w:rPr>
          <w:color w:val="231F20"/>
        </w:rPr>
        <w:t>al año, mientras que en las zonas restantes lo hace alrededor del 85%. </w:t>
      </w:r>
      <w:r>
        <w:rPr>
          <w:color w:val="231F20"/>
          <w:spacing w:val="-3"/>
        </w:rPr>
        <w:t>Por </w:t>
      </w:r>
      <w:r>
        <w:rPr>
          <w:color w:val="231F20"/>
        </w:rPr>
        <w:t>otra</w:t>
      </w:r>
      <w:r>
        <w:rPr>
          <w:color w:val="231F20"/>
          <w:spacing w:val="-31"/>
        </w:rPr>
        <w:t> </w:t>
      </w:r>
      <w:r>
        <w:rPr>
          <w:color w:val="231F20"/>
        </w:rPr>
        <w:t>parte, el 69% de los productores de la </w:t>
      </w:r>
      <w:r>
        <w:rPr>
          <w:color w:val="231F20"/>
          <w:spacing w:val="-4"/>
        </w:rPr>
        <w:t>ZBVA </w:t>
      </w:r>
      <w:r>
        <w:rPr>
          <w:color w:val="231F20"/>
        </w:rPr>
        <w:t>y el 68% de los de la ZBBM administran vacunas, principalmen- te contra enfermedades clostridiales (Cuadro</w:t>
      </w:r>
      <w:r>
        <w:rPr>
          <w:color w:val="231F20"/>
          <w:spacing w:val="17"/>
        </w:rPr>
        <w:t> </w:t>
      </w:r>
      <w:r>
        <w:rPr>
          <w:color w:val="231F20"/>
          <w:spacing w:val="-2"/>
        </w:rPr>
        <w:t>4).</w:t>
      </w:r>
    </w:p>
    <w:p>
      <w:pPr>
        <w:pStyle w:val="BodyText"/>
        <w:spacing w:line="268" w:lineRule="auto" w:before="114"/>
        <w:ind w:left="1553"/>
        <w:jc w:val="both"/>
      </w:pPr>
      <w:r>
        <w:rPr>
          <w:color w:val="231F20"/>
        </w:rPr>
        <w:t>La asistencia técnica (Cuadro 4) es más frecuente en los rebaños de la ZBBM, donde en consecuen- cia se encuentra un mayor manejo sanitario y nu- tricional en los animales, lo que demuestra el corte empresarial de la actividad.</w:t>
      </w:r>
    </w:p>
    <w:p>
      <w:pPr>
        <w:pStyle w:val="BodyText"/>
        <w:spacing w:line="278" w:lineRule="auto" w:before="68"/>
        <w:ind w:left="413" w:right="1551"/>
        <w:jc w:val="both"/>
      </w:pPr>
      <w:r>
        <w:rPr/>
        <w:br w:type="column"/>
      </w:r>
      <w:r>
        <w:rPr>
          <w:color w:val="231F20"/>
        </w:rPr>
        <w:t>En cuanto a las razas de sementales utilizadas por los productores, se observa una mayor diversifi- cación en la ZBAM, debido principalmente a su clima templado a frío que favorece el uso de ani- males de lana y  de  pelo,  además  de  ser  donde se concentra casi el 50% de la población ovina estatal. La raza predominante en esta zona fue la Dorper, al igual que la ZBVA y la ZBTS, donde los productores prefieren estos sementales debido a sus características cárnicas y su adaptación al clima (Fig. 6), lo que concuerda con lo reportado por Góngora-Perez </w:t>
      </w:r>
      <w:r>
        <w:rPr>
          <w:rFonts w:ascii="Cambria" w:hAnsi="Cambria"/>
          <w:i/>
          <w:color w:val="231F20"/>
        </w:rPr>
        <w:t>et al</w:t>
      </w:r>
      <w:r>
        <w:rPr>
          <w:color w:val="231F20"/>
        </w:rPr>
        <w:t>. (2010) para los ovinocultores del Estado de Yucatán.</w:t>
      </w:r>
    </w:p>
    <w:p>
      <w:pPr>
        <w:spacing w:after="0" w:line="278" w:lineRule="auto"/>
        <w:jc w:val="both"/>
        <w:sectPr>
          <w:type w:val="continuous"/>
          <w:pgSz w:w="11900" w:h="14450"/>
          <w:pgMar w:top="420" w:bottom="420" w:left="0" w:right="0"/>
          <w:cols w:num="2" w:equalWidth="0">
            <w:col w:w="5722" w:space="40"/>
            <w:col w:w="6138"/>
          </w:cols>
        </w:sectPr>
      </w:pPr>
    </w:p>
    <w:p>
      <w:pPr>
        <w:pStyle w:val="BodyText"/>
        <w:spacing w:before="5"/>
        <w:rPr>
          <w:sz w:val="25"/>
        </w:rPr>
      </w:pPr>
    </w:p>
    <w:p>
      <w:pPr>
        <w:spacing w:before="63"/>
        <w:ind w:left="1563" w:right="2503" w:firstLine="0"/>
        <w:jc w:val="left"/>
        <w:rPr>
          <w:sz w:val="18"/>
        </w:rPr>
      </w:pPr>
      <w:r>
        <w:rPr>
          <w:rFonts w:ascii="Tahoma" w:hAnsi="Tahoma"/>
          <w:color w:val="231F20"/>
          <w:sz w:val="18"/>
        </w:rPr>
        <w:t>Cuadro 4.  </w:t>
      </w:r>
      <w:r>
        <w:rPr>
          <w:color w:val="231F20"/>
          <w:sz w:val="18"/>
        </w:rPr>
        <w:t>Indicadores productivos, por porcentaje de aplicación, de las unidades de producción    ovina.</w:t>
      </w:r>
    </w:p>
    <w:p>
      <w:pPr>
        <w:pStyle w:val="BodyText"/>
        <w:spacing w:before="10"/>
        <w:rPr>
          <w:sz w:val="11"/>
        </w:rPr>
      </w:pPr>
    </w:p>
    <w:tbl>
      <w:tblPr>
        <w:tblW w:w="0" w:type="auto"/>
        <w:jc w:val="left"/>
        <w:tblInd w:w="155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886"/>
        <w:gridCol w:w="737"/>
        <w:gridCol w:w="737"/>
        <w:gridCol w:w="737"/>
        <w:gridCol w:w="737"/>
        <w:gridCol w:w="737"/>
        <w:gridCol w:w="737"/>
        <w:gridCol w:w="737"/>
        <w:gridCol w:w="737"/>
      </w:tblGrid>
      <w:tr>
        <w:trPr>
          <w:trHeight w:val="369" w:hRule="exact"/>
        </w:trPr>
        <w:tc>
          <w:tcPr>
            <w:tcW w:w="2886" w:type="dxa"/>
            <w:vMerge w:val="restart"/>
            <w:tcBorders>
              <w:left w:val="nil"/>
            </w:tcBorders>
          </w:tcPr>
          <w:p>
            <w:pPr>
              <w:pStyle w:val="TableParagraph"/>
              <w:spacing w:before="4"/>
              <w:rPr>
                <w:sz w:val="21"/>
              </w:rPr>
            </w:pPr>
          </w:p>
          <w:p>
            <w:pPr>
              <w:pStyle w:val="TableParagraph"/>
              <w:spacing w:before="0"/>
              <w:ind w:left="1041" w:right="1036"/>
              <w:jc w:val="center"/>
              <w:rPr>
                <w:rFonts w:ascii="Cambria"/>
                <w:i/>
                <w:sz w:val="18"/>
              </w:rPr>
            </w:pPr>
            <w:r>
              <w:rPr>
                <w:rFonts w:ascii="Cambria"/>
                <w:i/>
                <w:color w:val="231F20"/>
                <w:w w:val="110"/>
                <w:sz w:val="18"/>
              </w:rPr>
              <w:t>Concepto</w:t>
            </w:r>
          </w:p>
        </w:tc>
        <w:tc>
          <w:tcPr>
            <w:tcW w:w="1474" w:type="dxa"/>
            <w:gridSpan w:val="2"/>
          </w:tcPr>
          <w:p>
            <w:pPr>
              <w:pStyle w:val="TableParagraph"/>
              <w:spacing w:before="79"/>
              <w:ind w:left="474" w:right="474"/>
              <w:jc w:val="center"/>
              <w:rPr>
                <w:rFonts w:ascii="Cambria"/>
                <w:i/>
                <w:sz w:val="18"/>
              </w:rPr>
            </w:pPr>
            <w:r>
              <w:rPr>
                <w:rFonts w:ascii="Cambria"/>
                <w:i/>
                <w:color w:val="231F20"/>
                <w:w w:val="105"/>
                <w:sz w:val="18"/>
              </w:rPr>
              <w:t>ZBAM</w:t>
            </w:r>
          </w:p>
        </w:tc>
        <w:tc>
          <w:tcPr>
            <w:tcW w:w="1474" w:type="dxa"/>
            <w:gridSpan w:val="2"/>
          </w:tcPr>
          <w:p>
            <w:pPr>
              <w:pStyle w:val="TableParagraph"/>
              <w:spacing w:before="79"/>
              <w:ind w:left="476" w:right="473"/>
              <w:jc w:val="center"/>
              <w:rPr>
                <w:rFonts w:ascii="Cambria"/>
                <w:i/>
                <w:sz w:val="18"/>
              </w:rPr>
            </w:pPr>
            <w:r>
              <w:rPr>
                <w:rFonts w:ascii="Cambria"/>
                <w:i/>
                <w:color w:val="231F20"/>
                <w:w w:val="105"/>
                <w:sz w:val="18"/>
              </w:rPr>
              <w:t>ZBBM</w:t>
            </w:r>
          </w:p>
        </w:tc>
        <w:tc>
          <w:tcPr>
            <w:tcW w:w="1474" w:type="dxa"/>
            <w:gridSpan w:val="2"/>
          </w:tcPr>
          <w:p>
            <w:pPr>
              <w:pStyle w:val="TableParagraph"/>
              <w:spacing w:before="79"/>
              <w:ind w:left="469" w:right="474"/>
              <w:jc w:val="center"/>
              <w:rPr>
                <w:rFonts w:ascii="Cambria"/>
                <w:i/>
                <w:sz w:val="18"/>
              </w:rPr>
            </w:pPr>
            <w:r>
              <w:rPr>
                <w:rFonts w:ascii="Cambria"/>
                <w:i/>
                <w:color w:val="231F20"/>
                <w:sz w:val="18"/>
              </w:rPr>
              <w:t>ZBVA</w:t>
            </w:r>
          </w:p>
        </w:tc>
        <w:tc>
          <w:tcPr>
            <w:tcW w:w="1474" w:type="dxa"/>
            <w:gridSpan w:val="2"/>
            <w:tcBorders>
              <w:right w:val="nil"/>
            </w:tcBorders>
          </w:tcPr>
          <w:p>
            <w:pPr>
              <w:pStyle w:val="TableParagraph"/>
              <w:spacing w:before="79"/>
              <w:ind w:left="508" w:right="512"/>
              <w:jc w:val="center"/>
              <w:rPr>
                <w:rFonts w:ascii="Cambria"/>
                <w:i/>
                <w:sz w:val="18"/>
              </w:rPr>
            </w:pPr>
            <w:r>
              <w:rPr>
                <w:rFonts w:ascii="Cambria"/>
                <w:i/>
                <w:color w:val="231F20"/>
                <w:w w:val="105"/>
                <w:sz w:val="18"/>
              </w:rPr>
              <w:t>ZBTS</w:t>
            </w:r>
          </w:p>
        </w:tc>
      </w:tr>
      <w:tr>
        <w:trPr>
          <w:trHeight w:val="362" w:hRule="exact"/>
        </w:trPr>
        <w:tc>
          <w:tcPr>
            <w:tcW w:w="2886" w:type="dxa"/>
            <w:vMerge/>
            <w:tcBorders>
              <w:left w:val="nil"/>
            </w:tcBorders>
          </w:tcPr>
          <w:p>
            <w:pPr/>
          </w:p>
        </w:tc>
        <w:tc>
          <w:tcPr>
            <w:tcW w:w="737" w:type="dxa"/>
          </w:tcPr>
          <w:p>
            <w:pPr>
              <w:pStyle w:val="TableParagraph"/>
              <w:ind w:left="10" w:right="10"/>
              <w:jc w:val="center"/>
              <w:rPr>
                <w:rFonts w:ascii="Tahoma" w:hAnsi="Tahoma"/>
                <w:sz w:val="17"/>
              </w:rPr>
            </w:pPr>
            <w:r>
              <w:rPr>
                <w:rFonts w:ascii="Tahoma" w:hAnsi="Tahoma"/>
                <w:color w:val="231F20"/>
                <w:w w:val="105"/>
                <w:sz w:val="17"/>
              </w:rPr>
              <w:t>Sí</w:t>
            </w:r>
          </w:p>
        </w:tc>
        <w:tc>
          <w:tcPr>
            <w:tcW w:w="737" w:type="dxa"/>
          </w:tcPr>
          <w:p>
            <w:pPr>
              <w:pStyle w:val="TableParagraph"/>
              <w:ind w:right="251"/>
              <w:jc w:val="right"/>
              <w:rPr>
                <w:rFonts w:ascii="Tahoma"/>
                <w:sz w:val="17"/>
              </w:rPr>
            </w:pPr>
            <w:r>
              <w:rPr>
                <w:rFonts w:ascii="Tahoma"/>
                <w:color w:val="231F20"/>
                <w:w w:val="105"/>
                <w:sz w:val="17"/>
              </w:rPr>
              <w:t>No</w:t>
            </w:r>
          </w:p>
        </w:tc>
        <w:tc>
          <w:tcPr>
            <w:tcW w:w="737" w:type="dxa"/>
          </w:tcPr>
          <w:p>
            <w:pPr>
              <w:pStyle w:val="TableParagraph"/>
              <w:ind w:left="10" w:right="10"/>
              <w:jc w:val="center"/>
              <w:rPr>
                <w:rFonts w:ascii="Tahoma" w:hAnsi="Tahoma"/>
                <w:sz w:val="17"/>
              </w:rPr>
            </w:pPr>
            <w:r>
              <w:rPr>
                <w:rFonts w:ascii="Tahoma" w:hAnsi="Tahoma"/>
                <w:color w:val="231F20"/>
                <w:sz w:val="17"/>
              </w:rPr>
              <w:t>Sí</w:t>
            </w:r>
          </w:p>
        </w:tc>
        <w:tc>
          <w:tcPr>
            <w:tcW w:w="737" w:type="dxa"/>
          </w:tcPr>
          <w:p>
            <w:pPr>
              <w:pStyle w:val="TableParagraph"/>
              <w:ind w:left="10" w:right="10"/>
              <w:jc w:val="center"/>
              <w:rPr>
                <w:rFonts w:ascii="Tahoma"/>
                <w:sz w:val="17"/>
              </w:rPr>
            </w:pPr>
            <w:r>
              <w:rPr>
                <w:rFonts w:ascii="Tahoma"/>
                <w:color w:val="231F20"/>
                <w:w w:val="105"/>
                <w:sz w:val="17"/>
              </w:rPr>
              <w:t>No</w:t>
            </w:r>
          </w:p>
        </w:tc>
        <w:tc>
          <w:tcPr>
            <w:tcW w:w="737" w:type="dxa"/>
          </w:tcPr>
          <w:p>
            <w:pPr>
              <w:pStyle w:val="TableParagraph"/>
              <w:ind w:left="10" w:right="10"/>
              <w:jc w:val="center"/>
              <w:rPr>
                <w:rFonts w:ascii="Tahoma" w:hAnsi="Tahoma"/>
                <w:sz w:val="17"/>
              </w:rPr>
            </w:pPr>
            <w:r>
              <w:rPr>
                <w:rFonts w:ascii="Tahoma" w:hAnsi="Tahoma"/>
                <w:color w:val="231F20"/>
                <w:sz w:val="17"/>
              </w:rPr>
              <w:t>Sí</w:t>
            </w:r>
          </w:p>
        </w:tc>
        <w:tc>
          <w:tcPr>
            <w:tcW w:w="737" w:type="dxa"/>
          </w:tcPr>
          <w:p>
            <w:pPr>
              <w:pStyle w:val="TableParagraph"/>
              <w:ind w:right="251"/>
              <w:jc w:val="right"/>
              <w:rPr>
                <w:rFonts w:ascii="Tahoma"/>
                <w:sz w:val="17"/>
              </w:rPr>
            </w:pPr>
            <w:r>
              <w:rPr>
                <w:rFonts w:ascii="Tahoma"/>
                <w:color w:val="231F20"/>
                <w:w w:val="105"/>
                <w:sz w:val="17"/>
              </w:rPr>
              <w:t>No</w:t>
            </w:r>
          </w:p>
        </w:tc>
        <w:tc>
          <w:tcPr>
            <w:tcW w:w="737" w:type="dxa"/>
          </w:tcPr>
          <w:p>
            <w:pPr>
              <w:pStyle w:val="TableParagraph"/>
              <w:ind w:left="10" w:right="10"/>
              <w:jc w:val="center"/>
              <w:rPr>
                <w:rFonts w:ascii="Tahoma" w:hAnsi="Tahoma"/>
                <w:sz w:val="17"/>
              </w:rPr>
            </w:pPr>
            <w:r>
              <w:rPr>
                <w:rFonts w:ascii="Tahoma" w:hAnsi="Tahoma"/>
                <w:color w:val="231F20"/>
                <w:w w:val="105"/>
                <w:sz w:val="17"/>
              </w:rPr>
              <w:t>Sí</w:t>
            </w:r>
          </w:p>
        </w:tc>
        <w:tc>
          <w:tcPr>
            <w:tcW w:w="737" w:type="dxa"/>
            <w:tcBorders>
              <w:right w:val="nil"/>
            </w:tcBorders>
          </w:tcPr>
          <w:p>
            <w:pPr>
              <w:pStyle w:val="TableParagraph"/>
              <w:ind w:left="46" w:right="50"/>
              <w:jc w:val="center"/>
              <w:rPr>
                <w:rFonts w:ascii="Tahoma"/>
                <w:sz w:val="17"/>
              </w:rPr>
            </w:pPr>
            <w:r>
              <w:rPr>
                <w:rFonts w:ascii="Tahoma"/>
                <w:color w:val="231F20"/>
                <w:w w:val="105"/>
                <w:sz w:val="17"/>
              </w:rPr>
              <w:t>No</w:t>
            </w:r>
          </w:p>
        </w:tc>
      </w:tr>
      <w:tr>
        <w:trPr>
          <w:trHeight w:val="354" w:hRule="exact"/>
        </w:trPr>
        <w:tc>
          <w:tcPr>
            <w:tcW w:w="2886" w:type="dxa"/>
            <w:tcBorders>
              <w:left w:val="nil"/>
            </w:tcBorders>
          </w:tcPr>
          <w:p>
            <w:pPr>
              <w:pStyle w:val="TableParagraph"/>
              <w:ind w:left="113"/>
              <w:rPr>
                <w:sz w:val="17"/>
              </w:rPr>
            </w:pPr>
            <w:r>
              <w:rPr>
                <w:color w:val="231F20"/>
                <w:sz w:val="17"/>
              </w:rPr>
              <w:t>Pastoreo rebaño</w:t>
            </w:r>
          </w:p>
        </w:tc>
        <w:tc>
          <w:tcPr>
            <w:tcW w:w="737" w:type="dxa"/>
          </w:tcPr>
          <w:p>
            <w:pPr>
              <w:pStyle w:val="TableParagraph"/>
              <w:ind w:left="10" w:right="10"/>
              <w:jc w:val="center"/>
              <w:rPr>
                <w:sz w:val="17"/>
              </w:rPr>
            </w:pPr>
            <w:r>
              <w:rPr>
                <w:color w:val="231F20"/>
                <w:w w:val="110"/>
                <w:sz w:val="17"/>
              </w:rPr>
              <w:t>79,6</w:t>
            </w:r>
          </w:p>
        </w:tc>
        <w:tc>
          <w:tcPr>
            <w:tcW w:w="737" w:type="dxa"/>
          </w:tcPr>
          <w:p>
            <w:pPr>
              <w:pStyle w:val="TableParagraph"/>
              <w:ind w:right="196"/>
              <w:jc w:val="right"/>
              <w:rPr>
                <w:sz w:val="17"/>
              </w:rPr>
            </w:pPr>
            <w:r>
              <w:rPr>
                <w:color w:val="231F20"/>
                <w:w w:val="110"/>
                <w:sz w:val="17"/>
              </w:rPr>
              <w:t>20,4</w:t>
            </w:r>
          </w:p>
        </w:tc>
        <w:tc>
          <w:tcPr>
            <w:tcW w:w="737" w:type="dxa"/>
          </w:tcPr>
          <w:p>
            <w:pPr>
              <w:pStyle w:val="TableParagraph"/>
              <w:ind w:right="198"/>
              <w:jc w:val="right"/>
              <w:rPr>
                <w:sz w:val="17"/>
              </w:rPr>
            </w:pPr>
            <w:r>
              <w:rPr>
                <w:color w:val="231F20"/>
                <w:w w:val="110"/>
                <w:sz w:val="17"/>
              </w:rPr>
              <w:t>93,3</w:t>
            </w:r>
          </w:p>
        </w:tc>
        <w:tc>
          <w:tcPr>
            <w:tcW w:w="737" w:type="dxa"/>
          </w:tcPr>
          <w:p>
            <w:pPr>
              <w:pStyle w:val="TableParagraph"/>
              <w:ind w:left="87" w:right="10"/>
              <w:jc w:val="center"/>
              <w:rPr>
                <w:sz w:val="17"/>
              </w:rPr>
            </w:pPr>
            <w:r>
              <w:rPr>
                <w:color w:val="231F20"/>
                <w:w w:val="110"/>
                <w:sz w:val="17"/>
              </w:rPr>
              <w:t>6,7</w:t>
            </w:r>
          </w:p>
        </w:tc>
        <w:tc>
          <w:tcPr>
            <w:tcW w:w="737" w:type="dxa"/>
          </w:tcPr>
          <w:p>
            <w:pPr>
              <w:pStyle w:val="TableParagraph"/>
              <w:ind w:left="10" w:right="10"/>
              <w:jc w:val="center"/>
              <w:rPr>
                <w:sz w:val="17"/>
              </w:rPr>
            </w:pPr>
            <w:r>
              <w:rPr>
                <w:color w:val="231F20"/>
                <w:w w:val="110"/>
                <w:sz w:val="17"/>
              </w:rPr>
              <w:t>92,3</w:t>
            </w:r>
          </w:p>
        </w:tc>
        <w:tc>
          <w:tcPr>
            <w:tcW w:w="737" w:type="dxa"/>
          </w:tcPr>
          <w:p>
            <w:pPr>
              <w:pStyle w:val="TableParagraph"/>
              <w:ind w:right="216"/>
              <w:jc w:val="right"/>
              <w:rPr>
                <w:sz w:val="17"/>
              </w:rPr>
            </w:pPr>
            <w:r>
              <w:rPr>
                <w:color w:val="231F20"/>
                <w:w w:val="105"/>
                <w:sz w:val="17"/>
              </w:rPr>
              <w:t>7,7</w:t>
            </w:r>
          </w:p>
        </w:tc>
        <w:tc>
          <w:tcPr>
            <w:tcW w:w="737" w:type="dxa"/>
          </w:tcPr>
          <w:p>
            <w:pPr>
              <w:pStyle w:val="TableParagraph"/>
              <w:ind w:left="10" w:right="10"/>
              <w:jc w:val="center"/>
              <w:rPr>
                <w:sz w:val="17"/>
              </w:rPr>
            </w:pPr>
            <w:r>
              <w:rPr>
                <w:color w:val="231F20"/>
                <w:w w:val="110"/>
                <w:sz w:val="17"/>
              </w:rPr>
              <w:t>93,8</w:t>
            </w:r>
          </w:p>
        </w:tc>
        <w:tc>
          <w:tcPr>
            <w:tcW w:w="737" w:type="dxa"/>
            <w:tcBorders>
              <w:right w:val="nil"/>
            </w:tcBorders>
          </w:tcPr>
          <w:p>
            <w:pPr>
              <w:pStyle w:val="TableParagraph"/>
              <w:ind w:left="130" w:right="50"/>
              <w:jc w:val="center"/>
              <w:rPr>
                <w:sz w:val="17"/>
              </w:rPr>
            </w:pPr>
            <w:r>
              <w:rPr>
                <w:color w:val="231F20"/>
                <w:w w:val="110"/>
                <w:sz w:val="17"/>
              </w:rPr>
              <w:t>6,2</w:t>
            </w:r>
          </w:p>
        </w:tc>
      </w:tr>
      <w:tr>
        <w:trPr>
          <w:trHeight w:val="354" w:hRule="exact"/>
        </w:trPr>
        <w:tc>
          <w:tcPr>
            <w:tcW w:w="2886" w:type="dxa"/>
            <w:tcBorders>
              <w:left w:val="nil"/>
            </w:tcBorders>
          </w:tcPr>
          <w:p>
            <w:pPr>
              <w:pStyle w:val="TableParagraph"/>
              <w:ind w:left="113"/>
              <w:rPr>
                <w:sz w:val="17"/>
              </w:rPr>
            </w:pPr>
            <w:r>
              <w:rPr>
                <w:color w:val="231F20"/>
                <w:sz w:val="17"/>
              </w:rPr>
              <w:t>Complemento alimentario*</w:t>
            </w:r>
          </w:p>
        </w:tc>
        <w:tc>
          <w:tcPr>
            <w:tcW w:w="737" w:type="dxa"/>
          </w:tcPr>
          <w:p>
            <w:pPr>
              <w:pStyle w:val="TableParagraph"/>
              <w:ind w:left="5" w:right="10"/>
              <w:jc w:val="center"/>
              <w:rPr>
                <w:sz w:val="17"/>
              </w:rPr>
            </w:pPr>
            <w:r>
              <w:rPr>
                <w:color w:val="231F20"/>
                <w:w w:val="110"/>
                <w:sz w:val="17"/>
              </w:rPr>
              <w:t>53,7</w:t>
            </w:r>
          </w:p>
        </w:tc>
        <w:tc>
          <w:tcPr>
            <w:tcW w:w="737" w:type="dxa"/>
          </w:tcPr>
          <w:p>
            <w:pPr>
              <w:pStyle w:val="TableParagraph"/>
              <w:ind w:right="195"/>
              <w:jc w:val="right"/>
              <w:rPr>
                <w:sz w:val="17"/>
              </w:rPr>
            </w:pPr>
            <w:r>
              <w:rPr>
                <w:color w:val="231F20"/>
                <w:w w:val="110"/>
                <w:sz w:val="17"/>
              </w:rPr>
              <w:t>46,3</w:t>
            </w:r>
          </w:p>
        </w:tc>
        <w:tc>
          <w:tcPr>
            <w:tcW w:w="737" w:type="dxa"/>
          </w:tcPr>
          <w:p>
            <w:pPr>
              <w:pStyle w:val="TableParagraph"/>
              <w:ind w:right="205"/>
              <w:jc w:val="right"/>
              <w:rPr>
                <w:sz w:val="17"/>
              </w:rPr>
            </w:pPr>
            <w:r>
              <w:rPr>
                <w:color w:val="231F20"/>
                <w:w w:val="110"/>
                <w:sz w:val="17"/>
              </w:rPr>
              <w:t>66,7</w:t>
            </w:r>
          </w:p>
        </w:tc>
        <w:tc>
          <w:tcPr>
            <w:tcW w:w="737" w:type="dxa"/>
          </w:tcPr>
          <w:p>
            <w:pPr>
              <w:pStyle w:val="TableParagraph"/>
              <w:ind w:left="10" w:right="10"/>
              <w:jc w:val="center"/>
              <w:rPr>
                <w:sz w:val="17"/>
              </w:rPr>
            </w:pPr>
            <w:r>
              <w:rPr>
                <w:color w:val="231F20"/>
                <w:w w:val="110"/>
                <w:sz w:val="17"/>
              </w:rPr>
              <w:t>33,3</w:t>
            </w:r>
          </w:p>
        </w:tc>
        <w:tc>
          <w:tcPr>
            <w:tcW w:w="737" w:type="dxa"/>
          </w:tcPr>
          <w:p>
            <w:pPr>
              <w:pStyle w:val="TableParagraph"/>
              <w:ind w:left="10" w:right="10"/>
              <w:jc w:val="center"/>
              <w:rPr>
                <w:sz w:val="17"/>
              </w:rPr>
            </w:pPr>
            <w:r>
              <w:rPr>
                <w:color w:val="231F20"/>
                <w:w w:val="110"/>
                <w:sz w:val="17"/>
              </w:rPr>
              <w:t>42,9</w:t>
            </w:r>
          </w:p>
        </w:tc>
        <w:tc>
          <w:tcPr>
            <w:tcW w:w="737" w:type="dxa"/>
          </w:tcPr>
          <w:p>
            <w:pPr>
              <w:pStyle w:val="TableParagraph"/>
              <w:ind w:right="207"/>
              <w:jc w:val="right"/>
              <w:rPr>
                <w:sz w:val="17"/>
              </w:rPr>
            </w:pPr>
            <w:r>
              <w:rPr>
                <w:color w:val="231F20"/>
                <w:w w:val="110"/>
                <w:sz w:val="17"/>
              </w:rPr>
              <w:t>57,1</w:t>
            </w:r>
          </w:p>
        </w:tc>
        <w:tc>
          <w:tcPr>
            <w:tcW w:w="737" w:type="dxa"/>
          </w:tcPr>
          <w:p>
            <w:pPr>
              <w:pStyle w:val="TableParagraph"/>
              <w:ind w:left="10" w:right="10"/>
              <w:jc w:val="center"/>
              <w:rPr>
                <w:sz w:val="17"/>
              </w:rPr>
            </w:pPr>
            <w:r>
              <w:rPr>
                <w:color w:val="231F20"/>
                <w:w w:val="110"/>
                <w:sz w:val="17"/>
              </w:rPr>
              <w:t>68,8</w:t>
            </w:r>
          </w:p>
        </w:tc>
        <w:tc>
          <w:tcPr>
            <w:tcW w:w="737" w:type="dxa"/>
            <w:tcBorders>
              <w:right w:val="nil"/>
            </w:tcBorders>
          </w:tcPr>
          <w:p>
            <w:pPr>
              <w:pStyle w:val="TableParagraph"/>
              <w:ind w:left="46" w:right="50"/>
              <w:jc w:val="center"/>
              <w:rPr>
                <w:sz w:val="17"/>
              </w:rPr>
            </w:pPr>
            <w:r>
              <w:rPr>
                <w:color w:val="231F20"/>
                <w:w w:val="110"/>
                <w:sz w:val="17"/>
              </w:rPr>
              <w:t>31,2</w:t>
            </w:r>
          </w:p>
        </w:tc>
      </w:tr>
      <w:tr>
        <w:trPr>
          <w:trHeight w:val="354" w:hRule="exact"/>
        </w:trPr>
        <w:tc>
          <w:tcPr>
            <w:tcW w:w="2886" w:type="dxa"/>
            <w:tcBorders>
              <w:left w:val="nil"/>
            </w:tcBorders>
          </w:tcPr>
          <w:p>
            <w:pPr>
              <w:pStyle w:val="TableParagraph"/>
              <w:ind w:left="113"/>
              <w:rPr>
                <w:sz w:val="17"/>
              </w:rPr>
            </w:pPr>
            <w:r>
              <w:rPr>
                <w:color w:val="231F20"/>
                <w:sz w:val="17"/>
              </w:rPr>
              <w:t>Desparasitación</w:t>
            </w:r>
          </w:p>
        </w:tc>
        <w:tc>
          <w:tcPr>
            <w:tcW w:w="737" w:type="dxa"/>
          </w:tcPr>
          <w:p>
            <w:pPr>
              <w:pStyle w:val="TableParagraph"/>
              <w:ind w:left="10" w:right="10"/>
              <w:jc w:val="center"/>
              <w:rPr>
                <w:sz w:val="17"/>
              </w:rPr>
            </w:pPr>
            <w:r>
              <w:rPr>
                <w:color w:val="231F20"/>
                <w:w w:val="110"/>
                <w:sz w:val="17"/>
              </w:rPr>
              <w:t>92,6</w:t>
            </w:r>
          </w:p>
        </w:tc>
        <w:tc>
          <w:tcPr>
            <w:tcW w:w="737" w:type="dxa"/>
          </w:tcPr>
          <w:p>
            <w:pPr>
              <w:pStyle w:val="TableParagraph"/>
              <w:ind w:right="212"/>
              <w:jc w:val="right"/>
              <w:rPr>
                <w:sz w:val="17"/>
              </w:rPr>
            </w:pPr>
            <w:r>
              <w:rPr>
                <w:color w:val="231F20"/>
                <w:w w:val="105"/>
                <w:sz w:val="17"/>
              </w:rPr>
              <w:t>7,4</w:t>
            </w:r>
          </w:p>
        </w:tc>
        <w:tc>
          <w:tcPr>
            <w:tcW w:w="737" w:type="dxa"/>
          </w:tcPr>
          <w:p>
            <w:pPr>
              <w:pStyle w:val="TableParagraph"/>
              <w:ind w:left="108"/>
              <w:rPr>
                <w:sz w:val="17"/>
              </w:rPr>
            </w:pPr>
            <w:r>
              <w:rPr>
                <w:color w:val="231F20"/>
                <w:w w:val="115"/>
                <w:sz w:val="17"/>
              </w:rPr>
              <w:t>100</w:t>
            </w:r>
          </w:p>
        </w:tc>
        <w:tc>
          <w:tcPr>
            <w:tcW w:w="737" w:type="dxa"/>
          </w:tcPr>
          <w:p>
            <w:pPr>
              <w:pStyle w:val="TableParagraph"/>
              <w:jc w:val="center"/>
              <w:rPr>
                <w:sz w:val="17"/>
              </w:rPr>
            </w:pPr>
            <w:r>
              <w:rPr>
                <w:color w:val="231F20"/>
                <w:w w:val="115"/>
                <w:sz w:val="17"/>
              </w:rPr>
              <w:t>0</w:t>
            </w:r>
          </w:p>
        </w:tc>
        <w:tc>
          <w:tcPr>
            <w:tcW w:w="737" w:type="dxa"/>
          </w:tcPr>
          <w:p>
            <w:pPr>
              <w:pStyle w:val="TableParagraph"/>
              <w:ind w:left="10" w:right="10"/>
              <w:jc w:val="center"/>
              <w:rPr>
                <w:sz w:val="17"/>
              </w:rPr>
            </w:pPr>
            <w:r>
              <w:rPr>
                <w:color w:val="231F20"/>
                <w:w w:val="110"/>
                <w:sz w:val="17"/>
              </w:rPr>
              <w:t>84,6</w:t>
            </w:r>
          </w:p>
        </w:tc>
        <w:tc>
          <w:tcPr>
            <w:tcW w:w="737" w:type="dxa"/>
          </w:tcPr>
          <w:p>
            <w:pPr>
              <w:pStyle w:val="TableParagraph"/>
              <w:ind w:right="198"/>
              <w:jc w:val="right"/>
              <w:rPr>
                <w:sz w:val="17"/>
              </w:rPr>
            </w:pPr>
            <w:r>
              <w:rPr>
                <w:color w:val="231F20"/>
                <w:w w:val="110"/>
                <w:sz w:val="17"/>
              </w:rPr>
              <w:t>15,4</w:t>
            </w:r>
          </w:p>
        </w:tc>
        <w:tc>
          <w:tcPr>
            <w:tcW w:w="737" w:type="dxa"/>
          </w:tcPr>
          <w:p>
            <w:pPr>
              <w:pStyle w:val="TableParagraph"/>
              <w:ind w:left="10" w:right="10"/>
              <w:jc w:val="center"/>
              <w:rPr>
                <w:sz w:val="17"/>
              </w:rPr>
            </w:pPr>
            <w:r>
              <w:rPr>
                <w:color w:val="231F20"/>
                <w:w w:val="110"/>
                <w:sz w:val="17"/>
              </w:rPr>
              <w:t>93,8</w:t>
            </w:r>
          </w:p>
        </w:tc>
        <w:tc>
          <w:tcPr>
            <w:tcW w:w="737" w:type="dxa"/>
            <w:tcBorders>
              <w:right w:val="nil"/>
            </w:tcBorders>
          </w:tcPr>
          <w:p>
            <w:pPr>
              <w:pStyle w:val="TableParagraph"/>
              <w:ind w:left="130" w:right="50"/>
              <w:jc w:val="center"/>
              <w:rPr>
                <w:sz w:val="17"/>
              </w:rPr>
            </w:pPr>
            <w:r>
              <w:rPr>
                <w:color w:val="231F20"/>
                <w:w w:val="110"/>
                <w:sz w:val="17"/>
              </w:rPr>
              <w:t>6,3</w:t>
            </w:r>
          </w:p>
        </w:tc>
      </w:tr>
      <w:tr>
        <w:trPr>
          <w:trHeight w:val="354" w:hRule="exact"/>
        </w:trPr>
        <w:tc>
          <w:tcPr>
            <w:tcW w:w="2886" w:type="dxa"/>
            <w:tcBorders>
              <w:left w:val="nil"/>
            </w:tcBorders>
          </w:tcPr>
          <w:p>
            <w:pPr>
              <w:pStyle w:val="TableParagraph"/>
              <w:ind w:left="113"/>
              <w:rPr>
                <w:sz w:val="17"/>
              </w:rPr>
            </w:pPr>
            <w:r>
              <w:rPr>
                <w:color w:val="231F20"/>
                <w:sz w:val="17"/>
              </w:rPr>
              <w:t>Vacunación</w:t>
            </w:r>
          </w:p>
        </w:tc>
        <w:tc>
          <w:tcPr>
            <w:tcW w:w="737" w:type="dxa"/>
          </w:tcPr>
          <w:p>
            <w:pPr>
              <w:pStyle w:val="TableParagraph"/>
              <w:ind w:left="10" w:right="10"/>
              <w:jc w:val="center"/>
              <w:rPr>
                <w:sz w:val="17"/>
              </w:rPr>
            </w:pPr>
            <w:r>
              <w:rPr>
                <w:color w:val="231F20"/>
                <w:w w:val="110"/>
                <w:sz w:val="17"/>
              </w:rPr>
              <w:t>48,1</w:t>
            </w:r>
          </w:p>
        </w:tc>
        <w:tc>
          <w:tcPr>
            <w:tcW w:w="737" w:type="dxa"/>
          </w:tcPr>
          <w:p>
            <w:pPr>
              <w:pStyle w:val="TableParagraph"/>
              <w:ind w:right="196"/>
              <w:jc w:val="right"/>
              <w:rPr>
                <w:sz w:val="17"/>
              </w:rPr>
            </w:pPr>
            <w:r>
              <w:rPr>
                <w:color w:val="231F20"/>
                <w:w w:val="110"/>
                <w:sz w:val="17"/>
              </w:rPr>
              <w:t>51,9</w:t>
            </w:r>
          </w:p>
        </w:tc>
        <w:tc>
          <w:tcPr>
            <w:tcW w:w="737" w:type="dxa"/>
          </w:tcPr>
          <w:p>
            <w:pPr>
              <w:pStyle w:val="TableParagraph"/>
              <w:ind w:right="230"/>
              <w:jc w:val="right"/>
              <w:rPr>
                <w:sz w:val="17"/>
              </w:rPr>
            </w:pPr>
            <w:r>
              <w:rPr>
                <w:color w:val="231F20"/>
                <w:w w:val="110"/>
                <w:sz w:val="17"/>
              </w:rPr>
              <w:t>67,7</w:t>
            </w:r>
          </w:p>
        </w:tc>
        <w:tc>
          <w:tcPr>
            <w:tcW w:w="737" w:type="dxa"/>
          </w:tcPr>
          <w:p>
            <w:pPr>
              <w:pStyle w:val="TableParagraph"/>
              <w:ind w:left="10" w:right="10"/>
              <w:jc w:val="center"/>
              <w:rPr>
                <w:sz w:val="17"/>
              </w:rPr>
            </w:pPr>
            <w:r>
              <w:rPr>
                <w:color w:val="231F20"/>
                <w:w w:val="110"/>
                <w:sz w:val="17"/>
              </w:rPr>
              <w:t>33,3</w:t>
            </w:r>
          </w:p>
        </w:tc>
        <w:tc>
          <w:tcPr>
            <w:tcW w:w="737" w:type="dxa"/>
          </w:tcPr>
          <w:p>
            <w:pPr>
              <w:pStyle w:val="TableParagraph"/>
              <w:ind w:left="10" w:right="10"/>
              <w:jc w:val="center"/>
              <w:rPr>
                <w:sz w:val="17"/>
              </w:rPr>
            </w:pPr>
            <w:r>
              <w:rPr>
                <w:color w:val="231F20"/>
                <w:w w:val="110"/>
                <w:sz w:val="17"/>
              </w:rPr>
              <w:t>69,2</w:t>
            </w:r>
          </w:p>
        </w:tc>
        <w:tc>
          <w:tcPr>
            <w:tcW w:w="737" w:type="dxa"/>
          </w:tcPr>
          <w:p>
            <w:pPr>
              <w:pStyle w:val="TableParagraph"/>
              <w:ind w:right="196"/>
              <w:jc w:val="right"/>
              <w:rPr>
                <w:sz w:val="17"/>
              </w:rPr>
            </w:pPr>
            <w:r>
              <w:rPr>
                <w:color w:val="231F20"/>
                <w:w w:val="110"/>
                <w:sz w:val="17"/>
              </w:rPr>
              <w:t>30,8</w:t>
            </w:r>
          </w:p>
        </w:tc>
        <w:tc>
          <w:tcPr>
            <w:tcW w:w="737" w:type="dxa"/>
          </w:tcPr>
          <w:p>
            <w:pPr>
              <w:pStyle w:val="TableParagraph"/>
              <w:ind w:left="10" w:right="10"/>
              <w:jc w:val="center"/>
              <w:rPr>
                <w:sz w:val="17"/>
              </w:rPr>
            </w:pPr>
            <w:r>
              <w:rPr>
                <w:color w:val="231F20"/>
                <w:w w:val="110"/>
                <w:sz w:val="17"/>
              </w:rPr>
              <w:t>62,5</w:t>
            </w:r>
          </w:p>
        </w:tc>
        <w:tc>
          <w:tcPr>
            <w:tcW w:w="737" w:type="dxa"/>
            <w:tcBorders>
              <w:right w:val="nil"/>
            </w:tcBorders>
          </w:tcPr>
          <w:p>
            <w:pPr>
              <w:pStyle w:val="TableParagraph"/>
              <w:ind w:left="46" w:right="49"/>
              <w:jc w:val="center"/>
              <w:rPr>
                <w:sz w:val="17"/>
              </w:rPr>
            </w:pPr>
            <w:r>
              <w:rPr>
                <w:color w:val="231F20"/>
                <w:w w:val="110"/>
                <w:sz w:val="17"/>
              </w:rPr>
              <w:t>37,5</w:t>
            </w:r>
          </w:p>
        </w:tc>
      </w:tr>
      <w:tr>
        <w:trPr>
          <w:trHeight w:val="354" w:hRule="exact"/>
        </w:trPr>
        <w:tc>
          <w:tcPr>
            <w:tcW w:w="2886" w:type="dxa"/>
            <w:tcBorders>
              <w:left w:val="nil"/>
            </w:tcBorders>
          </w:tcPr>
          <w:p>
            <w:pPr>
              <w:pStyle w:val="TableParagraph"/>
              <w:ind w:left="113"/>
              <w:rPr>
                <w:sz w:val="17"/>
              </w:rPr>
            </w:pPr>
            <w:r>
              <w:rPr>
                <w:color w:val="231F20"/>
                <w:sz w:val="17"/>
              </w:rPr>
              <w:t>Asistencia técnica</w:t>
            </w:r>
          </w:p>
        </w:tc>
        <w:tc>
          <w:tcPr>
            <w:tcW w:w="737" w:type="dxa"/>
          </w:tcPr>
          <w:p>
            <w:pPr>
              <w:pStyle w:val="TableParagraph"/>
              <w:ind w:left="5" w:right="10"/>
              <w:jc w:val="center"/>
              <w:rPr>
                <w:sz w:val="17"/>
              </w:rPr>
            </w:pPr>
            <w:r>
              <w:rPr>
                <w:color w:val="231F20"/>
                <w:w w:val="110"/>
                <w:sz w:val="17"/>
              </w:rPr>
              <w:t>41,7</w:t>
            </w:r>
          </w:p>
        </w:tc>
        <w:tc>
          <w:tcPr>
            <w:tcW w:w="737" w:type="dxa"/>
          </w:tcPr>
          <w:p>
            <w:pPr>
              <w:pStyle w:val="TableParagraph"/>
              <w:ind w:right="196"/>
              <w:jc w:val="right"/>
              <w:rPr>
                <w:sz w:val="17"/>
              </w:rPr>
            </w:pPr>
            <w:r>
              <w:rPr>
                <w:color w:val="231F20"/>
                <w:w w:val="110"/>
                <w:sz w:val="17"/>
              </w:rPr>
              <w:t>58,3</w:t>
            </w:r>
          </w:p>
        </w:tc>
        <w:tc>
          <w:tcPr>
            <w:tcW w:w="737" w:type="dxa"/>
          </w:tcPr>
          <w:p>
            <w:pPr>
              <w:pStyle w:val="TableParagraph"/>
              <w:ind w:right="198"/>
              <w:jc w:val="right"/>
              <w:rPr>
                <w:sz w:val="17"/>
              </w:rPr>
            </w:pPr>
            <w:r>
              <w:rPr>
                <w:color w:val="231F20"/>
                <w:w w:val="110"/>
                <w:sz w:val="17"/>
              </w:rPr>
              <w:t>60,0</w:t>
            </w:r>
          </w:p>
        </w:tc>
        <w:tc>
          <w:tcPr>
            <w:tcW w:w="737" w:type="dxa"/>
          </w:tcPr>
          <w:p>
            <w:pPr>
              <w:pStyle w:val="TableParagraph"/>
              <w:ind w:left="10" w:right="10"/>
              <w:jc w:val="center"/>
              <w:rPr>
                <w:sz w:val="17"/>
              </w:rPr>
            </w:pPr>
            <w:r>
              <w:rPr>
                <w:color w:val="231F20"/>
                <w:w w:val="110"/>
                <w:sz w:val="17"/>
              </w:rPr>
              <w:t>40,0</w:t>
            </w:r>
          </w:p>
        </w:tc>
        <w:tc>
          <w:tcPr>
            <w:tcW w:w="737" w:type="dxa"/>
          </w:tcPr>
          <w:p>
            <w:pPr>
              <w:pStyle w:val="TableParagraph"/>
              <w:ind w:left="10" w:right="10"/>
              <w:jc w:val="center"/>
              <w:rPr>
                <w:sz w:val="17"/>
              </w:rPr>
            </w:pPr>
            <w:r>
              <w:rPr>
                <w:color w:val="231F20"/>
                <w:w w:val="110"/>
                <w:sz w:val="17"/>
              </w:rPr>
              <w:t>38,5</w:t>
            </w:r>
          </w:p>
        </w:tc>
        <w:tc>
          <w:tcPr>
            <w:tcW w:w="737" w:type="dxa"/>
          </w:tcPr>
          <w:p>
            <w:pPr>
              <w:pStyle w:val="TableParagraph"/>
              <w:ind w:right="198"/>
              <w:jc w:val="right"/>
              <w:rPr>
                <w:sz w:val="17"/>
              </w:rPr>
            </w:pPr>
            <w:r>
              <w:rPr>
                <w:color w:val="231F20"/>
                <w:w w:val="110"/>
                <w:sz w:val="17"/>
              </w:rPr>
              <w:t>61,5</w:t>
            </w:r>
          </w:p>
        </w:tc>
        <w:tc>
          <w:tcPr>
            <w:tcW w:w="737" w:type="dxa"/>
          </w:tcPr>
          <w:p>
            <w:pPr>
              <w:pStyle w:val="TableParagraph"/>
              <w:ind w:left="10" w:right="10"/>
              <w:jc w:val="center"/>
              <w:rPr>
                <w:sz w:val="17"/>
              </w:rPr>
            </w:pPr>
            <w:r>
              <w:rPr>
                <w:color w:val="231F20"/>
                <w:w w:val="110"/>
                <w:sz w:val="17"/>
              </w:rPr>
              <w:t>43,7</w:t>
            </w:r>
          </w:p>
        </w:tc>
        <w:tc>
          <w:tcPr>
            <w:tcW w:w="737" w:type="dxa"/>
            <w:tcBorders>
              <w:right w:val="nil"/>
            </w:tcBorders>
          </w:tcPr>
          <w:p>
            <w:pPr>
              <w:pStyle w:val="TableParagraph"/>
              <w:ind w:left="46" w:right="50"/>
              <w:jc w:val="center"/>
              <w:rPr>
                <w:sz w:val="17"/>
              </w:rPr>
            </w:pPr>
            <w:r>
              <w:rPr>
                <w:color w:val="231F20"/>
                <w:w w:val="110"/>
                <w:sz w:val="17"/>
              </w:rPr>
              <w:t>56,3</w:t>
            </w:r>
          </w:p>
        </w:tc>
      </w:tr>
    </w:tbl>
    <w:p>
      <w:pPr>
        <w:spacing w:before="90"/>
        <w:ind w:left="1563" w:right="2503" w:firstLine="0"/>
        <w:jc w:val="left"/>
        <w:rPr>
          <w:sz w:val="15"/>
        </w:rPr>
      </w:pPr>
      <w:r>
        <w:rPr>
          <w:color w:val="231F20"/>
          <w:sz w:val="15"/>
        </w:rPr>
        <w:t>*Alimento balanceado comercial o elaborado en la misma unidad de    producción.</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11.   </w:t>
      </w:r>
      <w:r>
        <w:rPr>
          <w:color w:val="231F20"/>
          <w:sz w:val="18"/>
        </w:rPr>
        <w:t>Caracterización de las zonas borregueras de Michoacán y  </w:t>
      </w:r>
      <w:r>
        <w:rPr>
          <w:color w:val="231F20"/>
          <w:spacing w:val="31"/>
          <w:sz w:val="18"/>
        </w:rPr>
        <w:t> </w:t>
      </w:r>
      <w:r>
        <w:rPr>
          <w:color w:val="231F20"/>
          <w:sz w:val="18"/>
        </w:rPr>
        <w:t>sus</w:t>
      </w:r>
      <w:r>
        <w:rPr>
          <w:color w:val="231F20"/>
          <w:spacing w:val="13"/>
          <w:sz w:val="18"/>
        </w:rPr>
        <w:t> </w:t>
      </w:r>
      <w:r>
        <w:rPr>
          <w:color w:val="231F20"/>
          <w:sz w:val="18"/>
        </w:rPr>
        <w:t>implicaciones...</w:t>
      </w:r>
      <w:r>
        <w:rPr>
          <w:color w:val="231F20"/>
          <w:sz w:val="22"/>
        </w:rPr>
        <w:tab/>
      </w:r>
      <w:r>
        <w:rPr>
          <w:color w:val="231F20"/>
          <w:spacing w:val="-9"/>
          <w:sz w:val="22"/>
        </w:rPr>
        <w:t>177</w:t>
      </w:r>
    </w:p>
    <w:p>
      <w:pPr>
        <w:tabs>
          <w:tab w:pos="5414" w:val="left" w:leader="none"/>
          <w:tab w:pos="7123" w:val="left" w:leader="none"/>
        </w:tabs>
        <w:spacing w:before="373"/>
        <w:ind w:left="3705" w:right="2503" w:firstLine="0"/>
        <w:jc w:val="left"/>
        <w:rPr>
          <w:rFonts w:ascii="Arial"/>
          <w:sz w:val="16"/>
        </w:rPr>
      </w:pPr>
      <w:r>
        <w:rPr/>
        <w:pict>
          <v:line style="position:absolute;mso-position-horizontal-relative:page;mso-position-vertical-relative:paragraph;z-index:5416" from="179.574997pt,23.362322pt" to="183.702997pt,23.362322pt" stroked="true" strokeweight="4.128pt" strokecolor="#dcddde">
            <w10:wrap type="none"/>
          </v:line>
        </w:pict>
      </w:r>
      <w:r>
        <w:rPr/>
        <w:pict>
          <v:line style="position:absolute;mso-position-horizontal-relative:page;mso-position-vertical-relative:paragraph;z-index:-491464" from="265.014008pt,23.362322pt" to="269.143008pt,23.362322pt" stroked="true" strokeweight="4.128pt" strokecolor="#b2b4b6">
            <w10:wrap type="none"/>
          </v:line>
        </w:pict>
      </w:r>
      <w:r>
        <w:rPr/>
        <w:pict>
          <v:group style="position:absolute;margin-left:349.992004pt;margin-top:20.956322pt;width:4.8pt;height:4.8pt;mso-position-horizontal-relative:page;mso-position-vertical-relative:paragraph;z-index:-491440" coordorigin="7000,419" coordsize="96,96">
            <v:shape style="position:absolute;left:7007;top:427;width:80;height:80" type="#_x0000_t75" stroked="false">
              <v:imagedata r:id="rId305" o:title=""/>
            </v:shape>
            <v:rect style="position:absolute;left:7007;top:427;width:80;height:80" filled="false" stroked="true" strokeweight=".75pt" strokecolor="#231f20"/>
            <w10:wrap type="none"/>
          </v:group>
        </w:pict>
      </w:r>
      <w:r>
        <w:rPr>
          <w:rFonts w:ascii="Arial"/>
          <w:color w:val="231F20"/>
          <w:sz w:val="16"/>
        </w:rPr>
        <w:t>Dorper</w:t>
        <w:tab/>
        <w:t>Sulffolk</w:t>
        <w:tab/>
        <w:t>Katahdin</w:t>
      </w:r>
    </w:p>
    <w:p>
      <w:pPr>
        <w:spacing w:before="120"/>
        <w:ind w:left="3041" w:right="2503" w:firstLine="0"/>
        <w:jc w:val="left"/>
        <w:rPr>
          <w:rFonts w:ascii="Arial"/>
          <w:sz w:val="16"/>
        </w:rPr>
      </w:pPr>
      <w:r>
        <w:rPr/>
        <w:pict>
          <v:group style="position:absolute;margin-left:164.775803pt;margin-top:5.492717pt;width:281.3pt;height:148.950pt;mso-position-horizontal-relative:page;mso-position-vertical-relative:paragraph;z-index:5392" coordorigin="3296,110" coordsize="5626,2979">
            <v:rect style="position:absolute;left:3501;top:1069;width:184;height:1955" filled="true" fillcolor="#dcddde" stroked="false">
              <v:fill type="solid"/>
            </v:rect>
            <v:rect style="position:absolute;left:3685;top:1939;width:186;height:1085" filled="true" fillcolor="#b2b4b6" stroked="false">
              <v:fill type="solid"/>
            </v:rect>
            <v:shape style="position:absolute;left:3871;top:2446;width:184;height:577" type="#_x0000_t75" stroked="false">
              <v:imagedata r:id="rId306" o:title=""/>
            </v:shape>
            <v:rect style="position:absolute;left:3871;top:2446;width:184;height:577" filled="false" stroked="true" strokeweight=".75pt" strokecolor="#231f20"/>
            <v:shape style="position:absolute;left:4055;top:2807;width:184;height:216" type="#_x0000_t75" stroked="false">
              <v:imagedata r:id="rId307" o:title=""/>
            </v:shape>
            <v:rect style="position:absolute;left:4055;top:2807;width:184;height:216" filled="false" stroked="true" strokeweight=".75pt" strokecolor="#231f20"/>
            <v:rect style="position:absolute;left:4240;top:2543;width:186;height:480" filled="true" fillcolor="#77787b" stroked="false">
              <v:fill type="solid"/>
            </v:rect>
            <v:shape style="position:absolute;left:4426;top:2634;width:184;height:389" type="#_x0000_t75" stroked="false">
              <v:imagedata r:id="rId308" o:title=""/>
            </v:shape>
            <v:shape style="position:absolute;left:4889;top:858;width:2961;height:2166" coordorigin="4889,858" coordsize="2961,2166" path="m5073,1459l4889,1459,4889,3023,5073,3023,5073,1459m6461,858l6277,858,6277,3023,6461,3023,6461,858m7850,965l7663,965,7663,3023,7850,3023,7850,965e" filled="true" fillcolor="#dcddde" stroked="false">
              <v:path arrowok="t"/>
              <v:fill type="solid"/>
            </v:shape>
            <v:shape style="position:absolute;left:5257;top:520;width:186;height:2503" type="#_x0000_t75" stroked="false">
              <v:imagedata r:id="rId309" o:title=""/>
            </v:shape>
            <v:rect style="position:absolute;left:5257;top:520;width:186;height:2503" filled="false" stroked="true" strokeweight=".75pt" strokecolor="#231f20"/>
            <v:shape style="position:absolute;left:5443;top:2394;width:184;height:629" type="#_x0000_t75" stroked="false">
              <v:imagedata r:id="rId310" o:title=""/>
            </v:shape>
            <v:rect style="position:absolute;left:5443;top:2394;width:184;height:629" filled="false" stroked="true" strokeweight=".75pt" strokecolor="#231f20"/>
            <v:shape style="position:absolute;left:6645;top:1939;width:186;height:1084" type="#_x0000_t75" stroked="false">
              <v:imagedata r:id="rId311" o:title=""/>
            </v:shape>
            <v:rect style="position:absolute;left:6645;top:1939;width:186;height:1084" filled="false" stroked="true" strokeweight=".75pt" strokecolor="#231f20"/>
            <v:shape style="position:absolute;left:6831;top:1576;width:184;height:1447" type="#_x0000_t75" stroked="false">
              <v:imagedata r:id="rId312" o:title=""/>
            </v:shape>
            <v:rect style="position:absolute;left:6831;top:1576;width:184;height:1447" filled="false" stroked="true" strokeweight=".75pt" strokecolor="#231f20"/>
            <v:shape style="position:absolute;left:8033;top:1261;width:184;height:1762" type="#_x0000_t75" stroked="false">
              <v:imagedata r:id="rId313" o:title=""/>
            </v:shape>
            <v:rect style="position:absolute;left:8033;top:1261;width:184;height:1762" filled="false" stroked="true" strokeweight=".75pt" strokecolor="#231f20"/>
            <v:shape style="position:absolute;left:8218;top:2144;width:186;height:879" type="#_x0000_t75" stroked="false">
              <v:imagedata r:id="rId314" o:title=""/>
            </v:shape>
            <v:rect style="position:absolute;left:8218;top:2144;width:186;height:879" filled="false" stroked="true" strokeweight=".75pt" strokecolor="#231f20"/>
            <v:shape style="position:absolute;left:-60;top:9619;width:5611;height:2877" coordorigin="-60,9619" coordsize="5611,2877" path="m3363,3023l3363,205m3303,3023l3363,3023m3303,2553l3363,2553m3303,2084l3363,2084m3303,1614l3363,1614m3303,1144l3363,1144m3303,675l3363,675m3303,205l3363,205m3363,3023l8913,3023m3363,3023l3363,3081m4749,3023l4749,3081m6137,3023l6137,3081m7525,3023l7525,3081m8913,3023l8913,3081e" filled="false" stroked="true" strokeweight=".72pt" strokecolor="#989a9d">
              <v:path arrowok="t"/>
            </v:shape>
            <v:shape style="position:absolute;left:3591;top:142;width:80;height:80" type="#_x0000_t75" stroked="false">
              <v:imagedata r:id="rId315" o:title=""/>
            </v:shape>
            <v:rect style="position:absolute;left:3591;top:142;width:80;height:80" filled="false" stroked="true" strokeweight=".75pt" strokecolor="#231f20"/>
            <v:line style="position:absolute" from="5300,182" to="5383,182" stroked="true" strokeweight="4.128pt" strokecolor="#77787b"/>
            <v:shape style="position:absolute;left:7007;top:142;width:80;height:80" type="#_x0000_t75" stroked="false">
              <v:imagedata r:id="rId316" o:title=""/>
            </v:shape>
            <v:shape style="position:absolute;left:3706;top:110;width:4964;height:160" type="#_x0000_t202" filled="false" stroked="false">
              <v:textbox inset="0,0,0,0">
                <w:txbxContent>
                  <w:p>
                    <w:pPr>
                      <w:tabs>
                        <w:tab w:pos="1708" w:val="left" w:leader="none"/>
                        <w:tab w:pos="3417" w:val="left" w:leader="none"/>
                      </w:tabs>
                      <w:spacing w:line="160" w:lineRule="exact" w:before="0"/>
                      <w:ind w:left="0" w:right="0" w:firstLine="0"/>
                      <w:jc w:val="left"/>
                      <w:rPr>
                        <w:rFonts w:ascii="Arial"/>
                        <w:sz w:val="16"/>
                      </w:rPr>
                    </w:pPr>
                    <w:r>
                      <w:rPr>
                        <w:rFonts w:ascii="Arial"/>
                        <w:color w:val="231F20"/>
                        <w:sz w:val="16"/>
                      </w:rPr>
                      <w:t>Otras razas</w:t>
                    </w:r>
                    <w:r>
                      <w:rPr>
                        <w:rFonts w:ascii="Arial"/>
                        <w:color w:val="231F20"/>
                        <w:spacing w:val="-4"/>
                        <w:sz w:val="16"/>
                      </w:rPr>
                      <w:t> </w:t>
                    </w:r>
                    <w:r>
                      <w:rPr>
                        <w:rFonts w:ascii="Arial"/>
                        <w:color w:val="231F20"/>
                        <w:sz w:val="16"/>
                      </w:rPr>
                      <w:t>de</w:t>
                    </w:r>
                    <w:r>
                      <w:rPr>
                        <w:rFonts w:ascii="Arial"/>
                        <w:color w:val="231F20"/>
                        <w:spacing w:val="-3"/>
                        <w:sz w:val="16"/>
                      </w:rPr>
                      <w:t> </w:t>
                    </w:r>
                    <w:r>
                      <w:rPr>
                        <w:rFonts w:ascii="Arial"/>
                        <w:color w:val="231F20"/>
                        <w:sz w:val="16"/>
                      </w:rPr>
                      <w:t>pelo</w:t>
                      <w:tab/>
                      <w:t>Otras razas</w:t>
                    </w:r>
                    <w:r>
                      <w:rPr>
                        <w:rFonts w:ascii="Arial"/>
                        <w:color w:val="231F20"/>
                        <w:spacing w:val="-4"/>
                        <w:sz w:val="16"/>
                      </w:rPr>
                      <w:t> </w:t>
                    </w:r>
                    <w:r>
                      <w:rPr>
                        <w:rFonts w:ascii="Arial"/>
                        <w:color w:val="231F20"/>
                        <w:sz w:val="16"/>
                      </w:rPr>
                      <w:t>de</w:t>
                    </w:r>
                    <w:r>
                      <w:rPr>
                        <w:rFonts w:ascii="Arial"/>
                        <w:color w:val="231F20"/>
                        <w:spacing w:val="-3"/>
                        <w:sz w:val="16"/>
                      </w:rPr>
                      <w:t> </w:t>
                    </w:r>
                    <w:r>
                      <w:rPr>
                        <w:rFonts w:ascii="Arial"/>
                        <w:color w:val="231F20"/>
                        <w:sz w:val="16"/>
                      </w:rPr>
                      <w:t>lana</w:t>
                      <w:tab/>
                      <w:t>Cruzas de lana y</w:t>
                    </w:r>
                    <w:r>
                      <w:rPr>
                        <w:rFonts w:ascii="Arial"/>
                        <w:color w:val="231F20"/>
                        <w:spacing w:val="-10"/>
                        <w:sz w:val="16"/>
                      </w:rPr>
                      <w:t> </w:t>
                    </w:r>
                    <w:r>
                      <w:rPr>
                        <w:rFonts w:ascii="Arial"/>
                        <w:color w:val="231F20"/>
                        <w:sz w:val="16"/>
                      </w:rPr>
                      <w:t>pelo</w:t>
                    </w:r>
                  </w:p>
                </w:txbxContent>
              </v:textbox>
              <w10:wrap type="none"/>
            </v:shape>
            <w10:wrap type="none"/>
          </v:group>
        </w:pict>
      </w:r>
      <w:r>
        <w:rPr>
          <w:rFonts w:ascii="Arial"/>
          <w:color w:val="231F20"/>
          <w:sz w:val="16"/>
        </w:rPr>
        <w:t>60</w:t>
      </w:r>
    </w:p>
    <w:p>
      <w:pPr>
        <w:spacing w:before="286"/>
        <w:ind w:left="3041" w:right="2503" w:firstLine="0"/>
        <w:jc w:val="left"/>
        <w:rPr>
          <w:rFonts w:ascii="Arial"/>
          <w:sz w:val="16"/>
        </w:rPr>
      </w:pPr>
      <w:r>
        <w:rPr>
          <w:rFonts w:ascii="Arial"/>
          <w:color w:val="231F20"/>
          <w:sz w:val="16"/>
        </w:rPr>
        <w:t>50</w:t>
      </w:r>
    </w:p>
    <w:p>
      <w:pPr>
        <w:spacing w:before="285"/>
        <w:ind w:left="3041" w:right="2503" w:firstLine="0"/>
        <w:jc w:val="left"/>
        <w:rPr>
          <w:rFonts w:ascii="Arial"/>
          <w:sz w:val="16"/>
        </w:rPr>
      </w:pPr>
      <w:r>
        <w:rPr>
          <w:rFonts w:ascii="Arial"/>
          <w:color w:val="231F20"/>
          <w:sz w:val="16"/>
        </w:rPr>
        <w:t>40</w:t>
      </w:r>
    </w:p>
    <w:p>
      <w:pPr>
        <w:spacing w:before="285"/>
        <w:ind w:left="3041" w:right="2503" w:firstLine="0"/>
        <w:jc w:val="left"/>
        <w:rPr>
          <w:rFonts w:ascii="Arial"/>
          <w:sz w:val="16"/>
        </w:rPr>
      </w:pPr>
      <w:r>
        <w:rPr/>
        <w:pict>
          <v:shape style="position:absolute;margin-left:137.259598pt;margin-top:2.369932pt;width:10pt;height:40.25pt;mso-position-horizontal-relative:page;mso-position-vertical-relative:paragraph;z-index:5704" type="#_x0000_t202" filled="false" stroked="false">
            <v:textbox inset="0,0,0,0" style="layout-flow:vertical;mso-layout-flow-alt:bottom-to-top">
              <w:txbxContent>
                <w:p>
                  <w:pPr>
                    <w:spacing w:line="183" w:lineRule="exact" w:before="0"/>
                    <w:ind w:left="20" w:right="-605" w:firstLine="0"/>
                    <w:jc w:val="left"/>
                    <w:rPr>
                      <w:rFonts w:ascii="Arial"/>
                      <w:sz w:val="16"/>
                    </w:rPr>
                  </w:pPr>
                  <w:r>
                    <w:rPr>
                      <w:rFonts w:ascii="Arial"/>
                      <w:color w:val="231F20"/>
                      <w:w w:val="99"/>
                      <w:sz w:val="16"/>
                    </w:rPr>
                    <w:t>Porcentaje</w:t>
                  </w:r>
                </w:p>
              </w:txbxContent>
            </v:textbox>
            <w10:wrap type="none"/>
          </v:shape>
        </w:pict>
      </w:r>
      <w:r>
        <w:rPr>
          <w:rFonts w:ascii="Arial"/>
          <w:color w:val="231F20"/>
          <w:sz w:val="16"/>
        </w:rPr>
        <w:t>30</w:t>
      </w:r>
    </w:p>
    <w:p>
      <w:pPr>
        <w:spacing w:before="285"/>
        <w:ind w:left="3041" w:right="2503" w:firstLine="0"/>
        <w:jc w:val="left"/>
        <w:rPr>
          <w:rFonts w:ascii="Arial"/>
          <w:sz w:val="16"/>
        </w:rPr>
      </w:pPr>
      <w:r>
        <w:rPr>
          <w:rFonts w:ascii="Arial"/>
          <w:color w:val="231F20"/>
          <w:sz w:val="16"/>
        </w:rPr>
        <w:t>20</w:t>
      </w:r>
    </w:p>
    <w:p>
      <w:pPr>
        <w:spacing w:before="286"/>
        <w:ind w:left="3041" w:right="2503" w:firstLine="0"/>
        <w:jc w:val="left"/>
        <w:rPr>
          <w:rFonts w:ascii="Arial"/>
          <w:sz w:val="16"/>
        </w:rPr>
      </w:pPr>
      <w:r>
        <w:rPr>
          <w:rFonts w:ascii="Arial"/>
          <w:color w:val="231F20"/>
          <w:sz w:val="16"/>
        </w:rPr>
        <w:t>10</w:t>
      </w:r>
    </w:p>
    <w:p>
      <w:pPr>
        <w:spacing w:line="178" w:lineRule="exact" w:before="285"/>
        <w:ind w:left="3148" w:right="0" w:firstLine="0"/>
        <w:jc w:val="left"/>
        <w:rPr>
          <w:rFonts w:ascii="Arial"/>
          <w:sz w:val="16"/>
        </w:rPr>
      </w:pPr>
      <w:r>
        <w:rPr>
          <w:rFonts w:ascii="Arial"/>
          <w:color w:val="231F20"/>
          <w:w w:val="99"/>
          <w:sz w:val="16"/>
        </w:rPr>
        <w:t>0</w:t>
      </w:r>
    </w:p>
    <w:p>
      <w:pPr>
        <w:tabs>
          <w:tab w:pos="5176" w:val="left" w:leader="none"/>
          <w:tab w:pos="6587" w:val="left" w:leader="none"/>
          <w:tab w:pos="7973" w:val="left" w:leader="none"/>
        </w:tabs>
        <w:spacing w:line="178" w:lineRule="exact" w:before="0"/>
        <w:ind w:left="3787" w:right="2503" w:firstLine="0"/>
        <w:jc w:val="left"/>
        <w:rPr>
          <w:rFonts w:ascii="Arial"/>
          <w:sz w:val="16"/>
        </w:rPr>
      </w:pPr>
      <w:r>
        <w:rPr>
          <w:rFonts w:ascii="Arial"/>
          <w:color w:val="231F20"/>
          <w:sz w:val="16"/>
        </w:rPr>
        <w:t>ZBAM</w:t>
        <w:tab/>
        <w:t>ZBBM</w:t>
        <w:tab/>
      </w:r>
      <w:r>
        <w:rPr>
          <w:rFonts w:ascii="Arial"/>
          <w:color w:val="231F20"/>
          <w:spacing w:val="-3"/>
          <w:sz w:val="16"/>
        </w:rPr>
        <w:t>ZBVA</w:t>
        <w:tab/>
      </w:r>
      <w:r>
        <w:rPr>
          <w:rFonts w:ascii="Arial"/>
          <w:color w:val="231F20"/>
          <w:sz w:val="16"/>
        </w:rPr>
        <w:t>ZBTS</w:t>
      </w:r>
    </w:p>
    <w:p>
      <w:pPr>
        <w:spacing w:before="185"/>
        <w:ind w:left="3608" w:right="2503" w:firstLine="0"/>
        <w:jc w:val="left"/>
        <w:rPr>
          <w:sz w:val="18"/>
        </w:rPr>
      </w:pPr>
      <w:r>
        <w:rPr>
          <w:rFonts w:ascii="Tahoma"/>
          <w:color w:val="231F20"/>
          <w:sz w:val="18"/>
        </w:rPr>
        <w:t>Figura 6.  </w:t>
      </w:r>
      <w:r>
        <w:rPr>
          <w:color w:val="231F20"/>
          <w:sz w:val="18"/>
        </w:rPr>
        <w:t>Diversidad de razas de sementales ovinos por   zona.</w:t>
      </w:r>
    </w:p>
    <w:p>
      <w:pPr>
        <w:spacing w:after="0"/>
        <w:jc w:val="left"/>
        <w:rPr>
          <w:sz w:val="18"/>
        </w:rPr>
        <w:sectPr>
          <w:pgSz w:w="11900" w:h="14450"/>
          <w:pgMar w:header="0" w:footer="222" w:top="420" w:bottom="420" w:left="0" w:right="0"/>
        </w:sectPr>
      </w:pPr>
    </w:p>
    <w:p>
      <w:pPr>
        <w:pStyle w:val="BodyText"/>
        <w:spacing w:line="285" w:lineRule="auto" w:before="288"/>
        <w:ind w:left="1553"/>
        <w:jc w:val="both"/>
      </w:pPr>
      <w:r>
        <w:rPr>
          <w:color w:val="231F20"/>
        </w:rPr>
        <w:t>En lo que respecta a la raza de las hembras se observó una </w:t>
      </w:r>
      <w:r>
        <w:rPr>
          <w:color w:val="231F20"/>
          <w:spacing w:val="2"/>
        </w:rPr>
        <w:t>gran </w:t>
      </w:r>
      <w:r>
        <w:rPr>
          <w:color w:val="231F20"/>
        </w:rPr>
        <w:t>diversidad y cruzas de borregas según la zona, destacando nuevamente la ZBAM (Fig. 7). La ZBTS se distingue por limitarse a razas de pelo, entre ellas principalmente la raza Peli- buey  por  ser  las  hembras  de  mejores</w:t>
      </w:r>
      <w:r>
        <w:rPr>
          <w:color w:val="231F20"/>
          <w:spacing w:val="-6"/>
        </w:rPr>
        <w:t> </w:t>
      </w:r>
      <w:r>
        <w:rPr>
          <w:color w:val="231F20"/>
        </w:rPr>
        <w:t>caracterís-</w:t>
      </w:r>
    </w:p>
    <w:p>
      <w:pPr>
        <w:pStyle w:val="BodyText"/>
        <w:spacing w:line="285" w:lineRule="auto" w:before="288"/>
        <w:ind w:left="411" w:right="1549"/>
        <w:jc w:val="both"/>
      </w:pPr>
      <w:r>
        <w:rPr/>
        <w:br w:type="column"/>
      </w:r>
      <w:r>
        <w:rPr>
          <w:color w:val="231F20"/>
        </w:rPr>
        <w:t>ticas reproductivas y de rusticidad para el clima tropical. Estos hallazgos también  coinciden  </w:t>
      </w:r>
      <w:r>
        <w:rPr>
          <w:color w:val="231F20"/>
          <w:spacing w:val="2"/>
        </w:rPr>
        <w:t>con  </w:t>
      </w:r>
      <w:r>
        <w:rPr>
          <w:color w:val="231F20"/>
        </w:rPr>
        <w:t>los </w:t>
      </w:r>
      <w:r>
        <w:rPr>
          <w:color w:val="231F20"/>
          <w:spacing w:val="2"/>
        </w:rPr>
        <w:t>reportados </w:t>
      </w:r>
      <w:r>
        <w:rPr>
          <w:color w:val="231F20"/>
        </w:rPr>
        <w:t>por Góngora-Pérez  </w:t>
      </w:r>
      <w:r>
        <w:rPr>
          <w:rFonts w:ascii="Cambria" w:hAnsi="Cambria"/>
          <w:i/>
          <w:color w:val="231F20"/>
        </w:rPr>
        <w:t>et  al.  </w:t>
      </w:r>
      <w:r>
        <w:rPr>
          <w:color w:val="231F20"/>
          <w:spacing w:val="-3"/>
        </w:rPr>
        <w:t>(2010)  </w:t>
      </w:r>
      <w:r>
        <w:rPr>
          <w:color w:val="231F20"/>
        </w:rPr>
        <w:t>en cuanto a que las razas preferidas para la mejo- ra genética en los rebaños del país son la </w:t>
      </w:r>
      <w:r>
        <w:rPr>
          <w:color w:val="231F20"/>
          <w:spacing w:val="2"/>
        </w:rPr>
        <w:t>Dorper    </w:t>
      </w:r>
      <w:r>
        <w:rPr>
          <w:color w:val="231F20"/>
        </w:rPr>
        <w:t>y la</w:t>
      </w:r>
      <w:r>
        <w:rPr>
          <w:color w:val="231F20"/>
          <w:spacing w:val="32"/>
        </w:rPr>
        <w:t> </w:t>
      </w:r>
      <w:r>
        <w:rPr>
          <w:color w:val="231F20"/>
        </w:rPr>
        <w:t>Pelibuey.</w:t>
      </w:r>
    </w:p>
    <w:p>
      <w:pPr>
        <w:spacing w:after="0" w:line="285" w:lineRule="auto"/>
        <w:jc w:val="both"/>
        <w:sectPr>
          <w:type w:val="continuous"/>
          <w:pgSz w:w="11900" w:h="14450"/>
          <w:pgMar w:top="420" w:bottom="420" w:left="0" w:right="0"/>
          <w:cols w:num="2" w:equalWidth="0">
            <w:col w:w="5724" w:space="40"/>
            <w:col w:w="6136"/>
          </w:cols>
        </w:sectPr>
      </w:pPr>
    </w:p>
    <w:p>
      <w:pPr>
        <w:pStyle w:val="BodyText"/>
        <w:rPr>
          <w:sz w:val="16"/>
        </w:rPr>
      </w:pPr>
    </w:p>
    <w:p>
      <w:pPr>
        <w:pStyle w:val="BodyText"/>
        <w:spacing w:before="3"/>
        <w:rPr>
          <w:sz w:val="13"/>
        </w:rPr>
      </w:pPr>
    </w:p>
    <w:p>
      <w:pPr>
        <w:tabs>
          <w:tab w:pos="5140" w:val="left" w:leader="none"/>
          <w:tab w:pos="6849" w:val="left" w:leader="none"/>
        </w:tabs>
        <w:spacing w:before="0"/>
        <w:ind w:left="3432" w:right="2503" w:firstLine="0"/>
        <w:jc w:val="left"/>
        <w:rPr>
          <w:rFonts w:ascii="Arial"/>
          <w:sz w:val="16"/>
        </w:rPr>
      </w:pPr>
      <w:r>
        <w:rPr/>
        <w:pict>
          <v:group style="position:absolute;margin-left:163.742996pt;margin-top:2.2893pt;width:8.3pt;height:4.8pt;mso-position-horizontal-relative:page;mso-position-vertical-relative:paragraph;z-index:-491368" coordorigin="3275,46" coordsize="166,96">
            <v:line style="position:absolute" from="3316,95" to="3399,95" stroked="true" strokeweight="4.128pt" strokecolor="#f1f1f2"/>
            <v:rect style="position:absolute;left:3316;top:53;width:81;height:81" filled="false" stroked="true" strokeweight=".72pt" strokecolor="#231f20"/>
            <w10:wrap type="none"/>
          </v:group>
        </w:pict>
      </w:r>
      <w:r>
        <w:rPr/>
        <w:pict>
          <v:line style="position:absolute;mso-position-horizontal-relative:page;mso-position-vertical-relative:paragraph;z-index:-491344" from="251.257996pt,4.7283pt" to="255.385996pt,4.7283pt" stroked="true" strokeweight="4.128pt" strokecolor="#c6c8ca">
            <w10:wrap type="none"/>
          </v:line>
        </w:pict>
      </w:r>
      <w:r>
        <w:rPr/>
        <w:pict>
          <v:line style="position:absolute;mso-position-horizontal-relative:page;mso-position-vertical-relative:paragraph;z-index:-491320" from="336.696991pt,4.7283pt" to="340.824991pt,4.7283pt" stroked="true" strokeweight="4.128pt" strokecolor="#939598">
            <w10:wrap type="none"/>
          </v:line>
        </w:pict>
      </w:r>
      <w:r>
        <w:rPr>
          <w:rFonts w:ascii="Arial"/>
          <w:color w:val="231F20"/>
          <w:sz w:val="16"/>
        </w:rPr>
        <w:t>Dorper</w:t>
        <w:tab/>
        <w:t>Sulffolk</w:t>
        <w:tab/>
        <w:t>Katahdin</w:t>
      </w:r>
    </w:p>
    <w:p>
      <w:pPr>
        <w:tabs>
          <w:tab w:pos="5140" w:val="left" w:leader="none"/>
          <w:tab w:pos="6849" w:val="left" w:leader="none"/>
        </w:tabs>
        <w:spacing w:before="89"/>
        <w:ind w:left="3432" w:right="2503" w:firstLine="0"/>
        <w:jc w:val="left"/>
        <w:rPr>
          <w:rFonts w:ascii="Arial"/>
          <w:sz w:val="16"/>
        </w:rPr>
      </w:pPr>
      <w:r>
        <w:rPr/>
        <w:pict>
          <v:group style="position:absolute;margin-left:165.483002pt;margin-top:6.779801pt;width:4.8pt;height:4.8pt;mso-position-horizontal-relative:page;mso-position-vertical-relative:paragraph;z-index:5608" coordorigin="3310,136" coordsize="96,96">
            <v:shape style="position:absolute;left:3317;top:143;width:80;height:80" type="#_x0000_t75" stroked="false">
              <v:imagedata r:id="rId317" o:title=""/>
            </v:shape>
            <v:rect style="position:absolute;left:3317;top:143;width:80;height:80" filled="false" stroked="true" strokeweight=".75pt" strokecolor="#231f20"/>
            <w10:wrap type="none"/>
          </v:group>
        </w:pict>
      </w:r>
      <w:r>
        <w:rPr/>
        <w:pict>
          <v:line style="position:absolute;mso-position-horizontal-relative:page;mso-position-vertical-relative:paragraph;z-index:-491272" from="251.257996pt,9.161801pt" to="255.385996pt,9.161801pt" stroked="true" strokeweight="4.128pt" strokecolor="#231f20">
            <w10:wrap type="none"/>
          </v:line>
        </w:pict>
      </w:r>
      <w:r>
        <w:rPr/>
        <w:pict>
          <v:group style="position:absolute;margin-left:336.307007pt;margin-top:6.779801pt;width:4.8pt;height:4.8pt;mso-position-horizontal-relative:page;mso-position-vertical-relative:paragraph;z-index:-491248" coordorigin="6726,136" coordsize="96,96">
            <v:shape style="position:absolute;left:6734;top:143;width:80;height:80" type="#_x0000_t75" stroked="false">
              <v:imagedata r:id="rId318" o:title=""/>
            </v:shape>
            <v:rect style="position:absolute;left:6734;top:143;width:80;height:80" filled="false" stroked="true" strokeweight=".75pt" strokecolor="#231f20"/>
            <w10:wrap type="none"/>
          </v:group>
        </w:pict>
      </w:r>
      <w:r>
        <w:rPr>
          <w:rFonts w:ascii="Arial"/>
          <w:color w:val="231F20"/>
          <w:sz w:val="16"/>
        </w:rPr>
        <w:t>Pelibuey</w:t>
        <w:tab/>
        <w:t>Blackbelly</w:t>
        <w:tab/>
        <w:t>Otras razas de</w:t>
      </w:r>
      <w:r>
        <w:rPr>
          <w:rFonts w:ascii="Arial"/>
          <w:color w:val="231F20"/>
          <w:spacing w:val="-11"/>
          <w:sz w:val="16"/>
        </w:rPr>
        <w:t> </w:t>
      </w:r>
      <w:r>
        <w:rPr>
          <w:rFonts w:ascii="Arial"/>
          <w:color w:val="231F20"/>
          <w:sz w:val="16"/>
        </w:rPr>
        <w:t>pelo</w:t>
      </w:r>
    </w:p>
    <w:p>
      <w:pPr>
        <w:pStyle w:val="BodyText"/>
        <w:spacing w:before="8"/>
        <w:rPr>
          <w:rFonts w:ascii="Arial"/>
          <w:sz w:val="15"/>
        </w:rPr>
      </w:pPr>
    </w:p>
    <w:p>
      <w:pPr>
        <w:spacing w:before="0"/>
        <w:ind w:left="2800" w:right="2503" w:firstLine="0"/>
        <w:jc w:val="left"/>
        <w:rPr>
          <w:rFonts w:ascii="Arial"/>
          <w:sz w:val="16"/>
        </w:rPr>
      </w:pPr>
      <w:r>
        <w:rPr/>
        <w:pict>
          <v:group style="position:absolute;margin-left:153.730301pt;margin-top:-3.523009pt;width:305.95pt;height:173.15pt;mso-position-horizontal-relative:page;mso-position-vertical-relative:paragraph;z-index:5512" coordorigin="3075,-70" coordsize="6119,3463">
            <v:rect style="position:absolute;left:3261;top:2600;width:157;height:728" filled="true" fillcolor="#f1f1f2" stroked="false">
              <v:fill type="solid"/>
            </v:rect>
            <v:rect style="position:absolute;left:3261;top:2600;width:157;height:728" filled="false" stroked="true" strokeweight=".72pt" strokecolor="#231f20"/>
            <v:rect style="position:absolute;left:3418;top:1194;width:159;height:2133" filled="true" fillcolor="#c6c8ca" stroked="false">
              <v:fill type="solid"/>
            </v:rect>
            <v:rect style="position:absolute;left:3577;top:2600;width:159;height:728" filled="true" fillcolor="#939598" stroked="false">
              <v:fill type="solid"/>
            </v:rect>
            <v:shape style="position:absolute;left:3737;top:2464;width:159;height:864" type="#_x0000_t75" stroked="false">
              <v:imagedata r:id="rId319" o:title=""/>
            </v:shape>
            <v:rect style="position:absolute;left:3737;top:2464;width:159;height:864" filled="false" stroked="true" strokeweight=".75pt" strokecolor="#231f20"/>
            <v:line style="position:absolute" from="3896,3292" to="4056,3292" stroked="true" strokeweight="3.551pt" strokecolor="#231f20"/>
            <v:rect style="position:absolute;left:4772;top:2845;width:159;height:482" filled="true" fillcolor="#f1f1f2" stroked="false">
              <v:fill type="solid"/>
            </v:rect>
            <v:rect style="position:absolute;left:4772;top:2845;width:159;height:482" filled="false" stroked="true" strokeweight=".72pt" strokecolor="#231f20"/>
            <v:rect style="position:absolute;left:6283;top:1663;width:159;height:1665" filled="true" fillcolor="#f1f1f2" stroked="false">
              <v:fill type="solid"/>
            </v:rect>
            <v:rect style="position:absolute;left:6283;top:1663;width:159;height:1665" filled="false" stroked="true" strokeweight=".72pt" strokecolor="#231f20"/>
            <v:rect style="position:absolute;left:7794;top:1079;width:159;height:2248" filled="true" fillcolor="#f1f1f2" stroked="false">
              <v:fill type="solid"/>
            </v:rect>
            <v:rect style="position:absolute;left:7794;top:1079;width:159;height:2248" filled="false" stroked="true" strokeweight=".72pt" strokecolor="#231f20"/>
            <v:rect style="position:absolute;left:5089;top:445;width:159;height:2882" filled="true" fillcolor="#939598" stroked="false">
              <v:fill type="solid"/>
            </v:rect>
            <v:shape style="position:absolute;left:5248;top:1888;width:159;height:1440" type="#_x0000_t75" stroked="false">
              <v:imagedata r:id="rId320" o:title=""/>
            </v:shape>
            <v:rect style="position:absolute;left:5248;top:1888;width:159;height:1440" filled="false" stroked="true" strokeweight=".75pt" strokecolor="#231f20"/>
            <v:rect style="position:absolute;left:5407;top:2845;width:159;height:482" filled="true" fillcolor="#231f20" stroked="false">
              <v:fill type="solid"/>
            </v:rect>
            <v:shape style="position:absolute;left:5567;top:2370;width:159;height:958" type="#_x0000_t75" stroked="false">
              <v:imagedata r:id="rId321" o:title=""/>
            </v:shape>
            <v:rect style="position:absolute;left:5567;top:2370;width:159;height:958" filled="false" stroked="true" strokeweight=".75pt" strokecolor="#231f20"/>
            <v:rect style="position:absolute;left:6600;top:2218;width:159;height:1110" filled="true" fillcolor="#939598" stroked="false">
              <v:fill type="solid"/>
            </v:rect>
            <v:shape style="position:absolute;left:6759;top:2773;width:159;height:555" type="#_x0000_t75" stroked="false">
              <v:imagedata r:id="rId322" o:title=""/>
            </v:shape>
            <v:rect style="position:absolute;left:6759;top:2773;width:159;height:555" filled="false" stroked="true" strokeweight=".75pt" strokecolor="#231f20"/>
            <v:rect style="position:absolute;left:6918;top:2218;width:159;height:1110" filled="true" fillcolor="#231f20" stroked="false">
              <v:fill type="solid"/>
            </v:rect>
            <v:shape style="position:absolute;left:7078;top:1671;width:159;height:1657" type="#_x0000_t75" stroked="false">
              <v:imagedata r:id="rId323" o:title=""/>
            </v:shape>
            <v:rect style="position:absolute;left:7078;top:1671;width:159;height:1657" filled="false" stroked="true" strokeweight=".75pt" strokecolor="#231f20"/>
            <v:rect style="position:absolute;left:8111;top:1526;width:159;height:1801" filled="true" fillcolor="#939598" stroked="false">
              <v:fill type="solid"/>
            </v:rect>
            <v:shape style="position:absolute;left:8270;top:626;width:159;height:2702" type="#_x0000_t75" stroked="false">
              <v:imagedata r:id="rId324" o:title=""/>
            </v:shape>
            <v:rect style="position:absolute;left:8270;top:626;width:159;height:2702" filled="false" stroked="true" strokeweight=".75pt" strokecolor="#231f20"/>
            <v:rect style="position:absolute;left:8429;top:2874;width:159;height:453" filled="true" fillcolor="#231f20" stroked="false">
              <v:fill type="solid"/>
            </v:rect>
            <v:shape style="position:absolute;left:4215;top:3061;width:159;height:267" type="#_x0000_t75" stroked="false">
              <v:imagedata r:id="rId325" o:title=""/>
            </v:shape>
            <v:rect style="position:absolute;left:4215;top:3061;width:159;height:267" filled="false" stroked="true" strokeweight=".75pt" strokecolor="#231f20"/>
            <v:shape style="position:absolute;left:4375;top:928;width:157;height:2400" type="#_x0000_t75" stroked="false">
              <v:imagedata r:id="rId326" o:title=""/>
            </v:shape>
            <v:rect style="position:absolute;left:4375;top:928;width:157;height:2400" filled="false" stroked="true" strokeweight=".75pt" strokecolor="#231f20"/>
            <v:shape style="position:absolute;left:5886;top:2370;width:157;height:958" type="#_x0000_t75" stroked="false">
              <v:imagedata r:id="rId327" o:title=""/>
            </v:shape>
            <v:rect style="position:absolute;left:5886;top:2370;width:157;height:958" filled="false" stroked="true" strokeweight=".75pt" strokecolor="#231f20"/>
            <v:shape style="position:absolute;left:7397;top:2218;width:157;height:1110" type="#_x0000_t75" stroked="false">
              <v:imagedata r:id="rId328" o:title=""/>
            </v:shape>
            <v:rect style="position:absolute;left:7397;top:2218;width:157;height:1110" filled="false" stroked="true" strokeweight=".75pt" strokecolor="#231f20"/>
            <v:shape style="position:absolute;left:-60;top:2454;width:6104;height:3301" coordorigin="-60,2454" coordsize="6104,3301" path="m3142,3327l3142,84m3082,3327l3142,3327m3082,2966l3142,2966m3082,2607l3142,2607m3082,2246l3142,2246m3082,1887l3142,1887m3082,1526l3142,1526m3082,1165l3142,1165m3082,806l3142,806m3082,445l3142,445m3082,84l3142,84m3142,3327l9186,3327m3142,3327l3142,3385m4653,3327l4653,3385m6164,3327l6164,3385m7675,3327l7675,3385m9186,3327l9186,3385e" filled="false" stroked="true" strokeweight=".72pt" strokecolor="#989a9d">
              <v:path arrowok="t"/>
            </v:shape>
            <v:shape style="position:absolute;left:3317;top:-38;width:80;height:80" type="#_x0000_t75" stroked="false">
              <v:imagedata r:id="rId329" o:title=""/>
            </v:shape>
            <v:rect style="position:absolute;left:3317;top:-38;width:80;height:80" filled="false" stroked="true" strokeweight=".75pt" strokecolor="#231f20"/>
            <v:shape style="position:absolute;left:5025;top:-38;width:80;height:80" type="#_x0000_t75" stroked="false">
              <v:imagedata r:id="rId330" o:title=""/>
            </v:shape>
            <v:rect style="position:absolute;left:5025;top:-38;width:80;height:80" filled="false" stroked="true" strokeweight=".75pt" strokecolor="#231f20"/>
            <v:shape style="position:absolute;left:3432;top:-70;width:3255;height:160" type="#_x0000_t202" filled="false" stroked="false">
              <v:textbox inset="0,0,0,0">
                <w:txbxContent>
                  <w:p>
                    <w:pPr>
                      <w:tabs>
                        <w:tab w:pos="1708" w:val="left" w:leader="none"/>
                      </w:tabs>
                      <w:spacing w:line="160" w:lineRule="exact" w:before="0"/>
                      <w:ind w:left="0" w:right="0" w:firstLine="0"/>
                      <w:jc w:val="left"/>
                      <w:rPr>
                        <w:rFonts w:ascii="Arial"/>
                        <w:sz w:val="16"/>
                      </w:rPr>
                    </w:pPr>
                    <w:r>
                      <w:rPr>
                        <w:rFonts w:ascii="Arial"/>
                        <w:color w:val="231F20"/>
                        <w:sz w:val="16"/>
                      </w:rPr>
                      <w:t>Otras razas</w:t>
                    </w:r>
                    <w:r>
                      <w:rPr>
                        <w:rFonts w:ascii="Arial"/>
                        <w:color w:val="231F20"/>
                        <w:spacing w:val="-4"/>
                        <w:sz w:val="16"/>
                      </w:rPr>
                      <w:t> </w:t>
                    </w:r>
                    <w:r>
                      <w:rPr>
                        <w:rFonts w:ascii="Arial"/>
                        <w:color w:val="231F20"/>
                        <w:sz w:val="16"/>
                      </w:rPr>
                      <w:t>de</w:t>
                    </w:r>
                    <w:r>
                      <w:rPr>
                        <w:rFonts w:ascii="Arial"/>
                        <w:color w:val="231F20"/>
                        <w:spacing w:val="-3"/>
                        <w:sz w:val="16"/>
                      </w:rPr>
                      <w:t> </w:t>
                    </w:r>
                    <w:r>
                      <w:rPr>
                        <w:rFonts w:ascii="Arial"/>
                        <w:color w:val="231F20"/>
                        <w:sz w:val="16"/>
                      </w:rPr>
                      <w:t>lana</w:t>
                      <w:tab/>
                      <w:t>Cruzas de lana y</w:t>
                    </w:r>
                    <w:r>
                      <w:rPr>
                        <w:rFonts w:ascii="Arial"/>
                        <w:color w:val="231F20"/>
                        <w:spacing w:val="-10"/>
                        <w:sz w:val="16"/>
                      </w:rPr>
                      <w:t> </w:t>
                    </w:r>
                    <w:r>
                      <w:rPr>
                        <w:rFonts w:ascii="Arial"/>
                        <w:color w:val="231F20"/>
                        <w:sz w:val="16"/>
                      </w:rPr>
                      <w:t>pelo</w:t>
                    </w:r>
                  </w:p>
                </w:txbxContent>
              </v:textbox>
              <w10:wrap type="none"/>
            </v:shape>
            <w10:wrap type="none"/>
          </v:group>
        </w:pict>
      </w:r>
      <w:r>
        <w:rPr>
          <w:rFonts w:ascii="Arial"/>
          <w:color w:val="231F20"/>
          <w:sz w:val="16"/>
        </w:rPr>
        <w:t>45</w:t>
      </w:r>
    </w:p>
    <w:p>
      <w:pPr>
        <w:pStyle w:val="BodyText"/>
        <w:spacing w:before="4"/>
        <w:rPr>
          <w:rFonts w:ascii="Arial"/>
          <w:sz w:val="15"/>
        </w:rPr>
      </w:pPr>
    </w:p>
    <w:p>
      <w:pPr>
        <w:spacing w:before="0"/>
        <w:ind w:left="2800" w:right="2503" w:firstLine="0"/>
        <w:jc w:val="left"/>
        <w:rPr>
          <w:rFonts w:ascii="Arial"/>
          <w:sz w:val="16"/>
        </w:rPr>
      </w:pPr>
      <w:r>
        <w:rPr>
          <w:rFonts w:ascii="Arial"/>
          <w:color w:val="231F20"/>
          <w:sz w:val="16"/>
        </w:rPr>
        <w:t>40</w:t>
      </w:r>
    </w:p>
    <w:p>
      <w:pPr>
        <w:pStyle w:val="BodyText"/>
        <w:spacing w:before="3"/>
        <w:rPr>
          <w:rFonts w:ascii="Arial"/>
          <w:sz w:val="15"/>
        </w:rPr>
      </w:pPr>
    </w:p>
    <w:p>
      <w:pPr>
        <w:spacing w:before="0"/>
        <w:ind w:left="2800" w:right="2503" w:firstLine="0"/>
        <w:jc w:val="left"/>
        <w:rPr>
          <w:rFonts w:ascii="Arial"/>
          <w:sz w:val="16"/>
        </w:rPr>
      </w:pPr>
      <w:r>
        <w:rPr>
          <w:rFonts w:ascii="Arial"/>
          <w:color w:val="231F20"/>
          <w:sz w:val="16"/>
        </w:rPr>
        <w:t>35</w:t>
      </w:r>
    </w:p>
    <w:p>
      <w:pPr>
        <w:pStyle w:val="BodyText"/>
        <w:spacing w:before="3"/>
        <w:rPr>
          <w:rFonts w:ascii="Arial"/>
          <w:sz w:val="15"/>
        </w:rPr>
      </w:pPr>
    </w:p>
    <w:p>
      <w:pPr>
        <w:spacing w:before="0"/>
        <w:ind w:left="2800" w:right="2503" w:firstLine="0"/>
        <w:jc w:val="left"/>
        <w:rPr>
          <w:rFonts w:ascii="Arial"/>
          <w:sz w:val="16"/>
        </w:rPr>
      </w:pPr>
      <w:r>
        <w:rPr>
          <w:rFonts w:ascii="Arial"/>
          <w:color w:val="231F20"/>
          <w:sz w:val="16"/>
        </w:rPr>
        <w:t>30</w:t>
      </w:r>
    </w:p>
    <w:p>
      <w:pPr>
        <w:pStyle w:val="BodyText"/>
        <w:spacing w:before="4"/>
        <w:rPr>
          <w:rFonts w:ascii="Arial"/>
          <w:sz w:val="15"/>
        </w:rPr>
      </w:pPr>
    </w:p>
    <w:p>
      <w:pPr>
        <w:spacing w:before="0"/>
        <w:ind w:left="2800" w:right="2503" w:firstLine="0"/>
        <w:jc w:val="left"/>
        <w:rPr>
          <w:rFonts w:ascii="Arial"/>
          <w:sz w:val="16"/>
        </w:rPr>
      </w:pPr>
      <w:r>
        <w:rPr/>
        <w:pict>
          <v:shape style="position:absolute;margin-left:123.271294pt;margin-top:-2.856091pt;width:10pt;height:40.25pt;mso-position-horizontal-relative:page;mso-position-vertical-relative:paragraph;z-index:5680" type="#_x0000_t202" filled="false" stroked="false">
            <v:textbox inset="0,0,0,0" style="layout-flow:vertical;mso-layout-flow-alt:bottom-to-top">
              <w:txbxContent>
                <w:p>
                  <w:pPr>
                    <w:spacing w:line="183" w:lineRule="exact" w:before="0"/>
                    <w:ind w:left="20" w:right="-605" w:firstLine="0"/>
                    <w:jc w:val="left"/>
                    <w:rPr>
                      <w:rFonts w:ascii="Arial"/>
                      <w:sz w:val="16"/>
                    </w:rPr>
                  </w:pPr>
                  <w:r>
                    <w:rPr>
                      <w:rFonts w:ascii="Arial"/>
                      <w:color w:val="231F20"/>
                      <w:w w:val="99"/>
                      <w:sz w:val="16"/>
                    </w:rPr>
                    <w:t>Porcentaje</w:t>
                  </w:r>
                </w:p>
              </w:txbxContent>
            </v:textbox>
            <w10:wrap type="none"/>
          </v:shape>
        </w:pict>
      </w:r>
      <w:r>
        <w:rPr>
          <w:rFonts w:ascii="Arial"/>
          <w:color w:val="231F20"/>
          <w:sz w:val="16"/>
        </w:rPr>
        <w:t>25</w:t>
      </w:r>
    </w:p>
    <w:p>
      <w:pPr>
        <w:pStyle w:val="BodyText"/>
        <w:spacing w:before="3"/>
        <w:rPr>
          <w:rFonts w:ascii="Arial"/>
          <w:sz w:val="15"/>
        </w:rPr>
      </w:pPr>
    </w:p>
    <w:p>
      <w:pPr>
        <w:spacing w:before="0"/>
        <w:ind w:left="2800" w:right="2503" w:firstLine="0"/>
        <w:jc w:val="left"/>
        <w:rPr>
          <w:rFonts w:ascii="Arial"/>
          <w:sz w:val="16"/>
        </w:rPr>
      </w:pPr>
      <w:r>
        <w:rPr>
          <w:rFonts w:ascii="Arial"/>
          <w:color w:val="231F20"/>
          <w:sz w:val="16"/>
        </w:rPr>
        <w:t>20</w:t>
      </w:r>
    </w:p>
    <w:p>
      <w:pPr>
        <w:pStyle w:val="BodyText"/>
        <w:spacing w:before="4"/>
        <w:rPr>
          <w:rFonts w:ascii="Arial"/>
          <w:sz w:val="15"/>
        </w:rPr>
      </w:pPr>
    </w:p>
    <w:p>
      <w:pPr>
        <w:spacing w:before="0"/>
        <w:ind w:left="2800" w:right="2503" w:firstLine="0"/>
        <w:jc w:val="left"/>
        <w:rPr>
          <w:rFonts w:ascii="Arial"/>
          <w:sz w:val="16"/>
        </w:rPr>
      </w:pPr>
      <w:r>
        <w:rPr>
          <w:rFonts w:ascii="Arial"/>
          <w:color w:val="231F20"/>
          <w:sz w:val="16"/>
        </w:rPr>
        <w:t>15</w:t>
      </w:r>
    </w:p>
    <w:p>
      <w:pPr>
        <w:pStyle w:val="BodyText"/>
        <w:spacing w:before="3"/>
        <w:rPr>
          <w:rFonts w:ascii="Arial"/>
          <w:sz w:val="15"/>
        </w:rPr>
      </w:pPr>
    </w:p>
    <w:p>
      <w:pPr>
        <w:spacing w:before="0"/>
        <w:ind w:left="2800" w:right="2503" w:firstLine="0"/>
        <w:jc w:val="left"/>
        <w:rPr>
          <w:rFonts w:ascii="Arial"/>
          <w:sz w:val="16"/>
        </w:rPr>
      </w:pPr>
      <w:r>
        <w:rPr>
          <w:rFonts w:ascii="Arial"/>
          <w:color w:val="231F20"/>
          <w:sz w:val="16"/>
        </w:rPr>
        <w:t>10</w:t>
      </w:r>
    </w:p>
    <w:p>
      <w:pPr>
        <w:pStyle w:val="BodyText"/>
        <w:spacing w:before="3"/>
        <w:rPr>
          <w:rFonts w:ascii="Arial"/>
          <w:sz w:val="15"/>
        </w:rPr>
      </w:pPr>
    </w:p>
    <w:p>
      <w:pPr>
        <w:spacing w:before="0"/>
        <w:ind w:left="2907" w:right="0" w:firstLine="0"/>
        <w:jc w:val="left"/>
        <w:rPr>
          <w:rFonts w:ascii="Arial"/>
          <w:sz w:val="16"/>
        </w:rPr>
      </w:pPr>
      <w:r>
        <w:rPr>
          <w:rFonts w:ascii="Arial"/>
          <w:color w:val="231F20"/>
          <w:w w:val="99"/>
          <w:sz w:val="16"/>
        </w:rPr>
        <w:t>5</w:t>
      </w:r>
    </w:p>
    <w:p>
      <w:pPr>
        <w:pStyle w:val="BodyText"/>
        <w:spacing w:before="4"/>
        <w:rPr>
          <w:rFonts w:ascii="Arial"/>
          <w:sz w:val="15"/>
        </w:rPr>
      </w:pPr>
    </w:p>
    <w:p>
      <w:pPr>
        <w:spacing w:before="0"/>
        <w:ind w:left="2907" w:right="0" w:firstLine="0"/>
        <w:jc w:val="left"/>
        <w:rPr>
          <w:rFonts w:ascii="Arial"/>
          <w:sz w:val="16"/>
        </w:rPr>
      </w:pPr>
      <w:r>
        <w:rPr>
          <w:rFonts w:ascii="Arial"/>
          <w:color w:val="231F20"/>
          <w:w w:val="99"/>
          <w:sz w:val="16"/>
        </w:rPr>
        <w:t>0</w:t>
      </w:r>
    </w:p>
    <w:p>
      <w:pPr>
        <w:tabs>
          <w:tab w:pos="5140" w:val="left" w:leader="none"/>
          <w:tab w:pos="6675" w:val="left" w:leader="none"/>
          <w:tab w:pos="8184" w:val="left" w:leader="none"/>
        </w:tabs>
        <w:spacing w:before="8"/>
        <w:ind w:left="3629" w:right="2503" w:firstLine="0"/>
        <w:jc w:val="left"/>
        <w:rPr>
          <w:rFonts w:ascii="Arial"/>
          <w:sz w:val="16"/>
        </w:rPr>
      </w:pPr>
      <w:r>
        <w:rPr>
          <w:rFonts w:ascii="Arial"/>
          <w:color w:val="231F20"/>
          <w:sz w:val="16"/>
        </w:rPr>
        <w:t>ZBAM</w:t>
        <w:tab/>
        <w:t>ZBBM</w:t>
        <w:tab/>
      </w:r>
      <w:r>
        <w:rPr>
          <w:rFonts w:ascii="Arial"/>
          <w:color w:val="231F20"/>
          <w:spacing w:val="-3"/>
          <w:sz w:val="16"/>
        </w:rPr>
        <w:t>ZBVA</w:t>
        <w:tab/>
      </w:r>
      <w:r>
        <w:rPr>
          <w:rFonts w:ascii="Arial"/>
          <w:color w:val="231F20"/>
          <w:sz w:val="16"/>
        </w:rPr>
        <w:t>ZBTS</w:t>
      </w:r>
    </w:p>
    <w:p>
      <w:pPr>
        <w:pStyle w:val="BodyText"/>
        <w:spacing w:before="7"/>
        <w:rPr>
          <w:rFonts w:ascii="Arial"/>
          <w:sz w:val="9"/>
        </w:rPr>
      </w:pPr>
    </w:p>
    <w:p>
      <w:pPr>
        <w:spacing w:before="63"/>
        <w:ind w:left="3636" w:right="2503" w:firstLine="0"/>
        <w:jc w:val="left"/>
        <w:rPr>
          <w:sz w:val="18"/>
        </w:rPr>
      </w:pPr>
      <w:r>
        <w:rPr>
          <w:rFonts w:ascii="Tahoma"/>
          <w:color w:val="231F20"/>
          <w:sz w:val="18"/>
        </w:rPr>
        <w:t>Figura 7.  </w:t>
      </w:r>
      <w:r>
        <w:rPr>
          <w:color w:val="231F20"/>
          <w:sz w:val="18"/>
        </w:rPr>
        <w:t>Diversidad de razas de vientres de ovinos por   zona.</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6"/>
          <w:w w:val="120"/>
          <w:sz w:val="22"/>
        </w:rPr>
        <w:t>178</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10"/>
        <w:rPr>
          <w:sz w:val="22"/>
        </w:rPr>
      </w:pPr>
    </w:p>
    <w:p>
      <w:pPr>
        <w:spacing w:after="0"/>
        <w:rPr>
          <w:sz w:val="22"/>
        </w:rPr>
        <w:sectPr>
          <w:pgSz w:w="11900" w:h="14450"/>
          <w:pgMar w:header="0" w:footer="222" w:top="420" w:bottom="420" w:left="0" w:right="0"/>
        </w:sectPr>
      </w:pPr>
    </w:p>
    <w:p>
      <w:pPr>
        <w:pStyle w:val="BodyText"/>
        <w:spacing w:before="66"/>
        <w:ind w:left="1553"/>
        <w:jc w:val="both"/>
        <w:rPr>
          <w:rFonts w:ascii="Tahoma"/>
        </w:rPr>
      </w:pPr>
      <w:r>
        <w:rPr>
          <w:rFonts w:ascii="Tahoma"/>
          <w:color w:val="231F20"/>
        </w:rPr>
        <w:t>CONCLUSIONES</w:t>
      </w:r>
    </w:p>
    <w:p>
      <w:pPr>
        <w:pStyle w:val="BodyText"/>
        <w:spacing w:line="259" w:lineRule="auto" w:before="145"/>
        <w:ind w:left="1553"/>
        <w:jc w:val="both"/>
      </w:pPr>
      <w:r>
        <w:rPr>
          <w:color w:val="231F20"/>
        </w:rPr>
        <w:t>En el Estado de Michoacán existen cuatro zonas borregueras:</w:t>
      </w:r>
    </w:p>
    <w:p>
      <w:pPr>
        <w:pStyle w:val="ListParagraph"/>
        <w:numPr>
          <w:ilvl w:val="0"/>
          <w:numId w:val="16"/>
        </w:numPr>
        <w:tabs>
          <w:tab w:pos="1838" w:val="left" w:leader="none"/>
        </w:tabs>
        <w:spacing w:line="259" w:lineRule="auto" w:before="113" w:after="0"/>
        <w:ind w:left="1837" w:right="0" w:hanging="284"/>
        <w:jc w:val="both"/>
        <w:rPr>
          <w:sz w:val="20"/>
        </w:rPr>
      </w:pPr>
      <w:r>
        <w:rPr>
          <w:color w:val="231F20"/>
          <w:sz w:val="20"/>
        </w:rPr>
        <w:t>La zona del Altiplano Michoacano es la que contribuye en mayor proporción a la población ovina</w:t>
      </w:r>
      <w:r>
        <w:rPr>
          <w:color w:val="231F20"/>
          <w:spacing w:val="-17"/>
          <w:sz w:val="20"/>
        </w:rPr>
        <w:t> </w:t>
      </w:r>
      <w:r>
        <w:rPr>
          <w:color w:val="231F20"/>
          <w:sz w:val="20"/>
        </w:rPr>
        <w:t>estatal.</w:t>
      </w:r>
    </w:p>
    <w:p>
      <w:pPr>
        <w:pStyle w:val="ListParagraph"/>
        <w:numPr>
          <w:ilvl w:val="0"/>
          <w:numId w:val="16"/>
        </w:numPr>
        <w:tabs>
          <w:tab w:pos="1838" w:val="left" w:leader="none"/>
        </w:tabs>
        <w:spacing w:line="259" w:lineRule="auto" w:before="113" w:after="0"/>
        <w:ind w:left="1837" w:right="0" w:hanging="284"/>
        <w:jc w:val="both"/>
        <w:rPr>
          <w:sz w:val="20"/>
        </w:rPr>
      </w:pPr>
      <w:r>
        <w:rPr>
          <w:color w:val="231F20"/>
          <w:sz w:val="20"/>
        </w:rPr>
        <w:t>La zona del Altiplano Michoacano y la zona del </w:t>
      </w:r>
      <w:r>
        <w:rPr>
          <w:color w:val="231F20"/>
          <w:spacing w:val="-3"/>
          <w:sz w:val="20"/>
        </w:rPr>
        <w:t>Trópico </w:t>
      </w:r>
      <w:r>
        <w:rPr>
          <w:color w:val="231F20"/>
          <w:sz w:val="20"/>
        </w:rPr>
        <w:t>Subhúmedo son las de mayor tradición ovina en el</w:t>
      </w:r>
      <w:r>
        <w:rPr>
          <w:color w:val="231F20"/>
          <w:spacing w:val="42"/>
          <w:sz w:val="20"/>
        </w:rPr>
        <w:t> </w:t>
      </w:r>
      <w:r>
        <w:rPr>
          <w:color w:val="231F20"/>
          <w:sz w:val="20"/>
        </w:rPr>
        <w:t>Estado.</w:t>
      </w:r>
    </w:p>
    <w:p>
      <w:pPr>
        <w:pStyle w:val="ListParagraph"/>
        <w:numPr>
          <w:ilvl w:val="0"/>
          <w:numId w:val="16"/>
        </w:numPr>
        <w:tabs>
          <w:tab w:pos="1838" w:val="left" w:leader="none"/>
        </w:tabs>
        <w:spacing w:line="259" w:lineRule="auto" w:before="113" w:after="0"/>
        <w:ind w:left="1837" w:right="0" w:hanging="284"/>
        <w:jc w:val="both"/>
        <w:rPr>
          <w:sz w:val="20"/>
        </w:rPr>
      </w:pPr>
      <w:r>
        <w:rPr>
          <w:color w:val="231F20"/>
          <w:sz w:val="20"/>
        </w:rPr>
        <w:t>En la zona del Bajío Michoacano se encontró una ovinocultura empresarial, con mayor pro- ductividad y rentabilidad que en las</w:t>
      </w:r>
      <w:r>
        <w:rPr>
          <w:color w:val="231F20"/>
          <w:spacing w:val="43"/>
          <w:sz w:val="20"/>
        </w:rPr>
        <w:t> </w:t>
      </w:r>
      <w:r>
        <w:rPr>
          <w:color w:val="231F20"/>
          <w:sz w:val="20"/>
        </w:rPr>
        <w:t>otras.</w:t>
      </w:r>
    </w:p>
    <w:p>
      <w:pPr>
        <w:pStyle w:val="ListParagraph"/>
        <w:numPr>
          <w:ilvl w:val="0"/>
          <w:numId w:val="16"/>
        </w:numPr>
        <w:tabs>
          <w:tab w:pos="1838" w:val="left" w:leader="none"/>
        </w:tabs>
        <w:spacing w:line="259" w:lineRule="auto" w:before="113" w:after="0"/>
        <w:ind w:left="1837" w:right="0" w:hanging="284"/>
        <w:jc w:val="both"/>
        <w:rPr>
          <w:sz w:val="20"/>
        </w:rPr>
      </w:pPr>
      <w:r>
        <w:rPr>
          <w:color w:val="231F20"/>
          <w:sz w:val="20"/>
        </w:rPr>
        <w:t>El sistema de producción ovino contribuye con un promedio del </w:t>
      </w:r>
      <w:r>
        <w:rPr>
          <w:color w:val="231F20"/>
          <w:spacing w:val="-8"/>
          <w:sz w:val="20"/>
        </w:rPr>
        <w:t>27,1% </w:t>
      </w:r>
      <w:r>
        <w:rPr>
          <w:color w:val="231F20"/>
          <w:sz w:val="20"/>
        </w:rPr>
        <w:t>a los ingresos de las unidades familiares en las cuatro zonas. No obstante, se observó una diversificación agro- pecuaria importante en todas las  zonas,  que de manera adicional complementa económi- camente a las unidades </w:t>
      </w:r>
      <w:r>
        <w:rPr>
          <w:color w:val="231F20"/>
          <w:spacing w:val="21"/>
          <w:sz w:val="20"/>
        </w:rPr>
        <w:t> </w:t>
      </w:r>
      <w:r>
        <w:rPr>
          <w:color w:val="231F20"/>
          <w:sz w:val="20"/>
        </w:rPr>
        <w:t>familiares.</w:t>
      </w:r>
    </w:p>
    <w:p>
      <w:pPr>
        <w:pStyle w:val="BodyText"/>
      </w:pPr>
    </w:p>
    <w:p>
      <w:pPr>
        <w:pStyle w:val="BodyText"/>
        <w:spacing w:before="143"/>
        <w:ind w:left="1553"/>
        <w:jc w:val="both"/>
        <w:rPr>
          <w:rFonts w:ascii="Tahoma"/>
        </w:rPr>
      </w:pPr>
      <w:r>
        <w:rPr>
          <w:rFonts w:ascii="Tahoma"/>
          <w:color w:val="231F20"/>
        </w:rPr>
        <w:t>AGRADECIMIENTOS</w:t>
      </w:r>
    </w:p>
    <w:p>
      <w:pPr>
        <w:pStyle w:val="BodyText"/>
        <w:spacing w:line="259" w:lineRule="auto" w:before="145"/>
        <w:ind w:left="1553"/>
        <w:jc w:val="both"/>
      </w:pPr>
      <w:r>
        <w:rPr>
          <w:color w:val="231F20"/>
        </w:rPr>
        <w:t>A los productores de ovinos de Michoacán por la información proporcionada, y a la Fundación Pro- duce Michoacán A.C. por la financiación para el desarrollo del trabajo.</w:t>
      </w:r>
    </w:p>
    <w:p>
      <w:pPr>
        <w:pStyle w:val="BodyText"/>
      </w:pPr>
    </w:p>
    <w:p>
      <w:pPr>
        <w:pStyle w:val="BodyText"/>
        <w:spacing w:before="143"/>
        <w:ind w:left="1553"/>
        <w:jc w:val="both"/>
        <w:rPr>
          <w:rFonts w:ascii="Tahoma" w:hAnsi="Tahoma"/>
        </w:rPr>
      </w:pPr>
      <w:r>
        <w:rPr>
          <w:rFonts w:ascii="Tahoma" w:hAnsi="Tahoma"/>
          <w:color w:val="231F20"/>
        </w:rPr>
        <w:t>BIBLIOGRAFÍA</w:t>
      </w:r>
    </w:p>
    <w:p>
      <w:pPr>
        <w:spacing w:line="266" w:lineRule="auto" w:before="144"/>
        <w:ind w:left="1837" w:right="0" w:hanging="284"/>
        <w:jc w:val="both"/>
        <w:rPr>
          <w:sz w:val="18"/>
        </w:rPr>
      </w:pPr>
      <w:r>
        <w:rPr>
          <w:color w:val="231F20"/>
          <w:sz w:val="18"/>
        </w:rPr>
        <w:t>Acevedo R.B., Alonso </w:t>
      </w:r>
      <w:r>
        <w:rPr>
          <w:color w:val="231F20"/>
          <w:spacing w:val="-3"/>
          <w:sz w:val="18"/>
        </w:rPr>
        <w:t>P.A., </w:t>
      </w:r>
      <w:r>
        <w:rPr>
          <w:color w:val="231F20"/>
          <w:sz w:val="18"/>
        </w:rPr>
        <w:t>Espinosa </w:t>
      </w:r>
      <w:r>
        <w:rPr>
          <w:color w:val="231F20"/>
          <w:spacing w:val="-3"/>
          <w:sz w:val="18"/>
        </w:rPr>
        <w:t>O.V.E., </w:t>
      </w:r>
      <w:r>
        <w:rPr>
          <w:color w:val="231F20"/>
          <w:sz w:val="18"/>
        </w:rPr>
        <w:t>Gil G.G., Jimé- nez J.R.A. </w:t>
      </w:r>
      <w:r>
        <w:rPr>
          <w:color w:val="231F20"/>
          <w:spacing w:val="-3"/>
          <w:sz w:val="18"/>
        </w:rPr>
        <w:t>(2011). </w:t>
      </w:r>
      <w:r>
        <w:rPr>
          <w:color w:val="231F20"/>
          <w:sz w:val="18"/>
        </w:rPr>
        <w:t>Características  socioeconómicas  de productores ovinos integrados en el programa </w:t>
      </w:r>
      <w:r>
        <w:rPr>
          <w:color w:val="231F20"/>
          <w:spacing w:val="-5"/>
          <w:sz w:val="18"/>
        </w:rPr>
        <w:t>GGAVATT </w:t>
      </w:r>
      <w:r>
        <w:rPr>
          <w:color w:val="231F20"/>
          <w:sz w:val="18"/>
        </w:rPr>
        <w:t>en la comunidad “Estancia de Paquisihua- to” del Municipio de Maravatío, Michoacán, México. En: Cavallotti </w:t>
      </w:r>
      <w:r>
        <w:rPr>
          <w:color w:val="231F20"/>
          <w:spacing w:val="-3"/>
          <w:sz w:val="18"/>
        </w:rPr>
        <w:t>V.B.A., </w:t>
      </w:r>
      <w:r>
        <w:rPr>
          <w:color w:val="231F20"/>
          <w:sz w:val="18"/>
        </w:rPr>
        <w:t>Ramírez </w:t>
      </w:r>
      <w:r>
        <w:rPr>
          <w:color w:val="231F20"/>
          <w:spacing w:val="-3"/>
          <w:sz w:val="18"/>
        </w:rPr>
        <w:t>V.B., </w:t>
      </w:r>
      <w:r>
        <w:rPr>
          <w:color w:val="231F20"/>
          <w:sz w:val="18"/>
        </w:rPr>
        <w:t>Martínez </w:t>
      </w:r>
      <w:r>
        <w:rPr>
          <w:color w:val="231F20"/>
          <w:spacing w:val="-3"/>
          <w:sz w:val="18"/>
        </w:rPr>
        <w:t>C.F.E., </w:t>
      </w:r>
      <w:r>
        <w:rPr>
          <w:color w:val="231F20"/>
          <w:sz w:val="18"/>
        </w:rPr>
        <w:t>Marcof </w:t>
      </w:r>
      <w:r>
        <w:rPr>
          <w:color w:val="231F20"/>
          <w:spacing w:val="-3"/>
          <w:sz w:val="18"/>
        </w:rPr>
        <w:t>A.C.F., </w:t>
      </w:r>
      <w:r>
        <w:rPr>
          <w:color w:val="231F20"/>
          <w:sz w:val="18"/>
        </w:rPr>
        <w:t>Cesín </w:t>
      </w:r>
      <w:r>
        <w:rPr>
          <w:color w:val="231F20"/>
          <w:spacing w:val="-3"/>
          <w:sz w:val="18"/>
        </w:rPr>
        <w:t>V.A., </w:t>
      </w:r>
      <w:r>
        <w:rPr>
          <w:color w:val="231F20"/>
          <w:sz w:val="18"/>
        </w:rPr>
        <w:t>editores. La ganadería ante el agotamiento de los paradigmas dominantes. Uni- versidad Autónoma de Chapingo, Chapingo, México. pp. </w:t>
      </w:r>
      <w:r>
        <w:rPr>
          <w:color w:val="231F20"/>
          <w:spacing w:val="40"/>
          <w:sz w:val="18"/>
        </w:rPr>
        <w:t> </w:t>
      </w:r>
      <w:r>
        <w:rPr>
          <w:color w:val="231F20"/>
          <w:spacing w:val="-3"/>
          <w:sz w:val="18"/>
        </w:rPr>
        <w:t>123-135.</w:t>
      </w:r>
    </w:p>
    <w:p>
      <w:pPr>
        <w:spacing w:line="266" w:lineRule="auto" w:before="56"/>
        <w:ind w:left="1837" w:right="0" w:hanging="284"/>
        <w:jc w:val="both"/>
        <w:rPr>
          <w:sz w:val="18"/>
        </w:rPr>
      </w:pPr>
      <w:r>
        <w:rPr>
          <w:color w:val="231F20"/>
          <w:sz w:val="18"/>
        </w:rPr>
        <w:t>Arteaga C.J.D. (2007). Diagnóstico actual de la situación de los ovinos en México. Boletín Borrego No. 3.   Dis-</w:t>
      </w:r>
    </w:p>
    <w:p>
      <w:pPr>
        <w:spacing w:line="276" w:lineRule="auto" w:before="70"/>
        <w:ind w:left="696" w:right="1551" w:firstLine="0"/>
        <w:jc w:val="both"/>
        <w:rPr>
          <w:sz w:val="18"/>
        </w:rPr>
      </w:pPr>
      <w:r>
        <w:rPr/>
        <w:br w:type="column"/>
      </w:r>
      <w:r>
        <w:rPr>
          <w:color w:val="231F20"/>
          <w:w w:val="105"/>
          <w:sz w:val="18"/>
        </w:rPr>
        <w:t>ponible en línea en: </w:t>
      </w:r>
      <w:hyperlink r:id="rId331">
        <w:r>
          <w:rPr>
            <w:color w:val="231F20"/>
            <w:w w:val="105"/>
            <w:sz w:val="18"/>
          </w:rPr>
          <w:t>http://www.borrego.com.mx/</w:t>
        </w:r>
      </w:hyperlink>
      <w:r>
        <w:rPr>
          <w:color w:val="231F20"/>
          <w:w w:val="105"/>
          <w:sz w:val="18"/>
        </w:rPr>
        <w:t> archivo/n46/f46diagnostico.php. (Consultado el</w:t>
      </w:r>
      <w:r>
        <w:rPr>
          <w:color w:val="231F20"/>
          <w:spacing w:val="-16"/>
          <w:w w:val="105"/>
          <w:sz w:val="18"/>
        </w:rPr>
        <w:t> </w:t>
      </w:r>
      <w:r>
        <w:rPr>
          <w:color w:val="231F20"/>
          <w:spacing w:val="-4"/>
          <w:w w:val="105"/>
          <w:sz w:val="18"/>
        </w:rPr>
        <w:t>13 </w:t>
      </w:r>
      <w:r>
        <w:rPr>
          <w:color w:val="231F20"/>
          <w:w w:val="105"/>
          <w:sz w:val="18"/>
        </w:rPr>
        <w:t>de febrero de</w:t>
      </w:r>
      <w:r>
        <w:rPr>
          <w:color w:val="231F20"/>
          <w:spacing w:val="27"/>
          <w:w w:val="105"/>
          <w:sz w:val="18"/>
        </w:rPr>
        <w:t> </w:t>
      </w:r>
      <w:r>
        <w:rPr>
          <w:color w:val="231F20"/>
          <w:spacing w:val="-4"/>
          <w:w w:val="105"/>
          <w:sz w:val="18"/>
        </w:rPr>
        <w:t>2012.)</w:t>
      </w:r>
    </w:p>
    <w:p>
      <w:pPr>
        <w:spacing w:line="276" w:lineRule="auto" w:before="56"/>
        <w:ind w:left="696" w:right="1551" w:hanging="284"/>
        <w:jc w:val="both"/>
        <w:rPr>
          <w:sz w:val="18"/>
        </w:rPr>
      </w:pPr>
      <w:r>
        <w:rPr>
          <w:color w:val="231F20"/>
          <w:sz w:val="18"/>
        </w:rPr>
        <w:t>Alemán </w:t>
      </w:r>
      <w:r>
        <w:rPr>
          <w:color w:val="231F20"/>
          <w:spacing w:val="-3"/>
          <w:sz w:val="18"/>
        </w:rPr>
        <w:t>S.T., </w:t>
      </w:r>
      <w:r>
        <w:rPr>
          <w:color w:val="231F20"/>
          <w:sz w:val="18"/>
        </w:rPr>
        <w:t>Nahed </w:t>
      </w:r>
      <w:r>
        <w:rPr>
          <w:color w:val="231F20"/>
          <w:spacing w:val="-3"/>
          <w:sz w:val="18"/>
        </w:rPr>
        <w:t>T.J., </w:t>
      </w:r>
      <w:r>
        <w:rPr>
          <w:color w:val="231F20"/>
          <w:sz w:val="18"/>
        </w:rPr>
        <w:t>López M., editores (2007). Evaluación de la sustentabilidad  de  dos  sistemas  de producción ovina en comunidades </w:t>
      </w:r>
      <w:r>
        <w:rPr>
          <w:color w:val="231F20"/>
          <w:spacing w:val="-3"/>
          <w:sz w:val="18"/>
        </w:rPr>
        <w:t>Totziles. </w:t>
      </w:r>
      <w:r>
        <w:rPr>
          <w:color w:val="231F20"/>
          <w:sz w:val="18"/>
        </w:rPr>
        <w:t>En: Sustentabilidad y campesinado. Seis experiencias agroecológicas en Latinoamérica. GIRA </w:t>
      </w:r>
      <w:r>
        <w:rPr>
          <w:color w:val="231F20"/>
          <w:spacing w:val="21"/>
          <w:sz w:val="18"/>
        </w:rPr>
        <w:t> </w:t>
      </w:r>
      <w:r>
        <w:rPr>
          <w:color w:val="231F20"/>
          <w:sz w:val="18"/>
        </w:rPr>
        <w:t>A.C.</w:t>
      </w:r>
    </w:p>
    <w:p>
      <w:pPr>
        <w:spacing w:line="276" w:lineRule="auto" w:before="56"/>
        <w:ind w:left="696" w:right="1551" w:hanging="284"/>
        <w:jc w:val="both"/>
        <w:rPr>
          <w:sz w:val="18"/>
        </w:rPr>
      </w:pPr>
      <w:r>
        <w:rPr>
          <w:color w:val="231F20"/>
          <w:w w:val="105"/>
          <w:sz w:val="18"/>
        </w:rPr>
        <w:t>Bobadilla S.E.E., Espinosa O.A., Martínez C.F.E. (2010). Dinámica de la producción porcina en México de 1980 a 2008. </w:t>
      </w:r>
      <w:r>
        <w:rPr>
          <w:rFonts w:ascii="Cambria" w:hAnsi="Cambria"/>
          <w:i/>
          <w:color w:val="231F20"/>
          <w:w w:val="105"/>
          <w:sz w:val="18"/>
        </w:rPr>
        <w:t>Revista Mexicana de Ciencias Pecua- </w:t>
      </w:r>
      <w:r>
        <w:rPr>
          <w:rFonts w:ascii="Cambria" w:hAnsi="Cambria"/>
          <w:i/>
          <w:color w:val="231F20"/>
          <w:w w:val="105"/>
          <w:sz w:val="18"/>
        </w:rPr>
        <w:t>rias,  </w:t>
      </w:r>
      <w:r>
        <w:rPr>
          <w:color w:val="231F20"/>
          <w:w w:val="105"/>
          <w:sz w:val="18"/>
        </w:rPr>
        <w:t>1  (3): 251-268.</w:t>
      </w:r>
    </w:p>
    <w:p>
      <w:pPr>
        <w:spacing w:line="276" w:lineRule="auto" w:before="56"/>
        <w:ind w:left="696" w:right="1551" w:hanging="284"/>
        <w:jc w:val="both"/>
        <w:rPr>
          <w:sz w:val="18"/>
        </w:rPr>
      </w:pPr>
      <w:r>
        <w:rPr>
          <w:color w:val="231F20"/>
          <w:spacing w:val="-3"/>
          <w:sz w:val="18"/>
        </w:rPr>
        <w:t>CEPAL </w:t>
      </w:r>
      <w:r>
        <w:rPr>
          <w:color w:val="231F20"/>
          <w:sz w:val="18"/>
        </w:rPr>
        <w:t>(Comisión Económica Para América  Latina)  (1982). Economía campesina y agricultura empre- sarial: tipología de productores del agro mexicano. Siglo XXI,</w:t>
      </w:r>
      <w:r>
        <w:rPr>
          <w:color w:val="231F20"/>
          <w:spacing w:val="-6"/>
          <w:sz w:val="18"/>
        </w:rPr>
        <w:t> </w:t>
      </w:r>
      <w:r>
        <w:rPr>
          <w:color w:val="231F20"/>
          <w:sz w:val="18"/>
        </w:rPr>
        <w:t>México.</w:t>
      </w:r>
    </w:p>
    <w:p>
      <w:pPr>
        <w:spacing w:line="276" w:lineRule="auto" w:before="56"/>
        <w:ind w:left="696" w:right="1551" w:hanging="284"/>
        <w:jc w:val="both"/>
        <w:rPr>
          <w:sz w:val="18"/>
        </w:rPr>
      </w:pPr>
      <w:r>
        <w:rPr>
          <w:color w:val="231F20"/>
          <w:sz w:val="18"/>
        </w:rPr>
        <w:t>Cuellar A.J.O. (2006). La importancia de los esquemas   de cruzamiento en la producción de carne ovina. Memoria. Primera Semana Nacional de la Ovinocul- tura. Tulancingo Hidalgo,</w:t>
      </w:r>
      <w:r>
        <w:rPr>
          <w:color w:val="231F20"/>
          <w:spacing w:val="-16"/>
          <w:sz w:val="18"/>
        </w:rPr>
        <w:t> </w:t>
      </w:r>
      <w:r>
        <w:rPr>
          <w:color w:val="231F20"/>
          <w:sz w:val="18"/>
        </w:rPr>
        <w:t>México.</w:t>
      </w:r>
    </w:p>
    <w:p>
      <w:pPr>
        <w:spacing w:line="276" w:lineRule="auto" w:before="56"/>
        <w:ind w:left="696" w:right="1551" w:hanging="284"/>
        <w:jc w:val="both"/>
        <w:rPr>
          <w:sz w:val="18"/>
        </w:rPr>
      </w:pPr>
      <w:r>
        <w:rPr>
          <w:color w:val="231F20"/>
          <w:sz w:val="18"/>
        </w:rPr>
        <w:t>Dufumier M. (1993). Sistemas de producción y desarro- llo agrícola. Colegio de Posgraduados, Montesillos, Edo.  de  México.  pp. 211-218.</w:t>
      </w:r>
    </w:p>
    <w:p>
      <w:pPr>
        <w:spacing w:line="276" w:lineRule="auto" w:before="56"/>
        <w:ind w:left="696" w:right="1551" w:hanging="284"/>
        <w:jc w:val="both"/>
        <w:rPr>
          <w:sz w:val="18"/>
        </w:rPr>
      </w:pPr>
      <w:r>
        <w:rPr>
          <w:color w:val="231F20"/>
          <w:sz w:val="18"/>
        </w:rPr>
        <w:t>Gómez M.J. (2008). Alternativas de mercado para la car- ne ovina en México. En: Memorias del II Congreso Regional de Buiatría. 28-29 de noviembre. Morelia, Michoacán, México.</w:t>
      </w:r>
    </w:p>
    <w:p>
      <w:pPr>
        <w:spacing w:line="276" w:lineRule="auto" w:before="56"/>
        <w:ind w:left="696" w:right="1551" w:hanging="284"/>
        <w:jc w:val="both"/>
        <w:rPr>
          <w:sz w:val="18"/>
        </w:rPr>
      </w:pPr>
      <w:r>
        <w:rPr>
          <w:color w:val="231F20"/>
          <w:sz w:val="18"/>
        </w:rPr>
        <w:t>Góngora-Pérez R.D., Góngora-González S.F., Maga- ña-Magaña M.A., Lara y Lara P.E. (2010). Caracte- rización técnica y socioeconómica de la producción ovina en el Estado de Yucatán, México. </w:t>
      </w:r>
      <w:r>
        <w:rPr>
          <w:rFonts w:ascii="Cambria" w:hAnsi="Cambria"/>
          <w:i/>
          <w:color w:val="231F20"/>
          <w:sz w:val="18"/>
        </w:rPr>
        <w:t>Agronomía </w:t>
      </w:r>
      <w:r>
        <w:rPr>
          <w:rFonts w:ascii="Cambria" w:hAnsi="Cambria"/>
          <w:i/>
          <w:color w:val="231F20"/>
          <w:sz w:val="18"/>
        </w:rPr>
        <w:t>Mesoamericana,    </w:t>
      </w:r>
      <w:r>
        <w:rPr>
          <w:color w:val="231F20"/>
          <w:sz w:val="18"/>
        </w:rPr>
        <w:t>21(1):  131-144.</w:t>
      </w:r>
    </w:p>
    <w:p>
      <w:pPr>
        <w:spacing w:line="276" w:lineRule="auto" w:before="56"/>
        <w:ind w:left="696" w:right="1551" w:hanging="284"/>
        <w:jc w:val="both"/>
        <w:rPr>
          <w:sz w:val="18"/>
        </w:rPr>
      </w:pPr>
      <w:r>
        <w:rPr>
          <w:color w:val="231F20"/>
          <w:sz w:val="18"/>
        </w:rPr>
        <w:t>INEGI (Instituto Nacional de Estadística, Geografía e In- formática) (2010). Censo agrícola, ganadero y fores- tal 2007.  INEGI, México.</w:t>
      </w:r>
    </w:p>
    <w:p>
      <w:pPr>
        <w:spacing w:line="276" w:lineRule="auto" w:before="56"/>
        <w:ind w:left="696" w:right="1551" w:hanging="284"/>
        <w:jc w:val="both"/>
        <w:rPr>
          <w:sz w:val="18"/>
        </w:rPr>
      </w:pPr>
      <w:r>
        <w:rPr>
          <w:color w:val="231F20"/>
          <w:w w:val="105"/>
          <w:sz w:val="18"/>
        </w:rPr>
        <w:t>Kessler J.J., Moolhuijzen M. (1994). Low external input sustainable agriculture: expectations and realities. </w:t>
      </w:r>
      <w:r>
        <w:rPr>
          <w:rFonts w:ascii="Cambria"/>
          <w:i/>
          <w:color w:val="231F20"/>
          <w:w w:val="105"/>
          <w:sz w:val="18"/>
        </w:rPr>
        <w:t>Netherlands J Agric Sc, </w:t>
      </w:r>
      <w:r>
        <w:rPr>
          <w:color w:val="231F20"/>
          <w:w w:val="105"/>
          <w:sz w:val="18"/>
        </w:rPr>
        <w:t>42 (3):  181-194.</w:t>
      </w:r>
    </w:p>
    <w:p>
      <w:pPr>
        <w:spacing w:line="276" w:lineRule="auto" w:before="56"/>
        <w:ind w:left="696" w:right="1551" w:hanging="284"/>
        <w:jc w:val="both"/>
        <w:rPr>
          <w:sz w:val="18"/>
        </w:rPr>
      </w:pPr>
      <w:r>
        <w:rPr>
          <w:color w:val="231F20"/>
          <w:sz w:val="18"/>
        </w:rPr>
        <w:t>Laird R.J. (1991). Investigación agronómica para el de- sarrollo de la agricultura tradicional. Rama de suelos. Colegio de Postgraduados/Escuela Nacional de Agri- cultura. Chapingo, México.</w:t>
      </w:r>
    </w:p>
    <w:p>
      <w:pPr>
        <w:spacing w:after="0" w:line="27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11.   </w:t>
      </w:r>
      <w:r>
        <w:rPr>
          <w:color w:val="231F20"/>
          <w:sz w:val="18"/>
        </w:rPr>
        <w:t>Caracterización de las zonas borregueras de Michoacán y  </w:t>
      </w:r>
      <w:r>
        <w:rPr>
          <w:color w:val="231F20"/>
          <w:spacing w:val="31"/>
          <w:sz w:val="18"/>
        </w:rPr>
        <w:t> </w:t>
      </w:r>
      <w:r>
        <w:rPr>
          <w:color w:val="231F20"/>
          <w:sz w:val="18"/>
        </w:rPr>
        <w:t>sus</w:t>
      </w:r>
      <w:r>
        <w:rPr>
          <w:color w:val="231F20"/>
          <w:spacing w:val="13"/>
          <w:sz w:val="18"/>
        </w:rPr>
        <w:t> </w:t>
      </w:r>
      <w:r>
        <w:rPr>
          <w:color w:val="231F20"/>
          <w:sz w:val="18"/>
        </w:rPr>
        <w:t>implicaciones...</w:t>
      </w:r>
      <w:r>
        <w:rPr>
          <w:color w:val="231F20"/>
          <w:sz w:val="22"/>
        </w:rPr>
        <w:tab/>
      </w:r>
      <w:r>
        <w:rPr>
          <w:color w:val="231F20"/>
          <w:spacing w:val="-9"/>
          <w:sz w:val="22"/>
        </w:rPr>
        <w:t>179</w:t>
      </w:r>
    </w:p>
    <w:p>
      <w:pPr>
        <w:spacing w:after="0"/>
        <w:jc w:val="left"/>
        <w:rPr>
          <w:sz w:val="22"/>
        </w:rPr>
        <w:sectPr>
          <w:footerReference w:type="default" r:id="rId332"/>
          <w:pgSz w:w="11900" w:h="14450"/>
          <w:pgMar w:footer="222" w:header="0" w:top="420" w:bottom="420" w:left="0" w:right="0"/>
        </w:sectPr>
      </w:pPr>
    </w:p>
    <w:p>
      <w:pPr>
        <w:pStyle w:val="BodyText"/>
        <w:rPr>
          <w:sz w:val="18"/>
        </w:rPr>
      </w:pPr>
    </w:p>
    <w:p>
      <w:pPr>
        <w:spacing w:line="268" w:lineRule="auto" w:before="129"/>
        <w:ind w:left="1544" w:right="0" w:firstLine="0"/>
        <w:jc w:val="right"/>
        <w:rPr>
          <w:sz w:val="18"/>
        </w:rPr>
      </w:pPr>
      <w:r>
        <w:rPr>
          <w:color w:val="231F20"/>
          <w:w w:val="105"/>
          <w:sz w:val="18"/>
        </w:rPr>
        <w:t>Medrano J. (2000). Recursos animales locales del Cen-</w:t>
      </w:r>
      <w:r>
        <w:rPr>
          <w:color w:val="231F20"/>
          <w:w w:val="95"/>
          <w:sz w:val="18"/>
        </w:rPr>
        <w:t> </w:t>
      </w:r>
      <w:r>
        <w:rPr>
          <w:color w:val="231F20"/>
          <w:w w:val="105"/>
          <w:sz w:val="18"/>
        </w:rPr>
        <w:t>tro de México. </w:t>
      </w:r>
      <w:r>
        <w:rPr>
          <w:rFonts w:ascii="Cambria" w:hAnsi="Cambria"/>
          <w:i/>
          <w:color w:val="231F20"/>
          <w:w w:val="105"/>
          <w:sz w:val="18"/>
        </w:rPr>
        <w:t>Archivos de Zootecnia, </w:t>
      </w:r>
      <w:r>
        <w:rPr>
          <w:color w:val="231F20"/>
          <w:w w:val="105"/>
          <w:sz w:val="18"/>
        </w:rPr>
        <w:t>49: 385-390.</w:t>
      </w:r>
    </w:p>
    <w:p>
      <w:pPr>
        <w:spacing w:line="268" w:lineRule="auto" w:before="57"/>
        <w:ind w:left="1837" w:right="0" w:hanging="284"/>
        <w:jc w:val="both"/>
        <w:rPr>
          <w:sz w:val="18"/>
        </w:rPr>
      </w:pPr>
      <w:r>
        <w:rPr>
          <w:color w:val="231F20"/>
          <w:sz w:val="18"/>
        </w:rPr>
        <w:t>Mondragón-Ancelmo J., Domínguez-Vara I.A., Rebollar R.S., Borques G.J.L., Hernández M.J. </w:t>
      </w:r>
      <w:r>
        <w:rPr>
          <w:color w:val="231F20"/>
          <w:spacing w:val="-3"/>
          <w:sz w:val="18"/>
        </w:rPr>
        <w:t>(2010).  </w:t>
      </w:r>
      <w:r>
        <w:rPr>
          <w:color w:val="231F20"/>
          <w:sz w:val="18"/>
        </w:rPr>
        <w:t>Ca-  nales de comercialización de la carne de ovino en Capulhuac, Estado de México. En: Cavallotti </w:t>
      </w:r>
      <w:r>
        <w:rPr>
          <w:color w:val="231F20"/>
          <w:spacing w:val="-3"/>
          <w:sz w:val="18"/>
        </w:rPr>
        <w:t>V.B.A., </w:t>
      </w:r>
      <w:r>
        <w:rPr>
          <w:color w:val="231F20"/>
          <w:sz w:val="18"/>
        </w:rPr>
        <w:t>Ramírez </w:t>
      </w:r>
      <w:r>
        <w:rPr>
          <w:color w:val="231F20"/>
          <w:spacing w:val="-3"/>
          <w:sz w:val="18"/>
        </w:rPr>
        <w:t>V.B., </w:t>
      </w:r>
      <w:r>
        <w:rPr>
          <w:color w:val="231F20"/>
          <w:sz w:val="18"/>
        </w:rPr>
        <w:t>Marcof </w:t>
      </w:r>
      <w:r>
        <w:rPr>
          <w:color w:val="231F20"/>
          <w:spacing w:val="-3"/>
          <w:sz w:val="18"/>
        </w:rPr>
        <w:t>A.C.F., </w:t>
      </w:r>
      <w:r>
        <w:rPr>
          <w:color w:val="231F20"/>
          <w:sz w:val="18"/>
        </w:rPr>
        <w:t>Cesín </w:t>
      </w:r>
      <w:r>
        <w:rPr>
          <w:color w:val="231F20"/>
          <w:spacing w:val="-3"/>
          <w:sz w:val="18"/>
        </w:rPr>
        <w:t>V.A., </w:t>
      </w:r>
      <w:r>
        <w:rPr>
          <w:color w:val="231F20"/>
          <w:sz w:val="18"/>
        </w:rPr>
        <w:t>editores. Los grandes retos de la ganadería: hambre, pobreza y crisis. Chapingo,</w:t>
      </w:r>
      <w:r>
        <w:rPr>
          <w:color w:val="231F20"/>
          <w:spacing w:val="6"/>
          <w:sz w:val="18"/>
        </w:rPr>
        <w:t> </w:t>
      </w:r>
      <w:r>
        <w:rPr>
          <w:color w:val="231F20"/>
          <w:sz w:val="18"/>
        </w:rPr>
        <w:t>México.</w:t>
      </w:r>
    </w:p>
    <w:p>
      <w:pPr>
        <w:spacing w:line="268" w:lineRule="auto" w:before="57"/>
        <w:ind w:left="1837" w:right="0" w:hanging="284"/>
        <w:jc w:val="both"/>
        <w:rPr>
          <w:sz w:val="18"/>
        </w:rPr>
      </w:pPr>
      <w:r>
        <w:rPr>
          <w:color w:val="231F20"/>
          <w:sz w:val="18"/>
        </w:rPr>
        <w:t>Mondragón-Ancelmo J., Montossi F., Silveira C., del Campo M., Domínguez I. (2011). Las cadenas cár- nicas ovinas de México y Uruguay. INIA-Uruguay. En prensa.</w:t>
      </w:r>
    </w:p>
    <w:p>
      <w:pPr>
        <w:spacing w:line="268" w:lineRule="auto" w:before="57"/>
        <w:ind w:left="1837" w:right="0" w:hanging="284"/>
        <w:jc w:val="both"/>
        <w:rPr>
          <w:sz w:val="18"/>
        </w:rPr>
      </w:pPr>
      <w:r>
        <w:rPr>
          <w:color w:val="231F20"/>
          <w:spacing w:val="-3"/>
          <w:sz w:val="18"/>
        </w:rPr>
        <w:t>Nahed-Toral </w:t>
      </w:r>
      <w:r>
        <w:rPr>
          <w:color w:val="231F20"/>
          <w:sz w:val="18"/>
        </w:rPr>
        <w:t>J., Cortina-Villar S., López-Tirado Q. (2003). Uso de recursos y posibilidad de mejora en  la  unidad espacial de la zona borreguera Tzotzil. </w:t>
      </w:r>
      <w:r>
        <w:rPr>
          <w:rFonts w:ascii="Cambria" w:hAnsi="Cambria"/>
          <w:i/>
          <w:color w:val="231F20"/>
          <w:sz w:val="18"/>
        </w:rPr>
        <w:t>Arch </w:t>
      </w:r>
      <w:r>
        <w:rPr>
          <w:rFonts w:ascii="Cambria" w:hAnsi="Cambria"/>
          <w:i/>
          <w:color w:val="231F20"/>
          <w:sz w:val="18"/>
        </w:rPr>
        <w:t>Latinoam  Prod  Anim.  </w:t>
      </w:r>
      <w:r>
        <w:rPr>
          <w:color w:val="231F20"/>
          <w:sz w:val="18"/>
        </w:rPr>
        <w:t>11(1):</w:t>
      </w:r>
      <w:r>
        <w:rPr>
          <w:color w:val="231F20"/>
          <w:spacing w:val="1"/>
          <w:sz w:val="18"/>
        </w:rPr>
        <w:t> </w:t>
      </w:r>
      <w:r>
        <w:rPr>
          <w:color w:val="231F20"/>
          <w:sz w:val="18"/>
        </w:rPr>
        <w:t>40-49.</w:t>
      </w:r>
    </w:p>
    <w:p>
      <w:pPr>
        <w:spacing w:line="268" w:lineRule="auto" w:before="57"/>
        <w:ind w:left="1837" w:right="0" w:hanging="284"/>
        <w:jc w:val="both"/>
        <w:rPr>
          <w:sz w:val="18"/>
        </w:rPr>
      </w:pPr>
      <w:r>
        <w:rPr>
          <w:color w:val="231F20"/>
          <w:sz w:val="18"/>
        </w:rPr>
        <w:t>Nuncio O.M.G.J., Escobedo </w:t>
      </w:r>
      <w:r>
        <w:rPr>
          <w:color w:val="231F20"/>
          <w:spacing w:val="-4"/>
          <w:sz w:val="18"/>
        </w:rPr>
        <w:t>A.F. </w:t>
      </w:r>
      <w:r>
        <w:rPr>
          <w:color w:val="231F20"/>
          <w:sz w:val="18"/>
        </w:rPr>
        <w:t>(2004). Diagnóstico de  los sistemas de producción ovina en </w:t>
      </w:r>
      <w:r>
        <w:rPr>
          <w:color w:val="231F20"/>
          <w:spacing w:val="-3"/>
          <w:sz w:val="18"/>
        </w:rPr>
        <w:t>Tabasco: </w:t>
      </w:r>
      <w:r>
        <w:rPr>
          <w:color w:val="231F20"/>
          <w:sz w:val="18"/>
        </w:rPr>
        <w:t>III. Di- versificación productiva de las unidades de produc- ción. En: Guerrero M.J.J., Gorostiola H.M.L., editores. XI Congreso Nacional de Investigación y Desarrollo Tecnológico Agropecuario. </w:t>
      </w:r>
      <w:r>
        <w:rPr>
          <w:color w:val="231F20"/>
          <w:spacing w:val="-3"/>
          <w:sz w:val="18"/>
        </w:rPr>
        <w:t>Tabasco, </w:t>
      </w:r>
      <w:r>
        <w:rPr>
          <w:color w:val="231F20"/>
          <w:sz w:val="18"/>
        </w:rPr>
        <w:t>México. pp.</w:t>
      </w:r>
      <w:r>
        <w:rPr>
          <w:color w:val="231F20"/>
          <w:spacing w:val="19"/>
          <w:sz w:val="18"/>
        </w:rPr>
        <w:t> </w:t>
      </w:r>
      <w:r>
        <w:rPr>
          <w:color w:val="231F20"/>
          <w:sz w:val="18"/>
        </w:rPr>
        <w:t>206.</w:t>
      </w:r>
    </w:p>
    <w:p>
      <w:pPr>
        <w:spacing w:line="268" w:lineRule="auto" w:before="57"/>
        <w:ind w:left="1837" w:right="0" w:hanging="284"/>
        <w:jc w:val="both"/>
        <w:rPr>
          <w:sz w:val="18"/>
        </w:rPr>
      </w:pPr>
      <w:r>
        <w:rPr>
          <w:color w:val="231F20"/>
          <w:sz w:val="18"/>
        </w:rPr>
        <w:t>Nuncio O.M.G.J, Nahed </w:t>
      </w:r>
      <w:r>
        <w:rPr>
          <w:color w:val="231F20"/>
          <w:spacing w:val="-3"/>
          <w:sz w:val="18"/>
        </w:rPr>
        <w:t>T.J., </w:t>
      </w:r>
      <w:r>
        <w:rPr>
          <w:color w:val="231F20"/>
          <w:sz w:val="18"/>
        </w:rPr>
        <w:t>Díaz B.H., Escobedo </w:t>
      </w:r>
      <w:r>
        <w:rPr>
          <w:color w:val="231F20"/>
          <w:spacing w:val="-3"/>
          <w:sz w:val="18"/>
        </w:rPr>
        <w:t>A.F., </w:t>
      </w:r>
      <w:r>
        <w:rPr>
          <w:color w:val="231F20"/>
          <w:sz w:val="18"/>
        </w:rPr>
        <w:t>Salvatierra  B.I.  (2001).  Caracterización  de  los</w:t>
      </w:r>
      <w:r>
        <w:rPr>
          <w:color w:val="231F20"/>
          <w:spacing w:val="-6"/>
          <w:sz w:val="18"/>
        </w:rPr>
        <w:t> </w:t>
      </w:r>
      <w:r>
        <w:rPr>
          <w:color w:val="231F20"/>
          <w:sz w:val="18"/>
        </w:rPr>
        <w:t>siste-</w:t>
      </w:r>
    </w:p>
    <w:p>
      <w:pPr>
        <w:pStyle w:val="BodyText"/>
        <w:rPr>
          <w:sz w:val="18"/>
        </w:rPr>
      </w:pPr>
      <w:r>
        <w:rPr/>
        <w:br w:type="column"/>
      </w:r>
      <w:r>
        <w:rPr>
          <w:sz w:val="18"/>
        </w:rPr>
      </w:r>
    </w:p>
    <w:p>
      <w:pPr>
        <w:spacing w:before="129"/>
        <w:ind w:left="696" w:right="1446" w:firstLine="0"/>
        <w:jc w:val="left"/>
        <w:rPr>
          <w:sz w:val="18"/>
        </w:rPr>
      </w:pPr>
      <w:r>
        <w:rPr>
          <w:color w:val="231F20"/>
          <w:sz w:val="18"/>
        </w:rPr>
        <w:t>mas de producción ovina en el Estado de Tabasco.</w:t>
      </w:r>
    </w:p>
    <w:p>
      <w:pPr>
        <w:spacing w:before="22"/>
        <w:ind w:left="696" w:right="2579" w:firstLine="0"/>
        <w:jc w:val="left"/>
        <w:rPr>
          <w:sz w:val="18"/>
        </w:rPr>
      </w:pPr>
      <w:r>
        <w:rPr>
          <w:rFonts w:ascii="Cambria"/>
          <w:i/>
          <w:color w:val="231F20"/>
          <w:w w:val="105"/>
          <w:sz w:val="18"/>
        </w:rPr>
        <w:t>Agrociencia, </w:t>
      </w:r>
      <w:r>
        <w:rPr>
          <w:color w:val="231F20"/>
          <w:w w:val="105"/>
          <w:sz w:val="18"/>
        </w:rPr>
        <w:t>35: 469-477.</w:t>
      </w:r>
    </w:p>
    <w:p>
      <w:pPr>
        <w:spacing w:line="264" w:lineRule="auto" w:before="78"/>
        <w:ind w:left="696" w:right="1551" w:hanging="284"/>
        <w:jc w:val="both"/>
        <w:rPr>
          <w:sz w:val="18"/>
        </w:rPr>
      </w:pPr>
      <w:r>
        <w:rPr>
          <w:color w:val="231F20"/>
          <w:sz w:val="18"/>
        </w:rPr>
        <w:t>Nuncio O.M.G.J. (2004). Sistemas de producción ovina  en </w:t>
      </w:r>
      <w:r>
        <w:rPr>
          <w:color w:val="231F20"/>
          <w:spacing w:val="-3"/>
          <w:sz w:val="18"/>
        </w:rPr>
        <w:t>Tabasco.  </w:t>
      </w:r>
      <w:r>
        <w:rPr>
          <w:color w:val="231F20"/>
          <w:spacing w:val="-4"/>
          <w:sz w:val="18"/>
        </w:rPr>
        <w:t>SEP.  DGETA.  </w:t>
      </w:r>
      <w:r>
        <w:rPr>
          <w:color w:val="231F20"/>
          <w:sz w:val="18"/>
        </w:rPr>
        <w:t>México</w:t>
      </w:r>
      <w:r>
        <w:rPr>
          <w:color w:val="231F20"/>
          <w:spacing w:val="3"/>
          <w:sz w:val="18"/>
        </w:rPr>
        <w:t> </w:t>
      </w:r>
      <w:r>
        <w:rPr>
          <w:color w:val="231F20"/>
          <w:spacing w:val="-4"/>
          <w:sz w:val="18"/>
        </w:rPr>
        <w:t>D.F.</w:t>
      </w:r>
    </w:p>
    <w:p>
      <w:pPr>
        <w:spacing w:line="264" w:lineRule="auto" w:before="57"/>
        <w:ind w:left="696" w:right="1551" w:hanging="284"/>
        <w:jc w:val="both"/>
        <w:rPr>
          <w:sz w:val="18"/>
        </w:rPr>
      </w:pPr>
      <w:r>
        <w:rPr>
          <w:color w:val="231F20"/>
          <w:sz w:val="18"/>
        </w:rPr>
        <w:t>Padua J., editor (1981). Técnicas de investigación apli- cadas a las ciencias sociales. Fernández Editores, Es- tado de México.</w:t>
      </w:r>
    </w:p>
    <w:p>
      <w:pPr>
        <w:spacing w:line="264" w:lineRule="auto" w:before="57"/>
        <w:ind w:left="696" w:right="1551" w:hanging="284"/>
        <w:jc w:val="both"/>
        <w:rPr>
          <w:sz w:val="18"/>
        </w:rPr>
      </w:pPr>
      <w:r>
        <w:rPr>
          <w:color w:val="231F20"/>
          <w:sz w:val="18"/>
        </w:rPr>
        <w:t>SAGARPA (Secretaría de Agricultura, Ganadería, Pesca y Alimentación) (2004). Programa nacional de los re- cursos genéticos pecuarios. Disponible en línea en: </w:t>
      </w:r>
      <w:hyperlink r:id="rId333">
        <w:r>
          <w:rPr>
            <w:color w:val="231F20"/>
            <w:sz w:val="18"/>
          </w:rPr>
          <w:t>http://www.sagarpa.gob.mx/dgg/ftp/conargen</w:t>
        </w:r>
      </w:hyperlink>
    </w:p>
    <w:p>
      <w:pPr>
        <w:spacing w:line="264" w:lineRule="auto" w:before="57"/>
        <w:ind w:left="696" w:right="1551" w:hanging="284"/>
        <w:jc w:val="both"/>
        <w:rPr>
          <w:sz w:val="18"/>
        </w:rPr>
      </w:pPr>
      <w:r>
        <w:rPr>
          <w:color w:val="231F20"/>
          <w:sz w:val="18"/>
        </w:rPr>
        <w:t>SAGARPA (Secretaría de Agricultura, Ganadería, Desa- rrollo Rural, Pesca y Alimentación) (2009). Datos tabulares (archivo electrónico).</w:t>
      </w:r>
    </w:p>
    <w:p>
      <w:pPr>
        <w:spacing w:line="264" w:lineRule="auto" w:before="57"/>
        <w:ind w:left="696" w:right="1551" w:hanging="284"/>
        <w:jc w:val="both"/>
        <w:rPr>
          <w:sz w:val="18"/>
        </w:rPr>
      </w:pPr>
      <w:r>
        <w:rPr>
          <w:color w:val="231F20"/>
          <w:sz w:val="18"/>
        </w:rPr>
        <w:t>Sánchez R.G., Sánchez V.A., editores (2005). La gana- dería bovina del Estado de Michoacán. Fundación Produce Michoacán, A.C. Michoacán, México.</w:t>
      </w:r>
    </w:p>
    <w:p>
      <w:pPr>
        <w:spacing w:line="264" w:lineRule="auto" w:before="57"/>
        <w:ind w:left="696" w:right="1551" w:hanging="284"/>
        <w:jc w:val="both"/>
        <w:rPr>
          <w:sz w:val="18"/>
        </w:rPr>
      </w:pPr>
      <w:r>
        <w:rPr>
          <w:color w:val="231F20"/>
          <w:sz w:val="18"/>
        </w:rPr>
        <w:t>SIAP (Servicio de Información Agroalimentaria y Pesque- ra) (2011). Base de datos de la producción anual de ovinos. SIAP, México.</w:t>
      </w:r>
    </w:p>
    <w:p>
      <w:pPr>
        <w:spacing w:line="264" w:lineRule="auto" w:before="57"/>
        <w:ind w:left="696" w:right="1551" w:hanging="284"/>
        <w:jc w:val="both"/>
        <w:rPr>
          <w:sz w:val="18"/>
        </w:rPr>
      </w:pPr>
      <w:r>
        <w:rPr>
          <w:color w:val="231F20"/>
          <w:spacing w:val="-3"/>
          <w:sz w:val="18"/>
        </w:rPr>
        <w:t>Vela </w:t>
      </w:r>
      <w:r>
        <w:rPr>
          <w:color w:val="231F20"/>
          <w:spacing w:val="-8"/>
          <w:sz w:val="18"/>
        </w:rPr>
        <w:t>F. </w:t>
      </w:r>
      <w:r>
        <w:rPr>
          <w:color w:val="231F20"/>
          <w:sz w:val="18"/>
        </w:rPr>
        <w:t>(2001). Un acto metodológico básico de la in- vestigación social: la entrevista cualitativa. En: </w:t>
      </w:r>
      <w:r>
        <w:rPr>
          <w:color w:val="231F20"/>
          <w:spacing w:val="-4"/>
          <w:sz w:val="18"/>
        </w:rPr>
        <w:t>Tarrés </w:t>
      </w:r>
      <w:r>
        <w:rPr>
          <w:color w:val="231F20"/>
          <w:sz w:val="18"/>
        </w:rPr>
        <w:t>M.L.,</w:t>
      </w:r>
      <w:r>
        <w:rPr>
          <w:color w:val="231F20"/>
          <w:spacing w:val="-6"/>
          <w:sz w:val="18"/>
        </w:rPr>
        <w:t> </w:t>
      </w:r>
      <w:r>
        <w:rPr>
          <w:color w:val="231F20"/>
          <w:sz w:val="18"/>
        </w:rPr>
        <w:t>editor.</w:t>
      </w:r>
      <w:r>
        <w:rPr>
          <w:color w:val="231F20"/>
          <w:spacing w:val="-6"/>
          <w:sz w:val="18"/>
        </w:rPr>
        <w:t> </w:t>
      </w:r>
      <w:r>
        <w:rPr>
          <w:color w:val="231F20"/>
          <w:sz w:val="18"/>
        </w:rPr>
        <w:t>Observar,</w:t>
      </w:r>
      <w:r>
        <w:rPr>
          <w:color w:val="231F20"/>
          <w:spacing w:val="-6"/>
          <w:sz w:val="18"/>
        </w:rPr>
        <w:t> </w:t>
      </w:r>
      <w:r>
        <w:rPr>
          <w:color w:val="231F20"/>
          <w:sz w:val="18"/>
        </w:rPr>
        <w:t>escuchar</w:t>
      </w:r>
      <w:r>
        <w:rPr>
          <w:color w:val="231F20"/>
          <w:spacing w:val="-6"/>
          <w:sz w:val="18"/>
        </w:rPr>
        <w:t> </w:t>
      </w:r>
      <w:r>
        <w:rPr>
          <w:color w:val="231F20"/>
          <w:sz w:val="18"/>
        </w:rPr>
        <w:t>y</w:t>
      </w:r>
      <w:r>
        <w:rPr>
          <w:color w:val="231F20"/>
          <w:spacing w:val="-6"/>
          <w:sz w:val="18"/>
        </w:rPr>
        <w:t> </w:t>
      </w:r>
      <w:r>
        <w:rPr>
          <w:color w:val="231F20"/>
          <w:sz w:val="18"/>
        </w:rPr>
        <w:t>comprender.</w:t>
      </w:r>
      <w:r>
        <w:rPr>
          <w:color w:val="231F20"/>
          <w:spacing w:val="-6"/>
          <w:sz w:val="18"/>
        </w:rPr>
        <w:t> </w:t>
      </w:r>
      <w:r>
        <w:rPr>
          <w:color w:val="231F20"/>
          <w:sz w:val="18"/>
        </w:rPr>
        <w:t>Sobre la tradición cualitativa en la investigación social. Po- rrúa y FLACSO, México. pp.  </w:t>
      </w:r>
      <w:r>
        <w:rPr>
          <w:color w:val="231F20"/>
          <w:spacing w:val="9"/>
          <w:sz w:val="18"/>
        </w:rPr>
        <w:t> </w:t>
      </w:r>
      <w:r>
        <w:rPr>
          <w:color w:val="231F20"/>
          <w:sz w:val="18"/>
        </w:rPr>
        <w:t>63-95.</w:t>
      </w:r>
    </w:p>
    <w:p>
      <w:pPr>
        <w:spacing w:after="0" w:line="264" w:lineRule="auto"/>
        <w:jc w:val="both"/>
        <w:rPr>
          <w:sz w:val="18"/>
        </w:rPr>
        <w:sectPr>
          <w:type w:val="continuous"/>
          <w:pgSz w:w="11900" w:h="14450"/>
          <w:pgMar w:top="420" w:bottom="420" w:left="0" w:right="0"/>
          <w:cols w:num="2" w:equalWidth="0">
            <w:col w:w="5722" w:space="40"/>
            <w:col w:w="6138"/>
          </w:cols>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ListParagraph"/>
        <w:numPr>
          <w:ilvl w:val="0"/>
          <w:numId w:val="17"/>
        </w:numPr>
        <w:tabs>
          <w:tab w:pos="2087" w:val="left" w:leader="none"/>
        </w:tabs>
        <w:spacing w:line="240" w:lineRule="auto" w:before="154" w:after="0"/>
        <w:ind w:left="2086" w:right="0" w:hanging="533"/>
        <w:jc w:val="both"/>
        <w:rPr>
          <w:sz w:val="28"/>
        </w:rPr>
      </w:pPr>
      <w:r>
        <w:rPr>
          <w:color w:val="6D6E71"/>
          <w:w w:val="120"/>
          <w:sz w:val="40"/>
        </w:rPr>
        <w:t>S</w:t>
      </w:r>
      <w:r>
        <w:rPr>
          <w:color w:val="6D6E71"/>
          <w:w w:val="120"/>
          <w:sz w:val="28"/>
        </w:rPr>
        <w:t>iStemAS  productoreS  de</w:t>
      </w:r>
      <w:r>
        <w:rPr>
          <w:color w:val="6D6E71"/>
          <w:spacing w:val="50"/>
          <w:w w:val="120"/>
          <w:sz w:val="28"/>
        </w:rPr>
        <w:t> </w:t>
      </w:r>
      <w:r>
        <w:rPr>
          <w:color w:val="6D6E71"/>
          <w:w w:val="120"/>
          <w:sz w:val="28"/>
        </w:rPr>
        <w:t>ovinoS</w:t>
      </w:r>
    </w:p>
    <w:p>
      <w:pPr>
        <w:pStyle w:val="Heading3"/>
        <w:spacing w:before="290"/>
        <w:rPr>
          <w:sz w:val="60"/>
        </w:rPr>
      </w:pPr>
      <w:bookmarkStart w:name="_TOC_250003" w:id="9"/>
      <w:r>
        <w:rPr>
          <w:color w:val="231F20"/>
          <w:w w:val="110"/>
        </w:rPr>
        <w:t>CAPÍTULO </w:t>
      </w:r>
      <w:bookmarkEnd w:id="9"/>
      <w:r>
        <w:rPr>
          <w:color w:val="231F20"/>
          <w:spacing w:val="-25"/>
          <w:w w:val="110"/>
          <w:sz w:val="60"/>
        </w:rPr>
        <w:t>12</w:t>
      </w:r>
    </w:p>
    <w:p>
      <w:pPr>
        <w:spacing w:before="219"/>
        <w:ind w:left="1553" w:right="1575" w:firstLine="0"/>
        <w:jc w:val="both"/>
        <w:rPr>
          <w:sz w:val="36"/>
        </w:rPr>
      </w:pPr>
      <w:r>
        <w:rPr>
          <w:color w:val="231F20"/>
          <w:w w:val="105"/>
          <w:sz w:val="36"/>
        </w:rPr>
        <w:t>INNOVACIÓN TECNOLÓGICA EN SISTEMAS </w:t>
      </w:r>
      <w:r>
        <w:rPr>
          <w:color w:val="231F20"/>
          <w:spacing w:val="2"/>
          <w:w w:val="105"/>
          <w:sz w:val="36"/>
        </w:rPr>
        <w:t>CAMPESINOS </w:t>
      </w:r>
      <w:r>
        <w:rPr>
          <w:color w:val="231F20"/>
          <w:w w:val="105"/>
          <w:sz w:val="36"/>
        </w:rPr>
        <w:t>DE PRODUCCIÓN OVINA EN EL </w:t>
      </w:r>
      <w:r>
        <w:rPr>
          <w:color w:val="231F20"/>
          <w:spacing w:val="-7"/>
          <w:w w:val="105"/>
          <w:sz w:val="36"/>
        </w:rPr>
        <w:t>ESTADO </w:t>
      </w:r>
      <w:r>
        <w:rPr>
          <w:color w:val="231F20"/>
          <w:w w:val="105"/>
          <w:sz w:val="36"/>
        </w:rPr>
        <w:t>DE MICHOACÁN  Y SU CONTRIBUCIÓN AL DESARROLLO </w:t>
      </w:r>
      <w:r>
        <w:rPr>
          <w:color w:val="231F20"/>
          <w:spacing w:val="71"/>
          <w:w w:val="105"/>
          <w:sz w:val="36"/>
        </w:rPr>
        <w:t> </w:t>
      </w:r>
      <w:r>
        <w:rPr>
          <w:color w:val="231F20"/>
          <w:spacing w:val="4"/>
          <w:w w:val="105"/>
          <w:sz w:val="36"/>
        </w:rPr>
        <w:t>RURAL</w:t>
      </w:r>
    </w:p>
    <w:p>
      <w:pPr>
        <w:pStyle w:val="Heading4"/>
        <w:spacing w:before="307"/>
        <w:ind w:right="4557"/>
        <w:jc w:val="left"/>
        <w:rPr>
          <w:sz w:val="16"/>
        </w:rPr>
      </w:pPr>
      <w:r>
        <w:rPr>
          <w:i/>
          <w:color w:val="231F20"/>
        </w:rPr>
        <w:t>Mauricio Perea Peña</w:t>
      </w:r>
      <w:r>
        <w:rPr>
          <w:i/>
          <w:color w:val="231F20"/>
          <w:position w:val="9"/>
          <w:sz w:val="16"/>
        </w:rPr>
        <w:t>a,*</w:t>
      </w:r>
      <w:r>
        <w:rPr>
          <w:i/>
          <w:color w:val="231F20"/>
        </w:rPr>
        <w:t>, Angélica Espinoza Ortega</w:t>
      </w:r>
      <w:r>
        <w:rPr>
          <w:i/>
          <w:color w:val="231F20"/>
          <w:position w:val="9"/>
          <w:sz w:val="16"/>
        </w:rPr>
        <w:t>b     </w:t>
      </w:r>
      <w:r>
        <w:rPr>
          <w:color w:val="231F20"/>
        </w:rPr>
        <w:t>y  Ernesto  Sánchez</w:t>
      </w:r>
      <w:r>
        <w:rPr>
          <w:color w:val="231F20"/>
          <w:spacing w:val="14"/>
        </w:rPr>
        <w:t> </w:t>
      </w:r>
      <w:r>
        <w:rPr>
          <w:color w:val="231F20"/>
        </w:rPr>
        <w:t>Vera</w:t>
      </w:r>
      <w:r>
        <w:rPr>
          <w:color w:val="231F20"/>
          <w:position w:val="9"/>
          <w:sz w:val="16"/>
        </w:rPr>
        <w:t>b</w:t>
      </w:r>
    </w:p>
    <w:p>
      <w:pPr>
        <w:pStyle w:val="BodyText"/>
        <w:spacing w:line="254" w:lineRule="auto" w:before="175"/>
        <w:ind w:left="1553" w:right="2315"/>
      </w:pPr>
      <w:r>
        <w:rPr>
          <w:color w:val="231F20"/>
          <w:position w:val="7"/>
          <w:sz w:val="11"/>
        </w:rPr>
        <w:t>a </w:t>
      </w:r>
      <w:r>
        <w:rPr>
          <w:color w:val="231F20"/>
        </w:rPr>
        <w:t>Instituto de Investigaciones Agropecuarias y Forestales, Universidad Michoacana de San Nicolás de Hidalgo. Km. 9,5 Carretera Morelia-Zinapécuaro, Tarímbaro, Michoacán, México,    C.P.  58880.</w:t>
      </w:r>
    </w:p>
    <w:p>
      <w:pPr>
        <w:pStyle w:val="BodyText"/>
        <w:spacing w:line="254" w:lineRule="auto" w:before="114"/>
        <w:ind w:left="1553" w:right="2778"/>
      </w:pPr>
      <w:r>
        <w:rPr>
          <w:color w:val="231F20"/>
          <w:position w:val="7"/>
          <w:sz w:val="11"/>
        </w:rPr>
        <w:t>b </w:t>
      </w:r>
      <w:r>
        <w:rPr>
          <w:color w:val="231F20"/>
        </w:rPr>
        <w:t>Instituto de Ciencias Agropecuarias y Rurales, Universidad Autónoma del Estado de México. Km. 14,5  Carretera Toluca-Atlacomulco, Toluca,  México C.P.  50200.</w:t>
      </w:r>
    </w:p>
    <w:p>
      <w:pPr>
        <w:pStyle w:val="BodyText"/>
      </w:pPr>
    </w:p>
    <w:p>
      <w:pPr>
        <w:pStyle w:val="BodyText"/>
      </w:pPr>
    </w:p>
    <w:p>
      <w:pPr>
        <w:pStyle w:val="BodyText"/>
        <w:spacing w:before="3"/>
        <w:rPr>
          <w:sz w:val="10"/>
        </w:rPr>
      </w:pPr>
      <w:r>
        <w:rPr/>
        <w:pict>
          <v:line style="position:absolute;mso-position-horizontal-relative:page;mso-position-vertical-relative:paragraph;z-index:5728;mso-wrap-distance-left:0;mso-wrap-distance-right:0" from="77.692902pt,8.477871pt" to="517.062902pt,8.477871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0"/>
        <w:jc w:val="both"/>
      </w:pPr>
      <w:r>
        <w:rPr>
          <w:color w:val="231F20"/>
        </w:rPr>
        <w:t>La innovación tecnológica en los sistemas campesinos de producción ovina representa un complemento para el uso eficiente de los recursos. La producción de ovinos es importante para el campesinado de           los municipios de Contepec y Epitacio Huerta en el Estado de Michoacán. En este trabajo se explora la transferencia de tecnología en la agricultura, se explica el estatus tecnológico de los sistemas campesinos  de producción ovina, se contribuye al entendimiento de los capitales social y humano en el proceso de innovación, del papel del género en el proceso de innovación y de la visión del tomador de decisiones con respecto a la tecnología, y se exploran algunas ideas acerca de la contribución de la actividad a la familia y por ende al desarrollo</w:t>
      </w:r>
      <w:r>
        <w:rPr>
          <w:color w:val="231F20"/>
          <w:spacing w:val="13"/>
        </w:rPr>
        <w:t> </w:t>
      </w:r>
      <w:r>
        <w:rPr>
          <w:color w:val="231F20"/>
        </w:rPr>
        <w:t>rural.</w:t>
      </w:r>
    </w:p>
    <w:p>
      <w:pPr>
        <w:pStyle w:val="BodyText"/>
        <w:spacing w:before="114"/>
        <w:ind w:left="1553"/>
        <w:jc w:val="both"/>
      </w:pPr>
      <w:r>
        <w:rPr>
          <w:color w:val="231F20"/>
        </w:rPr>
        <w:t>Palabras clave: Innovación tecnológica - Capital social - Capital humano - Sistemas de producción.</w:t>
      </w:r>
    </w:p>
    <w:p>
      <w:pPr>
        <w:pStyle w:val="BodyText"/>
        <w:spacing w:before="3"/>
      </w:pPr>
      <w:r>
        <w:rPr/>
        <w:pict>
          <v:line style="position:absolute;mso-position-horizontal-relative:page;mso-position-vertical-relative:paragraph;z-index:5752;mso-wrap-distance-left:0;mso-wrap-distance-right:0" from="77.692902pt,14.572256pt" to="517.062902pt,14.572256pt" stroked="true" strokeweight=".5pt" strokecolor="#231f20">
            <w10:wrap type="topAndBottom"/>
          </v:line>
        </w:pict>
      </w:r>
    </w:p>
    <w:p>
      <w:pPr>
        <w:pStyle w:val="BodyText"/>
      </w:pPr>
    </w:p>
    <w:p>
      <w:pPr>
        <w:pStyle w:val="BodyText"/>
      </w:pPr>
    </w:p>
    <w:p>
      <w:pPr>
        <w:pStyle w:val="BodyText"/>
      </w:pPr>
    </w:p>
    <w:p>
      <w:pPr>
        <w:pStyle w:val="BodyText"/>
      </w:pPr>
    </w:p>
    <w:p>
      <w:pPr>
        <w:pStyle w:val="BodyText"/>
        <w:spacing w:before="11"/>
        <w:rPr>
          <w:sz w:val="26"/>
        </w:rPr>
      </w:pPr>
      <w:r>
        <w:rPr/>
        <w:pict>
          <v:group style="position:absolute;margin-left:77.692902pt;margin-top:18.412874pt;width:70.9pt;height:.5pt;mso-position-horizontal-relative:page;mso-position-vertical-relative:paragraph;z-index:5776;mso-wrap-distance-left:0;mso-wrap-distance-right:0" coordorigin="1554,368" coordsize="1418,10">
            <v:line style="position:absolute" from="1589,373" to="2951,373" stroked="true" strokeweight=".5pt" strokecolor="#231f20">
              <v:stroke dashstyle="dash"/>
            </v:line>
            <v:line style="position:absolute" from="1559,373" to="1559,373" stroked="true" strokeweight=".5pt" strokecolor="#231f20"/>
            <v:line style="position:absolute" from="2966,373" to="2966,373" stroked="true" strokeweight=".5pt" strokecolor="#231f20"/>
            <w10:wrap type="topAndBottom"/>
          </v:group>
        </w:pict>
      </w:r>
    </w:p>
    <w:p>
      <w:pPr>
        <w:spacing w:after="0"/>
        <w:rPr>
          <w:sz w:val="26"/>
        </w:rPr>
        <w:sectPr>
          <w:pgSz w:w="11900" w:h="14450"/>
          <w:pgMar w:header="0" w:footer="222" w:top="420" w:bottom="420" w:left="0" w:right="0"/>
        </w:sectPr>
      </w:pPr>
    </w:p>
    <w:p>
      <w:pPr>
        <w:spacing w:before="70"/>
        <w:ind w:left="1553" w:right="-16" w:firstLine="0"/>
        <w:jc w:val="left"/>
        <w:rPr>
          <w:sz w:val="16"/>
        </w:rPr>
      </w:pPr>
      <w:r>
        <w:rPr>
          <w:color w:val="231F20"/>
          <w:sz w:val="16"/>
        </w:rPr>
        <w:t>*  Para  correspondencia:</w:t>
      </w:r>
      <w:r>
        <w:rPr>
          <w:color w:val="231F20"/>
          <w:spacing w:val="-11"/>
          <w:sz w:val="16"/>
        </w:rPr>
        <w:t> </w:t>
      </w:r>
      <w:hyperlink r:id="rId334">
        <w:r>
          <w:rPr>
            <w:color w:val="231F20"/>
            <w:sz w:val="16"/>
          </w:rPr>
          <w:t>mapepe1</w:t>
        </w:r>
      </w:hyperlink>
      <w:hyperlink r:id="rId335">
        <w:r>
          <w:rPr>
            <w:color w:val="231F20"/>
            <w:sz w:val="16"/>
          </w:rPr>
          <w:t>7@hotmail.com</w:t>
        </w:r>
      </w:hyperlink>
    </w:p>
    <w:p>
      <w:pPr>
        <w:pStyle w:val="BodyText"/>
        <w:spacing w:before="4"/>
        <w:rPr>
          <w:sz w:val="32"/>
        </w:rPr>
      </w:pPr>
      <w:r>
        <w:rPr/>
        <w:br w:type="column"/>
      </w:r>
      <w:r>
        <w:rPr>
          <w:sz w:val="32"/>
        </w:rPr>
      </w:r>
    </w:p>
    <w:p>
      <w:pPr>
        <w:pStyle w:val="Heading5"/>
        <w:ind w:left="1523" w:right="1530"/>
        <w:jc w:val="center"/>
      </w:pPr>
      <w:r>
        <w:rPr>
          <w:color w:val="231F20"/>
          <w:w w:val="115"/>
        </w:rPr>
        <w:t>181</w:t>
      </w:r>
    </w:p>
    <w:p>
      <w:pPr>
        <w:spacing w:after="0"/>
        <w:jc w:val="center"/>
        <w:sectPr>
          <w:type w:val="continuous"/>
          <w:pgSz w:w="11900" w:h="14450"/>
          <w:pgMar w:top="420" w:bottom="420" w:left="0" w:right="0"/>
          <w:cols w:num="2" w:equalWidth="0">
            <w:col w:w="4886" w:space="3535"/>
            <w:col w:w="3479"/>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182</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6" w:lineRule="auto" w:before="130"/>
        <w:ind w:left="1553"/>
        <w:jc w:val="both"/>
      </w:pPr>
      <w:r>
        <w:rPr>
          <w:color w:val="231F20"/>
        </w:rPr>
        <w:t>La </w:t>
      </w:r>
      <w:r>
        <w:rPr>
          <w:color w:val="231F20"/>
          <w:spacing w:val="-4"/>
        </w:rPr>
        <w:t>transferencia </w:t>
      </w:r>
      <w:r>
        <w:rPr>
          <w:color w:val="231F20"/>
        </w:rPr>
        <w:t>de </w:t>
      </w:r>
      <w:r>
        <w:rPr>
          <w:color w:val="231F20"/>
          <w:spacing w:val="-4"/>
        </w:rPr>
        <w:t>tecnología </w:t>
      </w:r>
      <w:r>
        <w:rPr>
          <w:color w:val="231F20"/>
        </w:rPr>
        <w:t>se ha </w:t>
      </w:r>
      <w:r>
        <w:rPr>
          <w:color w:val="231F20"/>
          <w:spacing w:val="-4"/>
        </w:rPr>
        <w:t>visto tradicional- mente desde </w:t>
      </w:r>
      <w:r>
        <w:rPr>
          <w:color w:val="231F20"/>
        </w:rPr>
        <w:t>la </w:t>
      </w:r>
      <w:r>
        <w:rPr>
          <w:color w:val="231F20"/>
          <w:spacing w:val="-4"/>
        </w:rPr>
        <w:t>perspectiva </w:t>
      </w:r>
      <w:r>
        <w:rPr>
          <w:color w:val="231F20"/>
        </w:rPr>
        <w:t>de un </w:t>
      </w:r>
      <w:r>
        <w:rPr>
          <w:color w:val="231F20"/>
          <w:spacing w:val="-4"/>
        </w:rPr>
        <w:t>componente </w:t>
      </w:r>
      <w:r>
        <w:rPr>
          <w:color w:val="231F20"/>
          <w:spacing w:val="-3"/>
        </w:rPr>
        <w:t>im- portante </w:t>
      </w:r>
      <w:r>
        <w:rPr>
          <w:color w:val="231F20"/>
        </w:rPr>
        <w:t>en </w:t>
      </w:r>
      <w:r>
        <w:rPr>
          <w:color w:val="231F20"/>
          <w:spacing w:val="-3"/>
        </w:rPr>
        <w:t>los </w:t>
      </w:r>
      <w:r>
        <w:rPr>
          <w:color w:val="231F20"/>
          <w:spacing w:val="-4"/>
        </w:rPr>
        <w:t>sistemas </w:t>
      </w:r>
      <w:r>
        <w:rPr>
          <w:color w:val="231F20"/>
        </w:rPr>
        <w:t>de</w:t>
      </w:r>
      <w:r>
        <w:rPr>
          <w:color w:val="231F20"/>
          <w:spacing w:val="-31"/>
        </w:rPr>
        <w:t> </w:t>
      </w:r>
      <w:r>
        <w:rPr>
          <w:color w:val="231F20"/>
          <w:spacing w:val="-4"/>
        </w:rPr>
        <w:t>producción agropecuaria. </w:t>
      </w:r>
      <w:r>
        <w:rPr>
          <w:color w:val="231F20"/>
          <w:spacing w:val="-3"/>
        </w:rPr>
        <w:t>Sin </w:t>
      </w:r>
      <w:r>
        <w:rPr>
          <w:color w:val="231F20"/>
          <w:spacing w:val="-4"/>
        </w:rPr>
        <w:t>embargo, </w:t>
      </w:r>
      <w:r>
        <w:rPr>
          <w:color w:val="231F20"/>
        </w:rPr>
        <w:t>a </w:t>
      </w:r>
      <w:r>
        <w:rPr>
          <w:color w:val="231F20"/>
          <w:spacing w:val="-4"/>
        </w:rPr>
        <w:t>pesar </w:t>
      </w:r>
      <w:r>
        <w:rPr>
          <w:color w:val="231F20"/>
        </w:rPr>
        <w:t>de </w:t>
      </w:r>
      <w:r>
        <w:rPr>
          <w:color w:val="231F20"/>
          <w:spacing w:val="-4"/>
        </w:rPr>
        <w:t>tener claras </w:t>
      </w:r>
      <w:r>
        <w:rPr>
          <w:color w:val="231F20"/>
        </w:rPr>
        <w:t>su </w:t>
      </w:r>
      <w:r>
        <w:rPr>
          <w:color w:val="231F20"/>
          <w:spacing w:val="-4"/>
        </w:rPr>
        <w:t>importancia  </w:t>
      </w:r>
      <w:r>
        <w:rPr>
          <w:color w:val="231F20"/>
        </w:rPr>
        <w:t>y su gran </w:t>
      </w:r>
      <w:r>
        <w:rPr>
          <w:color w:val="231F20"/>
          <w:spacing w:val="-4"/>
        </w:rPr>
        <w:t>valor dentro </w:t>
      </w:r>
      <w:r>
        <w:rPr>
          <w:color w:val="231F20"/>
        </w:rPr>
        <w:t>de </w:t>
      </w:r>
      <w:r>
        <w:rPr>
          <w:color w:val="231F20"/>
          <w:spacing w:val="-3"/>
        </w:rPr>
        <w:t>los </w:t>
      </w:r>
      <w:r>
        <w:rPr>
          <w:color w:val="231F20"/>
          <w:spacing w:val="-4"/>
        </w:rPr>
        <w:t>procesos productivos, </w:t>
      </w:r>
      <w:r>
        <w:rPr>
          <w:color w:val="231F20"/>
          <w:spacing w:val="-3"/>
        </w:rPr>
        <w:t>aún </w:t>
      </w:r>
      <w:r>
        <w:rPr>
          <w:color w:val="231F20"/>
        </w:rPr>
        <w:t>no ha </w:t>
      </w:r>
      <w:r>
        <w:rPr>
          <w:color w:val="231F20"/>
          <w:spacing w:val="-3"/>
        </w:rPr>
        <w:t>sido </w:t>
      </w:r>
      <w:r>
        <w:rPr>
          <w:color w:val="231F20"/>
          <w:spacing w:val="-4"/>
        </w:rPr>
        <w:t>posible entender </w:t>
      </w:r>
      <w:r>
        <w:rPr>
          <w:color w:val="231F20"/>
          <w:spacing w:val="-3"/>
        </w:rPr>
        <w:t>cómo </w:t>
      </w:r>
      <w:r>
        <w:rPr>
          <w:color w:val="231F20"/>
          <w:spacing w:val="-4"/>
        </w:rPr>
        <w:t>ocurren estos procesos </w:t>
      </w:r>
      <w:r>
        <w:rPr>
          <w:color w:val="231F20"/>
        </w:rPr>
        <w:t>de </w:t>
      </w:r>
      <w:r>
        <w:rPr>
          <w:color w:val="231F20"/>
          <w:spacing w:val="-4"/>
        </w:rPr>
        <w:t>transferencia </w:t>
      </w:r>
      <w:r>
        <w:rPr>
          <w:color w:val="231F20"/>
        </w:rPr>
        <w:t>en el </w:t>
      </w:r>
      <w:r>
        <w:rPr>
          <w:color w:val="231F20"/>
          <w:spacing w:val="-4"/>
        </w:rPr>
        <w:t>ámbito</w:t>
      </w:r>
      <w:r>
        <w:rPr>
          <w:color w:val="231F20"/>
          <w:spacing w:val="16"/>
        </w:rPr>
        <w:t> </w:t>
      </w:r>
      <w:r>
        <w:rPr>
          <w:color w:val="231F20"/>
          <w:spacing w:val="-4"/>
        </w:rPr>
        <w:t>rural.</w:t>
      </w:r>
    </w:p>
    <w:p>
      <w:pPr>
        <w:pStyle w:val="BodyText"/>
        <w:spacing w:line="256" w:lineRule="auto" w:before="113"/>
        <w:ind w:left="1553"/>
        <w:jc w:val="both"/>
      </w:pPr>
      <w:r>
        <w:rPr>
          <w:color w:val="231F20"/>
        </w:rPr>
        <w:t>El problema se debe en gran parte al poco en- tendimiento de los factores que también intervie- nen en el proceso de transferencia de tecnología    y que están estrechamente  relacionados  no  con el proceso productivo ni con los componentes biológicos que se pretende manipular para hacer más eficiente la producción, sino con el actor que realiza la toma de decisiones y que al final adopta o modifica (innovación) el paquete tecnológico a conveniencia del sistema de producción o de la concepción y la finalidad de su  </w:t>
      </w:r>
      <w:r>
        <w:rPr>
          <w:color w:val="231F20"/>
          <w:spacing w:val="12"/>
        </w:rPr>
        <w:t> </w:t>
      </w:r>
      <w:r>
        <w:rPr>
          <w:color w:val="231F20"/>
        </w:rPr>
        <w:t>sistema.</w:t>
      </w:r>
    </w:p>
    <w:p>
      <w:pPr>
        <w:pStyle w:val="BodyText"/>
        <w:spacing w:line="256" w:lineRule="auto" w:before="113"/>
        <w:ind w:left="1553"/>
        <w:jc w:val="both"/>
      </w:pPr>
      <w:r>
        <w:rPr>
          <w:color w:val="231F20"/>
        </w:rPr>
        <w:t>Por tanto, son necesarios un mayor entendimien- to y un profundo estudio de los factores sociales, culturales y humanos en torno a los procesos de transferencia de tecnología, para lograr ser más</w:t>
      </w:r>
      <w:r>
        <w:rPr>
          <w:color w:val="231F20"/>
          <w:spacing w:val="-32"/>
        </w:rPr>
        <w:t> </w:t>
      </w:r>
      <w:r>
        <w:rPr>
          <w:color w:val="231F20"/>
        </w:rPr>
        <w:t>efi- cientes en la transferencia de </w:t>
      </w:r>
      <w:r>
        <w:rPr>
          <w:color w:val="231F20"/>
          <w:spacing w:val="1"/>
        </w:rPr>
        <w:t> </w:t>
      </w:r>
      <w:r>
        <w:rPr>
          <w:color w:val="231F20"/>
        </w:rPr>
        <w:t>tecnología.</w:t>
      </w:r>
    </w:p>
    <w:p>
      <w:pPr>
        <w:pStyle w:val="BodyText"/>
        <w:spacing w:line="256" w:lineRule="auto" w:before="113"/>
        <w:ind w:left="1553"/>
        <w:jc w:val="both"/>
      </w:pPr>
      <w:r>
        <w:rPr>
          <w:color w:val="231F20"/>
        </w:rPr>
        <w:t>En el presente trabajo se realiza un acercamiento   a los capitales social y humano desde la óptica de los modos de vida sustentables, desarrollados por el </w:t>
      </w:r>
      <w:r>
        <w:rPr>
          <w:i/>
          <w:color w:val="231F20"/>
        </w:rPr>
        <w:t>Department for International Development </w:t>
      </w:r>
      <w:r>
        <w:rPr>
          <w:color w:val="231F20"/>
        </w:rPr>
        <w:t>del Reino Unido en </w:t>
      </w:r>
      <w:r>
        <w:rPr>
          <w:color w:val="231F20"/>
          <w:spacing w:val="-4"/>
        </w:rPr>
        <w:t>2001 </w:t>
      </w:r>
      <w:r>
        <w:rPr>
          <w:color w:val="231F20"/>
        </w:rPr>
        <w:t>con la finalidad de contex- tualizar el proceso de transferencia de tecnología, en el cual el individuo es parte importante de este proceso como tomador de decisiones que deter- mina el éxito o no de la </w:t>
      </w:r>
      <w:r>
        <w:rPr>
          <w:color w:val="231F20"/>
          <w:spacing w:val="40"/>
        </w:rPr>
        <w:t> </w:t>
      </w:r>
      <w:r>
        <w:rPr>
          <w:color w:val="231F20"/>
        </w:rPr>
        <w:t>tecnología.</w:t>
      </w:r>
    </w:p>
    <w:p>
      <w:pPr>
        <w:pStyle w:val="BodyText"/>
        <w:spacing w:before="2"/>
        <w:rPr>
          <w:sz w:val="23"/>
        </w:rPr>
      </w:pPr>
    </w:p>
    <w:p>
      <w:pPr>
        <w:pStyle w:val="BodyText"/>
        <w:spacing w:line="256" w:lineRule="auto"/>
        <w:ind w:left="1553" w:right="849"/>
      </w:pPr>
      <w:r>
        <w:rPr>
          <w:color w:val="231F20"/>
          <w:w w:val="110"/>
        </w:rPr>
        <w:t>LA TRANSFERENCIA TECNOLÓGICA EN LA AGRICULTURA</w:t>
      </w:r>
    </w:p>
    <w:p>
      <w:pPr>
        <w:pStyle w:val="BodyText"/>
        <w:spacing w:line="256" w:lineRule="auto" w:before="113"/>
        <w:ind w:left="1553"/>
        <w:jc w:val="both"/>
      </w:pPr>
      <w:r>
        <w:rPr>
          <w:color w:val="231F20"/>
        </w:rPr>
        <w:t>La ciencia y la tecnología son consideradas la manera más efectiva de crecimiento y desarrollo socioeconómico  en  los  países  en  desarrollo.  Los</w:t>
      </w:r>
    </w:p>
    <w:p>
      <w:pPr>
        <w:pStyle w:val="BodyText"/>
        <w:spacing w:line="259" w:lineRule="auto" w:before="67"/>
        <w:ind w:left="413" w:right="1551"/>
        <w:jc w:val="both"/>
      </w:pPr>
      <w:r>
        <w:rPr/>
        <w:br w:type="column"/>
      </w:r>
      <w:r>
        <w:rPr>
          <w:color w:val="231F20"/>
        </w:rPr>
        <w:t>avances tecnológicos han tenido un gran impac-   to en la  producción,  el  crecimiento  económico,  el empleo, el mercado, el ambiente, la estructura industrial, etc. La adquisición y el uso de tecno- logía son muy importantes para la producción y     la sostenibilidad alimentaria, así como para la pro- moción de la salud pública y la calidad ambiental (Ahmed,  </w:t>
      </w:r>
      <w:r>
        <w:rPr>
          <w:color w:val="231F20"/>
          <w:spacing w:val="18"/>
        </w:rPr>
        <w:t> </w:t>
      </w:r>
      <w:r>
        <w:rPr>
          <w:color w:val="231F20"/>
        </w:rPr>
        <w:t>2004).</w:t>
      </w:r>
    </w:p>
    <w:p>
      <w:pPr>
        <w:pStyle w:val="BodyText"/>
        <w:spacing w:line="259" w:lineRule="auto" w:before="114"/>
        <w:ind w:left="413" w:right="1553"/>
        <w:jc w:val="both"/>
      </w:pPr>
      <w:r>
        <w:rPr>
          <w:color w:val="231F20"/>
        </w:rPr>
        <w:t>El papel de la ciencia y de la tecnología es crucial, pues el conocimiento científico y las apropiadas tecnologías son clave en la solución de problemas económicos, sociales y ambientales en los países en  vías  de  desarrollo  (Ahmed,</w:t>
      </w:r>
      <w:r>
        <w:rPr>
          <w:color w:val="231F20"/>
          <w:spacing w:val="-19"/>
        </w:rPr>
        <w:t> </w:t>
      </w:r>
      <w:r>
        <w:rPr>
          <w:color w:val="231F20"/>
        </w:rPr>
        <w:t>2004).</w:t>
      </w:r>
    </w:p>
    <w:p>
      <w:pPr>
        <w:pStyle w:val="BodyText"/>
        <w:spacing w:line="259" w:lineRule="auto" w:before="114"/>
        <w:ind w:left="413" w:right="1551"/>
        <w:jc w:val="both"/>
      </w:pPr>
      <w:r>
        <w:rPr>
          <w:color w:val="231F20"/>
        </w:rPr>
        <w:t>La globalización de la ciencia y la tecnología ha venido determinada por procesos de manejo pu- ramente de índole científica o por consideraciones comerciales, sin contar con una definición ni con un planteamiento hacia objetivos de sustentabili- dad  (Ahmed, </w:t>
      </w:r>
      <w:r>
        <w:rPr>
          <w:color w:val="231F20"/>
          <w:spacing w:val="38"/>
        </w:rPr>
        <w:t> </w:t>
      </w:r>
      <w:r>
        <w:rPr>
          <w:color w:val="231F20"/>
        </w:rPr>
        <w:t>2004).</w:t>
      </w:r>
    </w:p>
    <w:p>
      <w:pPr>
        <w:pStyle w:val="BodyText"/>
        <w:spacing w:line="259" w:lineRule="auto" w:before="114"/>
        <w:ind w:left="413" w:right="1551"/>
        <w:jc w:val="both"/>
      </w:pPr>
      <w:r>
        <w:rPr>
          <w:color w:val="231F20"/>
        </w:rPr>
        <w:t>Martínez </w:t>
      </w:r>
      <w:r>
        <w:rPr>
          <w:i/>
          <w:color w:val="231F20"/>
        </w:rPr>
        <w:t>et al. (</w:t>
      </w:r>
      <w:r>
        <w:rPr>
          <w:color w:val="231F20"/>
        </w:rPr>
        <w:t>2004) y Alemán </w:t>
      </w:r>
      <w:r>
        <w:rPr>
          <w:i/>
          <w:color w:val="231F20"/>
        </w:rPr>
        <w:t>et al. </w:t>
      </w:r>
      <w:r>
        <w:rPr>
          <w:color w:val="231F20"/>
        </w:rPr>
        <w:t>(2003) consideran que los procesos de transferencia de tecnología en los países en vías de desarrollo con- llevan otros problemas en cuanto a la adaptabili- dad técnica, económica y social en las respectivas economías de los sistemas de producción. Así mismo, Singh y Gilman (1999) consideran  que  ésta no puede ocurrir de  manera  aislada,  sino  que debe situarse en un contexto social y cultural,  y con tramas de redes humanas de origen social y económico.</w:t>
      </w:r>
    </w:p>
    <w:p>
      <w:pPr>
        <w:pStyle w:val="BodyText"/>
        <w:spacing w:line="259" w:lineRule="auto" w:before="114"/>
        <w:ind w:left="413" w:right="1551"/>
        <w:jc w:val="both"/>
      </w:pPr>
      <w:r>
        <w:rPr>
          <w:color w:val="231F20"/>
        </w:rPr>
        <w:t>Siendo que la transferencia de tecnología no es un acto aislado sino el fruto de la asimilación cuida- dosa de conocimientos sobre el complejo de las condiciones sociales en que se utilizará (Martínez </w:t>
      </w:r>
      <w:r>
        <w:rPr>
          <w:i/>
          <w:color w:val="231F20"/>
        </w:rPr>
        <w:t>et al., </w:t>
      </w:r>
      <w:r>
        <w:rPr>
          <w:color w:val="231F20"/>
        </w:rPr>
        <w:t>2004), es importante considerar al produc- tor y sus relaciones con otros agentes y el medio como parte de este proceso, a pesar de que en      la actualidad la economía define tres factores de producción (tierra, trabajo y capital) y deja de </w:t>
      </w:r>
      <w:r>
        <w:rPr>
          <w:color w:val="231F20"/>
          <w:spacing w:val="12"/>
        </w:rPr>
        <w:t> </w:t>
      </w:r>
      <w:r>
        <w:rPr>
          <w:color w:val="231F20"/>
        </w:rPr>
        <w:t>lado</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w w:val="105"/>
          <w:sz w:val="18"/>
        </w:rPr>
        <w:t>Capítulo </w:t>
      </w:r>
      <w:r>
        <w:rPr>
          <w:color w:val="231F20"/>
          <w:spacing w:val="-3"/>
          <w:w w:val="105"/>
          <w:sz w:val="18"/>
        </w:rPr>
        <w:t>12.  </w:t>
      </w:r>
      <w:r>
        <w:rPr>
          <w:color w:val="231F20"/>
          <w:w w:val="105"/>
          <w:sz w:val="18"/>
        </w:rPr>
        <w:t>Innovación tecnológica en sistemas campesinos de </w:t>
      </w:r>
      <w:r>
        <w:rPr>
          <w:color w:val="231F20"/>
          <w:spacing w:val="13"/>
          <w:w w:val="105"/>
          <w:sz w:val="18"/>
        </w:rPr>
        <w:t> </w:t>
      </w:r>
      <w:r>
        <w:rPr>
          <w:color w:val="231F20"/>
          <w:w w:val="105"/>
          <w:sz w:val="18"/>
        </w:rPr>
        <w:t>producción</w:t>
      </w:r>
      <w:r>
        <w:rPr>
          <w:color w:val="231F20"/>
          <w:spacing w:val="5"/>
          <w:w w:val="105"/>
          <w:sz w:val="18"/>
        </w:rPr>
        <w:t> </w:t>
      </w:r>
      <w:r>
        <w:rPr>
          <w:color w:val="231F20"/>
          <w:w w:val="105"/>
          <w:sz w:val="18"/>
        </w:rPr>
        <w:t>ovina...</w:t>
      </w:r>
      <w:r>
        <w:rPr>
          <w:color w:val="231F20"/>
          <w:w w:val="105"/>
          <w:sz w:val="22"/>
        </w:rPr>
        <w:tab/>
      </w:r>
      <w:r>
        <w:rPr>
          <w:color w:val="231F20"/>
          <w:spacing w:val="-3"/>
          <w:w w:val="105"/>
          <w:sz w:val="22"/>
        </w:rPr>
        <w:t>183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78" w:lineRule="auto"/>
        <w:ind w:left="1553"/>
        <w:jc w:val="both"/>
      </w:pPr>
      <w:r>
        <w:rPr>
          <w:color w:val="231F20"/>
        </w:rPr>
        <w:t>al factor humano, que es considerado en un rol secundario aunque algunos autores lo han con- siderado como un cuarto factor de la producción (Loria  y  López, 1999).</w:t>
      </w:r>
    </w:p>
    <w:p>
      <w:pPr>
        <w:pStyle w:val="BodyText"/>
        <w:spacing w:line="278" w:lineRule="auto" w:before="112"/>
        <w:ind w:left="1553"/>
        <w:jc w:val="both"/>
      </w:pPr>
      <w:r>
        <w:rPr>
          <w:color w:val="231F20"/>
        </w:rPr>
        <w:t>Uno de los principales obstáculos del proceso de adopción de tecnologías es la poca importancia atribuida a las variables sociales. Los estudios muestran que los rasgos culturales de los grupos domésticos, como sus estructuras, la ocupación de sus miembros, sus redes de apoyo y sus formas    de acceso a  los  recursos,  resultan  decisivos  en  el momento de adoptar una tecnología. Los pe- queños agricultores no se han visto beneficiados por muchas de las nuevas tecnologías, entre otras causas porque se desarrolla en estaciones experi- mentales donde no están presentes los valores y   la cultura de quienes han de usar las innovaciones. El proceso de adopción de tecnología implica pro- cesos de innovación y adaptación, en los cuales, si resulta conveniente, se adopta la tecnología (Riga- da  y  Cuanalo,</w:t>
      </w:r>
      <w:r>
        <w:rPr>
          <w:color w:val="231F20"/>
          <w:spacing w:val="26"/>
        </w:rPr>
        <w:t> </w:t>
      </w:r>
      <w:r>
        <w:rPr>
          <w:color w:val="231F20"/>
        </w:rPr>
        <w:t>2005).</w:t>
      </w:r>
    </w:p>
    <w:p>
      <w:pPr>
        <w:pStyle w:val="BodyText"/>
        <w:spacing w:line="278" w:lineRule="auto" w:before="112"/>
        <w:ind w:left="1553"/>
        <w:jc w:val="both"/>
      </w:pPr>
      <w:r>
        <w:rPr>
          <w:color w:val="231F20"/>
        </w:rPr>
        <w:t>Ante tal situación, el problema a resolver es la transferencia de tecnología (definida como el traspaso de un paquete tecnológico o parte de él desde una unidad u organización hacia otra) con   el objeto de que esta última produzca y distribuya bienes y servicios (Martínez </w:t>
      </w:r>
      <w:r>
        <w:rPr>
          <w:i/>
          <w:color w:val="231F20"/>
        </w:rPr>
        <w:t>et al.,  </w:t>
      </w:r>
      <w:r>
        <w:rPr>
          <w:i/>
          <w:color w:val="231F20"/>
          <w:spacing w:val="40"/>
        </w:rPr>
        <w:t> </w:t>
      </w:r>
      <w:r>
        <w:rPr>
          <w:color w:val="231F20"/>
        </w:rPr>
        <w:t>2004).</w:t>
      </w:r>
    </w:p>
    <w:p>
      <w:pPr>
        <w:pStyle w:val="BodyText"/>
        <w:spacing w:line="278" w:lineRule="auto" w:before="112"/>
        <w:ind w:left="1553"/>
        <w:jc w:val="both"/>
      </w:pPr>
      <w:r>
        <w:rPr>
          <w:color w:val="231F20"/>
        </w:rPr>
        <w:t>Sin embargo, este esquema no ha tenido el éxito esperado, debido a una serie de factores  como son la falta  de  profesionalismo  de  los  asesores, la falta de cultura empresarial de los agricultores (que no permite visualizar el pago del servicio  como una inversión), la descapitalización de los agricultores (que imposibilita el pago del servicio)   y la baja capacidad de respuesta de los asesores ante las expectativas de los agricultores, entre otros  </w:t>
      </w:r>
      <w:r>
        <w:rPr>
          <w:color w:val="231F20"/>
          <w:spacing w:val="-3"/>
        </w:rPr>
        <w:t>(Tapia, </w:t>
      </w:r>
      <w:r>
        <w:rPr>
          <w:color w:val="231F20"/>
          <w:spacing w:val="3"/>
        </w:rPr>
        <w:t> </w:t>
      </w:r>
      <w:r>
        <w:rPr>
          <w:color w:val="231F20"/>
        </w:rPr>
        <w:t>2002).</w:t>
      </w:r>
    </w:p>
    <w:p>
      <w:pPr>
        <w:pStyle w:val="BodyText"/>
        <w:rPr>
          <w:sz w:val="29"/>
        </w:rPr>
      </w:pPr>
      <w:r>
        <w:rPr/>
        <w:br w:type="column"/>
      </w:r>
      <w:r>
        <w:rPr>
          <w:sz w:val="29"/>
        </w:rPr>
      </w:r>
    </w:p>
    <w:p>
      <w:pPr>
        <w:pStyle w:val="BodyText"/>
        <w:spacing w:line="256" w:lineRule="auto"/>
        <w:ind w:left="412" w:right="1446"/>
      </w:pPr>
      <w:r>
        <w:rPr>
          <w:color w:val="231F20"/>
          <w:w w:val="110"/>
        </w:rPr>
        <w:t>LA INNOVACIÓN TECNOLÓGICA EN LOS SISTEMAS CAMPESINOS DE PRODUCCIÓN OVINA DEL ESTADO DE MICHOACÁN</w:t>
      </w:r>
    </w:p>
    <w:p>
      <w:pPr>
        <w:pStyle w:val="BodyText"/>
        <w:spacing w:line="256" w:lineRule="auto" w:before="112"/>
        <w:ind w:left="412" w:right="1551"/>
        <w:jc w:val="both"/>
      </w:pPr>
      <w:r>
        <w:rPr>
          <w:color w:val="231F20"/>
        </w:rPr>
        <w:t>En México son pocos los estudios realizados sobre este tema desde una perspectiva institucional ofi- cial, dada la necesidad de contar con evaluaciones de programas que subsidian la transferencia de tecnología, dejando de lado a los productores, que son sus principales usuarios. Además, los sistemas de producción se han analizado tradicionalmente considerando el grado tecnológico de adopción (alto, medio o bajo), que sólo es un indicador de    la industrialización de la producción, y se conside- ra, según la versión oficial, que los sistemas deben llegar a constituirse en un nivel tecnológico alto. Sin embargo, este tipo de categorización no permi- te determinar cuáles o cuántas innovaciones de- berían incluir cada uno de los grados tecnológicos, por lo que se constituye en una medida subjetiva que queda a criterio de quien la emplea para otor- gar el valor del grado</w:t>
      </w:r>
      <w:r>
        <w:rPr>
          <w:color w:val="231F20"/>
          <w:spacing w:val="42"/>
        </w:rPr>
        <w:t> </w:t>
      </w:r>
      <w:r>
        <w:rPr>
          <w:color w:val="231F20"/>
        </w:rPr>
        <w:t>tecnológico.</w:t>
      </w:r>
    </w:p>
    <w:p>
      <w:pPr>
        <w:pStyle w:val="BodyText"/>
        <w:spacing w:line="256" w:lineRule="auto" w:before="112"/>
        <w:ind w:left="412" w:right="1551"/>
        <w:jc w:val="both"/>
      </w:pPr>
      <w:r>
        <w:rPr>
          <w:color w:val="231F20"/>
        </w:rPr>
        <w:t>Este capítulo pretende contribuir al entendimiento de los procesos de innovación tecnológica apli- cada a los sistemas campesinos, tomando como caso de estudio los sistemas de producción ovina en el Estado de Michoacán. Utiliza un enfoque teó- rico-práctico para determinar la influencia del ca- pital social, a través de las relaciones sociales y el género, en el proceso de innovación tecnológica. Permite una mejor comprensión de cómo estos factores afectan directamente el cambio tecnológi- co en ambientes considerados como sistemas de ahorro y subsistencia (Bores y Vega,    2003).</w:t>
      </w:r>
    </w:p>
    <w:p>
      <w:pPr>
        <w:pStyle w:val="BodyText"/>
        <w:spacing w:line="256" w:lineRule="auto" w:before="112"/>
        <w:ind w:left="412" w:right="1551"/>
        <w:jc w:val="both"/>
      </w:pPr>
      <w:r>
        <w:rPr>
          <w:color w:val="231F20"/>
          <w:spacing w:val="-3"/>
        </w:rPr>
        <w:t>También </w:t>
      </w:r>
      <w:r>
        <w:rPr>
          <w:color w:val="231F20"/>
        </w:rPr>
        <w:t>ayuda a conocer los mecanismos que emplean estos sistemas para apropiarse de tecno- logías externas, pues al estar inmersos en econo- mías que tienden a la globalización comienzan a dar visos de cambio hacia sistemas de producción más estructurados y de mayor intensificación (Vi- laboa  </w:t>
      </w:r>
      <w:r>
        <w:rPr>
          <w:i/>
          <w:color w:val="231F20"/>
        </w:rPr>
        <w:t>et  al</w:t>
      </w:r>
      <w:r>
        <w:rPr>
          <w:color w:val="231F20"/>
        </w:rPr>
        <w:t>.,  2006).  Los  hallazgos  son  útiles para</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184</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entender cómo la innovación tecnológica puede tener un impacto positivo en el desarrollo de la producción ovina, pero principalmente en los mo- dos de vida de la gente, creando un antecedente útil para el estudio de otros sistemas  pecuarios.</w:t>
      </w:r>
    </w:p>
    <w:p>
      <w:pPr>
        <w:pStyle w:val="BodyText"/>
        <w:spacing w:line="256" w:lineRule="auto" w:before="113"/>
        <w:ind w:left="1553"/>
        <w:jc w:val="both"/>
      </w:pPr>
      <w:r>
        <w:rPr>
          <w:color w:val="231F20"/>
        </w:rPr>
        <w:t>En Michoacán, los sistemas de producción ovina tienen un promedio de 26 hembras reproductoras para el caso de unidades manejadas por mujeres    y de 37 en las unidades manejadas por hombres. Se encontró una alta variación entre productores, con un rango de 5 a </w:t>
      </w:r>
      <w:r>
        <w:rPr>
          <w:color w:val="231F20"/>
          <w:spacing w:val="-3"/>
        </w:rPr>
        <w:t>100 </w:t>
      </w:r>
      <w:r>
        <w:rPr>
          <w:color w:val="231F20"/>
        </w:rPr>
        <w:t>hembras por sistema de producción ovina. Estas observaciones son consi- deradas como “normales” en este tipo de sistemas por las características de los modos de producción descritos por Bores y </w:t>
      </w:r>
      <w:r>
        <w:rPr>
          <w:color w:val="231F20"/>
          <w:spacing w:val="-4"/>
        </w:rPr>
        <w:t>Vega   </w:t>
      </w:r>
      <w:r>
        <w:rPr>
          <w:color w:val="231F20"/>
          <w:spacing w:val="27"/>
        </w:rPr>
        <w:t> </w:t>
      </w:r>
      <w:r>
        <w:rPr>
          <w:color w:val="231F20"/>
        </w:rPr>
        <w:t>(2003).</w:t>
      </w:r>
    </w:p>
    <w:p>
      <w:pPr>
        <w:pStyle w:val="BodyText"/>
        <w:spacing w:line="256" w:lineRule="auto" w:before="113"/>
        <w:ind w:left="1553"/>
        <w:jc w:val="both"/>
      </w:pPr>
      <w:r>
        <w:rPr>
          <w:color w:val="231F20"/>
        </w:rPr>
        <w:t>Los</w:t>
      </w:r>
      <w:r>
        <w:rPr>
          <w:color w:val="231F20"/>
          <w:spacing w:val="-8"/>
        </w:rPr>
        <w:t> </w:t>
      </w:r>
      <w:r>
        <w:rPr>
          <w:color w:val="231F20"/>
        </w:rPr>
        <w:t>productores</w:t>
      </w:r>
      <w:r>
        <w:rPr>
          <w:color w:val="231F20"/>
          <w:spacing w:val="-8"/>
        </w:rPr>
        <w:t> </w:t>
      </w:r>
      <w:r>
        <w:rPr>
          <w:color w:val="231F20"/>
        </w:rPr>
        <w:t>utilizan</w:t>
      </w:r>
      <w:r>
        <w:rPr>
          <w:color w:val="231F20"/>
          <w:spacing w:val="-8"/>
        </w:rPr>
        <w:t> </w:t>
      </w:r>
      <w:r>
        <w:rPr>
          <w:color w:val="231F20"/>
        </w:rPr>
        <w:t>en</w:t>
      </w:r>
      <w:r>
        <w:rPr>
          <w:color w:val="231F20"/>
          <w:spacing w:val="-8"/>
        </w:rPr>
        <w:t> </w:t>
      </w:r>
      <w:r>
        <w:rPr>
          <w:color w:val="231F20"/>
        </w:rPr>
        <w:t>total</w:t>
      </w:r>
      <w:r>
        <w:rPr>
          <w:color w:val="231F20"/>
          <w:spacing w:val="-8"/>
        </w:rPr>
        <w:t> </w:t>
      </w:r>
      <w:r>
        <w:rPr>
          <w:color w:val="231F20"/>
          <w:spacing w:val="-6"/>
        </w:rPr>
        <w:t>16</w:t>
      </w:r>
      <w:r>
        <w:rPr>
          <w:color w:val="231F20"/>
          <w:spacing w:val="-8"/>
        </w:rPr>
        <w:t> </w:t>
      </w:r>
      <w:r>
        <w:rPr>
          <w:color w:val="231F20"/>
        </w:rPr>
        <w:t>innovaciones</w:t>
      </w:r>
      <w:r>
        <w:rPr>
          <w:color w:val="231F20"/>
          <w:spacing w:val="-8"/>
        </w:rPr>
        <w:t> </w:t>
      </w:r>
      <w:r>
        <w:rPr>
          <w:color w:val="231F20"/>
        </w:rPr>
        <w:t>en </w:t>
      </w:r>
      <w:r>
        <w:rPr>
          <w:color w:val="231F20"/>
          <w:w w:val="105"/>
        </w:rPr>
        <w:t>sus</w:t>
      </w:r>
      <w:r>
        <w:rPr>
          <w:color w:val="231F20"/>
          <w:spacing w:val="-27"/>
          <w:w w:val="105"/>
        </w:rPr>
        <w:t> </w:t>
      </w:r>
      <w:r>
        <w:rPr>
          <w:color w:val="231F20"/>
          <w:w w:val="105"/>
        </w:rPr>
        <w:t>unidades</w:t>
      </w:r>
      <w:r>
        <w:rPr>
          <w:color w:val="231F20"/>
          <w:spacing w:val="-27"/>
          <w:w w:val="105"/>
        </w:rPr>
        <w:t> </w:t>
      </w:r>
      <w:r>
        <w:rPr>
          <w:color w:val="231F20"/>
          <w:w w:val="105"/>
        </w:rPr>
        <w:t>ovinas,</w:t>
      </w:r>
      <w:r>
        <w:rPr>
          <w:color w:val="231F20"/>
          <w:spacing w:val="-27"/>
          <w:w w:val="105"/>
        </w:rPr>
        <w:t> </w:t>
      </w:r>
      <w:r>
        <w:rPr>
          <w:color w:val="231F20"/>
          <w:w w:val="105"/>
        </w:rPr>
        <w:t>con</w:t>
      </w:r>
      <w:r>
        <w:rPr>
          <w:color w:val="231F20"/>
          <w:spacing w:val="-27"/>
          <w:w w:val="105"/>
        </w:rPr>
        <w:t> </w:t>
      </w:r>
      <w:r>
        <w:rPr>
          <w:color w:val="231F20"/>
          <w:w w:val="105"/>
        </w:rPr>
        <w:t>una</w:t>
      </w:r>
      <w:r>
        <w:rPr>
          <w:color w:val="231F20"/>
          <w:spacing w:val="-27"/>
          <w:w w:val="105"/>
        </w:rPr>
        <w:t> </w:t>
      </w:r>
      <w:r>
        <w:rPr>
          <w:color w:val="231F20"/>
          <w:w w:val="105"/>
        </w:rPr>
        <w:t>alta</w:t>
      </w:r>
      <w:r>
        <w:rPr>
          <w:color w:val="231F20"/>
          <w:spacing w:val="-27"/>
          <w:w w:val="105"/>
        </w:rPr>
        <w:t> </w:t>
      </w:r>
      <w:r>
        <w:rPr>
          <w:color w:val="231F20"/>
          <w:w w:val="105"/>
        </w:rPr>
        <w:t>variabilidad</w:t>
      </w:r>
      <w:r>
        <w:rPr>
          <w:color w:val="231F20"/>
          <w:spacing w:val="-27"/>
          <w:w w:val="105"/>
        </w:rPr>
        <w:t> </w:t>
      </w:r>
      <w:r>
        <w:rPr>
          <w:color w:val="231F20"/>
          <w:w w:val="105"/>
        </w:rPr>
        <w:t>en</w:t>
      </w:r>
      <w:r>
        <w:rPr>
          <w:color w:val="231F20"/>
          <w:spacing w:val="-27"/>
          <w:w w:val="105"/>
        </w:rPr>
        <w:t> </w:t>
      </w:r>
      <w:r>
        <w:rPr>
          <w:color w:val="231F20"/>
          <w:w w:val="105"/>
        </w:rPr>
        <w:t>su</w:t>
      </w:r>
      <w:r>
        <w:rPr>
          <w:color w:val="231F20"/>
          <w:spacing w:val="-2"/>
          <w:w w:val="104"/>
        </w:rPr>
        <w:t> </w:t>
      </w:r>
      <w:r>
        <w:rPr>
          <w:color w:val="231F20"/>
          <w:w w:val="105"/>
        </w:rPr>
        <w:t>aplicación.</w:t>
      </w:r>
      <w:r>
        <w:rPr>
          <w:color w:val="231F20"/>
          <w:spacing w:val="-7"/>
          <w:w w:val="105"/>
        </w:rPr>
        <w:t> </w:t>
      </w:r>
      <w:r>
        <w:rPr>
          <w:color w:val="231F20"/>
          <w:w w:val="105"/>
        </w:rPr>
        <w:t>Las</w:t>
      </w:r>
      <w:r>
        <w:rPr>
          <w:color w:val="231F20"/>
          <w:spacing w:val="-7"/>
          <w:w w:val="105"/>
        </w:rPr>
        <w:t> </w:t>
      </w:r>
      <w:r>
        <w:rPr>
          <w:color w:val="231F20"/>
          <w:w w:val="105"/>
        </w:rPr>
        <w:t>mujeres</w:t>
      </w:r>
      <w:r>
        <w:rPr>
          <w:color w:val="231F20"/>
          <w:spacing w:val="-7"/>
          <w:w w:val="105"/>
        </w:rPr>
        <w:t> </w:t>
      </w:r>
      <w:r>
        <w:rPr>
          <w:color w:val="231F20"/>
          <w:w w:val="105"/>
        </w:rPr>
        <w:t>utilizan</w:t>
      </w:r>
      <w:r>
        <w:rPr>
          <w:color w:val="231F20"/>
          <w:spacing w:val="-7"/>
          <w:w w:val="105"/>
        </w:rPr>
        <w:t> </w:t>
      </w:r>
      <w:r>
        <w:rPr>
          <w:color w:val="231F20"/>
          <w:w w:val="105"/>
        </w:rPr>
        <w:t>un</w:t>
      </w:r>
      <w:r>
        <w:rPr>
          <w:color w:val="231F20"/>
          <w:spacing w:val="-7"/>
          <w:w w:val="105"/>
        </w:rPr>
        <w:t> </w:t>
      </w:r>
      <w:r>
        <w:rPr>
          <w:color w:val="231F20"/>
          <w:w w:val="105"/>
        </w:rPr>
        <w:t>mayor</w:t>
      </w:r>
      <w:r>
        <w:rPr>
          <w:color w:val="231F20"/>
          <w:spacing w:val="-7"/>
          <w:w w:val="105"/>
        </w:rPr>
        <w:t> </w:t>
      </w:r>
      <w:r>
        <w:rPr>
          <w:color w:val="231F20"/>
          <w:spacing w:val="-2"/>
          <w:w w:val="105"/>
        </w:rPr>
        <w:t>número </w:t>
      </w:r>
      <w:r>
        <w:rPr>
          <w:color w:val="231F20"/>
          <w:w w:val="105"/>
        </w:rPr>
        <w:t>en comparación con los hombres </w:t>
      </w:r>
      <w:r>
        <w:rPr>
          <w:color w:val="231F20"/>
          <w:spacing w:val="-3"/>
          <w:w w:val="105"/>
        </w:rPr>
        <w:t>(9,52 </w:t>
      </w:r>
      <w:r>
        <w:rPr>
          <w:color w:val="231F20"/>
          <w:w w:val="105"/>
        </w:rPr>
        <w:t>± </w:t>
      </w:r>
      <w:r>
        <w:rPr>
          <w:color w:val="231F20"/>
          <w:spacing w:val="-4"/>
          <w:w w:val="105"/>
        </w:rPr>
        <w:t>2,97 </w:t>
      </w:r>
      <w:r>
        <w:rPr>
          <w:color w:val="231F20"/>
          <w:w w:val="105"/>
        </w:rPr>
        <w:t>y </w:t>
      </w:r>
      <w:r>
        <w:rPr>
          <w:color w:val="231F20"/>
          <w:spacing w:val="-3"/>
          <w:w w:val="105"/>
        </w:rPr>
        <w:t>5,27 </w:t>
      </w:r>
      <w:r>
        <w:rPr>
          <w:color w:val="231F20"/>
          <w:w w:val="105"/>
        </w:rPr>
        <w:t>± 2,08,</w:t>
      </w:r>
      <w:r>
        <w:rPr>
          <w:color w:val="231F20"/>
          <w:spacing w:val="-23"/>
          <w:w w:val="105"/>
        </w:rPr>
        <w:t> </w:t>
      </w:r>
      <w:r>
        <w:rPr>
          <w:color w:val="231F20"/>
          <w:w w:val="105"/>
        </w:rPr>
        <w:t>respectivamente).</w:t>
      </w:r>
    </w:p>
    <w:p>
      <w:pPr>
        <w:pStyle w:val="BodyText"/>
        <w:spacing w:line="256" w:lineRule="auto" w:before="113"/>
        <w:ind w:left="1553"/>
        <w:jc w:val="both"/>
      </w:pPr>
      <w:r>
        <w:rPr>
          <w:color w:val="231F20"/>
        </w:rPr>
        <w:t>Las innovaciones de mayor uso en las unidades manejadas por mujeres son de tipo sanitario (va- cunación el 96%, desparasitación el 100%, su- ministro de sales  el  96%  y  vitaminas  el  88%).  Las innovaciones de tipo administrativo se usan medianamente (identificación el 64%, lotes de animales el 52% y registros productivos el 52%), debido a que éstas requieren conocimientos so- bre cómo llevar registros. La falta de uso y apli- cación de estas herramientas de control ha sido considerada por varios autores como uno de los principales problemas en la evaluación de  este  tipo de sistemas (Nuncio </w:t>
      </w:r>
      <w:r>
        <w:rPr>
          <w:i/>
          <w:color w:val="231F20"/>
        </w:rPr>
        <w:t>et al</w:t>
      </w:r>
      <w:r>
        <w:rPr>
          <w:color w:val="231F20"/>
        </w:rPr>
        <w:t>.,   </w:t>
      </w:r>
      <w:r>
        <w:rPr>
          <w:color w:val="231F20"/>
          <w:spacing w:val="44"/>
        </w:rPr>
        <w:t> </w:t>
      </w:r>
      <w:r>
        <w:rPr>
          <w:color w:val="231F20"/>
          <w:spacing w:val="-3"/>
        </w:rPr>
        <w:t>2001).</w:t>
      </w:r>
    </w:p>
    <w:p>
      <w:pPr>
        <w:pStyle w:val="BodyText"/>
        <w:spacing w:line="256" w:lineRule="auto" w:before="113"/>
        <w:ind w:left="1553"/>
        <w:jc w:val="both"/>
      </w:pPr>
      <w:r>
        <w:rPr>
          <w:color w:val="231F20"/>
        </w:rPr>
        <w:t>En el </w:t>
      </w:r>
      <w:r>
        <w:rPr>
          <w:color w:val="231F20"/>
          <w:spacing w:val="-3"/>
        </w:rPr>
        <w:t>caso </w:t>
      </w:r>
      <w:r>
        <w:rPr>
          <w:color w:val="231F20"/>
        </w:rPr>
        <w:t>de las </w:t>
      </w:r>
      <w:r>
        <w:rPr>
          <w:color w:val="231F20"/>
          <w:spacing w:val="-3"/>
        </w:rPr>
        <w:t>unidades dirigidas </w:t>
      </w:r>
      <w:r>
        <w:rPr>
          <w:color w:val="231F20"/>
        </w:rPr>
        <w:t>por </w:t>
      </w:r>
      <w:r>
        <w:rPr>
          <w:color w:val="231F20"/>
          <w:spacing w:val="-3"/>
        </w:rPr>
        <w:t>hombres, también </w:t>
      </w:r>
      <w:r>
        <w:rPr>
          <w:color w:val="231F20"/>
        </w:rPr>
        <w:t>las </w:t>
      </w:r>
      <w:r>
        <w:rPr>
          <w:color w:val="231F20"/>
          <w:spacing w:val="-3"/>
        </w:rPr>
        <w:t>innovaciones </w:t>
      </w:r>
      <w:r>
        <w:rPr>
          <w:color w:val="231F20"/>
        </w:rPr>
        <w:t>de </w:t>
      </w:r>
      <w:r>
        <w:rPr>
          <w:color w:val="231F20"/>
          <w:spacing w:val="-3"/>
        </w:rPr>
        <w:t>tipo sanitario </w:t>
      </w:r>
      <w:r>
        <w:rPr>
          <w:color w:val="231F20"/>
        </w:rPr>
        <w:t>son </w:t>
      </w:r>
      <w:r>
        <w:rPr>
          <w:color w:val="231F20"/>
          <w:spacing w:val="-3"/>
        </w:rPr>
        <w:t>las </w:t>
      </w:r>
      <w:r>
        <w:rPr>
          <w:color w:val="231F20"/>
        </w:rPr>
        <w:t>más  </w:t>
      </w:r>
      <w:r>
        <w:rPr>
          <w:color w:val="231F20"/>
          <w:spacing w:val="-3"/>
        </w:rPr>
        <w:t>usadas  (vacunación  </w:t>
      </w:r>
      <w:r>
        <w:rPr>
          <w:color w:val="231F20"/>
        </w:rPr>
        <w:t>el  </w:t>
      </w:r>
      <w:r>
        <w:rPr>
          <w:color w:val="231F20"/>
          <w:spacing w:val="-3"/>
        </w:rPr>
        <w:t>90%,  desparasitación </w:t>
      </w:r>
      <w:r>
        <w:rPr>
          <w:color w:val="231F20"/>
        </w:rPr>
        <w:t>el </w:t>
      </w:r>
      <w:r>
        <w:rPr>
          <w:color w:val="231F20"/>
          <w:spacing w:val="-5"/>
        </w:rPr>
        <w:t>100%, </w:t>
      </w:r>
      <w:r>
        <w:rPr>
          <w:color w:val="231F20"/>
          <w:spacing w:val="-3"/>
        </w:rPr>
        <w:t>suministro </w:t>
      </w:r>
      <w:r>
        <w:rPr>
          <w:color w:val="231F20"/>
        </w:rPr>
        <w:t>de </w:t>
      </w:r>
      <w:r>
        <w:rPr>
          <w:color w:val="231F20"/>
          <w:spacing w:val="-3"/>
        </w:rPr>
        <w:t>sales </w:t>
      </w:r>
      <w:r>
        <w:rPr>
          <w:color w:val="231F20"/>
        </w:rPr>
        <w:t>el </w:t>
      </w:r>
      <w:r>
        <w:rPr>
          <w:color w:val="231F20"/>
          <w:spacing w:val="-8"/>
        </w:rPr>
        <w:t>81% </w:t>
      </w:r>
      <w:r>
        <w:rPr>
          <w:color w:val="231F20"/>
        </w:rPr>
        <w:t>y </w:t>
      </w:r>
      <w:r>
        <w:rPr>
          <w:color w:val="231F20"/>
          <w:spacing w:val="-3"/>
        </w:rPr>
        <w:t>vitaminas el </w:t>
      </w:r>
      <w:r>
        <w:rPr>
          <w:color w:val="231F20"/>
          <w:spacing w:val="-4"/>
        </w:rPr>
        <w:t>59%), </w:t>
      </w:r>
      <w:r>
        <w:rPr>
          <w:color w:val="231F20"/>
        </w:rPr>
        <w:t>lo </w:t>
      </w:r>
      <w:r>
        <w:rPr>
          <w:color w:val="231F20"/>
          <w:spacing w:val="-3"/>
        </w:rPr>
        <w:t>cual puede explicarse </w:t>
      </w:r>
      <w:r>
        <w:rPr>
          <w:color w:val="231F20"/>
        </w:rPr>
        <w:t>por la </w:t>
      </w:r>
      <w:r>
        <w:rPr>
          <w:color w:val="231F20"/>
          <w:spacing w:val="-3"/>
        </w:rPr>
        <w:t>preocupación </w:t>
      </w:r>
      <w:r>
        <w:rPr>
          <w:color w:val="231F20"/>
        </w:rPr>
        <w:t>de los </w:t>
      </w:r>
      <w:r>
        <w:rPr>
          <w:color w:val="231F20"/>
          <w:spacing w:val="-3"/>
        </w:rPr>
        <w:t>productores </w:t>
      </w:r>
      <w:r>
        <w:rPr>
          <w:color w:val="231F20"/>
        </w:rPr>
        <w:t>(y </w:t>
      </w:r>
      <w:r>
        <w:rPr>
          <w:color w:val="231F20"/>
          <w:spacing w:val="-3"/>
        </w:rPr>
        <w:t>también </w:t>
      </w:r>
      <w:r>
        <w:rPr>
          <w:color w:val="231F20"/>
        </w:rPr>
        <w:t>de las </w:t>
      </w:r>
      <w:r>
        <w:rPr>
          <w:color w:val="231F20"/>
          <w:spacing w:val="-3"/>
        </w:rPr>
        <w:t>productoras) para evitar enfermedades </w:t>
      </w:r>
      <w:r>
        <w:rPr>
          <w:color w:val="231F20"/>
        </w:rPr>
        <w:t>y </w:t>
      </w:r>
      <w:r>
        <w:rPr>
          <w:color w:val="231F20"/>
          <w:spacing w:val="-3"/>
        </w:rPr>
        <w:t>mortalidad, </w:t>
      </w:r>
      <w:r>
        <w:rPr>
          <w:color w:val="231F20"/>
        </w:rPr>
        <w:t>que </w:t>
      </w:r>
      <w:r>
        <w:rPr>
          <w:color w:val="231F20"/>
          <w:spacing w:val="-3"/>
        </w:rPr>
        <w:t>tienen </w:t>
      </w:r>
      <w:r>
        <w:rPr>
          <w:color w:val="231F20"/>
        </w:rPr>
        <w:t>un </w:t>
      </w:r>
      <w:r>
        <w:rPr>
          <w:color w:val="231F20"/>
          <w:spacing w:val="-3"/>
        </w:rPr>
        <w:t>efecto directo sobre </w:t>
      </w:r>
      <w:r>
        <w:rPr>
          <w:color w:val="231F20"/>
        </w:rPr>
        <w:t>la </w:t>
      </w:r>
      <w:r>
        <w:rPr>
          <w:color w:val="231F20"/>
          <w:spacing w:val="-3"/>
        </w:rPr>
        <w:t>economía </w:t>
      </w:r>
      <w:r>
        <w:rPr>
          <w:color w:val="231F20"/>
        </w:rPr>
        <w:t>de las</w:t>
      </w:r>
      <w:r>
        <w:rPr>
          <w:color w:val="231F20"/>
          <w:spacing w:val="41"/>
        </w:rPr>
        <w:t> </w:t>
      </w:r>
      <w:r>
        <w:rPr>
          <w:color w:val="231F20"/>
          <w:spacing w:val="-3"/>
        </w:rPr>
        <w:t>unidades</w:t>
      </w:r>
    </w:p>
    <w:p>
      <w:pPr>
        <w:pStyle w:val="BodyText"/>
        <w:spacing w:line="261" w:lineRule="auto" w:before="67"/>
        <w:ind w:left="413" w:right="1551"/>
        <w:jc w:val="both"/>
      </w:pPr>
      <w:r>
        <w:rPr/>
        <w:br w:type="column"/>
      </w:r>
      <w:r>
        <w:rPr>
          <w:color w:val="231F20"/>
          <w:spacing w:val="-3"/>
        </w:rPr>
        <w:t>(Otte </w:t>
      </w:r>
      <w:r>
        <w:rPr>
          <w:color w:val="231F20"/>
        </w:rPr>
        <w:t>y </w:t>
      </w:r>
      <w:r>
        <w:rPr>
          <w:color w:val="231F20"/>
          <w:spacing w:val="-3"/>
        </w:rPr>
        <w:t>Chilonda, </w:t>
      </w:r>
      <w:r>
        <w:rPr>
          <w:color w:val="231F20"/>
          <w:spacing w:val="-4"/>
        </w:rPr>
        <w:t>2000) </w:t>
      </w:r>
      <w:r>
        <w:rPr>
          <w:color w:val="231F20"/>
        </w:rPr>
        <w:t>y </w:t>
      </w:r>
      <w:r>
        <w:rPr>
          <w:color w:val="231F20"/>
          <w:spacing w:val="-3"/>
        </w:rPr>
        <w:t>constituyen </w:t>
      </w:r>
      <w:r>
        <w:rPr>
          <w:color w:val="231F20"/>
        </w:rPr>
        <w:t>una </w:t>
      </w:r>
      <w:r>
        <w:rPr>
          <w:color w:val="231F20"/>
          <w:spacing w:val="-3"/>
        </w:rPr>
        <w:t>visible pérdida </w:t>
      </w:r>
      <w:r>
        <w:rPr>
          <w:color w:val="231F20"/>
        </w:rPr>
        <w:t>del </w:t>
      </w:r>
      <w:r>
        <w:rPr>
          <w:color w:val="231F20"/>
          <w:spacing w:val="-3"/>
        </w:rPr>
        <w:t>patrimonio. </w:t>
      </w:r>
      <w:r>
        <w:rPr>
          <w:color w:val="231F20"/>
        </w:rPr>
        <w:t>El </w:t>
      </w:r>
      <w:r>
        <w:rPr>
          <w:color w:val="231F20"/>
          <w:spacing w:val="-3"/>
        </w:rPr>
        <w:t>resto </w:t>
      </w:r>
      <w:r>
        <w:rPr>
          <w:color w:val="231F20"/>
        </w:rPr>
        <w:t>de las </w:t>
      </w:r>
      <w:r>
        <w:rPr>
          <w:color w:val="231F20"/>
          <w:spacing w:val="-3"/>
        </w:rPr>
        <w:t>innovaciones sólo </w:t>
      </w:r>
      <w:r>
        <w:rPr>
          <w:color w:val="231F20"/>
        </w:rPr>
        <w:t>las </w:t>
      </w:r>
      <w:r>
        <w:rPr>
          <w:color w:val="231F20"/>
          <w:spacing w:val="-3"/>
        </w:rPr>
        <w:t>usan menos </w:t>
      </w:r>
      <w:r>
        <w:rPr>
          <w:color w:val="231F20"/>
        </w:rPr>
        <w:t>del </w:t>
      </w:r>
      <w:r>
        <w:rPr>
          <w:color w:val="231F20"/>
          <w:spacing w:val="-4"/>
        </w:rPr>
        <w:t>37% </w:t>
      </w:r>
      <w:r>
        <w:rPr>
          <w:color w:val="231F20"/>
        </w:rPr>
        <w:t>de las </w:t>
      </w:r>
      <w:r>
        <w:rPr>
          <w:color w:val="231F20"/>
          <w:spacing w:val="-3"/>
        </w:rPr>
        <w:t>unidades, con excepción </w:t>
      </w:r>
      <w:r>
        <w:rPr>
          <w:color w:val="231F20"/>
        </w:rPr>
        <w:t>del </w:t>
      </w:r>
      <w:r>
        <w:rPr>
          <w:color w:val="231F20"/>
          <w:spacing w:val="-3"/>
        </w:rPr>
        <w:t>destete temprano (Cuadro </w:t>
      </w:r>
      <w:r>
        <w:rPr>
          <w:color w:val="231F20"/>
        </w:rPr>
        <w:t>1), lo </w:t>
      </w:r>
      <w:r>
        <w:rPr>
          <w:color w:val="231F20"/>
          <w:spacing w:val="-3"/>
        </w:rPr>
        <w:t>que concuerda </w:t>
      </w:r>
      <w:r>
        <w:rPr>
          <w:color w:val="231F20"/>
        </w:rPr>
        <w:t>con lo </w:t>
      </w:r>
      <w:r>
        <w:rPr>
          <w:color w:val="231F20"/>
          <w:spacing w:val="-3"/>
        </w:rPr>
        <w:t>descrito </w:t>
      </w:r>
      <w:r>
        <w:rPr>
          <w:color w:val="231F20"/>
        </w:rPr>
        <w:t>por </w:t>
      </w:r>
      <w:r>
        <w:rPr>
          <w:color w:val="231F20"/>
          <w:spacing w:val="-3"/>
        </w:rPr>
        <w:t>Méndola </w:t>
      </w:r>
      <w:r>
        <w:rPr>
          <w:i/>
          <w:color w:val="231F20"/>
        </w:rPr>
        <w:t>et al</w:t>
      </w:r>
      <w:r>
        <w:rPr>
          <w:color w:val="231F20"/>
        </w:rPr>
        <w:t>. </w:t>
      </w:r>
      <w:r>
        <w:rPr>
          <w:color w:val="231F20"/>
          <w:spacing w:val="-4"/>
        </w:rPr>
        <w:t>(2005), </w:t>
      </w:r>
      <w:r>
        <w:rPr>
          <w:color w:val="231F20"/>
          <w:spacing w:val="-3"/>
        </w:rPr>
        <w:t>quienes concluyen </w:t>
      </w:r>
      <w:r>
        <w:rPr>
          <w:color w:val="231F20"/>
        </w:rPr>
        <w:t>que </w:t>
      </w:r>
      <w:r>
        <w:rPr>
          <w:color w:val="231F20"/>
          <w:spacing w:val="-3"/>
        </w:rPr>
        <w:t>existe </w:t>
      </w:r>
      <w:r>
        <w:rPr>
          <w:color w:val="231F20"/>
        </w:rPr>
        <w:t>una </w:t>
      </w:r>
      <w:r>
        <w:rPr>
          <w:color w:val="231F20"/>
          <w:spacing w:val="-3"/>
        </w:rPr>
        <w:t>baja adopción de nuevas tecnologías </w:t>
      </w:r>
      <w:r>
        <w:rPr>
          <w:color w:val="231F20"/>
        </w:rPr>
        <w:t>en los </w:t>
      </w:r>
      <w:r>
        <w:rPr>
          <w:color w:val="231F20"/>
          <w:spacing w:val="-3"/>
        </w:rPr>
        <w:t>sistemas </w:t>
      </w:r>
      <w:r>
        <w:rPr>
          <w:color w:val="231F20"/>
        </w:rPr>
        <w:t>de </w:t>
      </w:r>
      <w:r>
        <w:rPr>
          <w:color w:val="231F20"/>
          <w:spacing w:val="-3"/>
        </w:rPr>
        <w:t>producción ovina </w:t>
      </w:r>
      <w:r>
        <w:rPr>
          <w:color w:val="231F20"/>
        </w:rPr>
        <w:t>en el </w:t>
      </w:r>
      <w:r>
        <w:rPr>
          <w:color w:val="231F20"/>
          <w:spacing w:val="-3"/>
        </w:rPr>
        <w:t>centro </w:t>
      </w:r>
      <w:r>
        <w:rPr>
          <w:color w:val="231F20"/>
        </w:rPr>
        <w:t>de </w:t>
      </w:r>
      <w:r>
        <w:rPr>
          <w:color w:val="231F20"/>
          <w:spacing w:val="-3"/>
        </w:rPr>
        <w:t>México. </w:t>
      </w:r>
      <w:r>
        <w:rPr>
          <w:color w:val="231F20"/>
        </w:rPr>
        <w:t>Es </w:t>
      </w:r>
      <w:r>
        <w:rPr>
          <w:color w:val="231F20"/>
          <w:spacing w:val="-3"/>
        </w:rPr>
        <w:t>probable </w:t>
      </w:r>
      <w:r>
        <w:rPr>
          <w:color w:val="231F20"/>
        </w:rPr>
        <w:t>que </w:t>
      </w:r>
      <w:r>
        <w:rPr>
          <w:color w:val="231F20"/>
          <w:spacing w:val="-3"/>
        </w:rPr>
        <w:t>este comportamiento </w:t>
      </w:r>
      <w:r>
        <w:rPr>
          <w:color w:val="231F20"/>
        </w:rPr>
        <w:t>sea el </w:t>
      </w:r>
      <w:r>
        <w:rPr>
          <w:color w:val="231F20"/>
          <w:spacing w:val="-3"/>
        </w:rPr>
        <w:t>resultado </w:t>
      </w:r>
      <w:r>
        <w:rPr>
          <w:color w:val="231F20"/>
        </w:rPr>
        <w:t>del </w:t>
      </w:r>
      <w:r>
        <w:rPr>
          <w:color w:val="231F20"/>
          <w:spacing w:val="-3"/>
        </w:rPr>
        <w:t>poco acceso </w:t>
      </w:r>
      <w:r>
        <w:rPr>
          <w:color w:val="231F20"/>
        </w:rPr>
        <w:t>a la </w:t>
      </w:r>
      <w:r>
        <w:rPr>
          <w:color w:val="231F20"/>
          <w:spacing w:val="-3"/>
        </w:rPr>
        <w:t>capacitación </w:t>
      </w:r>
      <w:r>
        <w:rPr>
          <w:color w:val="231F20"/>
        </w:rPr>
        <w:t>y de una </w:t>
      </w:r>
      <w:r>
        <w:rPr>
          <w:color w:val="231F20"/>
          <w:spacing w:val="-3"/>
        </w:rPr>
        <w:t>lenta dinámica </w:t>
      </w:r>
      <w:r>
        <w:rPr>
          <w:color w:val="231F20"/>
        </w:rPr>
        <w:t>de </w:t>
      </w:r>
      <w:r>
        <w:rPr>
          <w:color w:val="231F20"/>
          <w:spacing w:val="-3"/>
        </w:rPr>
        <w:t>difusión </w:t>
      </w:r>
      <w:r>
        <w:rPr>
          <w:color w:val="231F20"/>
        </w:rPr>
        <w:t>del </w:t>
      </w:r>
      <w:r>
        <w:rPr>
          <w:color w:val="231F20"/>
          <w:spacing w:val="-3"/>
        </w:rPr>
        <w:t>conocimiento científico </w:t>
      </w:r>
      <w:r>
        <w:rPr>
          <w:color w:val="231F20"/>
        </w:rPr>
        <w:t>y </w:t>
      </w:r>
      <w:r>
        <w:rPr>
          <w:color w:val="231F20"/>
          <w:spacing w:val="-3"/>
        </w:rPr>
        <w:t>empírico.</w:t>
      </w:r>
    </w:p>
    <w:p>
      <w:pPr>
        <w:pStyle w:val="BodyText"/>
        <w:spacing w:before="9"/>
        <w:rPr>
          <w:sz w:val="24"/>
        </w:rPr>
      </w:pPr>
    </w:p>
    <w:p>
      <w:pPr>
        <w:spacing w:line="290" w:lineRule="auto" w:before="0"/>
        <w:ind w:left="413" w:right="1551" w:firstLine="0"/>
        <w:jc w:val="both"/>
        <w:rPr>
          <w:sz w:val="18"/>
        </w:rPr>
      </w:pPr>
      <w:r>
        <w:rPr>
          <w:color w:val="231F20"/>
          <w:sz w:val="18"/>
        </w:rPr>
        <w:t>Cuadro 1. Porcentaje de uso de innovaciones en los sistemas campesinos de producción ovina operados por mujeres y hombres.</w:t>
      </w:r>
    </w:p>
    <w:p>
      <w:pPr>
        <w:pStyle w:val="BodyText"/>
        <w:spacing w:before="6" w:after="1"/>
        <w:rPr>
          <w:sz w:val="8"/>
        </w:rPr>
      </w:pPr>
    </w:p>
    <w:tbl>
      <w:tblPr>
        <w:tblW w:w="0" w:type="auto"/>
        <w:jc w:val="left"/>
        <w:tblInd w:w="4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395"/>
        <w:gridCol w:w="869"/>
        <w:gridCol w:w="883"/>
      </w:tblGrid>
      <w:tr>
        <w:trPr>
          <w:trHeight w:val="629" w:hRule="exact"/>
        </w:trPr>
        <w:tc>
          <w:tcPr>
            <w:tcW w:w="2395" w:type="dxa"/>
            <w:vMerge w:val="restart"/>
            <w:tcBorders>
              <w:left w:val="nil"/>
            </w:tcBorders>
          </w:tcPr>
          <w:p>
            <w:pPr>
              <w:pStyle w:val="TableParagraph"/>
              <w:spacing w:before="0"/>
              <w:rPr>
                <w:sz w:val="18"/>
              </w:rPr>
            </w:pPr>
          </w:p>
          <w:p>
            <w:pPr>
              <w:pStyle w:val="TableParagraph"/>
              <w:spacing w:before="3"/>
              <w:rPr>
                <w:sz w:val="14"/>
              </w:rPr>
            </w:pPr>
          </w:p>
          <w:p>
            <w:pPr>
              <w:pStyle w:val="TableParagraph"/>
              <w:spacing w:before="0"/>
              <w:ind w:left="757"/>
              <w:rPr>
                <w:rFonts w:ascii="Cambria" w:hAnsi="Cambria"/>
                <w:i/>
                <w:sz w:val="18"/>
              </w:rPr>
            </w:pPr>
            <w:r>
              <w:rPr>
                <w:rFonts w:ascii="Cambria" w:hAnsi="Cambria"/>
                <w:i/>
                <w:color w:val="231F20"/>
                <w:w w:val="105"/>
                <w:sz w:val="18"/>
              </w:rPr>
              <w:t>Innovación</w:t>
            </w:r>
          </w:p>
        </w:tc>
        <w:tc>
          <w:tcPr>
            <w:tcW w:w="1752" w:type="dxa"/>
            <w:gridSpan w:val="2"/>
            <w:tcBorders>
              <w:right w:val="nil"/>
            </w:tcBorders>
          </w:tcPr>
          <w:p>
            <w:pPr>
              <w:pStyle w:val="TableParagraph"/>
              <w:spacing w:line="295" w:lineRule="auto" w:before="79"/>
              <w:ind w:left="168" w:firstLine="423"/>
              <w:rPr>
                <w:rFonts w:ascii="Cambria"/>
                <w:i/>
                <w:sz w:val="18"/>
              </w:rPr>
            </w:pPr>
            <w:r>
              <w:rPr>
                <w:rFonts w:ascii="Cambria"/>
                <w:i/>
                <w:color w:val="231F20"/>
                <w:w w:val="110"/>
                <w:sz w:val="18"/>
              </w:rPr>
              <w:t>Uso de </w:t>
            </w:r>
            <w:r>
              <w:rPr>
                <w:rFonts w:ascii="Cambria"/>
                <w:i/>
                <w:color w:val="231F20"/>
                <w:w w:val="105"/>
                <w:sz w:val="18"/>
              </w:rPr>
              <w:t>innovaciones (%)</w:t>
            </w:r>
          </w:p>
        </w:tc>
      </w:tr>
      <w:tr>
        <w:trPr>
          <w:trHeight w:val="369" w:hRule="exact"/>
        </w:trPr>
        <w:tc>
          <w:tcPr>
            <w:tcW w:w="2395" w:type="dxa"/>
            <w:vMerge/>
            <w:tcBorders>
              <w:left w:val="nil"/>
            </w:tcBorders>
          </w:tcPr>
          <w:p>
            <w:pPr/>
          </w:p>
        </w:tc>
        <w:tc>
          <w:tcPr>
            <w:tcW w:w="869" w:type="dxa"/>
          </w:tcPr>
          <w:p>
            <w:pPr>
              <w:pStyle w:val="TableParagraph"/>
              <w:spacing w:before="79"/>
              <w:ind w:left="109"/>
              <w:rPr>
                <w:rFonts w:ascii="Cambria"/>
                <w:i/>
                <w:sz w:val="18"/>
              </w:rPr>
            </w:pPr>
            <w:r>
              <w:rPr>
                <w:rFonts w:ascii="Cambria"/>
                <w:i/>
                <w:color w:val="231F20"/>
                <w:w w:val="110"/>
                <w:sz w:val="18"/>
              </w:rPr>
              <w:t>Mujeres</w:t>
            </w:r>
          </w:p>
        </w:tc>
        <w:tc>
          <w:tcPr>
            <w:tcW w:w="883" w:type="dxa"/>
            <w:tcBorders>
              <w:right w:val="nil"/>
            </w:tcBorders>
          </w:tcPr>
          <w:p>
            <w:pPr>
              <w:pStyle w:val="TableParagraph"/>
              <w:spacing w:before="79"/>
              <w:ind w:left="71"/>
              <w:rPr>
                <w:rFonts w:ascii="Cambria"/>
                <w:i/>
                <w:sz w:val="18"/>
              </w:rPr>
            </w:pPr>
            <w:r>
              <w:rPr>
                <w:rFonts w:ascii="Cambria"/>
                <w:i/>
                <w:color w:val="231F20"/>
                <w:w w:val="110"/>
                <w:sz w:val="18"/>
              </w:rPr>
              <w:t>Hombres</w:t>
            </w:r>
          </w:p>
        </w:tc>
      </w:tr>
      <w:tr>
        <w:trPr>
          <w:trHeight w:val="354" w:hRule="exact"/>
        </w:trPr>
        <w:tc>
          <w:tcPr>
            <w:tcW w:w="2395" w:type="dxa"/>
            <w:tcBorders>
              <w:left w:val="nil"/>
            </w:tcBorders>
          </w:tcPr>
          <w:p>
            <w:pPr>
              <w:pStyle w:val="TableParagraph"/>
              <w:ind w:left="113"/>
              <w:rPr>
                <w:sz w:val="17"/>
              </w:rPr>
            </w:pPr>
            <w:r>
              <w:rPr>
                <w:color w:val="231F20"/>
                <w:sz w:val="17"/>
              </w:rPr>
              <w:t>Vacunación</w:t>
            </w:r>
          </w:p>
        </w:tc>
        <w:tc>
          <w:tcPr>
            <w:tcW w:w="869" w:type="dxa"/>
          </w:tcPr>
          <w:p>
            <w:pPr>
              <w:pStyle w:val="TableParagraph"/>
              <w:ind w:left="262"/>
              <w:rPr>
                <w:sz w:val="17"/>
              </w:rPr>
            </w:pPr>
            <w:r>
              <w:rPr>
                <w:color w:val="231F20"/>
                <w:w w:val="110"/>
                <w:sz w:val="17"/>
              </w:rPr>
              <w:t>96,00</w:t>
            </w:r>
          </w:p>
        </w:tc>
        <w:tc>
          <w:tcPr>
            <w:tcW w:w="883" w:type="dxa"/>
            <w:tcBorders>
              <w:right w:val="nil"/>
            </w:tcBorders>
          </w:tcPr>
          <w:p>
            <w:pPr>
              <w:pStyle w:val="TableParagraph"/>
              <w:ind w:left="283"/>
              <w:rPr>
                <w:sz w:val="17"/>
              </w:rPr>
            </w:pPr>
            <w:r>
              <w:rPr>
                <w:color w:val="231F20"/>
                <w:w w:val="110"/>
                <w:sz w:val="17"/>
              </w:rPr>
              <w:t>90,91</w:t>
            </w:r>
          </w:p>
        </w:tc>
      </w:tr>
      <w:tr>
        <w:trPr>
          <w:trHeight w:val="354" w:hRule="exact"/>
        </w:trPr>
        <w:tc>
          <w:tcPr>
            <w:tcW w:w="2395" w:type="dxa"/>
            <w:tcBorders>
              <w:left w:val="nil"/>
            </w:tcBorders>
          </w:tcPr>
          <w:p>
            <w:pPr>
              <w:pStyle w:val="TableParagraph"/>
              <w:ind w:left="113"/>
              <w:rPr>
                <w:sz w:val="17"/>
              </w:rPr>
            </w:pPr>
            <w:r>
              <w:rPr>
                <w:color w:val="231F20"/>
                <w:sz w:val="17"/>
              </w:rPr>
              <w:t>Desparasitación</w:t>
            </w:r>
          </w:p>
        </w:tc>
        <w:tc>
          <w:tcPr>
            <w:tcW w:w="869" w:type="dxa"/>
          </w:tcPr>
          <w:p>
            <w:pPr>
              <w:pStyle w:val="TableParagraph"/>
              <w:ind w:left="165"/>
              <w:rPr>
                <w:sz w:val="17"/>
              </w:rPr>
            </w:pPr>
            <w:r>
              <w:rPr>
                <w:color w:val="231F20"/>
                <w:w w:val="115"/>
                <w:sz w:val="17"/>
              </w:rPr>
              <w:t>100</w:t>
            </w:r>
          </w:p>
        </w:tc>
        <w:tc>
          <w:tcPr>
            <w:tcW w:w="883" w:type="dxa"/>
            <w:tcBorders>
              <w:right w:val="nil"/>
            </w:tcBorders>
          </w:tcPr>
          <w:p>
            <w:pPr>
              <w:pStyle w:val="TableParagraph"/>
              <w:ind w:left="165"/>
              <w:rPr>
                <w:sz w:val="17"/>
              </w:rPr>
            </w:pPr>
            <w:r>
              <w:rPr>
                <w:color w:val="231F20"/>
                <w:w w:val="115"/>
                <w:sz w:val="17"/>
              </w:rPr>
              <w:t>100</w:t>
            </w:r>
          </w:p>
        </w:tc>
      </w:tr>
      <w:tr>
        <w:trPr>
          <w:trHeight w:val="354" w:hRule="exact"/>
        </w:trPr>
        <w:tc>
          <w:tcPr>
            <w:tcW w:w="2395" w:type="dxa"/>
            <w:tcBorders>
              <w:left w:val="nil"/>
            </w:tcBorders>
          </w:tcPr>
          <w:p>
            <w:pPr>
              <w:pStyle w:val="TableParagraph"/>
              <w:ind w:left="113"/>
              <w:rPr>
                <w:sz w:val="17"/>
              </w:rPr>
            </w:pPr>
            <w:r>
              <w:rPr>
                <w:color w:val="231F20"/>
                <w:sz w:val="17"/>
              </w:rPr>
              <w:t>Suministro  de sales</w:t>
            </w:r>
          </w:p>
        </w:tc>
        <w:tc>
          <w:tcPr>
            <w:tcW w:w="869" w:type="dxa"/>
          </w:tcPr>
          <w:p>
            <w:pPr>
              <w:pStyle w:val="TableParagraph"/>
              <w:ind w:left="262"/>
              <w:rPr>
                <w:sz w:val="17"/>
              </w:rPr>
            </w:pPr>
            <w:r>
              <w:rPr>
                <w:color w:val="231F20"/>
                <w:w w:val="110"/>
                <w:sz w:val="17"/>
              </w:rPr>
              <w:t>96,00</w:t>
            </w:r>
          </w:p>
        </w:tc>
        <w:tc>
          <w:tcPr>
            <w:tcW w:w="883" w:type="dxa"/>
            <w:tcBorders>
              <w:right w:val="nil"/>
            </w:tcBorders>
          </w:tcPr>
          <w:p>
            <w:pPr>
              <w:pStyle w:val="TableParagraph"/>
              <w:ind w:left="283"/>
              <w:rPr>
                <w:sz w:val="17"/>
              </w:rPr>
            </w:pPr>
            <w:r>
              <w:rPr>
                <w:color w:val="231F20"/>
                <w:w w:val="110"/>
                <w:sz w:val="17"/>
              </w:rPr>
              <w:t>81,82</w:t>
            </w:r>
          </w:p>
        </w:tc>
      </w:tr>
      <w:tr>
        <w:trPr>
          <w:trHeight w:val="354" w:hRule="exact"/>
        </w:trPr>
        <w:tc>
          <w:tcPr>
            <w:tcW w:w="2395" w:type="dxa"/>
            <w:tcBorders>
              <w:left w:val="nil"/>
            </w:tcBorders>
          </w:tcPr>
          <w:p>
            <w:pPr>
              <w:pStyle w:val="TableParagraph"/>
              <w:ind w:left="113"/>
              <w:rPr>
                <w:sz w:val="17"/>
              </w:rPr>
            </w:pPr>
            <w:r>
              <w:rPr>
                <w:color w:val="231F20"/>
                <w:sz w:val="17"/>
              </w:rPr>
              <w:t>Vitaminas</w:t>
            </w:r>
          </w:p>
        </w:tc>
        <w:tc>
          <w:tcPr>
            <w:tcW w:w="869" w:type="dxa"/>
          </w:tcPr>
          <w:p>
            <w:pPr>
              <w:pStyle w:val="TableParagraph"/>
              <w:ind w:left="262"/>
              <w:rPr>
                <w:sz w:val="17"/>
              </w:rPr>
            </w:pPr>
            <w:r>
              <w:rPr>
                <w:color w:val="231F20"/>
                <w:w w:val="110"/>
                <w:sz w:val="17"/>
              </w:rPr>
              <w:t>88,00</w:t>
            </w:r>
          </w:p>
        </w:tc>
        <w:tc>
          <w:tcPr>
            <w:tcW w:w="883" w:type="dxa"/>
            <w:tcBorders>
              <w:right w:val="nil"/>
            </w:tcBorders>
          </w:tcPr>
          <w:p>
            <w:pPr>
              <w:pStyle w:val="TableParagraph"/>
              <w:ind w:left="279"/>
              <w:rPr>
                <w:sz w:val="17"/>
              </w:rPr>
            </w:pPr>
            <w:r>
              <w:rPr>
                <w:color w:val="231F20"/>
                <w:w w:val="110"/>
                <w:sz w:val="17"/>
              </w:rPr>
              <w:t>59,09</w:t>
            </w:r>
          </w:p>
        </w:tc>
      </w:tr>
      <w:tr>
        <w:trPr>
          <w:trHeight w:val="354" w:hRule="exact"/>
        </w:trPr>
        <w:tc>
          <w:tcPr>
            <w:tcW w:w="2395" w:type="dxa"/>
            <w:tcBorders>
              <w:left w:val="nil"/>
            </w:tcBorders>
          </w:tcPr>
          <w:p>
            <w:pPr>
              <w:pStyle w:val="TableParagraph"/>
              <w:ind w:left="113"/>
              <w:rPr>
                <w:sz w:val="17"/>
              </w:rPr>
            </w:pPr>
            <w:r>
              <w:rPr>
                <w:color w:val="231F20"/>
                <w:sz w:val="17"/>
              </w:rPr>
              <w:t>Establecimiento de praderas</w:t>
            </w:r>
          </w:p>
        </w:tc>
        <w:tc>
          <w:tcPr>
            <w:tcW w:w="869" w:type="dxa"/>
          </w:tcPr>
          <w:p>
            <w:pPr>
              <w:pStyle w:val="TableParagraph"/>
              <w:ind w:left="265"/>
              <w:rPr>
                <w:sz w:val="17"/>
              </w:rPr>
            </w:pPr>
            <w:r>
              <w:rPr>
                <w:color w:val="231F20"/>
                <w:w w:val="110"/>
                <w:sz w:val="17"/>
              </w:rPr>
              <w:t>36,00</w:t>
            </w:r>
          </w:p>
        </w:tc>
        <w:tc>
          <w:tcPr>
            <w:tcW w:w="883" w:type="dxa"/>
            <w:tcBorders>
              <w:right w:val="nil"/>
            </w:tcBorders>
          </w:tcPr>
          <w:p>
            <w:pPr>
              <w:pStyle w:val="TableParagraph"/>
              <w:ind w:left="290"/>
              <w:rPr>
                <w:sz w:val="17"/>
              </w:rPr>
            </w:pPr>
            <w:r>
              <w:rPr>
                <w:color w:val="231F20"/>
                <w:w w:val="110"/>
                <w:sz w:val="17"/>
              </w:rPr>
              <w:t>18,18</w:t>
            </w:r>
          </w:p>
        </w:tc>
      </w:tr>
      <w:tr>
        <w:trPr>
          <w:trHeight w:val="354" w:hRule="exact"/>
        </w:trPr>
        <w:tc>
          <w:tcPr>
            <w:tcW w:w="2395" w:type="dxa"/>
            <w:tcBorders>
              <w:left w:val="nil"/>
            </w:tcBorders>
          </w:tcPr>
          <w:p>
            <w:pPr>
              <w:pStyle w:val="TableParagraph"/>
              <w:ind w:left="113"/>
              <w:rPr>
                <w:sz w:val="17"/>
              </w:rPr>
            </w:pPr>
            <w:r>
              <w:rPr>
                <w:color w:val="231F20"/>
                <w:sz w:val="17"/>
              </w:rPr>
              <w:t>Utilización de henos y  ensilados</w:t>
            </w:r>
          </w:p>
        </w:tc>
        <w:tc>
          <w:tcPr>
            <w:tcW w:w="869" w:type="dxa"/>
          </w:tcPr>
          <w:p>
            <w:pPr>
              <w:pStyle w:val="TableParagraph"/>
              <w:ind w:left="269"/>
              <w:rPr>
                <w:sz w:val="17"/>
              </w:rPr>
            </w:pPr>
            <w:r>
              <w:rPr>
                <w:color w:val="231F20"/>
                <w:w w:val="110"/>
                <w:sz w:val="17"/>
              </w:rPr>
              <w:t>76,00</w:t>
            </w:r>
          </w:p>
        </w:tc>
        <w:tc>
          <w:tcPr>
            <w:tcW w:w="883" w:type="dxa"/>
            <w:tcBorders>
              <w:right w:val="nil"/>
            </w:tcBorders>
          </w:tcPr>
          <w:p>
            <w:pPr>
              <w:pStyle w:val="TableParagraph"/>
              <w:ind w:left="290"/>
              <w:rPr>
                <w:sz w:val="17"/>
              </w:rPr>
            </w:pPr>
            <w:r>
              <w:rPr>
                <w:color w:val="231F20"/>
                <w:w w:val="110"/>
                <w:sz w:val="17"/>
              </w:rPr>
              <w:t>18,18</w:t>
            </w:r>
          </w:p>
        </w:tc>
      </w:tr>
      <w:tr>
        <w:trPr>
          <w:trHeight w:val="354" w:hRule="exact"/>
        </w:trPr>
        <w:tc>
          <w:tcPr>
            <w:tcW w:w="2395" w:type="dxa"/>
            <w:tcBorders>
              <w:left w:val="nil"/>
            </w:tcBorders>
          </w:tcPr>
          <w:p>
            <w:pPr>
              <w:pStyle w:val="TableParagraph"/>
              <w:ind w:left="113"/>
              <w:rPr>
                <w:sz w:val="17"/>
              </w:rPr>
            </w:pPr>
            <w:r>
              <w:rPr>
                <w:color w:val="231F20"/>
                <w:sz w:val="17"/>
              </w:rPr>
              <w:t>Elaboración de dietas</w:t>
            </w:r>
          </w:p>
        </w:tc>
        <w:tc>
          <w:tcPr>
            <w:tcW w:w="869" w:type="dxa"/>
          </w:tcPr>
          <w:p>
            <w:pPr>
              <w:pStyle w:val="TableParagraph"/>
              <w:ind w:left="265"/>
              <w:rPr>
                <w:sz w:val="17"/>
              </w:rPr>
            </w:pPr>
            <w:r>
              <w:rPr>
                <w:color w:val="231F20"/>
                <w:w w:val="110"/>
                <w:sz w:val="17"/>
              </w:rPr>
              <w:t>52,00</w:t>
            </w:r>
          </w:p>
        </w:tc>
        <w:tc>
          <w:tcPr>
            <w:tcW w:w="883" w:type="dxa"/>
            <w:tcBorders>
              <w:right w:val="nil"/>
            </w:tcBorders>
          </w:tcPr>
          <w:p>
            <w:pPr>
              <w:pStyle w:val="TableParagraph"/>
              <w:ind w:left="283"/>
              <w:rPr>
                <w:sz w:val="17"/>
              </w:rPr>
            </w:pPr>
            <w:r>
              <w:rPr>
                <w:color w:val="231F20"/>
                <w:w w:val="110"/>
                <w:sz w:val="17"/>
              </w:rPr>
              <w:t>36,36</w:t>
            </w:r>
          </w:p>
        </w:tc>
      </w:tr>
      <w:tr>
        <w:trPr>
          <w:trHeight w:val="354" w:hRule="exact"/>
        </w:trPr>
        <w:tc>
          <w:tcPr>
            <w:tcW w:w="2395" w:type="dxa"/>
            <w:tcBorders>
              <w:left w:val="nil"/>
            </w:tcBorders>
          </w:tcPr>
          <w:p>
            <w:pPr>
              <w:pStyle w:val="TableParagraph"/>
              <w:ind w:left="113"/>
              <w:rPr>
                <w:sz w:val="17"/>
              </w:rPr>
            </w:pPr>
            <w:r>
              <w:rPr>
                <w:color w:val="231F20"/>
                <w:sz w:val="17"/>
              </w:rPr>
              <w:t>Identificación de animales</w:t>
            </w:r>
          </w:p>
        </w:tc>
        <w:tc>
          <w:tcPr>
            <w:tcW w:w="869" w:type="dxa"/>
          </w:tcPr>
          <w:p>
            <w:pPr>
              <w:pStyle w:val="TableParagraph"/>
              <w:ind w:left="262"/>
              <w:rPr>
                <w:sz w:val="17"/>
              </w:rPr>
            </w:pPr>
            <w:r>
              <w:rPr>
                <w:color w:val="231F20"/>
                <w:w w:val="110"/>
                <w:sz w:val="17"/>
              </w:rPr>
              <w:t>64,00</w:t>
            </w:r>
          </w:p>
        </w:tc>
        <w:tc>
          <w:tcPr>
            <w:tcW w:w="883" w:type="dxa"/>
            <w:tcBorders>
              <w:right w:val="nil"/>
            </w:tcBorders>
          </w:tcPr>
          <w:p>
            <w:pPr>
              <w:pStyle w:val="TableParagraph"/>
              <w:ind w:left="375"/>
              <w:rPr>
                <w:sz w:val="17"/>
              </w:rPr>
            </w:pPr>
            <w:r>
              <w:rPr>
                <w:color w:val="231F20"/>
                <w:w w:val="110"/>
                <w:sz w:val="17"/>
              </w:rPr>
              <w:t>9,09</w:t>
            </w:r>
          </w:p>
        </w:tc>
      </w:tr>
      <w:tr>
        <w:trPr>
          <w:trHeight w:val="354" w:hRule="exact"/>
        </w:trPr>
        <w:tc>
          <w:tcPr>
            <w:tcW w:w="2395" w:type="dxa"/>
            <w:tcBorders>
              <w:left w:val="nil"/>
            </w:tcBorders>
          </w:tcPr>
          <w:p>
            <w:pPr>
              <w:pStyle w:val="TableParagraph"/>
              <w:ind w:left="113"/>
              <w:rPr>
                <w:sz w:val="17"/>
              </w:rPr>
            </w:pPr>
            <w:r>
              <w:rPr>
                <w:color w:val="231F20"/>
                <w:w w:val="105"/>
                <w:sz w:val="17"/>
              </w:rPr>
              <w:t>Lotes de animales</w:t>
            </w:r>
          </w:p>
        </w:tc>
        <w:tc>
          <w:tcPr>
            <w:tcW w:w="869" w:type="dxa"/>
          </w:tcPr>
          <w:p>
            <w:pPr>
              <w:pStyle w:val="TableParagraph"/>
              <w:ind w:left="265"/>
              <w:rPr>
                <w:sz w:val="17"/>
              </w:rPr>
            </w:pPr>
            <w:r>
              <w:rPr>
                <w:color w:val="231F20"/>
                <w:w w:val="110"/>
                <w:sz w:val="17"/>
              </w:rPr>
              <w:t>52,00</w:t>
            </w:r>
          </w:p>
        </w:tc>
        <w:tc>
          <w:tcPr>
            <w:tcW w:w="883" w:type="dxa"/>
            <w:tcBorders>
              <w:right w:val="nil"/>
            </w:tcBorders>
          </w:tcPr>
          <w:p>
            <w:pPr>
              <w:pStyle w:val="TableParagraph"/>
              <w:ind w:left="283"/>
              <w:rPr>
                <w:sz w:val="17"/>
              </w:rPr>
            </w:pPr>
            <w:r>
              <w:rPr>
                <w:color w:val="231F20"/>
                <w:w w:val="110"/>
                <w:sz w:val="17"/>
              </w:rPr>
              <w:t>13,64</w:t>
            </w:r>
          </w:p>
        </w:tc>
      </w:tr>
      <w:tr>
        <w:trPr>
          <w:trHeight w:val="354" w:hRule="exact"/>
        </w:trPr>
        <w:tc>
          <w:tcPr>
            <w:tcW w:w="2395" w:type="dxa"/>
            <w:tcBorders>
              <w:left w:val="nil"/>
            </w:tcBorders>
          </w:tcPr>
          <w:p>
            <w:pPr>
              <w:pStyle w:val="TableParagraph"/>
              <w:ind w:left="113"/>
              <w:rPr>
                <w:sz w:val="17"/>
              </w:rPr>
            </w:pPr>
            <w:r>
              <w:rPr>
                <w:color w:val="231F20"/>
                <w:sz w:val="17"/>
              </w:rPr>
              <w:t>Registros</w:t>
            </w:r>
          </w:p>
        </w:tc>
        <w:tc>
          <w:tcPr>
            <w:tcW w:w="869" w:type="dxa"/>
          </w:tcPr>
          <w:p>
            <w:pPr>
              <w:pStyle w:val="TableParagraph"/>
              <w:ind w:left="265"/>
              <w:rPr>
                <w:sz w:val="17"/>
              </w:rPr>
            </w:pPr>
            <w:r>
              <w:rPr>
                <w:color w:val="231F20"/>
                <w:w w:val="110"/>
                <w:sz w:val="17"/>
              </w:rPr>
              <w:t>52,00</w:t>
            </w:r>
          </w:p>
        </w:tc>
        <w:tc>
          <w:tcPr>
            <w:tcW w:w="883" w:type="dxa"/>
            <w:tcBorders>
              <w:right w:val="nil"/>
            </w:tcBorders>
          </w:tcPr>
          <w:p>
            <w:pPr>
              <w:pStyle w:val="TableParagraph"/>
              <w:ind w:left="283"/>
              <w:rPr>
                <w:sz w:val="17"/>
              </w:rPr>
            </w:pPr>
            <w:r>
              <w:rPr>
                <w:color w:val="231F20"/>
                <w:w w:val="110"/>
                <w:sz w:val="17"/>
              </w:rPr>
              <w:t>13,64</w:t>
            </w:r>
          </w:p>
        </w:tc>
      </w:tr>
      <w:tr>
        <w:trPr>
          <w:trHeight w:val="354" w:hRule="exact"/>
        </w:trPr>
        <w:tc>
          <w:tcPr>
            <w:tcW w:w="2395" w:type="dxa"/>
            <w:tcBorders>
              <w:left w:val="nil"/>
            </w:tcBorders>
          </w:tcPr>
          <w:p>
            <w:pPr>
              <w:pStyle w:val="TableParagraph"/>
              <w:ind w:left="113"/>
              <w:rPr>
                <w:sz w:val="17"/>
              </w:rPr>
            </w:pPr>
            <w:r>
              <w:rPr>
                <w:color w:val="231F20"/>
                <w:sz w:val="17"/>
              </w:rPr>
              <w:t>Empadre controlado</w:t>
            </w:r>
          </w:p>
        </w:tc>
        <w:tc>
          <w:tcPr>
            <w:tcW w:w="869" w:type="dxa"/>
          </w:tcPr>
          <w:p>
            <w:pPr>
              <w:pStyle w:val="TableParagraph"/>
              <w:ind w:left="265"/>
              <w:rPr>
                <w:sz w:val="17"/>
              </w:rPr>
            </w:pPr>
            <w:r>
              <w:rPr>
                <w:color w:val="231F20"/>
                <w:w w:val="110"/>
                <w:sz w:val="17"/>
              </w:rPr>
              <w:t>28,00</w:t>
            </w:r>
          </w:p>
        </w:tc>
        <w:tc>
          <w:tcPr>
            <w:tcW w:w="883" w:type="dxa"/>
            <w:tcBorders>
              <w:right w:val="nil"/>
            </w:tcBorders>
          </w:tcPr>
          <w:p>
            <w:pPr>
              <w:pStyle w:val="TableParagraph"/>
              <w:ind w:left="375"/>
              <w:rPr>
                <w:sz w:val="17"/>
              </w:rPr>
            </w:pPr>
            <w:r>
              <w:rPr>
                <w:color w:val="231F20"/>
                <w:w w:val="110"/>
                <w:sz w:val="17"/>
              </w:rPr>
              <w:t>9,09</w:t>
            </w:r>
          </w:p>
        </w:tc>
      </w:tr>
      <w:tr>
        <w:trPr>
          <w:trHeight w:val="354" w:hRule="exact"/>
        </w:trPr>
        <w:tc>
          <w:tcPr>
            <w:tcW w:w="2395" w:type="dxa"/>
            <w:tcBorders>
              <w:left w:val="nil"/>
            </w:tcBorders>
          </w:tcPr>
          <w:p>
            <w:pPr>
              <w:pStyle w:val="TableParagraph"/>
              <w:ind w:left="113"/>
              <w:rPr>
                <w:sz w:val="17"/>
              </w:rPr>
            </w:pPr>
            <w:r>
              <w:rPr>
                <w:color w:val="231F20"/>
                <w:sz w:val="17"/>
              </w:rPr>
              <w:t>Definición  de cruzas</w:t>
            </w:r>
          </w:p>
        </w:tc>
        <w:tc>
          <w:tcPr>
            <w:tcW w:w="869" w:type="dxa"/>
          </w:tcPr>
          <w:p>
            <w:pPr>
              <w:pStyle w:val="TableParagraph"/>
              <w:ind w:left="262"/>
              <w:rPr>
                <w:sz w:val="17"/>
              </w:rPr>
            </w:pPr>
            <w:r>
              <w:rPr>
                <w:color w:val="231F20"/>
                <w:w w:val="110"/>
                <w:sz w:val="17"/>
              </w:rPr>
              <w:t>68,00</w:t>
            </w:r>
          </w:p>
        </w:tc>
        <w:tc>
          <w:tcPr>
            <w:tcW w:w="883" w:type="dxa"/>
            <w:tcBorders>
              <w:right w:val="nil"/>
            </w:tcBorders>
          </w:tcPr>
          <w:p>
            <w:pPr>
              <w:pStyle w:val="TableParagraph"/>
              <w:ind w:left="375"/>
              <w:rPr>
                <w:sz w:val="17"/>
              </w:rPr>
            </w:pPr>
            <w:r>
              <w:rPr>
                <w:color w:val="231F20"/>
                <w:w w:val="110"/>
                <w:sz w:val="17"/>
              </w:rPr>
              <w:t>9,09</w:t>
            </w:r>
          </w:p>
        </w:tc>
      </w:tr>
      <w:tr>
        <w:trPr>
          <w:trHeight w:val="354" w:hRule="exact"/>
        </w:trPr>
        <w:tc>
          <w:tcPr>
            <w:tcW w:w="2395" w:type="dxa"/>
            <w:tcBorders>
              <w:left w:val="nil"/>
            </w:tcBorders>
          </w:tcPr>
          <w:p>
            <w:pPr>
              <w:pStyle w:val="TableParagraph"/>
              <w:ind w:left="113"/>
              <w:rPr>
                <w:sz w:val="17"/>
              </w:rPr>
            </w:pPr>
            <w:r>
              <w:rPr>
                <w:color w:val="231F20"/>
                <w:sz w:val="17"/>
              </w:rPr>
              <w:t>Destete temprano</w:t>
            </w:r>
          </w:p>
        </w:tc>
        <w:tc>
          <w:tcPr>
            <w:tcW w:w="869" w:type="dxa"/>
          </w:tcPr>
          <w:p>
            <w:pPr>
              <w:pStyle w:val="TableParagraph"/>
              <w:ind w:left="262"/>
              <w:rPr>
                <w:sz w:val="17"/>
              </w:rPr>
            </w:pPr>
            <w:r>
              <w:rPr>
                <w:color w:val="231F20"/>
                <w:w w:val="110"/>
                <w:sz w:val="17"/>
              </w:rPr>
              <w:t>88,00</w:t>
            </w:r>
          </w:p>
        </w:tc>
        <w:tc>
          <w:tcPr>
            <w:tcW w:w="883" w:type="dxa"/>
            <w:tcBorders>
              <w:right w:val="nil"/>
            </w:tcBorders>
          </w:tcPr>
          <w:p>
            <w:pPr>
              <w:pStyle w:val="TableParagraph"/>
              <w:ind w:left="279"/>
              <w:rPr>
                <w:sz w:val="17"/>
              </w:rPr>
            </w:pPr>
            <w:r>
              <w:rPr>
                <w:color w:val="231F20"/>
                <w:w w:val="110"/>
                <w:sz w:val="17"/>
              </w:rPr>
              <w:t>50,00</w:t>
            </w:r>
          </w:p>
        </w:tc>
      </w:tr>
      <w:tr>
        <w:trPr>
          <w:trHeight w:val="354" w:hRule="exact"/>
        </w:trPr>
        <w:tc>
          <w:tcPr>
            <w:tcW w:w="2395" w:type="dxa"/>
            <w:tcBorders>
              <w:left w:val="nil"/>
            </w:tcBorders>
          </w:tcPr>
          <w:p>
            <w:pPr>
              <w:pStyle w:val="TableParagraph"/>
              <w:ind w:left="113"/>
              <w:rPr>
                <w:sz w:val="17"/>
              </w:rPr>
            </w:pPr>
            <w:r>
              <w:rPr>
                <w:color w:val="231F20"/>
                <w:sz w:val="17"/>
              </w:rPr>
              <w:t>Engorda intensiva</w:t>
            </w:r>
          </w:p>
        </w:tc>
        <w:tc>
          <w:tcPr>
            <w:tcW w:w="869" w:type="dxa"/>
          </w:tcPr>
          <w:p>
            <w:pPr>
              <w:pStyle w:val="TableParagraph"/>
              <w:ind w:left="361"/>
              <w:rPr>
                <w:sz w:val="17"/>
              </w:rPr>
            </w:pPr>
            <w:r>
              <w:rPr>
                <w:color w:val="231F20"/>
                <w:w w:val="110"/>
                <w:sz w:val="17"/>
              </w:rPr>
              <w:t>8,00</w:t>
            </w:r>
          </w:p>
        </w:tc>
        <w:tc>
          <w:tcPr>
            <w:tcW w:w="883" w:type="dxa"/>
            <w:tcBorders>
              <w:right w:val="nil"/>
            </w:tcBorders>
          </w:tcPr>
          <w:p>
            <w:pPr>
              <w:pStyle w:val="TableParagraph"/>
              <w:ind w:left="375"/>
              <w:rPr>
                <w:sz w:val="17"/>
              </w:rPr>
            </w:pPr>
            <w:r>
              <w:rPr>
                <w:color w:val="231F20"/>
                <w:w w:val="110"/>
                <w:sz w:val="17"/>
              </w:rPr>
              <w:t>0,00</w:t>
            </w:r>
          </w:p>
        </w:tc>
      </w:tr>
      <w:tr>
        <w:trPr>
          <w:trHeight w:val="354" w:hRule="exact"/>
        </w:trPr>
        <w:tc>
          <w:tcPr>
            <w:tcW w:w="2395" w:type="dxa"/>
            <w:tcBorders>
              <w:left w:val="nil"/>
            </w:tcBorders>
          </w:tcPr>
          <w:p>
            <w:pPr>
              <w:pStyle w:val="TableParagraph"/>
              <w:ind w:left="113"/>
              <w:rPr>
                <w:sz w:val="17"/>
              </w:rPr>
            </w:pPr>
            <w:r>
              <w:rPr>
                <w:color w:val="231F20"/>
                <w:sz w:val="17"/>
              </w:rPr>
              <w:t>Elaboración de barbacoa</w:t>
            </w:r>
          </w:p>
        </w:tc>
        <w:tc>
          <w:tcPr>
            <w:tcW w:w="869" w:type="dxa"/>
          </w:tcPr>
          <w:p>
            <w:pPr>
              <w:pStyle w:val="TableParagraph"/>
              <w:ind w:left="269"/>
              <w:rPr>
                <w:sz w:val="17"/>
              </w:rPr>
            </w:pPr>
            <w:r>
              <w:rPr>
                <w:color w:val="231F20"/>
                <w:w w:val="110"/>
                <w:sz w:val="17"/>
              </w:rPr>
              <w:t>16,00</w:t>
            </w:r>
          </w:p>
        </w:tc>
        <w:tc>
          <w:tcPr>
            <w:tcW w:w="883" w:type="dxa"/>
            <w:tcBorders>
              <w:right w:val="nil"/>
            </w:tcBorders>
          </w:tcPr>
          <w:p>
            <w:pPr>
              <w:pStyle w:val="TableParagraph"/>
              <w:ind w:left="375"/>
              <w:rPr>
                <w:sz w:val="17"/>
              </w:rPr>
            </w:pPr>
            <w:r>
              <w:rPr>
                <w:color w:val="231F20"/>
                <w:w w:val="110"/>
                <w:sz w:val="17"/>
              </w:rPr>
              <w:t>9,09</w:t>
            </w:r>
          </w:p>
        </w:tc>
      </w:tr>
      <w:tr>
        <w:trPr>
          <w:trHeight w:val="354" w:hRule="exact"/>
        </w:trPr>
        <w:tc>
          <w:tcPr>
            <w:tcW w:w="2395" w:type="dxa"/>
            <w:tcBorders>
              <w:left w:val="nil"/>
            </w:tcBorders>
          </w:tcPr>
          <w:p>
            <w:pPr>
              <w:pStyle w:val="TableParagraph"/>
              <w:ind w:left="113"/>
              <w:rPr>
                <w:sz w:val="17"/>
              </w:rPr>
            </w:pPr>
            <w:r>
              <w:rPr>
                <w:color w:val="231F20"/>
                <w:w w:val="105"/>
                <w:sz w:val="17"/>
              </w:rPr>
              <w:t>Composta</w:t>
            </w:r>
          </w:p>
        </w:tc>
        <w:tc>
          <w:tcPr>
            <w:tcW w:w="869" w:type="dxa"/>
          </w:tcPr>
          <w:p>
            <w:pPr>
              <w:pStyle w:val="TableParagraph"/>
              <w:ind w:left="269"/>
              <w:rPr>
                <w:sz w:val="17"/>
              </w:rPr>
            </w:pPr>
            <w:r>
              <w:rPr>
                <w:color w:val="231F20"/>
                <w:w w:val="110"/>
                <w:sz w:val="17"/>
              </w:rPr>
              <w:t>16,00</w:t>
            </w:r>
          </w:p>
        </w:tc>
        <w:tc>
          <w:tcPr>
            <w:tcW w:w="883" w:type="dxa"/>
            <w:tcBorders>
              <w:right w:val="nil"/>
            </w:tcBorders>
          </w:tcPr>
          <w:p>
            <w:pPr>
              <w:pStyle w:val="TableParagraph"/>
              <w:ind w:left="375"/>
              <w:rPr>
                <w:sz w:val="17"/>
              </w:rPr>
            </w:pPr>
            <w:r>
              <w:rPr>
                <w:color w:val="231F20"/>
                <w:w w:val="110"/>
                <w:sz w:val="17"/>
              </w:rPr>
              <w:t>9,09</w:t>
            </w:r>
          </w:p>
        </w:tc>
      </w:tr>
    </w:tbl>
    <w:p>
      <w:pPr>
        <w:spacing w:before="146"/>
        <w:ind w:left="413" w:right="0" w:firstLine="0"/>
        <w:jc w:val="both"/>
        <w:rPr>
          <w:sz w:val="16"/>
        </w:rPr>
      </w:pPr>
      <w:r>
        <w:rPr>
          <w:color w:val="231F20"/>
          <w:sz w:val="16"/>
        </w:rPr>
        <w:t>Fuente: elaboración propia.</w:t>
      </w:r>
    </w:p>
    <w:p>
      <w:pPr>
        <w:spacing w:after="0"/>
        <w:jc w:val="both"/>
        <w:rPr>
          <w:sz w:val="16"/>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w w:val="105"/>
          <w:sz w:val="18"/>
        </w:rPr>
        <w:t>Capítulo </w:t>
      </w:r>
      <w:r>
        <w:rPr>
          <w:color w:val="231F20"/>
          <w:spacing w:val="-3"/>
          <w:w w:val="105"/>
          <w:sz w:val="18"/>
        </w:rPr>
        <w:t>12.  </w:t>
      </w:r>
      <w:r>
        <w:rPr>
          <w:color w:val="231F20"/>
          <w:w w:val="105"/>
          <w:sz w:val="18"/>
        </w:rPr>
        <w:t>Innovación tecnológica en sistemas campesinos de </w:t>
      </w:r>
      <w:r>
        <w:rPr>
          <w:color w:val="231F20"/>
          <w:spacing w:val="13"/>
          <w:w w:val="105"/>
          <w:sz w:val="18"/>
        </w:rPr>
        <w:t> </w:t>
      </w:r>
      <w:r>
        <w:rPr>
          <w:color w:val="231F20"/>
          <w:w w:val="105"/>
          <w:sz w:val="18"/>
        </w:rPr>
        <w:t>producción</w:t>
      </w:r>
      <w:r>
        <w:rPr>
          <w:color w:val="231F20"/>
          <w:spacing w:val="5"/>
          <w:w w:val="105"/>
          <w:sz w:val="18"/>
        </w:rPr>
        <w:t> </w:t>
      </w:r>
      <w:r>
        <w:rPr>
          <w:color w:val="231F20"/>
          <w:w w:val="105"/>
          <w:sz w:val="18"/>
        </w:rPr>
        <w:t>ovina...</w:t>
      </w:r>
      <w:r>
        <w:rPr>
          <w:color w:val="231F20"/>
          <w:w w:val="105"/>
          <w:sz w:val="22"/>
        </w:rPr>
        <w:tab/>
      </w:r>
      <w:r>
        <w:rPr>
          <w:color w:val="231F20"/>
          <w:spacing w:val="-3"/>
          <w:w w:val="105"/>
          <w:sz w:val="22"/>
        </w:rPr>
        <w:t>185</w:t>
      </w:r>
    </w:p>
    <w:p>
      <w:pPr>
        <w:spacing w:after="0"/>
        <w:jc w:val="left"/>
        <w:rPr>
          <w:sz w:val="22"/>
        </w:rPr>
        <w:sectPr>
          <w:pgSz w:w="11900" w:h="14450"/>
          <w:pgMar w:header="0" w:footer="222" w:top="420" w:bottom="420" w:left="0" w:right="0"/>
        </w:sectPr>
      </w:pPr>
    </w:p>
    <w:p>
      <w:pPr>
        <w:pStyle w:val="BodyText"/>
        <w:spacing w:line="256" w:lineRule="auto" w:before="345"/>
        <w:ind w:left="1553"/>
        <w:jc w:val="both"/>
      </w:pPr>
      <w:r>
        <w:rPr>
          <w:color w:val="231F20"/>
        </w:rPr>
        <w:t>La información muestra que las fuentes de apren- dizaje de estas innovaciones, tanto para hombres como para mujeres, son en su mayoría un técnico agropecuario. En las mujeres, en el 60% de los ca- sos el conocimiento provino de esta fuente. Sólo   el </w:t>
      </w:r>
      <w:r>
        <w:rPr>
          <w:color w:val="231F20"/>
          <w:spacing w:val="-6"/>
        </w:rPr>
        <w:t>37,5% </w:t>
      </w:r>
      <w:r>
        <w:rPr>
          <w:color w:val="231F20"/>
        </w:rPr>
        <w:t>de las unidades manejadas por hombres declararon a un técnico como fuente de aprendi- zaje. De forma notoria, el 30% de los productores hombres aprenden de otros productores, lo cual sólo ocurre en el 9% de las productoras. Un por- centaje muy bajo de los productores (16,5% para las mujeres y 19,5% para los hombres) manifes-    tó aprender innovaciones por sí mismos (Fig. 1).    El comportamiento de las mujeres, pero no el de los hombres, contrasta con lo reportado por </w:t>
      </w:r>
      <w:r>
        <w:rPr>
          <w:color w:val="231F20"/>
          <w:spacing w:val="-5"/>
        </w:rPr>
        <w:t>Tapia </w:t>
      </w:r>
      <w:r>
        <w:rPr>
          <w:color w:val="231F20"/>
        </w:rPr>
        <w:t>(2002), quien afirma que los servicios de asisten- cia técnica y consultoría por parte de profesionales especializados hacia este tipo de sistemas no ha tenido el éxito esperado, y lo atribuye a una se-   rie de factores como son la falta de profesionalis- mo de los asesores, la falta de cultura empresarial de los agricultores (que no permite visualizar el pago del servicio como una inversión), la desca- pitalización de los agricultores (que imposibilita el pago del servicio) y la baja capacidad de respuesta de</w:t>
      </w:r>
      <w:r>
        <w:rPr>
          <w:color w:val="231F20"/>
          <w:spacing w:val="32"/>
        </w:rPr>
        <w:t> </w:t>
      </w:r>
      <w:r>
        <w:rPr>
          <w:color w:val="231F20"/>
        </w:rPr>
        <w:t>los</w:t>
      </w:r>
      <w:r>
        <w:rPr>
          <w:color w:val="231F20"/>
          <w:spacing w:val="32"/>
        </w:rPr>
        <w:t> </w:t>
      </w:r>
      <w:r>
        <w:rPr>
          <w:color w:val="231F20"/>
        </w:rPr>
        <w:t>asesores</w:t>
      </w:r>
      <w:r>
        <w:rPr>
          <w:color w:val="231F20"/>
          <w:spacing w:val="32"/>
        </w:rPr>
        <w:t> </w:t>
      </w:r>
      <w:r>
        <w:rPr>
          <w:color w:val="231F20"/>
        </w:rPr>
        <w:t>ante</w:t>
      </w:r>
      <w:r>
        <w:rPr>
          <w:color w:val="231F20"/>
          <w:spacing w:val="32"/>
        </w:rPr>
        <w:t> </w:t>
      </w:r>
      <w:r>
        <w:rPr>
          <w:color w:val="231F20"/>
        </w:rPr>
        <w:t>las</w:t>
      </w:r>
      <w:r>
        <w:rPr>
          <w:color w:val="231F20"/>
          <w:spacing w:val="32"/>
        </w:rPr>
        <w:t> </w:t>
      </w:r>
      <w:r>
        <w:rPr>
          <w:color w:val="231F20"/>
        </w:rPr>
        <w:t>expectativas</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agri-</w:t>
      </w:r>
    </w:p>
    <w:p>
      <w:pPr>
        <w:pStyle w:val="BodyText"/>
        <w:spacing w:before="3"/>
        <w:rPr>
          <w:sz w:val="28"/>
        </w:rPr>
      </w:pPr>
      <w:r>
        <w:rPr/>
        <w:br w:type="column"/>
      </w:r>
      <w:r>
        <w:rPr>
          <w:sz w:val="28"/>
        </w:rPr>
      </w:r>
    </w:p>
    <w:p>
      <w:pPr>
        <w:pStyle w:val="BodyText"/>
        <w:spacing w:line="259" w:lineRule="auto"/>
        <w:ind w:left="413" w:right="1551"/>
        <w:jc w:val="both"/>
      </w:pPr>
      <w:r>
        <w:rPr>
          <w:color w:val="231F20"/>
        </w:rPr>
        <w:t>cultores, entre otros. También se ha descrito que los esfuerzos de estos agentes externos tienen efectos sobre una minoría de productores, los pio- neros y los innovadores, quienes en general están más atentos a las novedades (Monge y Hartwich, 2008).</w:t>
      </w:r>
    </w:p>
    <w:p>
      <w:pPr>
        <w:pStyle w:val="BodyText"/>
        <w:spacing w:line="259" w:lineRule="auto" w:before="113"/>
        <w:ind w:left="413" w:right="1551"/>
        <w:jc w:val="both"/>
      </w:pPr>
      <w:r>
        <w:rPr>
          <w:color w:val="231F20"/>
        </w:rPr>
        <w:t>Puede inferirse entonces que los técnicos, como fuente de aprendizaje para las mujeres, constitu- yen un factor de suma importancia en el proceso de innovación tecnológica. Es posible especular  que estas diferencias de género se dan por el he- cho de que existen destrezas y habilidades  que son desarrolladas de manera más concreta por las mujeres. Así mismo, esto explica que sean las mu- jeres las que más innovan en sus sistemas y las   que en mayor medida adoptan mejoras de tipo administrativo, aunque el nivel de innovación sea bajo  (Jafry,</w:t>
      </w:r>
      <w:r>
        <w:rPr>
          <w:color w:val="231F20"/>
          <w:spacing w:val="30"/>
        </w:rPr>
        <w:t> </w:t>
      </w:r>
      <w:r>
        <w:rPr>
          <w:color w:val="231F20"/>
        </w:rPr>
        <w:t>2000).</w:t>
      </w:r>
    </w:p>
    <w:p>
      <w:pPr>
        <w:pStyle w:val="BodyText"/>
        <w:spacing w:line="259" w:lineRule="auto" w:before="113"/>
        <w:ind w:left="413" w:right="1551"/>
        <w:jc w:val="both"/>
      </w:pPr>
      <w:r>
        <w:rPr>
          <w:color w:val="231F20"/>
        </w:rPr>
        <w:t>Las instituciones del sector son poco referidas por los productores, con independencia del género, como fuentes de aprendizaje. Sólo el 3% de los hombres refieren a las instituciones como provee- doras de aprendizaje. Este hecho pone de mani- fiesto, como en muchos otros casos, una notoria ausencia de las instituciones en el  acompañamien-</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9"/>
        <w:rPr>
          <w:sz w:val="15"/>
        </w:rPr>
      </w:pPr>
    </w:p>
    <w:p>
      <w:pPr>
        <w:pStyle w:val="BodyText"/>
        <w:ind w:left="2837"/>
      </w:pPr>
      <w:r>
        <w:rPr/>
        <w:pict>
          <v:group style="width:293.150pt;height:176.15pt;mso-position-horizontal-relative:char;mso-position-vertical-relative:line" coordorigin="0,0" coordsize="5863,3523">
            <v:shape style="position:absolute;left:913;top:188;width:3949;height:2077" type="#_x0000_t75" stroked="false">
              <v:imagedata r:id="rId336" o:title=""/>
            </v:shape>
            <v:line style="position:absolute" from="942,2238" to="890,2238" stroked="true" strokeweight=".609353pt" strokecolor="#858585"/>
            <v:line style="position:absolute" from="942,1966" to="890,1966" stroked="true" strokeweight=".609353pt" strokecolor="#858585"/>
            <v:line style="position:absolute" from="942,1693" to="890,1693" stroked="true" strokeweight=".609353pt" strokecolor="#858585"/>
            <v:line style="position:absolute" from="942,1422" to="890,1422" stroked="true" strokeweight=".609353pt" strokecolor="#858585"/>
            <v:line style="position:absolute" from="942,1149" to="890,1149" stroked="true" strokeweight=".609353pt" strokecolor="#858585"/>
            <v:line style="position:absolute" from="942,878" to="890,878" stroked="true" strokeweight=".609353pt" strokecolor="#858585"/>
            <v:line style="position:absolute" from="942,605" to="890,605" stroked="true" strokeweight=".609353pt" strokecolor="#858585"/>
            <v:line style="position:absolute" from="942,332" to="890,332" stroked="true" strokeweight=".609353pt" strokecolor="#858585"/>
            <v:shape style="position:absolute;left:4916;top:1557;width:710;height:134" type="#_x0000_t75" stroked="false">
              <v:imagedata r:id="rId337" o:title=""/>
            </v:shape>
            <v:shape style="position:absolute;left:4916;top:1846;width:768;height:111" type="#_x0000_t75" stroked="false">
              <v:imagedata r:id="rId338" o:title=""/>
            </v:shape>
            <v:shape style="position:absolute;left:714;top:2191;width:71;height:106" coordorigin="714,2191" coordsize="71,106" path="m757,2191l744,2191,738,2192,729,2197,725,2201,720,2210,717,2216,715,2229,714,2234,714,2252,715,2259,717,2272,719,2278,724,2287,728,2290,737,2295,742,2296,755,2296,761,2295,770,2290,774,2286,775,2285,746,2285,742,2284,737,2281,735,2279,731,2272,730,2267,729,2257,728,2252,728,2234,729,2232,730,2222,731,2217,734,2210,736,2207,742,2203,745,2202,776,2202,775,2200,771,2196,763,2192,757,2191xm776,2202l752,2202,755,2202,759,2203,761,2204,764,2207,765,2209,767,2214,768,2216,770,2223,770,2226,771,2234,771,2252,771,2258,770,2262,769,2268,768,2270,766,2275,765,2278,761,2281,759,2282,755,2284,752,2285,775,2285,780,2277,782,2271,784,2258,785,2252,785,2234,784,2227,782,2214,780,2209,776,2202xe" filled="true" fillcolor="#000000" stroked="false">
              <v:path arrowok="t"/>
              <v:fill type="solid"/>
            </v:shape>
            <v:shape style="position:absolute;left:641;top:1918;width:144;height:105" type="#_x0000_t75" stroked="false">
              <v:imagedata r:id="rId339" o:title=""/>
            </v:shape>
            <v:shape style="position:absolute;left:636;top:1646;width:149;height:105" type="#_x0000_t75" stroked="false">
              <v:imagedata r:id="rId340" o:title=""/>
            </v:shape>
            <v:shape style="position:absolute;left:635;top:1374;width:150;height:105" type="#_x0000_t75" stroked="false">
              <v:imagedata r:id="rId341" o:title=""/>
            </v:shape>
            <v:shape style="position:absolute;left:631;top:1101;width:154;height:105" type="#_x0000_t75" stroked="false">
              <v:imagedata r:id="rId342" o:title=""/>
            </v:shape>
            <v:shape style="position:absolute;left:635;top:829;width:150;height:105" type="#_x0000_t75" stroked="false">
              <v:imagedata r:id="rId343" o:title=""/>
            </v:shape>
            <v:shape style="position:absolute;left:635;top:557;width:150;height:105" type="#_x0000_t75" stroked="false">
              <v:imagedata r:id="rId344" o:title=""/>
            </v:shape>
            <v:shape style="position:absolute;left:635;top:285;width:150;height:105" type="#_x0000_t75" stroked="false">
              <v:imagedata r:id="rId345" o:title=""/>
            </v:shape>
            <v:shape style="position:absolute;left:488;top:2403;width:2337;height:736" type="#_x0000_t75" stroked="false">
              <v:imagedata r:id="rId346" o:title=""/>
            </v:shape>
            <v:shape style="position:absolute;left:2956;top:2402;width:1485;height:557" type="#_x0000_t75" stroked="false">
              <v:imagedata r:id="rId347" o:title=""/>
            </v:shape>
            <v:shape style="position:absolute;left:428;top:1234;width:108;height:109" type="#_x0000_t75" stroked="false">
              <v:imagedata r:id="rId348" o:title=""/>
            </v:shape>
            <v:shape style="position:absolute;left:2064;top:3294;width:451;height:104" type="#_x0000_t75" stroked="false">
              <v:imagedata r:id="rId349" o:title=""/>
            </v:shape>
            <v:shape style="position:absolute;left:2561;top:3286;width:157;height:112" type="#_x0000_t75" stroked="false">
              <v:imagedata r:id="rId350" o:title=""/>
            </v:shape>
            <v:shape style="position:absolute;left:2763;top:3286;width:798;height:139" type="#_x0000_t75" stroked="false">
              <v:imagedata r:id="rId351" o:title=""/>
            </v:shape>
            <v:rect style="position:absolute;left:6;top:6;width:5850;height:3510" filled="false" stroked="true" strokeweight=".609353pt" strokecolor="#858585"/>
          </v:group>
        </w:pict>
      </w:r>
      <w:r>
        <w:rPr/>
      </w:r>
    </w:p>
    <w:p>
      <w:pPr>
        <w:spacing w:before="123"/>
        <w:ind w:left="2573" w:right="2503" w:firstLine="0"/>
        <w:jc w:val="left"/>
        <w:rPr>
          <w:sz w:val="18"/>
        </w:rPr>
      </w:pPr>
      <w:r>
        <w:rPr>
          <w:color w:val="231F20"/>
          <w:sz w:val="18"/>
        </w:rPr>
        <w:t>Figura 1.       Fuentes de aprendizaje de las/los productoras/es. (Fuente: elaboración propia.)</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186</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footerReference w:type="default" r:id="rId352"/>
          <w:pgSz w:w="11900" w:h="14450"/>
          <w:pgMar w:footer="1496" w:header="0" w:top="420" w:bottom="1680" w:left="0" w:right="0"/>
        </w:sectPr>
      </w:pPr>
    </w:p>
    <w:p>
      <w:pPr>
        <w:pStyle w:val="BodyText"/>
        <w:spacing w:line="256" w:lineRule="auto" w:before="67"/>
        <w:ind w:left="1553"/>
        <w:jc w:val="both"/>
      </w:pPr>
      <w:r>
        <w:rPr>
          <w:color w:val="231F20"/>
        </w:rPr>
        <w:t>to del proceso de desarrollo (Fig. 1). La pobre vinculación entre las instituciones y el sector pro- ductivo denota que la transferencia de tecnología sigue esquemas lineales, como ha descrito </w:t>
      </w:r>
      <w:r>
        <w:rPr>
          <w:color w:val="231F20"/>
          <w:spacing w:val="-7"/>
        </w:rPr>
        <w:t>Tapia </w:t>
      </w:r>
      <w:r>
        <w:rPr>
          <w:color w:val="231F20"/>
          <w:spacing w:val="-3"/>
        </w:rPr>
        <w:t>(2002), </w:t>
      </w:r>
      <w:r>
        <w:rPr>
          <w:color w:val="231F20"/>
        </w:rPr>
        <w:t>en la experiencia del </w:t>
      </w:r>
      <w:r>
        <w:rPr>
          <w:color w:val="231F20"/>
          <w:spacing w:val="-5"/>
        </w:rPr>
        <w:t>INIFAP, </w:t>
      </w:r>
      <w:r>
        <w:rPr>
          <w:color w:val="231F20"/>
        </w:rPr>
        <w:t>al identificar tres grandes aspectos: la demanda tecnológica, la investigación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transferencia</w:t>
      </w:r>
      <w:r>
        <w:rPr>
          <w:color w:val="231F20"/>
          <w:spacing w:val="-8"/>
        </w:rPr>
        <w:t> </w:t>
      </w:r>
      <w:r>
        <w:rPr>
          <w:color w:val="231F20"/>
        </w:rPr>
        <w:t>de</w:t>
      </w:r>
      <w:r>
        <w:rPr>
          <w:color w:val="231F20"/>
          <w:spacing w:val="-8"/>
        </w:rPr>
        <w:t> </w:t>
      </w:r>
      <w:r>
        <w:rPr>
          <w:color w:val="231F20"/>
        </w:rPr>
        <w:t>tecnología,</w:t>
      </w:r>
      <w:r>
        <w:rPr>
          <w:color w:val="231F20"/>
          <w:spacing w:val="-8"/>
        </w:rPr>
        <w:t> </w:t>
      </w:r>
      <w:r>
        <w:rPr>
          <w:color w:val="231F20"/>
        </w:rPr>
        <w:t>en</w:t>
      </w:r>
      <w:r>
        <w:rPr>
          <w:color w:val="231F20"/>
          <w:spacing w:val="-8"/>
        </w:rPr>
        <w:t> </w:t>
      </w:r>
      <w:r>
        <w:rPr>
          <w:color w:val="231F20"/>
          <w:spacing w:val="-2"/>
        </w:rPr>
        <w:t>los </w:t>
      </w:r>
      <w:r>
        <w:rPr>
          <w:color w:val="231F20"/>
        </w:rPr>
        <w:t>cuales se busca transmitir el conocimiento en un paquete tecnológico más que el aprovechamiento de los sistemas de producción (Monge y Hartwich, </w:t>
      </w:r>
      <w:r>
        <w:rPr>
          <w:color w:val="231F20"/>
          <w:spacing w:val="-3"/>
        </w:rPr>
        <w:t>2008).</w:t>
      </w:r>
    </w:p>
    <w:p>
      <w:pPr>
        <w:pStyle w:val="BodyText"/>
      </w:pPr>
    </w:p>
    <w:p>
      <w:pPr>
        <w:pStyle w:val="BodyText"/>
        <w:spacing w:line="256" w:lineRule="auto" w:before="152"/>
        <w:ind w:left="1553" w:right="849"/>
      </w:pPr>
      <w:r>
        <w:rPr>
          <w:color w:val="231F20"/>
          <w:w w:val="110"/>
        </w:rPr>
        <w:t>CAPITAL SOCIAL Y TRANSFERENCIA DE TECNOLOGÍA: EL CASO  DE</w:t>
      </w:r>
    </w:p>
    <w:p>
      <w:pPr>
        <w:pStyle w:val="BodyText"/>
        <w:spacing w:line="244" w:lineRule="exact"/>
        <w:ind w:left="1553"/>
        <w:jc w:val="both"/>
      </w:pPr>
      <w:r>
        <w:rPr>
          <w:color w:val="231F20"/>
          <w:w w:val="110"/>
        </w:rPr>
        <w:t>LA OVINOCULTURA EN MICHOACÁN</w:t>
      </w:r>
    </w:p>
    <w:p>
      <w:pPr>
        <w:pStyle w:val="BodyText"/>
        <w:spacing w:line="256" w:lineRule="auto" w:before="130"/>
        <w:ind w:left="1553"/>
        <w:jc w:val="both"/>
      </w:pPr>
      <w:r>
        <w:rPr>
          <w:color w:val="231F20"/>
        </w:rPr>
        <w:t>En un estudio de caso realizado por Perea </w:t>
      </w:r>
      <w:r>
        <w:rPr>
          <w:i/>
          <w:color w:val="231F20"/>
        </w:rPr>
        <w:t>et al</w:t>
      </w:r>
      <w:r>
        <w:rPr>
          <w:color w:val="231F20"/>
        </w:rPr>
        <w:t>. (2008) con el objeto de contribuir al entendimien- to de los procesos de innovación tecnológica apli- cada a los sistemas campesinos en el Estado de Michoacán, utilizando un enfoque teórico-práctico para determinar la influencia del capital social a través de las relaciones  sociales  y  el  género  en el proceso de innovación tecnológica,  el  análisis de  las  redes  sociales  mostró  que,  en  el  caso</w:t>
      </w:r>
      <w:r>
        <w:rPr>
          <w:color w:val="231F20"/>
          <w:spacing w:val="20"/>
        </w:rPr>
        <w:t> </w:t>
      </w:r>
      <w:r>
        <w:rPr>
          <w:color w:val="231F20"/>
        </w:rPr>
        <w:t>de</w:t>
      </w:r>
    </w:p>
    <w:p>
      <w:pPr>
        <w:pStyle w:val="BodyText"/>
        <w:spacing w:line="256" w:lineRule="auto" w:before="67"/>
        <w:ind w:left="412" w:right="1551"/>
        <w:jc w:val="both"/>
      </w:pPr>
      <w:r>
        <w:rPr/>
        <w:br w:type="column"/>
      </w:r>
      <w:r>
        <w:rPr>
          <w:color w:val="231F20"/>
        </w:rPr>
        <w:t>las mujeres, existe una red de </w:t>
      </w:r>
      <w:r>
        <w:rPr>
          <w:color w:val="231F20"/>
          <w:spacing w:val="-5"/>
        </w:rPr>
        <w:t>135 </w:t>
      </w:r>
      <w:r>
        <w:rPr>
          <w:color w:val="231F20"/>
        </w:rPr>
        <w:t>nodos a partir  de 25 productoras, lo cual se interpreta como una densidad baja (3,39%). Esto se explica por el re- ducido número de relaciones de las productoras  en promedio. Cada productora cuenta con cuatro grados de entrada y </w:t>
      </w:r>
      <w:r>
        <w:rPr>
          <w:color w:val="231F20"/>
          <w:spacing w:val="-5"/>
        </w:rPr>
        <w:t>11 </w:t>
      </w:r>
      <w:r>
        <w:rPr>
          <w:color w:val="231F20"/>
        </w:rPr>
        <w:t>grados de salida (los gra- dos de entrada se indican por el número de rela- ciones que un productor tiene al ser referido por otro productor, y los grados de salida hacen men- ción al número de relaciones expresadas por el productor). La centralidad, que expresa la concen- tración de relaciones de los nodos con respecto a  la red, es del 22,5%, lo que indica que los flujos    de información se encuentran concentrados en pocas mujeres, lo que resulta en que son sólo tres mujeres las que difunden información al 92% de    la red. Lo anterior demuestra la posible facilidad  de introducir innovaciones e información al inte- rior de una red de esta naturaleza, pero también expone el riesgo que existe al depender para ello de sólo tres personas. En la Figura 2 se aprecian   las relaciones de las productoras, el número de innovaciones que aplican (tamaño del nodo) y el potencial de difusión en la red (92%) de tres pro- ductoras  (nodo</w:t>
      </w:r>
      <w:r>
        <w:rPr>
          <w:color w:val="231F20"/>
          <w:spacing w:val="19"/>
        </w:rPr>
        <w:t> </w:t>
      </w:r>
      <w:r>
        <w:rPr>
          <w:color w:val="231F20"/>
        </w:rPr>
        <w:t>cuadrado).</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rPr>
          <w:sz w:val="21"/>
        </w:rPr>
      </w:pPr>
    </w:p>
    <w:p>
      <w:pPr>
        <w:pStyle w:val="BodyText"/>
        <w:ind w:left="2859"/>
      </w:pPr>
      <w:r>
        <w:rPr/>
        <w:drawing>
          <wp:inline distT="0" distB="0" distL="0" distR="0">
            <wp:extent cx="3943350" cy="2232374"/>
            <wp:effectExtent l="0" t="0" r="0" b="0"/>
            <wp:docPr id="173" name="image273.png" descr=""/>
            <wp:cNvGraphicFramePr>
              <a:graphicFrameLocks noChangeAspect="1"/>
            </wp:cNvGraphicFramePr>
            <a:graphic>
              <a:graphicData uri="http://schemas.openxmlformats.org/drawingml/2006/picture">
                <pic:pic>
                  <pic:nvPicPr>
                    <pic:cNvPr id="174" name="image273.png"/>
                    <pic:cNvPicPr/>
                  </pic:nvPicPr>
                  <pic:blipFill>
                    <a:blip r:embed="rId353" cstate="print"/>
                    <a:stretch>
                      <a:fillRect/>
                    </a:stretch>
                  </pic:blipFill>
                  <pic:spPr>
                    <a:xfrm>
                      <a:off x="0" y="0"/>
                      <a:ext cx="3943350" cy="2232374"/>
                    </a:xfrm>
                    <a:prstGeom prst="rect">
                      <a:avLst/>
                    </a:prstGeom>
                  </pic:spPr>
                </pic:pic>
              </a:graphicData>
            </a:graphic>
          </wp:inline>
        </w:drawing>
      </w:r>
      <w:r>
        <w:rPr/>
      </w:r>
    </w:p>
    <w:p>
      <w:pPr>
        <w:spacing w:before="128"/>
        <w:ind w:left="1553" w:right="0" w:firstLine="0"/>
        <w:jc w:val="left"/>
        <w:rPr>
          <w:sz w:val="18"/>
        </w:rPr>
      </w:pPr>
      <w:r>
        <w:rPr>
          <w:color w:val="231F20"/>
          <w:sz w:val="18"/>
        </w:rPr>
        <w:t>Figura  2.   Red de mujeres (nodos blancos) y sus relaciones con agentes externos (nodos negros). (Fuente:   elaboración</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w w:val="105"/>
          <w:sz w:val="18"/>
        </w:rPr>
        <w:t>Capítulo </w:t>
      </w:r>
      <w:r>
        <w:rPr>
          <w:color w:val="231F20"/>
          <w:spacing w:val="-3"/>
          <w:w w:val="105"/>
          <w:sz w:val="18"/>
        </w:rPr>
        <w:t>12.  </w:t>
      </w:r>
      <w:r>
        <w:rPr>
          <w:color w:val="231F20"/>
          <w:w w:val="105"/>
          <w:sz w:val="18"/>
        </w:rPr>
        <w:t>Innovación tecnológica en sistemas campesinos de </w:t>
      </w:r>
      <w:r>
        <w:rPr>
          <w:color w:val="231F20"/>
          <w:spacing w:val="13"/>
          <w:w w:val="105"/>
          <w:sz w:val="18"/>
        </w:rPr>
        <w:t> </w:t>
      </w:r>
      <w:r>
        <w:rPr>
          <w:color w:val="231F20"/>
          <w:w w:val="105"/>
          <w:sz w:val="18"/>
        </w:rPr>
        <w:t>producción</w:t>
      </w:r>
      <w:r>
        <w:rPr>
          <w:color w:val="231F20"/>
          <w:spacing w:val="5"/>
          <w:w w:val="105"/>
          <w:sz w:val="18"/>
        </w:rPr>
        <w:t> </w:t>
      </w:r>
      <w:r>
        <w:rPr>
          <w:color w:val="231F20"/>
          <w:w w:val="105"/>
          <w:sz w:val="18"/>
        </w:rPr>
        <w:t>ovina...</w:t>
      </w:r>
      <w:r>
        <w:rPr>
          <w:color w:val="231F20"/>
          <w:w w:val="105"/>
          <w:sz w:val="22"/>
        </w:rPr>
        <w:tab/>
      </w:r>
      <w:r>
        <w:rPr>
          <w:color w:val="231F20"/>
          <w:spacing w:val="-9"/>
          <w:w w:val="105"/>
          <w:sz w:val="22"/>
        </w:rPr>
        <w:t>187</w:t>
      </w:r>
    </w:p>
    <w:p>
      <w:pPr>
        <w:spacing w:after="0"/>
        <w:jc w:val="left"/>
        <w:rPr>
          <w:sz w:val="22"/>
        </w:rPr>
        <w:sectPr>
          <w:pgSz w:w="11900" w:h="14450"/>
          <w:pgMar w:header="0" w:footer="1496" w:top="420" w:bottom="1680" w:left="0" w:right="0"/>
        </w:sectPr>
      </w:pPr>
    </w:p>
    <w:p>
      <w:pPr>
        <w:pStyle w:val="BodyText"/>
        <w:spacing w:line="264" w:lineRule="auto" w:before="345"/>
        <w:ind w:left="1553"/>
        <w:jc w:val="both"/>
      </w:pPr>
      <w:r>
        <w:rPr>
          <w:color w:val="231F20"/>
        </w:rPr>
        <w:t>En la red social puede distinguirse que las mujeres interactúan con otras productoras, y que muchos de los agentes externos son compartidos por ellas, lo cual es un indicio de que la información que fluye al interior de la red probablemente es más homogénea en el sentido de que sus fuentes son las mismas (Fig. 2). Lo antes descrito puede expli- carse a partir del hecho de que las redes sociales informales son importantes para la diseminación de innovaciones, incluyendo nuevos animales (mejoramiento animal) y nuevas prácticas en las formas de producir (Pandolfelli </w:t>
      </w:r>
      <w:r>
        <w:rPr>
          <w:i/>
          <w:color w:val="231F20"/>
        </w:rPr>
        <w:t>et al.</w:t>
      </w:r>
      <w:r>
        <w:rPr>
          <w:color w:val="231F20"/>
        </w:rPr>
        <w:t>,  </w:t>
      </w:r>
      <w:r>
        <w:rPr>
          <w:color w:val="231F20"/>
          <w:spacing w:val="41"/>
        </w:rPr>
        <w:t> </w:t>
      </w:r>
      <w:r>
        <w:rPr>
          <w:color w:val="231F20"/>
        </w:rPr>
        <w:t>2008).</w:t>
      </w:r>
    </w:p>
    <w:p>
      <w:pPr>
        <w:pStyle w:val="BodyText"/>
        <w:spacing w:line="264" w:lineRule="auto" w:before="112"/>
        <w:ind w:left="1553"/>
        <w:jc w:val="both"/>
      </w:pPr>
      <w:r>
        <w:rPr>
          <w:color w:val="231F20"/>
        </w:rPr>
        <w:t>Comparada con la red de mujeres, la red social conformada por los hombres es más pequeña: consta de </w:t>
      </w:r>
      <w:r>
        <w:rPr>
          <w:color w:val="231F20"/>
          <w:spacing w:val="-6"/>
        </w:rPr>
        <w:t>110 </w:t>
      </w:r>
      <w:r>
        <w:rPr>
          <w:color w:val="231F20"/>
        </w:rPr>
        <w:t>nodos, con 22 productores, una densidad del 2,33% y una centralidad del </w:t>
      </w:r>
      <w:r>
        <w:rPr>
          <w:color w:val="231F20"/>
          <w:spacing w:val="-6"/>
        </w:rPr>
        <w:t>17,34%. </w:t>
      </w:r>
      <w:r>
        <w:rPr>
          <w:color w:val="231F20"/>
        </w:rPr>
        <w:t>En promedio, los grados de entrada y salida para los productores son de uno y seis, respectiva- mente, lo que indica que existe un bajo flujo de información hacia el interior de la red. Aunado a   lo anterior, las relaciones están condicionadas a la formación de grupos constituidos por un produc- tor y sus agentes externos, con poca relación con otros productores y compartiendo pocos   </w:t>
      </w:r>
      <w:r>
        <w:rPr>
          <w:color w:val="231F20"/>
          <w:spacing w:val="22"/>
        </w:rPr>
        <w:t> </w:t>
      </w:r>
      <w:r>
        <w:rPr>
          <w:color w:val="231F20"/>
        </w:rPr>
        <w:t>agentes</w:t>
      </w:r>
    </w:p>
    <w:p>
      <w:pPr>
        <w:pStyle w:val="BodyText"/>
        <w:spacing w:line="264" w:lineRule="auto" w:before="345"/>
        <w:ind w:left="413" w:right="1551"/>
        <w:jc w:val="both"/>
      </w:pPr>
      <w:r>
        <w:rPr/>
        <w:br w:type="column"/>
      </w:r>
      <w:r>
        <w:rPr>
          <w:color w:val="231F20"/>
        </w:rPr>
        <w:t>externos. Probablemente la información es hetero- génea, puesto que son necesarios nueve produc- tores (nodos cuadrados en la Figura 3) para lograr difundirla al 91,08% de la red. Con esta evidencia puede afirmarse que los hombres tienden a for- mar grupos que se relacionan con agentes exter- nos de manera particular, esto es, cada productor mantiene sus relaciones, pero no muchos de los actores externos son “compartidos” con otros pro- ductores.</w:t>
      </w:r>
    </w:p>
    <w:p>
      <w:pPr>
        <w:pStyle w:val="BodyText"/>
        <w:spacing w:line="264" w:lineRule="auto" w:before="112"/>
        <w:ind w:left="413" w:right="1551"/>
        <w:jc w:val="both"/>
      </w:pPr>
      <w:r>
        <w:rPr>
          <w:color w:val="231F20"/>
        </w:rPr>
        <w:t>La formación de grupos de productores puede deberse a que, como ya se mencionó, son los hombres quienes desarrollan una actividad com- plementaria a sus ingresos económicos, que pue- de ser local o de naturaleza regional (migración a otros Estados) e incluso internacional (migración temporal a otros países). Davis y Winters (2008) han documentado que en los ejidos y el  medio rural en general son los hombres, en comparación con las mujeres y los jóvenes, quienes se alejan    de las familias para migrar y obtener otros ingresos económicos que ayuden a solventar la economía familiar, lo cual implica la ausencia de un impor- tante</w:t>
      </w:r>
      <w:r>
        <w:rPr>
          <w:color w:val="231F20"/>
          <w:spacing w:val="29"/>
        </w:rPr>
        <w:t> </w:t>
      </w:r>
      <w:r>
        <w:rPr>
          <w:color w:val="231F20"/>
        </w:rPr>
        <w:t>miembro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familia,</w:t>
      </w:r>
      <w:r>
        <w:rPr>
          <w:color w:val="231F20"/>
          <w:spacing w:val="29"/>
        </w:rPr>
        <w:t> </w:t>
      </w:r>
      <w:r>
        <w:rPr>
          <w:color w:val="231F20"/>
        </w:rPr>
        <w:t>dejando</w:t>
      </w:r>
      <w:r>
        <w:rPr>
          <w:color w:val="231F20"/>
          <w:spacing w:val="29"/>
        </w:rPr>
        <w:t> </w:t>
      </w:r>
      <w:r>
        <w:rPr>
          <w:color w:val="231F20"/>
        </w:rPr>
        <w:t>la</w:t>
      </w:r>
      <w:r>
        <w:rPr>
          <w:color w:val="231F20"/>
          <w:spacing w:val="29"/>
        </w:rPr>
        <w:t> </w:t>
      </w:r>
      <w:r>
        <w:rPr>
          <w:color w:val="231F20"/>
        </w:rPr>
        <w:t>toma</w:t>
      </w:r>
      <w:r>
        <w:rPr>
          <w:color w:val="231F20"/>
          <w:spacing w:val="29"/>
        </w:rPr>
        <w:t> </w:t>
      </w:r>
      <w:r>
        <w:rPr>
          <w:color w:val="231F20"/>
        </w:rPr>
        <w:t>de</w:t>
      </w:r>
    </w:p>
    <w:p>
      <w:pPr>
        <w:spacing w:after="0" w:line="264" w:lineRule="auto"/>
        <w:jc w:val="both"/>
        <w:sectPr>
          <w:type w:val="continuous"/>
          <w:pgSz w:w="11900" w:h="14450"/>
          <w:pgMar w:top="420" w:bottom="420" w:left="0" w:right="0"/>
          <w:cols w:num="2" w:equalWidth="0">
            <w:col w:w="5722" w:space="40"/>
            <w:col w:w="6138"/>
          </w:cols>
        </w:sectPr>
      </w:pPr>
    </w:p>
    <w:p>
      <w:pPr>
        <w:pStyle w:val="BodyText"/>
      </w:pPr>
    </w:p>
    <w:p>
      <w:pPr>
        <w:pStyle w:val="BodyText"/>
        <w:spacing w:after="1"/>
      </w:pPr>
    </w:p>
    <w:p>
      <w:pPr>
        <w:pStyle w:val="BodyText"/>
        <w:ind w:left="2794"/>
      </w:pPr>
      <w:r>
        <w:rPr/>
        <w:drawing>
          <wp:inline distT="0" distB="0" distL="0" distR="0">
            <wp:extent cx="4066032" cy="2254281"/>
            <wp:effectExtent l="0" t="0" r="0" b="0"/>
            <wp:docPr id="175" name="image274.png" descr=""/>
            <wp:cNvGraphicFramePr>
              <a:graphicFrameLocks noChangeAspect="1"/>
            </wp:cNvGraphicFramePr>
            <a:graphic>
              <a:graphicData uri="http://schemas.openxmlformats.org/drawingml/2006/picture">
                <pic:pic>
                  <pic:nvPicPr>
                    <pic:cNvPr id="176" name="image274.png"/>
                    <pic:cNvPicPr/>
                  </pic:nvPicPr>
                  <pic:blipFill>
                    <a:blip r:embed="rId354" cstate="print"/>
                    <a:stretch>
                      <a:fillRect/>
                    </a:stretch>
                  </pic:blipFill>
                  <pic:spPr>
                    <a:xfrm>
                      <a:off x="0" y="0"/>
                      <a:ext cx="4066032" cy="2254281"/>
                    </a:xfrm>
                    <a:prstGeom prst="rect">
                      <a:avLst/>
                    </a:prstGeom>
                  </pic:spPr>
                </pic:pic>
              </a:graphicData>
            </a:graphic>
          </wp:inline>
        </w:drawing>
      </w:r>
      <w:r>
        <w:rPr/>
      </w:r>
    </w:p>
    <w:p>
      <w:pPr>
        <w:spacing w:before="93"/>
        <w:ind w:left="1553" w:right="0" w:firstLine="0"/>
        <w:jc w:val="left"/>
        <w:rPr>
          <w:sz w:val="18"/>
        </w:rPr>
      </w:pPr>
      <w:r>
        <w:rPr>
          <w:color w:val="231F20"/>
          <w:w w:val="105"/>
          <w:sz w:val="18"/>
        </w:rPr>
        <w:t>Figura 3. Red de hombres(nodos blancos) y sus relaciones con agentes externos (nodos negros). (Fuente: elaboración</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188</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footerReference w:type="default" r:id="rId355"/>
          <w:pgSz w:w="11900" w:h="14450"/>
          <w:pgMar w:footer="222" w:header="0" w:top="420" w:bottom="420" w:left="0" w:right="0"/>
        </w:sectPr>
      </w:pPr>
    </w:p>
    <w:p>
      <w:pPr>
        <w:pStyle w:val="BodyText"/>
        <w:spacing w:line="256" w:lineRule="auto" w:before="67"/>
        <w:ind w:left="1553"/>
        <w:jc w:val="both"/>
      </w:pPr>
      <w:r>
        <w:rPr>
          <w:color w:val="231F20"/>
        </w:rPr>
        <w:t>decisiones y el sistema de producción bajo la responsabilidad de la mujer, que asume el cono- cimiento pleno del sistema y  de  sus  problemas. Lo anterior implica, en el caso de las unidades manejadas por hombres, que las pocas relaciones sociales y el menor tiempo dedicado a la actividad lleven al desconocimiento de los problemas de </w:t>
      </w:r>
      <w:r>
        <w:rPr>
          <w:color w:val="231F20"/>
          <w:spacing w:val="-2"/>
        </w:rPr>
        <w:t>los </w:t>
      </w:r>
      <w:r>
        <w:rPr>
          <w:color w:val="231F20"/>
        </w:rPr>
        <w:t>sistemas ovinos, y es probable que los producto- res busquen compensar la falta de conocimientos con la observación rápida de los procesos produc- tivos que se dan en otros sistemas con diferentes condiciones. Sin embargo, estas  observaciones  y su posterior aplicación mediante la imitación no siempre tienen un resultado positivo, por lo que</w:t>
      </w:r>
      <w:r>
        <w:rPr>
          <w:color w:val="231F20"/>
          <w:spacing w:val="-17"/>
        </w:rPr>
        <w:t> </w:t>
      </w:r>
      <w:r>
        <w:rPr>
          <w:color w:val="231F20"/>
          <w:spacing w:val="-2"/>
        </w:rPr>
        <w:t>los </w:t>
      </w:r>
      <w:r>
        <w:rPr>
          <w:color w:val="231F20"/>
        </w:rPr>
        <w:t>productores</w:t>
      </w:r>
      <w:r>
        <w:rPr>
          <w:color w:val="231F20"/>
          <w:spacing w:val="-11"/>
        </w:rPr>
        <w:t> </w:t>
      </w:r>
      <w:r>
        <w:rPr>
          <w:color w:val="231F20"/>
        </w:rPr>
        <w:t>tienden</w:t>
      </w:r>
      <w:r>
        <w:rPr>
          <w:color w:val="231F20"/>
          <w:spacing w:val="-11"/>
        </w:rPr>
        <w:t> </w:t>
      </w:r>
      <w:r>
        <w:rPr>
          <w:color w:val="231F20"/>
        </w:rPr>
        <w:t>a</w:t>
      </w:r>
      <w:r>
        <w:rPr>
          <w:color w:val="231F20"/>
          <w:spacing w:val="-11"/>
        </w:rPr>
        <w:t> </w:t>
      </w:r>
      <w:r>
        <w:rPr>
          <w:color w:val="231F20"/>
        </w:rPr>
        <w:t>desestimar</w:t>
      </w:r>
      <w:r>
        <w:rPr>
          <w:color w:val="231F20"/>
          <w:spacing w:val="-11"/>
        </w:rPr>
        <w:t> </w:t>
      </w:r>
      <w:r>
        <w:rPr>
          <w:color w:val="231F20"/>
        </w:rPr>
        <w:t>la</w:t>
      </w:r>
      <w:r>
        <w:rPr>
          <w:color w:val="231F20"/>
          <w:spacing w:val="-11"/>
        </w:rPr>
        <w:t> </w:t>
      </w:r>
      <w:r>
        <w:rPr>
          <w:color w:val="231F20"/>
        </w:rPr>
        <w:t>innovación</w:t>
      </w:r>
      <w:r>
        <w:rPr>
          <w:color w:val="231F20"/>
          <w:spacing w:val="-11"/>
        </w:rPr>
        <w:t> </w:t>
      </w:r>
      <w:r>
        <w:rPr>
          <w:color w:val="231F20"/>
        </w:rPr>
        <w:t>tec- nológica. Lo anterior se apoya en el hecho de </w:t>
      </w:r>
      <w:r>
        <w:rPr>
          <w:color w:val="231F20"/>
          <w:spacing w:val="-2"/>
        </w:rPr>
        <w:t>que </w:t>
      </w:r>
      <w:r>
        <w:rPr>
          <w:color w:val="231F20"/>
        </w:rPr>
        <w:t>el </w:t>
      </w:r>
      <w:r>
        <w:rPr>
          <w:color w:val="231F20"/>
          <w:spacing w:val="-5"/>
        </w:rPr>
        <w:t>18% </w:t>
      </w:r>
      <w:r>
        <w:rPr>
          <w:color w:val="231F20"/>
        </w:rPr>
        <w:t>de los hombres refieren aprender de ellos mismos, probablemente a partir de observaciones de otros sistemas, pero éstas no necesariamente son observaciones detalladas que permiten</w:t>
      </w:r>
      <w:r>
        <w:rPr>
          <w:color w:val="231F20"/>
          <w:spacing w:val="-23"/>
        </w:rPr>
        <w:t> </w:t>
      </w:r>
      <w:r>
        <w:rPr>
          <w:color w:val="231F20"/>
        </w:rPr>
        <w:t>incenti- var la innovación tecnológica mediante un proceso de imitación, como documentan Monge y</w:t>
      </w:r>
      <w:r>
        <w:rPr>
          <w:color w:val="231F20"/>
          <w:spacing w:val="-6"/>
        </w:rPr>
        <w:t> </w:t>
      </w:r>
      <w:r>
        <w:rPr>
          <w:color w:val="231F20"/>
        </w:rPr>
        <w:t>Hartwich </w:t>
      </w:r>
      <w:r>
        <w:rPr>
          <w:color w:val="231F20"/>
          <w:spacing w:val="-3"/>
        </w:rPr>
        <w:t>(2008).</w:t>
      </w:r>
    </w:p>
    <w:p>
      <w:pPr>
        <w:pStyle w:val="BodyText"/>
        <w:spacing w:line="256" w:lineRule="auto" w:before="114"/>
        <w:ind w:left="1553"/>
        <w:jc w:val="both"/>
      </w:pPr>
      <w:r>
        <w:rPr>
          <w:color w:val="231F20"/>
        </w:rPr>
        <w:t>En la red presentada  en  la  Figura  3  puede  ver- se también la presencia de nodos sueltos, que representan productores que refirieron no tener vínculos con otros actores para el desarrollo de la actividad. En la actualidad, este tipo de compor- tamiento se observa de manera aislada, pues es   de suponer que los hombres  tendrán  al  menos  un comprador de los animales o un vendedor de alimentos y medicinas. Lo encontrado hace evi- dentes dos características importantes de los pro- ductores en este tipo de sistemas: la individualidad para la producción y la poca disponibilidad para proporcionar información a otros sobre la</w:t>
      </w:r>
      <w:r>
        <w:rPr>
          <w:color w:val="231F20"/>
          <w:spacing w:val="-14"/>
        </w:rPr>
        <w:t> </w:t>
      </w:r>
      <w:r>
        <w:rPr>
          <w:color w:val="231F20"/>
        </w:rPr>
        <w:t>actividad que desarrollan. Puede inferirse que estas carac- terísticas dificultan enormemente la realización de actividades en conjunto con otros productores o con otros agentes de cambio (como los técnicos) para favorecer un mayor flujo de información</w:t>
      </w:r>
      <w:r>
        <w:rPr>
          <w:color w:val="231F20"/>
          <w:spacing w:val="-6"/>
        </w:rPr>
        <w:t> </w:t>
      </w:r>
      <w:r>
        <w:rPr>
          <w:color w:val="231F20"/>
        </w:rPr>
        <w:t>hacia</w:t>
      </w:r>
    </w:p>
    <w:p>
      <w:pPr>
        <w:pStyle w:val="BodyText"/>
        <w:spacing w:line="259" w:lineRule="auto" w:before="67"/>
        <w:ind w:left="412" w:right="1551"/>
        <w:jc w:val="both"/>
      </w:pPr>
      <w:r>
        <w:rPr/>
        <w:br w:type="column"/>
      </w:r>
      <w:r>
        <w:rPr>
          <w:color w:val="231F20"/>
        </w:rPr>
        <w:t>la red y, en consecuencia, más posibilidades de innovación  tecnológica  (Rigada  y  Cuanalo, 2005).</w:t>
      </w:r>
    </w:p>
    <w:p>
      <w:pPr>
        <w:pStyle w:val="BodyText"/>
        <w:spacing w:line="259" w:lineRule="auto" w:before="112"/>
        <w:ind w:left="412" w:right="1551"/>
        <w:jc w:val="both"/>
      </w:pPr>
      <w:r>
        <w:rPr>
          <w:color w:val="231F20"/>
        </w:rPr>
        <w:t>En contraste con los varones, la información em- pírica mostró que las mujeres se auxilian con productoras vecinas que se encuentran en la co- munidad para el intercambio de información y la solución de problemas, así como para la organi- zación de actividades comunes. Algunos autores argumentan que las mujeres son más altruistas  que los hombres por naturaleza, y que para ellas  es más fácil participar en un trabajo colectivo para beneficio comunitario (Pandolfelli, </w:t>
      </w:r>
      <w:r>
        <w:rPr>
          <w:i/>
          <w:color w:val="231F20"/>
        </w:rPr>
        <w:t>et al. </w:t>
      </w:r>
      <w:r>
        <w:rPr>
          <w:color w:val="231F20"/>
        </w:rPr>
        <w:t>2008). La información permitió conocer que las mujeres per- manecen más tiempo en la comunidad, observan los problemas que hay en su entorno e interaccio- nan con otras productoras de la comunidad inter- cambiando información y formando grupos  que  les permiten el acceso a servicios profesionales especializados, con lo cual se incentiva un mayor potencial de innovación  tecnológica.</w:t>
      </w:r>
    </w:p>
    <w:p>
      <w:pPr>
        <w:pStyle w:val="BodyText"/>
        <w:spacing w:line="259" w:lineRule="auto" w:before="112"/>
        <w:ind w:left="412" w:right="1551"/>
        <w:jc w:val="both"/>
      </w:pPr>
      <w:r>
        <w:rPr>
          <w:color w:val="231F20"/>
        </w:rPr>
        <w:t>Parte importante en los procesos de innovación tecnológica son los agentes externos como fuente de nuevos conocimientos </w:t>
      </w:r>
      <w:r>
        <w:rPr>
          <w:color w:val="231F20"/>
          <w:spacing w:val="-5"/>
        </w:rPr>
        <w:t>y, </w:t>
      </w:r>
      <w:r>
        <w:rPr>
          <w:color w:val="231F20"/>
        </w:rPr>
        <w:t>por ende,  de  mejo- ras (Monge y  Hartwich,  2008).  En  este  sentido,  la red de mujeres presenta  una  mayor  cantidad de fuentes de información externa, y puede su- ponerse que ello favorece el flujo de información  al interior de la red. Aquí es importante considerar el objetivo de los agentes  externos  al  intervenir en estos sistemas. Es conocido que, en muchos casos, sólo tienen por objeto la introducción  de una tecnología para propiciar una dependencia de las unidades hacia los insumos necesarios para su utilización. Esto último hace propensos a los siste- mas campesinos a grandes riesgos y se convierte en una desventaja para el proceso de innovación, como se ha visto en algunas economías emergen- tes (Carrillo y Chafla,  </w:t>
      </w:r>
      <w:r>
        <w:rPr>
          <w:color w:val="231F20"/>
          <w:spacing w:val="20"/>
        </w:rPr>
        <w:t> </w:t>
      </w:r>
      <w:r>
        <w:rPr>
          <w:color w:val="231F20"/>
        </w:rPr>
        <w:t>2003).</w:t>
      </w:r>
    </w:p>
    <w:p>
      <w:pPr>
        <w:pStyle w:val="BodyText"/>
        <w:spacing w:line="259" w:lineRule="auto" w:before="112"/>
        <w:ind w:left="412" w:right="1551"/>
        <w:jc w:val="both"/>
      </w:pPr>
      <w:r>
        <w:rPr>
          <w:color w:val="231F20"/>
        </w:rPr>
        <w:t>Por otro lado, se encontraron dos factores que ex- plicaron  el  </w:t>
      </w:r>
      <w:r>
        <w:rPr>
          <w:color w:val="231F20"/>
          <w:spacing w:val="-6"/>
        </w:rPr>
        <w:t>77,82%  </w:t>
      </w:r>
      <w:r>
        <w:rPr>
          <w:color w:val="231F20"/>
        </w:rPr>
        <w:t>de  la  variación  de  los   datos:</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w w:val="105"/>
          <w:sz w:val="18"/>
        </w:rPr>
        <w:t>Capítulo </w:t>
      </w:r>
      <w:r>
        <w:rPr>
          <w:color w:val="231F20"/>
          <w:spacing w:val="-3"/>
          <w:w w:val="105"/>
          <w:sz w:val="18"/>
        </w:rPr>
        <w:t>12.  </w:t>
      </w:r>
      <w:r>
        <w:rPr>
          <w:color w:val="231F20"/>
          <w:w w:val="105"/>
          <w:sz w:val="18"/>
        </w:rPr>
        <w:t>Innovación tecnológica en sistemas campesinos de </w:t>
      </w:r>
      <w:r>
        <w:rPr>
          <w:color w:val="231F20"/>
          <w:spacing w:val="13"/>
          <w:w w:val="105"/>
          <w:sz w:val="18"/>
        </w:rPr>
        <w:t> </w:t>
      </w:r>
      <w:r>
        <w:rPr>
          <w:color w:val="231F20"/>
          <w:w w:val="105"/>
          <w:sz w:val="18"/>
        </w:rPr>
        <w:t>producción</w:t>
      </w:r>
      <w:r>
        <w:rPr>
          <w:color w:val="231F20"/>
          <w:spacing w:val="5"/>
          <w:w w:val="105"/>
          <w:sz w:val="18"/>
        </w:rPr>
        <w:t> </w:t>
      </w:r>
      <w:r>
        <w:rPr>
          <w:color w:val="231F20"/>
          <w:w w:val="105"/>
          <w:sz w:val="18"/>
        </w:rPr>
        <w:t>ovina...</w:t>
      </w:r>
      <w:r>
        <w:rPr>
          <w:color w:val="231F20"/>
          <w:w w:val="105"/>
          <w:sz w:val="22"/>
        </w:rPr>
        <w:tab/>
      </w:r>
      <w:r>
        <w:rPr>
          <w:color w:val="231F20"/>
          <w:spacing w:val="-3"/>
          <w:w w:val="105"/>
          <w:sz w:val="22"/>
        </w:rPr>
        <w:t>189</w:t>
      </w:r>
    </w:p>
    <w:p>
      <w:pPr>
        <w:spacing w:after="0"/>
        <w:jc w:val="left"/>
        <w:rPr>
          <w:sz w:val="22"/>
        </w:rPr>
        <w:sectPr>
          <w:pgSz w:w="11900" w:h="14450"/>
          <w:pgMar w:header="0" w:footer="222" w:top="420" w:bottom="420" w:left="0" w:right="0"/>
        </w:sectPr>
      </w:pPr>
    </w:p>
    <w:p>
      <w:pPr>
        <w:pStyle w:val="BodyText"/>
        <w:spacing w:line="271" w:lineRule="auto" w:before="345"/>
        <w:ind w:left="1553"/>
        <w:jc w:val="both"/>
      </w:pPr>
      <w:r>
        <w:rPr>
          <w:color w:val="231F20"/>
        </w:rPr>
        <w:t>uno denominado “Población de hembras en el </w:t>
      </w:r>
      <w:r>
        <w:rPr>
          <w:color w:val="231F20"/>
          <w:spacing w:val="-3"/>
        </w:rPr>
        <w:t>sistema”, </w:t>
      </w:r>
      <w:r>
        <w:rPr>
          <w:color w:val="231F20"/>
        </w:rPr>
        <w:t>determinada por el número de hembras (coeficiente de correlación de 0,93), y otro que se denominó “Redes sociales-g</w:t>
      </w:r>
      <w:r>
        <w:rPr>
          <w:i/>
          <w:color w:val="231F20"/>
        </w:rPr>
        <w:t>énero</w:t>
      </w:r>
      <w:r>
        <w:rPr>
          <w:color w:val="231F20"/>
        </w:rPr>
        <w:t>”, cuyos compo- nentes se relacionan con características del capital social (grados de salida 0,80  y  grados  de  entra- da </w:t>
      </w:r>
      <w:r>
        <w:rPr>
          <w:color w:val="231F20"/>
          <w:spacing w:val="-3"/>
        </w:rPr>
        <w:t>0,71), </w:t>
      </w:r>
      <w:r>
        <w:rPr>
          <w:color w:val="231F20"/>
        </w:rPr>
        <w:t>de la innovación tecnológica (índice de adopciones del 0,86) y del género (0,82) (Fig. 4). Esto demuestra que la innovación tecnológica en este tipo de sistemas está condicionada por el ca- pital social y el género más que por el número de animales presentes en el sistema. Una de las hipó- tesis que el trabajo expone es si los sistemas gran- des en cuanto a número de hembras serían más innovadores al requerir una mayor  optimización de los recursos con que cuentan; sin embargo, en estos sistemas no se observó tal </w:t>
      </w:r>
      <w:r>
        <w:rPr>
          <w:color w:val="231F20"/>
          <w:spacing w:val="37"/>
        </w:rPr>
        <w:t> </w:t>
      </w:r>
      <w:r>
        <w:rPr>
          <w:color w:val="231F20"/>
        </w:rPr>
        <w:t>comportamiento.</w:t>
      </w:r>
    </w:p>
    <w:p>
      <w:pPr>
        <w:pStyle w:val="BodyText"/>
        <w:spacing w:line="271" w:lineRule="auto" w:before="113"/>
        <w:ind w:left="1553"/>
        <w:jc w:val="both"/>
      </w:pPr>
      <w:r>
        <w:rPr>
          <w:color w:val="231F20"/>
        </w:rPr>
        <w:t>Los roles de género antes descritos son impor- tantes dentro de la innovación tecnológica, pero pueden ser cambiantes debido a las fuerzas eco- nómicas, políticas y culturales ya documentadas por  Pandonfelli  </w:t>
      </w:r>
      <w:r>
        <w:rPr>
          <w:i/>
          <w:color w:val="231F20"/>
        </w:rPr>
        <w:t>et  al. </w:t>
      </w:r>
      <w:r>
        <w:rPr>
          <w:color w:val="231F20"/>
        </w:rPr>
        <w:t>(2008).</w:t>
      </w:r>
    </w:p>
    <w:p>
      <w:pPr>
        <w:pStyle w:val="BodyText"/>
        <w:spacing w:before="2"/>
        <w:rPr>
          <w:sz w:val="28"/>
        </w:rPr>
      </w:pPr>
      <w:r>
        <w:rPr/>
        <w:br w:type="column"/>
      </w:r>
      <w:r>
        <w:rPr>
          <w:sz w:val="28"/>
        </w:rPr>
      </w:r>
    </w:p>
    <w:p>
      <w:pPr>
        <w:pStyle w:val="BodyText"/>
        <w:spacing w:line="266" w:lineRule="auto"/>
        <w:ind w:left="412" w:right="1551"/>
        <w:jc w:val="both"/>
      </w:pPr>
      <w:r>
        <w:rPr>
          <w:color w:val="231F20"/>
          <w:spacing w:val="-4"/>
        </w:rPr>
        <w:t>Puede inferirse </w:t>
      </w:r>
      <w:r>
        <w:rPr>
          <w:color w:val="231F20"/>
          <w:spacing w:val="-3"/>
        </w:rPr>
        <w:t>que las </w:t>
      </w:r>
      <w:r>
        <w:rPr>
          <w:color w:val="231F20"/>
          <w:spacing w:val="-4"/>
        </w:rPr>
        <w:t>relaciones sociales </w:t>
      </w:r>
      <w:r>
        <w:rPr>
          <w:color w:val="231F20"/>
        </w:rPr>
        <w:t>en </w:t>
      </w:r>
      <w:r>
        <w:rPr>
          <w:color w:val="231F20"/>
          <w:spacing w:val="-3"/>
        </w:rPr>
        <w:t>las mu- </w:t>
      </w:r>
      <w:r>
        <w:rPr>
          <w:color w:val="231F20"/>
          <w:spacing w:val="-4"/>
        </w:rPr>
        <w:t>jeres </w:t>
      </w:r>
      <w:r>
        <w:rPr>
          <w:color w:val="231F20"/>
          <w:spacing w:val="-3"/>
        </w:rPr>
        <w:t>son </w:t>
      </w:r>
      <w:r>
        <w:rPr>
          <w:color w:val="231F20"/>
          <w:spacing w:val="-4"/>
        </w:rPr>
        <w:t>cruciales </w:t>
      </w:r>
      <w:r>
        <w:rPr>
          <w:color w:val="231F20"/>
          <w:spacing w:val="-3"/>
        </w:rPr>
        <w:t>para </w:t>
      </w:r>
      <w:r>
        <w:rPr>
          <w:color w:val="231F20"/>
        </w:rPr>
        <w:t>la </w:t>
      </w:r>
      <w:r>
        <w:rPr>
          <w:color w:val="231F20"/>
          <w:spacing w:val="-4"/>
        </w:rPr>
        <w:t>difusión </w:t>
      </w:r>
      <w:r>
        <w:rPr>
          <w:color w:val="231F20"/>
        </w:rPr>
        <w:t>de </w:t>
      </w:r>
      <w:r>
        <w:rPr>
          <w:color w:val="231F20"/>
          <w:spacing w:val="-4"/>
        </w:rPr>
        <w:t>conocimientos </w:t>
      </w:r>
      <w:r>
        <w:rPr>
          <w:color w:val="231F20"/>
        </w:rPr>
        <w:t>al </w:t>
      </w:r>
      <w:r>
        <w:rPr>
          <w:color w:val="231F20"/>
          <w:spacing w:val="-4"/>
        </w:rPr>
        <w:t>tener </w:t>
      </w:r>
      <w:r>
        <w:rPr>
          <w:color w:val="231F20"/>
          <w:spacing w:val="-3"/>
        </w:rPr>
        <w:t>una red </w:t>
      </w:r>
      <w:r>
        <w:rPr>
          <w:color w:val="231F20"/>
          <w:spacing w:val="-4"/>
        </w:rPr>
        <w:t>social </w:t>
      </w:r>
      <w:r>
        <w:rPr>
          <w:color w:val="231F20"/>
        </w:rPr>
        <w:t>de </w:t>
      </w:r>
      <w:r>
        <w:rPr>
          <w:color w:val="231F20"/>
          <w:spacing w:val="-4"/>
        </w:rPr>
        <w:t>mayor tamaño </w:t>
      </w:r>
      <w:r>
        <w:rPr>
          <w:color w:val="231F20"/>
        </w:rPr>
        <w:t>y </w:t>
      </w:r>
      <w:r>
        <w:rPr>
          <w:color w:val="231F20"/>
          <w:spacing w:val="-4"/>
        </w:rPr>
        <w:t>densidad. </w:t>
      </w:r>
      <w:r>
        <w:rPr>
          <w:color w:val="231F20"/>
        </w:rPr>
        <w:t>El </w:t>
      </w:r>
      <w:r>
        <w:rPr>
          <w:color w:val="231F20"/>
          <w:spacing w:val="-4"/>
        </w:rPr>
        <w:t>hecho </w:t>
      </w:r>
      <w:r>
        <w:rPr>
          <w:color w:val="231F20"/>
        </w:rPr>
        <w:t>de </w:t>
      </w:r>
      <w:r>
        <w:rPr>
          <w:color w:val="231F20"/>
          <w:spacing w:val="-4"/>
        </w:rPr>
        <w:t>observar </w:t>
      </w:r>
      <w:r>
        <w:rPr>
          <w:color w:val="231F20"/>
          <w:spacing w:val="-3"/>
        </w:rPr>
        <w:t>una </w:t>
      </w:r>
      <w:r>
        <w:rPr>
          <w:color w:val="231F20"/>
          <w:spacing w:val="-4"/>
        </w:rPr>
        <w:t>mayor cantidad </w:t>
      </w:r>
      <w:r>
        <w:rPr>
          <w:color w:val="231F20"/>
        </w:rPr>
        <w:t>de </w:t>
      </w:r>
      <w:r>
        <w:rPr>
          <w:color w:val="231F20"/>
          <w:spacing w:val="-4"/>
        </w:rPr>
        <w:t>rela- ciones recíprocas indica </w:t>
      </w:r>
      <w:r>
        <w:rPr>
          <w:color w:val="231F20"/>
          <w:spacing w:val="-3"/>
        </w:rPr>
        <w:t>que esta </w:t>
      </w:r>
      <w:r>
        <w:rPr>
          <w:color w:val="231F20"/>
          <w:spacing w:val="-4"/>
        </w:rPr>
        <w:t>información dentro </w:t>
      </w:r>
      <w:r>
        <w:rPr>
          <w:color w:val="231F20"/>
        </w:rPr>
        <w:t>de la </w:t>
      </w:r>
      <w:r>
        <w:rPr>
          <w:color w:val="231F20"/>
          <w:spacing w:val="-3"/>
        </w:rPr>
        <w:t>red </w:t>
      </w:r>
      <w:r>
        <w:rPr>
          <w:color w:val="231F20"/>
          <w:spacing w:val="-4"/>
        </w:rPr>
        <w:t>puede inducir </w:t>
      </w:r>
      <w:r>
        <w:rPr>
          <w:color w:val="231F20"/>
        </w:rPr>
        <w:t>un </w:t>
      </w:r>
      <w:r>
        <w:rPr>
          <w:color w:val="231F20"/>
          <w:spacing w:val="-4"/>
        </w:rPr>
        <w:t>cambio tecnológico más homogéneo </w:t>
      </w:r>
      <w:r>
        <w:rPr>
          <w:color w:val="231F20"/>
        </w:rPr>
        <w:t>al </w:t>
      </w:r>
      <w:r>
        <w:rPr>
          <w:color w:val="231F20"/>
          <w:spacing w:val="-4"/>
        </w:rPr>
        <w:t>haber </w:t>
      </w:r>
      <w:r>
        <w:rPr>
          <w:color w:val="231F20"/>
        </w:rPr>
        <w:t>un </w:t>
      </w:r>
      <w:r>
        <w:rPr>
          <w:color w:val="231F20"/>
          <w:spacing w:val="-4"/>
        </w:rPr>
        <w:t>mayor aprendizaje </w:t>
      </w:r>
      <w:r>
        <w:rPr>
          <w:color w:val="231F20"/>
        </w:rPr>
        <w:t>de </w:t>
      </w:r>
      <w:r>
        <w:rPr>
          <w:color w:val="231F20"/>
          <w:spacing w:val="-4"/>
        </w:rPr>
        <w:t>otras productoras </w:t>
      </w:r>
      <w:r>
        <w:rPr>
          <w:color w:val="231F20"/>
        </w:rPr>
        <w:t>o a </w:t>
      </w:r>
      <w:r>
        <w:rPr>
          <w:color w:val="231F20"/>
          <w:spacing w:val="-3"/>
        </w:rPr>
        <w:t>partir </w:t>
      </w:r>
      <w:r>
        <w:rPr>
          <w:color w:val="231F20"/>
        </w:rPr>
        <w:t>de </w:t>
      </w:r>
      <w:r>
        <w:rPr>
          <w:color w:val="231F20"/>
          <w:spacing w:val="-3"/>
        </w:rPr>
        <w:t>los </w:t>
      </w:r>
      <w:r>
        <w:rPr>
          <w:color w:val="231F20"/>
          <w:spacing w:val="-4"/>
        </w:rPr>
        <w:t>técnicos.</w:t>
      </w:r>
    </w:p>
    <w:p>
      <w:pPr>
        <w:pStyle w:val="BodyText"/>
        <w:spacing w:line="266" w:lineRule="auto" w:before="112"/>
        <w:ind w:left="412" w:right="1551"/>
        <w:jc w:val="both"/>
      </w:pPr>
      <w:r>
        <w:rPr>
          <w:color w:val="231F20"/>
        </w:rPr>
        <w:t>Con la información que el estudio presenta puede decirse que el capital social está determinado por las relaciones que establecen los productores con otros productores y técnicos para el desarrollo de sus actividades. Son las relaciones sociales, y por consecuencia la red social, las que favorecen en mayor grado la adopción de innovaciones a través de los flujos de información entre los actores de la red. Existen aspectos sociales, como la migración,  la individualidad y el tipo de trabajo que desarro- llan los productores, que condicionan la innova- ción tecnológica en estos </w:t>
      </w:r>
      <w:r>
        <w:rPr>
          <w:color w:val="231F20"/>
          <w:spacing w:val="34"/>
        </w:rPr>
        <w:t> </w:t>
      </w:r>
      <w:r>
        <w:rPr>
          <w:color w:val="231F20"/>
        </w:rPr>
        <w:t>sistemas.</w:t>
      </w:r>
    </w:p>
    <w:p>
      <w:pPr>
        <w:pStyle w:val="BodyText"/>
        <w:spacing w:line="266" w:lineRule="auto" w:before="112"/>
        <w:ind w:left="412" w:right="1551"/>
        <w:jc w:val="both"/>
      </w:pPr>
      <w:r>
        <w:rPr>
          <w:color w:val="231F20"/>
        </w:rPr>
        <w:t>Los procesos de innovación tecnológica son com- plejos, y están determinados en gran medida    por</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9"/>
        <w:rPr>
          <w:sz w:val="19"/>
        </w:rPr>
      </w:pPr>
    </w:p>
    <w:p>
      <w:pPr>
        <w:pStyle w:val="BodyText"/>
        <w:ind w:left="2397"/>
      </w:pPr>
      <w:r>
        <w:rPr/>
        <w:drawing>
          <wp:inline distT="0" distB="0" distL="0" distR="0">
            <wp:extent cx="4519093" cy="2450592"/>
            <wp:effectExtent l="0" t="0" r="0" b="0"/>
            <wp:docPr id="177" name="image275.png" descr=""/>
            <wp:cNvGraphicFramePr>
              <a:graphicFrameLocks noChangeAspect="1"/>
            </wp:cNvGraphicFramePr>
            <a:graphic>
              <a:graphicData uri="http://schemas.openxmlformats.org/drawingml/2006/picture">
                <pic:pic>
                  <pic:nvPicPr>
                    <pic:cNvPr id="178" name="image275.png"/>
                    <pic:cNvPicPr/>
                  </pic:nvPicPr>
                  <pic:blipFill>
                    <a:blip r:embed="rId356" cstate="print"/>
                    <a:stretch>
                      <a:fillRect/>
                    </a:stretch>
                  </pic:blipFill>
                  <pic:spPr>
                    <a:xfrm>
                      <a:off x="0" y="0"/>
                      <a:ext cx="4519093" cy="2450592"/>
                    </a:xfrm>
                    <a:prstGeom prst="rect">
                      <a:avLst/>
                    </a:prstGeom>
                  </pic:spPr>
                </pic:pic>
              </a:graphicData>
            </a:graphic>
          </wp:inline>
        </w:drawing>
      </w:r>
      <w:r>
        <w:rPr/>
      </w:r>
    </w:p>
    <w:p>
      <w:pPr>
        <w:spacing w:before="137"/>
        <w:ind w:left="2358" w:right="0" w:firstLine="0"/>
        <w:jc w:val="left"/>
        <w:rPr>
          <w:sz w:val="18"/>
        </w:rPr>
      </w:pPr>
      <w:r>
        <w:rPr>
          <w:color w:val="231F20"/>
          <w:sz w:val="18"/>
        </w:rPr>
        <w:t>Figura 4.      Carga de distintos factores para las variables de estudio. (Fuente: elaboración propia.)</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190</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4" w:lineRule="auto" w:before="67"/>
        <w:ind w:left="1553"/>
        <w:jc w:val="both"/>
      </w:pPr>
      <w:r>
        <w:rPr>
          <w:color w:val="231F20"/>
        </w:rPr>
        <w:t>la importancia que el capital social y el género tie- nen para su adopción. El capital social está muy implicado en los procesos de transferencia de la tecnología y en el establecimiento de innovacio- nes al interior de los sistemas. El hecho de que      el operador del sistema sea una mujer, con re- laciones sociales establecidas y con fuentes de aprendizaje de tipo técnico, puede garantizar una rápida asimilación y la difusión de los conocimien- tos necesarios para incrementar la innovación </w:t>
      </w:r>
      <w:r>
        <w:rPr>
          <w:color w:val="231F20"/>
          <w:spacing w:val="-5"/>
        </w:rPr>
        <w:t>y, </w:t>
      </w:r>
      <w:r>
        <w:rPr>
          <w:color w:val="231F20"/>
        </w:rPr>
        <w:t>por ende, la productividad del </w:t>
      </w:r>
      <w:r>
        <w:rPr>
          <w:color w:val="231F20"/>
          <w:spacing w:val="9"/>
        </w:rPr>
        <w:t> </w:t>
      </w:r>
      <w:r>
        <w:rPr>
          <w:color w:val="231F20"/>
        </w:rPr>
        <w:t>sistema.</w:t>
      </w:r>
    </w:p>
    <w:p>
      <w:pPr>
        <w:pStyle w:val="BodyText"/>
        <w:spacing w:line="264" w:lineRule="auto" w:before="112"/>
        <w:ind w:left="1553"/>
        <w:jc w:val="both"/>
      </w:pPr>
      <w:r>
        <w:rPr>
          <w:color w:val="231F20"/>
          <w:spacing w:val="-3"/>
        </w:rPr>
        <w:t>También </w:t>
      </w:r>
      <w:r>
        <w:rPr>
          <w:color w:val="231F20"/>
        </w:rPr>
        <w:t>el estudio mostró la necesidad de esta- blecer vínculos entre quienes generan estos cono- cimientos y quienes los utilizan, lo que permitiría  el establecimiento de procesos de vinculación y desarrollo para el medio rural y de </w:t>
      </w:r>
      <w:r>
        <w:rPr>
          <w:color w:val="231F20"/>
          <w:spacing w:val="11"/>
        </w:rPr>
        <w:t> </w:t>
      </w:r>
      <w:r>
        <w:rPr>
          <w:color w:val="231F20"/>
        </w:rPr>
        <w:t>investigación.</w:t>
      </w:r>
    </w:p>
    <w:p>
      <w:pPr>
        <w:pStyle w:val="BodyText"/>
        <w:spacing w:line="264" w:lineRule="auto" w:before="112"/>
        <w:ind w:left="1553"/>
        <w:jc w:val="both"/>
      </w:pPr>
      <w:r>
        <w:rPr>
          <w:color w:val="231F20"/>
        </w:rPr>
        <w:t>En lo que respecta a sistemas campesinos como  los estudiados en este caso, el cambio tecnológico está influenciado en menor grado por la economía y los precios de mercado, lo cual condiciona un proceso de innovación lento y no permite su rá- pida inserción en economías de producción más intensiva. Sin embargo, este tipo de sistema ha prevalecido y es importante para los productores, ya que constituye una fuente de ocupación para ellos y la generación de satisfacciones de tipo eco- nómico y</w:t>
      </w:r>
      <w:r>
        <w:rPr>
          <w:color w:val="231F20"/>
          <w:spacing w:val="35"/>
        </w:rPr>
        <w:t> </w:t>
      </w:r>
      <w:r>
        <w:rPr>
          <w:color w:val="231F20"/>
        </w:rPr>
        <w:t>social.</w:t>
      </w:r>
    </w:p>
    <w:p>
      <w:pPr>
        <w:pStyle w:val="BodyText"/>
      </w:pPr>
    </w:p>
    <w:p>
      <w:pPr>
        <w:pStyle w:val="BodyText"/>
        <w:spacing w:line="264" w:lineRule="auto" w:before="151"/>
        <w:ind w:left="1553" w:right="796"/>
      </w:pPr>
      <w:r>
        <w:rPr>
          <w:color w:val="231F20"/>
          <w:w w:val="110"/>
        </w:rPr>
        <w:t>CAPITAL HUMANO Y TRANSFERENCIA DE TECNOLOGÍA: EL CASO  DE</w:t>
      </w:r>
    </w:p>
    <w:p>
      <w:pPr>
        <w:pStyle w:val="BodyText"/>
        <w:spacing w:line="243" w:lineRule="exact"/>
        <w:ind w:left="1553"/>
        <w:jc w:val="both"/>
      </w:pPr>
      <w:r>
        <w:rPr>
          <w:color w:val="231F20"/>
          <w:w w:val="110"/>
        </w:rPr>
        <w:t>LA OVINOCULTURA EN MICHOACÁN</w:t>
      </w:r>
    </w:p>
    <w:p>
      <w:pPr>
        <w:pStyle w:val="BodyText"/>
        <w:spacing w:line="264" w:lineRule="auto" w:before="137"/>
        <w:ind w:left="1553"/>
        <w:jc w:val="both"/>
      </w:pPr>
      <w:r>
        <w:rPr>
          <w:color w:val="231F20"/>
        </w:rPr>
        <w:t>El análisis del capital humano en México, y par- ticularmente en los sistemas agropecuarios y microempresas, ha sido poco abordado. Existe evidencia a favor de la hipótesis del capital hu- mano, en el sentido de que la escolaridad formal    y la experiencia en la administración del negocio favorecen la productividad de las microempresas, aunque con impactos diferenciados donde predo- mina</w:t>
      </w:r>
      <w:r>
        <w:rPr>
          <w:color w:val="231F20"/>
          <w:spacing w:val="32"/>
        </w:rPr>
        <w:t> </w:t>
      </w:r>
      <w:r>
        <w:rPr>
          <w:color w:val="231F20"/>
        </w:rPr>
        <w:t>la</w:t>
      </w:r>
      <w:r>
        <w:rPr>
          <w:color w:val="231F20"/>
          <w:spacing w:val="32"/>
        </w:rPr>
        <w:t> </w:t>
      </w:r>
      <w:r>
        <w:rPr>
          <w:color w:val="231F20"/>
        </w:rPr>
        <w:t>segunda,</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permite</w:t>
      </w:r>
      <w:r>
        <w:rPr>
          <w:color w:val="231F20"/>
          <w:spacing w:val="32"/>
        </w:rPr>
        <w:t> </w:t>
      </w:r>
      <w:r>
        <w:rPr>
          <w:color w:val="231F20"/>
        </w:rPr>
        <w:t>asociarla</w:t>
      </w:r>
      <w:r>
        <w:rPr>
          <w:color w:val="231F20"/>
          <w:spacing w:val="32"/>
        </w:rPr>
        <w:t> </w:t>
      </w:r>
      <w:r>
        <w:rPr>
          <w:color w:val="231F20"/>
        </w:rPr>
        <w:t>con</w:t>
      </w:r>
      <w:r>
        <w:rPr>
          <w:color w:val="231F20"/>
          <w:spacing w:val="32"/>
        </w:rPr>
        <w:t> </w:t>
      </w:r>
      <w:r>
        <w:rPr>
          <w:color w:val="231F20"/>
        </w:rPr>
        <w:t>la</w:t>
      </w:r>
    </w:p>
    <w:p>
      <w:pPr>
        <w:pStyle w:val="BodyText"/>
        <w:spacing w:line="259" w:lineRule="auto" w:before="67"/>
        <w:ind w:left="412" w:right="1551"/>
        <w:jc w:val="both"/>
      </w:pPr>
      <w:r>
        <w:rPr/>
        <w:br w:type="column"/>
      </w:r>
      <w:r>
        <w:rPr>
          <w:color w:val="231F20"/>
        </w:rPr>
        <w:t>permanencia de las empresas en el largo plazo (Mungaray  y  Ramírez, 2007).</w:t>
      </w:r>
    </w:p>
    <w:p>
      <w:pPr>
        <w:pStyle w:val="BodyText"/>
        <w:spacing w:line="259" w:lineRule="auto" w:before="114"/>
        <w:ind w:left="412" w:right="1551"/>
        <w:jc w:val="both"/>
      </w:pPr>
      <w:r>
        <w:rPr>
          <w:color w:val="231F20"/>
        </w:rPr>
        <w:t>El capital humano se ha medido desde la pers- pectiva educativa.  Las  categorías  que  lo  forman, y que pueden ser tratadas como inversión por su impacto en el desempeño y los ingresos del ser humano, son: 1) la infraestructura y los servicios  de salud que afectan la esperanza de vida, la forta- leza, la resistencia, el vigor y la vitalidad de la gen- te; 2) el entrenamiento en el trabajo, que incluye  el estilo de aprendizaje organizado por empresas;  y 3) la educación formalmente organizada en ins- tituciones</w:t>
      </w:r>
      <w:r>
        <w:rPr>
          <w:color w:val="231F20"/>
          <w:spacing w:val="-8"/>
        </w:rPr>
        <w:t> </w:t>
      </w:r>
      <w:r>
        <w:rPr>
          <w:color w:val="231F20"/>
        </w:rPr>
        <w:t>educativas.</w:t>
      </w:r>
    </w:p>
    <w:p>
      <w:pPr>
        <w:pStyle w:val="BodyText"/>
        <w:spacing w:line="259" w:lineRule="auto" w:before="114"/>
        <w:ind w:left="412" w:right="1551"/>
        <w:jc w:val="both"/>
      </w:pPr>
      <w:r>
        <w:rPr>
          <w:color w:val="231F20"/>
        </w:rPr>
        <w:t>El entrenamiento en el trabajo aumenta la pro- ductividad futura de los trabajadores, al estimar el aprendizaje de nuevas habilidades y perfeccionar las viejas. La escolaridad tiene que ver con un pro- ceso formal de enseñanza dentro de las escuelas especializadas en la producción de entrenamiento, a diferencia de la empresa, que ofrece entrena- miento ligado a la producción de bienes. Según Becker </w:t>
      </w:r>
      <w:r>
        <w:rPr>
          <w:color w:val="231F20"/>
          <w:spacing w:val="-4"/>
        </w:rPr>
        <w:t>(1975), </w:t>
      </w:r>
      <w:r>
        <w:rPr>
          <w:color w:val="231F20"/>
        </w:rPr>
        <w:t>el entrenamiento en el trabajo y la escolaridad son complementarios en el sentido de que el dominio de ciertas habilidades requiere es- pecialización y experiencia práctica, por lo que los aprendizajes deben adquirirse parte en la escuela   y parte en el trabajo (Mungaray y Ramírez,   </w:t>
      </w:r>
      <w:r>
        <w:rPr>
          <w:color w:val="231F20"/>
          <w:spacing w:val="9"/>
        </w:rPr>
        <w:t> </w:t>
      </w:r>
      <w:r>
        <w:rPr>
          <w:color w:val="231F20"/>
          <w:spacing w:val="-3"/>
        </w:rPr>
        <w:t>2007).</w:t>
      </w:r>
    </w:p>
    <w:p>
      <w:pPr>
        <w:pStyle w:val="BodyText"/>
        <w:spacing w:line="259" w:lineRule="auto" w:before="114"/>
        <w:ind w:left="412" w:right="1551"/>
        <w:jc w:val="both"/>
      </w:pPr>
      <w:r>
        <w:rPr>
          <w:color w:val="231F20"/>
        </w:rPr>
        <w:t>El aprendizaje propio de las actividades diarias en el trabajo puede ser descompuesto en aprendizaje del trabajo, aprendizaje del capital y aprendizaje</w:t>
      </w:r>
      <w:r>
        <w:rPr>
          <w:color w:val="231F20"/>
          <w:spacing w:val="-24"/>
        </w:rPr>
        <w:t> </w:t>
      </w:r>
      <w:r>
        <w:rPr>
          <w:color w:val="231F20"/>
        </w:rPr>
        <w:t>de la organización. El aprendizaje del capital se refiere al conocimiento sobre el uso de máquinas y he- rramientas, de sus características y capacidades, y hasta de los motivos por los que éstas fallan. El aprendizaje de la organización incluye todo aquel conocimiento que se genera mediante la interac- ción de las personas que intervienen en el proceso productivo, y de las capacidades y el aprendiza-    je de quien organiza la producción a lo largo del tiempo. Este tipo de aprendizaje incluye el conoci- miento del equipo de trabajo y de las  </w:t>
      </w:r>
      <w:r>
        <w:rPr>
          <w:color w:val="231F20"/>
          <w:spacing w:val="6"/>
        </w:rPr>
        <w:t> </w:t>
      </w:r>
      <w:r>
        <w:rPr>
          <w:color w:val="231F20"/>
        </w:rPr>
        <w:t>capacidades</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w w:val="105"/>
          <w:sz w:val="18"/>
        </w:rPr>
        <w:t>Capítulo </w:t>
      </w:r>
      <w:r>
        <w:rPr>
          <w:color w:val="231F20"/>
          <w:spacing w:val="-3"/>
          <w:w w:val="105"/>
          <w:sz w:val="18"/>
        </w:rPr>
        <w:t>12.  </w:t>
      </w:r>
      <w:r>
        <w:rPr>
          <w:color w:val="231F20"/>
          <w:w w:val="105"/>
          <w:sz w:val="18"/>
        </w:rPr>
        <w:t>Innovación tecnológica en sistemas campesinos de </w:t>
      </w:r>
      <w:r>
        <w:rPr>
          <w:color w:val="231F20"/>
          <w:spacing w:val="13"/>
          <w:w w:val="105"/>
          <w:sz w:val="18"/>
        </w:rPr>
        <w:t> </w:t>
      </w:r>
      <w:r>
        <w:rPr>
          <w:color w:val="231F20"/>
          <w:w w:val="105"/>
          <w:sz w:val="18"/>
        </w:rPr>
        <w:t>producción</w:t>
      </w:r>
      <w:r>
        <w:rPr>
          <w:color w:val="231F20"/>
          <w:spacing w:val="5"/>
          <w:w w:val="105"/>
          <w:sz w:val="18"/>
        </w:rPr>
        <w:t> </w:t>
      </w:r>
      <w:r>
        <w:rPr>
          <w:color w:val="231F20"/>
          <w:w w:val="105"/>
          <w:sz w:val="18"/>
        </w:rPr>
        <w:t>ovina...</w:t>
      </w:r>
      <w:r>
        <w:rPr>
          <w:color w:val="231F20"/>
          <w:w w:val="105"/>
          <w:sz w:val="22"/>
        </w:rPr>
        <w:tab/>
      </w:r>
      <w:r>
        <w:rPr>
          <w:color w:val="231F20"/>
          <w:spacing w:val="-9"/>
          <w:w w:val="105"/>
          <w:sz w:val="22"/>
        </w:rPr>
        <w:t>191</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de cada integrante para responder ante diferentes problemas, así como la mejor organización, comu- nicación y coordinación entre los diferentes depar- tamentos  (Mungaray  y  Ramírez, 2007).</w:t>
      </w:r>
    </w:p>
    <w:p>
      <w:pPr>
        <w:pStyle w:val="BodyText"/>
        <w:spacing w:line="256" w:lineRule="auto" w:before="114"/>
        <w:ind w:left="1553"/>
        <w:jc w:val="both"/>
      </w:pPr>
      <w:r>
        <w:rPr>
          <w:color w:val="231F20"/>
        </w:rPr>
        <w:t>Desde la perspectiva microeconómica, los  traba- jos sobre el capital humano se han centrado en analizar su relación con la eficiencia asignativa, la permanencia de los negocios y la productividad.  Se argumenta que el grado de eficiencia con que los agentes  perciben  los  cambios  en  el  entorno y responden ante ellos, lo que se conoce como habilidad asignativa, está en función del capital hu- mano, en particular de la inversión en educación    y de la extensión. Por su parte, Stefanou y Saxena (1998) estudiaron el impacto del entrenamiento sobre el proceso de toma de decisiones de los trabajadores en un negocio de agricultura y encon- traron que la educación y la experiencía podrían considerarse como bienes sustitutos y tendrían un papel relevante en la</w:t>
      </w:r>
      <w:r>
        <w:rPr>
          <w:color w:val="231F20"/>
          <w:spacing w:val="39"/>
        </w:rPr>
        <w:t> </w:t>
      </w:r>
      <w:r>
        <w:rPr>
          <w:color w:val="231F20"/>
        </w:rPr>
        <w:t>eficiencia.</w:t>
      </w:r>
    </w:p>
    <w:p>
      <w:pPr>
        <w:pStyle w:val="BodyText"/>
        <w:spacing w:line="256" w:lineRule="auto" w:before="114"/>
        <w:ind w:left="1553"/>
        <w:jc w:val="both"/>
      </w:pPr>
      <w:r>
        <w:rPr>
          <w:color w:val="231F20"/>
        </w:rPr>
        <w:t>Perea </w:t>
      </w:r>
      <w:r>
        <w:rPr>
          <w:i/>
          <w:color w:val="231F20"/>
        </w:rPr>
        <w:t>et al</w:t>
      </w:r>
      <w:r>
        <w:rPr>
          <w:color w:val="231F20"/>
        </w:rPr>
        <w:t>. </w:t>
      </w:r>
      <w:r>
        <w:rPr>
          <w:color w:val="231F20"/>
          <w:spacing w:val="-4"/>
        </w:rPr>
        <w:t>(2011) </w:t>
      </w:r>
      <w:r>
        <w:rPr>
          <w:color w:val="231F20"/>
        </w:rPr>
        <w:t>realizaron un trabajo que tuvo por objetivo determinar y documentar la influencia del capital humano en la innovacion tecnológica  en sistemas campesinos de producción ovina. Fue un</w:t>
      </w:r>
      <w:r>
        <w:rPr>
          <w:color w:val="231F20"/>
          <w:spacing w:val="28"/>
        </w:rPr>
        <w:t> </w:t>
      </w:r>
      <w:r>
        <w:rPr>
          <w:color w:val="231F20"/>
        </w:rPr>
        <w:t>estudio</w:t>
      </w:r>
      <w:r>
        <w:rPr>
          <w:color w:val="231F20"/>
          <w:spacing w:val="28"/>
        </w:rPr>
        <w:t> </w:t>
      </w:r>
      <w:r>
        <w:rPr>
          <w:color w:val="231F20"/>
        </w:rPr>
        <w:t>cualitativo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cual</w:t>
      </w:r>
      <w:r>
        <w:rPr>
          <w:color w:val="231F20"/>
          <w:spacing w:val="28"/>
        </w:rPr>
        <w:t> </w:t>
      </w:r>
      <w:r>
        <w:rPr>
          <w:color w:val="231F20"/>
        </w:rPr>
        <w:t>el</w:t>
      </w:r>
      <w:r>
        <w:rPr>
          <w:color w:val="231F20"/>
          <w:spacing w:val="28"/>
        </w:rPr>
        <w:t> </w:t>
      </w:r>
      <w:r>
        <w:rPr>
          <w:color w:val="231F20"/>
        </w:rPr>
        <w:t>productor</w:t>
      </w:r>
      <w:r>
        <w:rPr>
          <w:color w:val="231F20"/>
          <w:spacing w:val="28"/>
        </w:rPr>
        <w:t> </w:t>
      </w:r>
      <w:r>
        <w:rPr>
          <w:color w:val="231F20"/>
        </w:rPr>
        <w:t>era</w:t>
      </w:r>
    </w:p>
    <w:p>
      <w:pPr>
        <w:pStyle w:val="BodyText"/>
        <w:spacing w:before="3"/>
        <w:rPr>
          <w:sz w:val="28"/>
        </w:rPr>
      </w:pPr>
      <w:r>
        <w:rPr/>
        <w:br w:type="column"/>
      </w:r>
      <w:r>
        <w:rPr>
          <w:sz w:val="28"/>
        </w:rPr>
      </w:r>
    </w:p>
    <w:p>
      <w:pPr>
        <w:pStyle w:val="BodyText"/>
        <w:spacing w:line="266" w:lineRule="auto"/>
        <w:ind w:left="412" w:right="1551"/>
        <w:jc w:val="both"/>
      </w:pPr>
      <w:r>
        <w:rPr>
          <w:color w:val="231F20"/>
        </w:rPr>
        <w:t>la fuente primaria de información, lo que permitió documentar y analizar la visión de los producto-  res con respecto a la tecnología y la influencia de los aspectos básicos del capital humano (escola- ridad, experiencia y necesidad de conocimiento). Además, pretendía establecer las diferencias del capital humano con respecto al sexo de los pro- ductores, para contribuir al entendimiento de</w:t>
      </w:r>
      <w:r>
        <w:rPr>
          <w:color w:val="231F20"/>
          <w:spacing w:val="-24"/>
        </w:rPr>
        <w:t> </w:t>
      </w:r>
      <w:r>
        <w:rPr>
          <w:color w:val="231F20"/>
        </w:rPr>
        <w:t>estos factores en los procesos productivos de los siste- mas campesinos. Sus resultados indicaron que el capital humano, para la adopción y el desarrollo de tecnología en los sistemas de producción ovina, es pobre y está fuertemente condicionado y limitado  a la escolaridad en el medio rural, a la experien-   cia de los productores y a su necesidad expresa    de nuevos conocimientos. Estos sistemas cuentan con una baja escolaridad, mucha experiencia y poca capacitación, lo que implica que la dinámica de la innovación tecnológica sea lenta; además, la mayoría de los conocimientos y de las técnicas se obtienen de las experiencias de otros productores, lo cual no garantiza que puedan realizarse cambios rápidos y sustanciales en los sistemas productivos para su inserción en los mercados y la economía regional y nacional (Cuadro 2 y Fig.   </w:t>
      </w:r>
      <w:r>
        <w:rPr>
          <w:color w:val="231F20"/>
          <w:spacing w:val="9"/>
        </w:rPr>
        <w:t> </w:t>
      </w:r>
      <w:r>
        <w:rPr>
          <w:color w:val="231F20"/>
        </w:rPr>
        <w:t>5).</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8"/>
        <w:rPr>
          <w:sz w:val="16"/>
        </w:rPr>
      </w:pPr>
    </w:p>
    <w:p>
      <w:pPr>
        <w:spacing w:before="72"/>
        <w:ind w:left="1553" w:right="2503" w:firstLine="0"/>
        <w:jc w:val="left"/>
        <w:rPr>
          <w:sz w:val="18"/>
        </w:rPr>
      </w:pPr>
      <w:r>
        <w:rPr>
          <w:color w:val="231F20"/>
          <w:sz w:val="18"/>
        </w:rPr>
        <w:t>Cuadro 2.   Descriptores de las variables por   sexo.</w:t>
      </w:r>
    </w:p>
    <w:p>
      <w:pPr>
        <w:pStyle w:val="BodyText"/>
        <w:spacing w:before="12"/>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46"/>
        <w:gridCol w:w="2166"/>
        <w:gridCol w:w="2792"/>
      </w:tblGrid>
      <w:tr>
        <w:trPr>
          <w:trHeight w:val="397" w:hRule="exact"/>
        </w:trPr>
        <w:tc>
          <w:tcPr>
            <w:tcW w:w="3846" w:type="dxa"/>
            <w:tcBorders>
              <w:left w:val="nil"/>
            </w:tcBorders>
          </w:tcPr>
          <w:p>
            <w:pPr>
              <w:pStyle w:val="TableParagraph"/>
              <w:spacing w:before="93"/>
              <w:ind w:left="1567" w:right="1562"/>
              <w:jc w:val="center"/>
              <w:rPr>
                <w:rFonts w:ascii="Cambria"/>
                <w:i/>
                <w:sz w:val="18"/>
              </w:rPr>
            </w:pPr>
            <w:r>
              <w:rPr>
                <w:rFonts w:ascii="Cambria"/>
                <w:i/>
                <w:color w:val="231F20"/>
                <w:w w:val="105"/>
                <w:sz w:val="18"/>
              </w:rPr>
              <w:t>Variable</w:t>
            </w:r>
          </w:p>
        </w:tc>
        <w:tc>
          <w:tcPr>
            <w:tcW w:w="2166" w:type="dxa"/>
          </w:tcPr>
          <w:p>
            <w:pPr>
              <w:pStyle w:val="TableParagraph"/>
              <w:spacing w:before="93"/>
              <w:ind w:left="382" w:right="382"/>
              <w:jc w:val="center"/>
              <w:rPr>
                <w:rFonts w:ascii="Cambria"/>
                <w:i/>
                <w:sz w:val="18"/>
              </w:rPr>
            </w:pPr>
            <w:r>
              <w:rPr>
                <w:rFonts w:ascii="Cambria"/>
                <w:i/>
                <w:color w:val="231F20"/>
                <w:w w:val="110"/>
                <w:sz w:val="18"/>
              </w:rPr>
              <w:t>Mujeres (n = 24)</w:t>
            </w:r>
          </w:p>
        </w:tc>
        <w:tc>
          <w:tcPr>
            <w:tcW w:w="2792" w:type="dxa"/>
            <w:tcBorders>
              <w:right w:val="nil"/>
            </w:tcBorders>
          </w:tcPr>
          <w:p>
            <w:pPr>
              <w:pStyle w:val="TableParagraph"/>
              <w:spacing w:before="93"/>
              <w:ind w:left="653" w:right="655"/>
              <w:jc w:val="center"/>
              <w:rPr>
                <w:rFonts w:ascii="Cambria"/>
                <w:i/>
                <w:sz w:val="18"/>
              </w:rPr>
            </w:pPr>
            <w:r>
              <w:rPr>
                <w:rFonts w:ascii="Cambria"/>
                <w:i/>
                <w:color w:val="231F20"/>
                <w:w w:val="110"/>
                <w:sz w:val="18"/>
              </w:rPr>
              <w:t>Hombres (n = 23)</w:t>
            </w:r>
          </w:p>
        </w:tc>
      </w:tr>
      <w:tr>
        <w:trPr>
          <w:trHeight w:val="397" w:hRule="exact"/>
        </w:trPr>
        <w:tc>
          <w:tcPr>
            <w:tcW w:w="3846" w:type="dxa"/>
            <w:tcBorders>
              <w:left w:val="nil"/>
            </w:tcBorders>
          </w:tcPr>
          <w:p>
            <w:pPr>
              <w:pStyle w:val="TableParagraph"/>
              <w:ind w:left="113"/>
              <w:rPr>
                <w:sz w:val="17"/>
              </w:rPr>
            </w:pPr>
            <w:r>
              <w:rPr>
                <w:color w:val="231F20"/>
                <w:sz w:val="17"/>
              </w:rPr>
              <w:t>Número de innovaciones que   aplica</w:t>
            </w:r>
          </w:p>
        </w:tc>
        <w:tc>
          <w:tcPr>
            <w:tcW w:w="2166" w:type="dxa"/>
          </w:tcPr>
          <w:p>
            <w:pPr>
              <w:pStyle w:val="TableParagraph"/>
              <w:ind w:left="382" w:right="382"/>
              <w:jc w:val="center"/>
              <w:rPr>
                <w:sz w:val="17"/>
              </w:rPr>
            </w:pPr>
            <w:r>
              <w:rPr>
                <w:color w:val="231F20"/>
                <w:w w:val="120"/>
                <w:sz w:val="17"/>
              </w:rPr>
              <w:t>9 ± 3</w:t>
            </w:r>
          </w:p>
        </w:tc>
        <w:tc>
          <w:tcPr>
            <w:tcW w:w="2792" w:type="dxa"/>
            <w:tcBorders>
              <w:right w:val="nil"/>
            </w:tcBorders>
          </w:tcPr>
          <w:p>
            <w:pPr>
              <w:pStyle w:val="TableParagraph"/>
              <w:ind w:left="651" w:right="655"/>
              <w:jc w:val="center"/>
              <w:rPr>
                <w:sz w:val="17"/>
              </w:rPr>
            </w:pPr>
            <w:r>
              <w:rPr>
                <w:color w:val="231F20"/>
                <w:w w:val="115"/>
                <w:sz w:val="17"/>
              </w:rPr>
              <w:t>6,35 ± 2,67</w:t>
            </w:r>
          </w:p>
        </w:tc>
      </w:tr>
      <w:tr>
        <w:trPr>
          <w:trHeight w:val="397" w:hRule="exact"/>
        </w:trPr>
        <w:tc>
          <w:tcPr>
            <w:tcW w:w="3846" w:type="dxa"/>
            <w:tcBorders>
              <w:left w:val="nil"/>
            </w:tcBorders>
          </w:tcPr>
          <w:p>
            <w:pPr>
              <w:pStyle w:val="TableParagraph"/>
              <w:ind w:left="113"/>
              <w:rPr>
                <w:sz w:val="17"/>
              </w:rPr>
            </w:pPr>
            <w:r>
              <w:rPr>
                <w:color w:val="231F20"/>
                <w:w w:val="105"/>
                <w:sz w:val="17"/>
              </w:rPr>
              <w:t>Edad</w:t>
            </w:r>
          </w:p>
        </w:tc>
        <w:tc>
          <w:tcPr>
            <w:tcW w:w="2166" w:type="dxa"/>
          </w:tcPr>
          <w:p>
            <w:pPr>
              <w:pStyle w:val="TableParagraph"/>
              <w:ind w:left="382" w:right="382"/>
              <w:jc w:val="center"/>
              <w:rPr>
                <w:sz w:val="17"/>
              </w:rPr>
            </w:pPr>
            <w:r>
              <w:rPr>
                <w:color w:val="231F20"/>
                <w:w w:val="120"/>
                <w:sz w:val="17"/>
              </w:rPr>
              <w:t>45,04 ± 10,34</w:t>
            </w:r>
          </w:p>
        </w:tc>
        <w:tc>
          <w:tcPr>
            <w:tcW w:w="2792" w:type="dxa"/>
            <w:tcBorders>
              <w:right w:val="nil"/>
            </w:tcBorders>
          </w:tcPr>
          <w:p>
            <w:pPr>
              <w:pStyle w:val="TableParagraph"/>
              <w:ind w:left="651" w:right="655"/>
              <w:jc w:val="center"/>
              <w:rPr>
                <w:sz w:val="17"/>
              </w:rPr>
            </w:pPr>
            <w:r>
              <w:rPr>
                <w:color w:val="231F20"/>
                <w:w w:val="120"/>
                <w:sz w:val="17"/>
              </w:rPr>
              <w:t>50,69 ± 15,29</w:t>
            </w:r>
          </w:p>
        </w:tc>
      </w:tr>
      <w:tr>
        <w:trPr>
          <w:trHeight w:val="397" w:hRule="exact"/>
        </w:trPr>
        <w:tc>
          <w:tcPr>
            <w:tcW w:w="3846" w:type="dxa"/>
            <w:tcBorders>
              <w:left w:val="nil"/>
            </w:tcBorders>
          </w:tcPr>
          <w:p>
            <w:pPr>
              <w:pStyle w:val="TableParagraph"/>
              <w:ind w:left="113"/>
              <w:rPr>
                <w:sz w:val="17"/>
              </w:rPr>
            </w:pPr>
            <w:r>
              <w:rPr>
                <w:color w:val="231F20"/>
                <w:sz w:val="17"/>
              </w:rPr>
              <w:t>Escolaridad</w:t>
            </w:r>
          </w:p>
        </w:tc>
        <w:tc>
          <w:tcPr>
            <w:tcW w:w="2166" w:type="dxa"/>
          </w:tcPr>
          <w:p>
            <w:pPr>
              <w:pStyle w:val="TableParagraph"/>
              <w:ind w:left="382" w:right="382"/>
              <w:jc w:val="center"/>
              <w:rPr>
                <w:sz w:val="17"/>
              </w:rPr>
            </w:pPr>
            <w:r>
              <w:rPr>
                <w:color w:val="231F20"/>
                <w:w w:val="115"/>
                <w:sz w:val="17"/>
              </w:rPr>
              <w:t>5,20 ± 3,15</w:t>
            </w:r>
          </w:p>
        </w:tc>
        <w:tc>
          <w:tcPr>
            <w:tcW w:w="2792" w:type="dxa"/>
            <w:tcBorders>
              <w:right w:val="nil"/>
            </w:tcBorders>
          </w:tcPr>
          <w:p>
            <w:pPr>
              <w:pStyle w:val="TableParagraph"/>
              <w:ind w:left="651" w:right="655"/>
              <w:jc w:val="center"/>
              <w:rPr>
                <w:sz w:val="17"/>
              </w:rPr>
            </w:pPr>
            <w:r>
              <w:rPr>
                <w:color w:val="231F20"/>
                <w:w w:val="115"/>
                <w:sz w:val="17"/>
              </w:rPr>
              <w:t>4,86 ± 4,12</w:t>
            </w:r>
          </w:p>
        </w:tc>
      </w:tr>
      <w:tr>
        <w:trPr>
          <w:trHeight w:val="397" w:hRule="exact"/>
        </w:trPr>
        <w:tc>
          <w:tcPr>
            <w:tcW w:w="3846" w:type="dxa"/>
            <w:tcBorders>
              <w:left w:val="nil"/>
            </w:tcBorders>
          </w:tcPr>
          <w:p>
            <w:pPr>
              <w:pStyle w:val="TableParagraph"/>
              <w:ind w:left="113"/>
              <w:rPr>
                <w:sz w:val="17"/>
              </w:rPr>
            </w:pPr>
            <w:r>
              <w:rPr>
                <w:color w:val="231F20"/>
                <w:sz w:val="17"/>
              </w:rPr>
              <w:t>Número de integrantes del  grupo</w:t>
            </w:r>
          </w:p>
        </w:tc>
        <w:tc>
          <w:tcPr>
            <w:tcW w:w="2166" w:type="dxa"/>
          </w:tcPr>
          <w:p>
            <w:pPr>
              <w:pStyle w:val="TableParagraph"/>
              <w:ind w:left="382" w:right="382"/>
              <w:jc w:val="center"/>
              <w:rPr>
                <w:sz w:val="17"/>
              </w:rPr>
            </w:pPr>
            <w:r>
              <w:rPr>
                <w:color w:val="231F20"/>
                <w:w w:val="115"/>
                <w:sz w:val="17"/>
              </w:rPr>
              <w:t>6,35 ± 1,39</w:t>
            </w:r>
          </w:p>
        </w:tc>
        <w:tc>
          <w:tcPr>
            <w:tcW w:w="2792" w:type="dxa"/>
            <w:tcBorders>
              <w:right w:val="nil"/>
            </w:tcBorders>
          </w:tcPr>
          <w:p>
            <w:pPr>
              <w:pStyle w:val="TableParagraph"/>
              <w:ind w:left="651" w:right="655"/>
              <w:jc w:val="center"/>
              <w:rPr>
                <w:sz w:val="17"/>
              </w:rPr>
            </w:pPr>
            <w:r>
              <w:rPr>
                <w:color w:val="231F20"/>
                <w:w w:val="120"/>
                <w:sz w:val="17"/>
              </w:rPr>
              <w:t>14,00 ± 5,46</w:t>
            </w:r>
          </w:p>
        </w:tc>
      </w:tr>
      <w:tr>
        <w:trPr>
          <w:trHeight w:val="397" w:hRule="exact"/>
        </w:trPr>
        <w:tc>
          <w:tcPr>
            <w:tcW w:w="3846" w:type="dxa"/>
            <w:tcBorders>
              <w:left w:val="nil"/>
            </w:tcBorders>
          </w:tcPr>
          <w:p>
            <w:pPr>
              <w:pStyle w:val="TableParagraph"/>
              <w:ind w:left="113"/>
              <w:rPr>
                <w:sz w:val="17"/>
              </w:rPr>
            </w:pPr>
            <w:r>
              <w:rPr>
                <w:color w:val="231F20"/>
                <w:sz w:val="17"/>
              </w:rPr>
              <w:t>Personas involucradas en la  actividad</w:t>
            </w:r>
          </w:p>
        </w:tc>
        <w:tc>
          <w:tcPr>
            <w:tcW w:w="2166" w:type="dxa"/>
          </w:tcPr>
          <w:p>
            <w:pPr>
              <w:pStyle w:val="TableParagraph"/>
              <w:ind w:left="382" w:right="382"/>
              <w:jc w:val="center"/>
              <w:rPr>
                <w:sz w:val="17"/>
              </w:rPr>
            </w:pPr>
            <w:r>
              <w:rPr>
                <w:color w:val="231F20"/>
                <w:w w:val="115"/>
                <w:sz w:val="17"/>
              </w:rPr>
              <w:t>3,66 ± 1,90</w:t>
            </w:r>
          </w:p>
        </w:tc>
        <w:tc>
          <w:tcPr>
            <w:tcW w:w="2792" w:type="dxa"/>
            <w:tcBorders>
              <w:right w:val="nil"/>
            </w:tcBorders>
          </w:tcPr>
          <w:p>
            <w:pPr>
              <w:pStyle w:val="TableParagraph"/>
              <w:ind w:left="651" w:right="655"/>
              <w:jc w:val="center"/>
              <w:rPr>
                <w:sz w:val="17"/>
              </w:rPr>
            </w:pPr>
            <w:r>
              <w:rPr>
                <w:color w:val="231F20"/>
                <w:w w:val="115"/>
                <w:sz w:val="17"/>
              </w:rPr>
              <w:t>2,78 ± 1,20</w:t>
            </w:r>
          </w:p>
        </w:tc>
      </w:tr>
      <w:tr>
        <w:trPr>
          <w:trHeight w:val="397" w:hRule="exact"/>
        </w:trPr>
        <w:tc>
          <w:tcPr>
            <w:tcW w:w="3846" w:type="dxa"/>
            <w:tcBorders>
              <w:left w:val="nil"/>
            </w:tcBorders>
          </w:tcPr>
          <w:p>
            <w:pPr>
              <w:pStyle w:val="TableParagraph"/>
              <w:ind w:left="113"/>
              <w:rPr>
                <w:sz w:val="17"/>
              </w:rPr>
            </w:pPr>
            <w:r>
              <w:rPr>
                <w:color w:val="231F20"/>
                <w:sz w:val="17"/>
              </w:rPr>
              <w:t>Experiencia  (años)  como ovinocultor</w:t>
            </w:r>
          </w:p>
        </w:tc>
        <w:tc>
          <w:tcPr>
            <w:tcW w:w="2166" w:type="dxa"/>
          </w:tcPr>
          <w:p>
            <w:pPr>
              <w:pStyle w:val="TableParagraph"/>
              <w:ind w:left="382" w:right="382"/>
              <w:jc w:val="center"/>
              <w:rPr>
                <w:sz w:val="17"/>
              </w:rPr>
            </w:pPr>
            <w:r>
              <w:rPr>
                <w:color w:val="231F20"/>
                <w:w w:val="115"/>
                <w:sz w:val="17"/>
              </w:rPr>
              <w:t>6,71 ± 6,42</w:t>
            </w:r>
          </w:p>
        </w:tc>
        <w:tc>
          <w:tcPr>
            <w:tcW w:w="2792" w:type="dxa"/>
            <w:tcBorders>
              <w:right w:val="nil"/>
            </w:tcBorders>
          </w:tcPr>
          <w:p>
            <w:pPr>
              <w:pStyle w:val="TableParagraph"/>
              <w:ind w:left="651" w:right="655"/>
              <w:jc w:val="center"/>
              <w:rPr>
                <w:sz w:val="17"/>
              </w:rPr>
            </w:pPr>
            <w:r>
              <w:rPr>
                <w:color w:val="231F20"/>
                <w:w w:val="120"/>
                <w:sz w:val="17"/>
              </w:rPr>
              <w:t>15,05 ± 9,23</w:t>
            </w:r>
          </w:p>
        </w:tc>
      </w:tr>
      <w:tr>
        <w:trPr>
          <w:trHeight w:val="397" w:hRule="exact"/>
        </w:trPr>
        <w:tc>
          <w:tcPr>
            <w:tcW w:w="3846" w:type="dxa"/>
            <w:tcBorders>
              <w:left w:val="nil"/>
            </w:tcBorders>
          </w:tcPr>
          <w:p>
            <w:pPr>
              <w:pStyle w:val="TableParagraph"/>
              <w:ind w:left="113"/>
              <w:rPr>
                <w:sz w:val="17"/>
              </w:rPr>
            </w:pPr>
            <w:r>
              <w:rPr>
                <w:color w:val="231F20"/>
                <w:sz w:val="17"/>
              </w:rPr>
              <w:t>Horas al mes de  capacitación</w:t>
            </w:r>
          </w:p>
        </w:tc>
        <w:tc>
          <w:tcPr>
            <w:tcW w:w="2166" w:type="dxa"/>
          </w:tcPr>
          <w:p>
            <w:pPr>
              <w:pStyle w:val="TableParagraph"/>
              <w:ind w:left="382" w:right="382"/>
              <w:jc w:val="center"/>
              <w:rPr>
                <w:sz w:val="17"/>
              </w:rPr>
            </w:pPr>
            <w:r>
              <w:rPr>
                <w:color w:val="231F20"/>
                <w:w w:val="115"/>
                <w:sz w:val="17"/>
              </w:rPr>
              <w:t>1,33 ± 0,82</w:t>
            </w:r>
          </w:p>
        </w:tc>
        <w:tc>
          <w:tcPr>
            <w:tcW w:w="2792" w:type="dxa"/>
            <w:tcBorders>
              <w:right w:val="nil"/>
            </w:tcBorders>
          </w:tcPr>
          <w:p>
            <w:pPr>
              <w:pStyle w:val="TableParagraph"/>
              <w:ind w:left="651" w:right="655"/>
              <w:jc w:val="center"/>
              <w:rPr>
                <w:sz w:val="17"/>
              </w:rPr>
            </w:pPr>
            <w:r>
              <w:rPr>
                <w:color w:val="231F20"/>
                <w:w w:val="115"/>
                <w:sz w:val="17"/>
              </w:rPr>
              <w:t>2,33 ± 1,32</w:t>
            </w:r>
          </w:p>
        </w:tc>
      </w:tr>
    </w:tbl>
    <w:p>
      <w:pPr>
        <w:spacing w:before="95"/>
        <w:ind w:left="1553" w:right="2503" w:firstLine="0"/>
        <w:jc w:val="left"/>
        <w:rPr>
          <w:sz w:val="15"/>
        </w:rPr>
      </w:pPr>
      <w:r>
        <w:rPr>
          <w:color w:val="231F20"/>
          <w:sz w:val="15"/>
        </w:rPr>
        <w:t>Fuente: elaboración propia.</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192</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2"/>
        <w:rPr>
          <w:sz w:val="24"/>
        </w:rPr>
      </w:pPr>
    </w:p>
    <w:p>
      <w:pPr>
        <w:spacing w:before="69"/>
        <w:ind w:left="2937" w:right="2503" w:firstLine="0"/>
        <w:jc w:val="left"/>
        <w:rPr>
          <w:sz w:val="16"/>
        </w:rPr>
      </w:pPr>
      <w:r>
        <w:rPr/>
        <w:pict>
          <v:group style="position:absolute;margin-left:162.824997pt;margin-top:7.832268pt;width:221.35pt;height:139.25pt;mso-position-horizontal-relative:page;mso-position-vertical-relative:paragraph;z-index:-491080" coordorigin="3256,157" coordsize="4427,2785">
            <v:shape style="position:absolute;left:0;top:12311;width:4349;height:389" coordorigin="0,12311" coordsize="4349,389" path="m6406,2485l7675,2485m5318,2485l6166,2485m3749,2485l4594,2485m3326,2485l3506,2485m3749,2096l4594,2096m3326,2096l3506,2096e" filled="false" stroked="true" strokeweight=".72pt" strokecolor="#989a9d">
              <v:path arrowok="t"/>
            </v:shape>
            <v:rect style="position:absolute;left:3506;top:1904;width:242;height:967" filled="true" fillcolor="#7c7e81" stroked="false">
              <v:fill type="solid"/>
            </v:rect>
            <v:shape style="position:absolute;left:0;top:11152;width:1510;height:773" coordorigin="0,11152" coordsize="1510,773" path="m3326,1710l4594,1710m3326,1323l4594,1323m3326,937l4836,937e" filled="false" stroked="true" strokeweight=".72pt" strokecolor="#989a9d">
              <v:path arrowok="t"/>
            </v:shape>
            <v:rect style="position:absolute;left:4594;top:937;width:242;height:1934" filled="true" fillcolor="#7c7e81" stroked="false">
              <v:fill type="solid"/>
            </v:rect>
            <v:rect style="position:absolute;left:3749;top:2485;width:242;height:386" filled="true" fillcolor="#bcbec0" stroked="false">
              <v:fill type="solid"/>
            </v:rect>
            <v:shape style="position:absolute;left:0;top:10765;width:4349;height:773" coordorigin="0,10765" coordsize="4349,773" path="m5078,1323l7675,1323m5078,937l7675,937m3326,551l7675,551e" filled="false" stroked="true" strokeweight=".72pt" strokecolor="#989a9d">
              <v:path arrowok="t"/>
            </v:shape>
            <v:shape style="position:absolute;left:4836;top:551;width:1330;height:2321" coordorigin="4836,551" coordsize="1330,2321" path="m5078,551l4836,551,4836,2871,5078,2871,5078,551m6166,2485l5923,2485,5923,2871,6166,2871,6166,2485e" filled="true" fillcolor="#bcbec0" stroked="false">
              <v:path arrowok="t"/>
              <v:fill type="solid"/>
            </v:shape>
            <v:rect style="position:absolute;left:3991;top:2677;width:240;height:194" filled="true" fillcolor="#949699" stroked="false">
              <v:fill type="solid"/>
            </v:rect>
            <v:shape style="position:absolute;left:1992;top:11925;width:2357;height:387" coordorigin="1992,11925" coordsize="2357,387" path="m5318,2096l7675,2096m5318,1710l7675,1710e" filled="false" stroked="true" strokeweight=".72pt" strokecolor="#989a9d">
              <v:path arrowok="t"/>
            </v:shape>
            <v:shape style="position:absolute;left:5078;top:1323;width:2415;height:1548" coordorigin="5078,1323" coordsize="2415,1548" path="m5318,1323l5078,1323,5078,2871,5318,2871,5318,1323m6406,2096l6166,2096,6166,2871,6406,2871,6406,2096m7493,2485l7253,2485,7253,2871,7493,2871,7493,2485e" filled="true" fillcolor="#949699" stroked="false">
              <v:path arrowok="t"/>
              <v:fill type="solid"/>
            </v:shape>
            <v:line style="position:absolute" from="3326,164" to="7675,164" stroked="true" strokeweight=".72pt" strokecolor="#989a9d"/>
            <v:shape style="position:absolute;left:-62;top:9993;width:63;height:2708" coordorigin="-62,9993" coordsize="63,2708" path="m3326,2871l3326,164m3264,2871l3326,2871m3264,2485l3326,2485m3264,2096l3326,2096m3264,1710l3326,1710m3264,1323l3326,1323m3264,937l3326,937m3264,551l3326,551m3264,164l3326,164e" filled="false" stroked="true" strokeweight=".72pt" strokecolor="#989a9d">
              <v:path arrowok="t"/>
            </v:shape>
            <v:rect style="position:absolute;left:6768;top:2677;width:242;height:194" filled="true" fillcolor="#7c7e81" stroked="false">
              <v:fill type="solid"/>
            </v:rect>
            <v:shape style="position:absolute;left:0;top:12700;width:4349;height:63" coordorigin="0,12700" coordsize="4349,63" path="m3326,2871l7675,2871m3326,2871l3326,2934m4414,2871l4414,2934m5501,2871l5501,2934m6588,2871l6588,2934m7675,2871l7675,2934e" filled="false" stroked="true" strokeweight=".72pt" strokecolor="#989a9d">
              <v:path arrowok="t"/>
            </v:shape>
            <w10:wrap type="none"/>
          </v:group>
        </w:pict>
      </w:r>
      <w:r>
        <w:rPr>
          <w:color w:val="231F20"/>
          <w:sz w:val="16"/>
        </w:rPr>
        <w:t>14</w:t>
      </w:r>
    </w:p>
    <w:p>
      <w:pPr>
        <w:pStyle w:val="BodyText"/>
        <w:rPr>
          <w:sz w:val="10"/>
        </w:rPr>
      </w:pPr>
    </w:p>
    <w:p>
      <w:pPr>
        <w:spacing w:before="69"/>
        <w:ind w:left="2937" w:right="2503" w:firstLine="0"/>
        <w:jc w:val="left"/>
        <w:rPr>
          <w:sz w:val="16"/>
        </w:rPr>
      </w:pPr>
      <w:r>
        <w:rPr>
          <w:color w:val="231F20"/>
          <w:sz w:val="16"/>
        </w:rPr>
        <w:t>12</w:t>
      </w:r>
    </w:p>
    <w:p>
      <w:pPr>
        <w:pStyle w:val="BodyText"/>
        <w:spacing w:before="8"/>
        <w:rPr>
          <w:sz w:val="15"/>
        </w:rPr>
      </w:pPr>
    </w:p>
    <w:p>
      <w:pPr>
        <w:tabs>
          <w:tab w:pos="8287" w:val="left" w:leader="none"/>
        </w:tabs>
        <w:spacing w:before="0"/>
        <w:ind w:left="2937" w:right="2503" w:firstLine="0"/>
        <w:jc w:val="left"/>
        <w:rPr>
          <w:sz w:val="16"/>
        </w:rPr>
      </w:pPr>
      <w:r>
        <w:rPr>
          <w:color w:val="231F20"/>
          <w:position w:val="10"/>
          <w:sz w:val="16"/>
        </w:rPr>
        <w:t>10</w:t>
        <w:tab/>
      </w:r>
      <w:r>
        <w:rPr>
          <w:color w:val="231F20"/>
          <w:sz w:val="16"/>
        </w:rPr>
        <w:t>Nivel</w:t>
      </w:r>
      <w:r>
        <w:rPr>
          <w:color w:val="231F20"/>
          <w:spacing w:val="12"/>
          <w:sz w:val="16"/>
        </w:rPr>
        <w:t> </w:t>
      </w:r>
      <w:r>
        <w:rPr>
          <w:color w:val="231F20"/>
          <w:sz w:val="16"/>
        </w:rPr>
        <w:t>de</w:t>
      </w:r>
    </w:p>
    <w:p>
      <w:pPr>
        <w:tabs>
          <w:tab w:pos="8151" w:val="left" w:leader="none"/>
        </w:tabs>
        <w:spacing w:before="95"/>
        <w:ind w:left="3038" w:right="2503" w:firstLine="0"/>
        <w:jc w:val="left"/>
        <w:rPr>
          <w:sz w:val="16"/>
        </w:rPr>
      </w:pPr>
      <w:r>
        <w:rPr/>
        <w:pict>
          <v:rect style="position:absolute;margin-left:399.720001pt;margin-top:11.177467pt;width:5.64pt;height:5.64pt;mso-position-horizontal-relative:page;mso-position-vertical-relative:paragraph;z-index:-491056" filled="true" fillcolor="#7c7e81" stroked="false">
            <v:fill type="solid"/>
            <w10:wrap type="none"/>
          </v:rect>
        </w:pict>
      </w:r>
      <w:r>
        <w:rPr>
          <w:color w:val="231F20"/>
          <w:position w:val="9"/>
          <w:sz w:val="16"/>
        </w:rPr>
        <w:t>8</w:t>
        <w:tab/>
      </w:r>
      <w:r>
        <w:rPr>
          <w:color w:val="231F20"/>
          <w:sz w:val="16"/>
        </w:rPr>
        <w:t>&lt;5:</w:t>
      </w:r>
      <w:r>
        <w:rPr>
          <w:color w:val="231F20"/>
          <w:spacing w:val="-7"/>
          <w:sz w:val="16"/>
        </w:rPr>
        <w:t> </w:t>
      </w:r>
      <w:r>
        <w:rPr>
          <w:color w:val="231F20"/>
          <w:sz w:val="16"/>
        </w:rPr>
        <w:t>Bajo</w:t>
      </w:r>
    </w:p>
    <w:p>
      <w:pPr>
        <w:tabs>
          <w:tab w:pos="8151" w:val="left" w:leader="none"/>
        </w:tabs>
        <w:spacing w:before="96"/>
        <w:ind w:left="3038" w:right="2503" w:firstLine="0"/>
        <w:jc w:val="left"/>
        <w:rPr>
          <w:sz w:val="16"/>
        </w:rPr>
      </w:pPr>
      <w:r>
        <w:rPr/>
        <w:pict>
          <v:rect style="position:absolute;margin-left:399.720001pt;margin-top:10.277704pt;width:5.64pt;height:5.52pt;mso-position-horizontal-relative:page;mso-position-vertical-relative:paragraph;z-index:-491032" filled="true" fillcolor="#bcbec0" stroked="false">
            <v:fill type="solid"/>
            <w10:wrap type="none"/>
          </v:rect>
        </w:pict>
      </w:r>
      <w:r>
        <w:rPr>
          <w:color w:val="231F20"/>
          <w:position w:val="7"/>
          <w:sz w:val="16"/>
        </w:rPr>
        <w:t>6</w:t>
        <w:tab/>
      </w:r>
      <w:r>
        <w:rPr>
          <w:color w:val="231F20"/>
          <w:sz w:val="16"/>
        </w:rPr>
        <w:t>5 a 9:</w:t>
      </w:r>
      <w:r>
        <w:rPr>
          <w:color w:val="231F20"/>
          <w:spacing w:val="-3"/>
          <w:sz w:val="16"/>
        </w:rPr>
        <w:t> </w:t>
      </w:r>
      <w:r>
        <w:rPr>
          <w:color w:val="231F20"/>
          <w:sz w:val="16"/>
        </w:rPr>
        <w:t>Medio</w:t>
      </w:r>
    </w:p>
    <w:p>
      <w:pPr>
        <w:tabs>
          <w:tab w:pos="8151" w:val="left" w:leader="none"/>
        </w:tabs>
        <w:spacing w:before="126"/>
        <w:ind w:left="3038" w:right="2503" w:firstLine="0"/>
        <w:jc w:val="left"/>
        <w:rPr>
          <w:sz w:val="16"/>
        </w:rPr>
      </w:pPr>
      <w:r>
        <w:rPr/>
        <w:pict>
          <v:rect style="position:absolute;margin-left:399.720001pt;margin-top:10.177301pt;width:5.64pt;height:5.64pt;mso-position-horizontal-relative:page;mso-position-vertical-relative:paragraph;z-index:-491008" filled="true" fillcolor="#949699" stroked="false">
            <v:fill type="solid"/>
            <w10:wrap type="none"/>
          </v:rect>
        </w:pict>
      </w:r>
      <w:r>
        <w:rPr>
          <w:color w:val="231F20"/>
          <w:position w:val="4"/>
          <w:sz w:val="16"/>
        </w:rPr>
        <w:t>4</w:t>
        <w:tab/>
      </w:r>
      <w:r>
        <w:rPr>
          <w:color w:val="231F20"/>
          <w:sz w:val="16"/>
        </w:rPr>
        <w:t>&gt;9:</w:t>
      </w:r>
      <w:r>
        <w:rPr>
          <w:color w:val="231F20"/>
          <w:spacing w:val="-7"/>
          <w:sz w:val="16"/>
        </w:rPr>
        <w:t> </w:t>
      </w:r>
      <w:r>
        <w:rPr>
          <w:color w:val="231F20"/>
          <w:sz w:val="16"/>
        </w:rPr>
        <w:t>Alto</w:t>
      </w:r>
    </w:p>
    <w:p>
      <w:pPr>
        <w:pStyle w:val="BodyText"/>
        <w:spacing w:before="1"/>
        <w:rPr>
          <w:sz w:val="12"/>
        </w:rPr>
      </w:pPr>
    </w:p>
    <w:p>
      <w:pPr>
        <w:spacing w:before="0"/>
        <w:ind w:left="3038" w:right="0" w:firstLine="0"/>
        <w:jc w:val="left"/>
        <w:rPr>
          <w:sz w:val="16"/>
        </w:rPr>
      </w:pPr>
      <w:r>
        <w:rPr>
          <w:color w:val="231F20"/>
          <w:w w:val="100"/>
          <w:sz w:val="16"/>
        </w:rPr>
        <w:t>2</w:t>
      </w:r>
    </w:p>
    <w:p>
      <w:pPr>
        <w:pStyle w:val="BodyText"/>
        <w:rPr>
          <w:sz w:val="10"/>
        </w:rPr>
      </w:pPr>
    </w:p>
    <w:p>
      <w:pPr>
        <w:spacing w:after="0"/>
        <w:rPr>
          <w:sz w:val="10"/>
        </w:rPr>
        <w:sectPr>
          <w:pgSz w:w="11900" w:h="14450"/>
          <w:pgMar w:header="0" w:footer="222" w:top="420" w:bottom="420" w:left="0" w:right="0"/>
        </w:sectPr>
      </w:pPr>
    </w:p>
    <w:p>
      <w:pPr>
        <w:spacing w:before="69"/>
        <w:ind w:left="0" w:right="1041" w:firstLine="0"/>
        <w:jc w:val="right"/>
        <w:rPr>
          <w:sz w:val="16"/>
        </w:rPr>
      </w:pPr>
      <w:r>
        <w:rPr>
          <w:color w:val="231F20"/>
          <w:w w:val="100"/>
          <w:sz w:val="16"/>
        </w:rPr>
        <w:t>0</w:t>
      </w:r>
    </w:p>
    <w:p>
      <w:pPr>
        <w:spacing w:line="184" w:lineRule="exact" w:before="70"/>
        <w:ind w:left="3498" w:right="-18" w:hanging="114"/>
        <w:jc w:val="left"/>
        <w:rPr>
          <w:sz w:val="16"/>
        </w:rPr>
      </w:pPr>
      <w:r>
        <w:rPr>
          <w:color w:val="231F20"/>
          <w:sz w:val="16"/>
        </w:rPr>
        <w:t>Sin Estudios Formales</w:t>
      </w:r>
    </w:p>
    <w:p>
      <w:pPr>
        <w:pStyle w:val="BodyText"/>
        <w:rPr>
          <w:sz w:val="16"/>
        </w:rPr>
      </w:pPr>
      <w:r>
        <w:rPr/>
        <w:br w:type="column"/>
      </w:r>
      <w:r>
        <w:rPr>
          <w:sz w:val="16"/>
        </w:rPr>
      </w:r>
    </w:p>
    <w:p>
      <w:pPr>
        <w:tabs>
          <w:tab w:pos="1390" w:val="left" w:leader="none"/>
          <w:tab w:pos="2669" w:val="left" w:leader="none"/>
        </w:tabs>
        <w:spacing w:line="184" w:lineRule="exact" w:before="139"/>
        <w:ind w:left="2580" w:right="4554" w:hanging="2170"/>
        <w:jc w:val="left"/>
        <w:rPr>
          <w:sz w:val="16"/>
        </w:rPr>
      </w:pPr>
      <w:r>
        <w:rPr>
          <w:color w:val="231F20"/>
          <w:sz w:val="16"/>
        </w:rPr>
        <w:t>Primaria</w:t>
        <w:tab/>
        <w:t>Secundaria</w:t>
        <w:tab/>
        <w:tab/>
        <w:t>Media Superior</w:t>
      </w:r>
    </w:p>
    <w:p>
      <w:pPr>
        <w:spacing w:after="0" w:line="184" w:lineRule="exact"/>
        <w:jc w:val="left"/>
        <w:rPr>
          <w:sz w:val="16"/>
        </w:rPr>
        <w:sectPr>
          <w:type w:val="continuous"/>
          <w:pgSz w:w="11900" w:h="14450"/>
          <w:pgMar w:top="420" w:bottom="420" w:left="0" w:right="0"/>
          <w:cols w:num="2" w:equalWidth="0">
            <w:col w:w="4163" w:space="40"/>
            <w:col w:w="7697"/>
          </w:cols>
        </w:sectPr>
      </w:pPr>
    </w:p>
    <w:p>
      <w:pPr>
        <w:spacing w:before="157"/>
        <w:ind w:left="1553" w:right="0" w:firstLine="0"/>
        <w:jc w:val="left"/>
        <w:rPr>
          <w:sz w:val="18"/>
        </w:rPr>
      </w:pPr>
      <w:r>
        <w:rPr>
          <w:color w:val="231F20"/>
          <w:sz w:val="18"/>
        </w:rPr>
        <w:t>Figura 5.       Distribución de los productores de ovinos por nivel tecnológico y escolaridad. (Fuente: elaboración propia.)</w:t>
      </w:r>
    </w:p>
    <w:p>
      <w:pPr>
        <w:pStyle w:val="BodyText"/>
        <w:spacing w:before="7"/>
        <w:rPr>
          <w:sz w:val="22"/>
        </w:rPr>
      </w:pPr>
    </w:p>
    <w:p>
      <w:pPr>
        <w:spacing w:after="0"/>
        <w:rPr>
          <w:sz w:val="22"/>
        </w:rPr>
        <w:sectPr>
          <w:type w:val="continuous"/>
          <w:pgSz w:w="11900" w:h="14450"/>
          <w:pgMar w:top="420" w:bottom="420" w:left="0" w:right="0"/>
        </w:sectPr>
      </w:pPr>
    </w:p>
    <w:p>
      <w:pPr>
        <w:pStyle w:val="BodyText"/>
        <w:spacing w:line="266" w:lineRule="auto" w:before="67"/>
        <w:ind w:left="1553"/>
        <w:jc w:val="both"/>
      </w:pPr>
      <w:r>
        <w:rPr>
          <w:color w:val="231F20"/>
        </w:rPr>
        <w:t>Lo anterior hace suponer que la ovinocultura sigue siendo considerada por los productores como una actividad complementaria a los ingresos derivados de la producción de granos, en particular de maíz,  y que los requerimientos de ésta para incrementar la producción se circunscriben a la aplicación de recursos monetarios para la adquisición de</w:t>
      </w:r>
      <w:r>
        <w:rPr>
          <w:color w:val="231F20"/>
          <w:spacing w:val="16"/>
        </w:rPr>
        <w:t> </w:t>
      </w:r>
      <w:r>
        <w:rPr>
          <w:color w:val="231F20"/>
        </w:rPr>
        <w:t>activos.</w:t>
      </w:r>
    </w:p>
    <w:p>
      <w:pPr>
        <w:pStyle w:val="BodyText"/>
        <w:spacing w:line="266" w:lineRule="auto" w:before="112"/>
        <w:ind w:left="1553"/>
        <w:jc w:val="both"/>
      </w:pPr>
      <w:r>
        <w:rPr>
          <w:color w:val="231F20"/>
        </w:rPr>
        <w:t>Sin embargo, esta actividad representa también una fuente de ocupación para los integrantes de la familia, complementa el ingreso económico fami- liar y permite establecer relaciones incipientes de organización al formar grupos de trabajo.</w:t>
      </w:r>
    </w:p>
    <w:p>
      <w:pPr>
        <w:pStyle w:val="BodyText"/>
        <w:spacing w:line="266" w:lineRule="auto" w:before="112"/>
        <w:ind w:left="1553"/>
        <w:jc w:val="both"/>
      </w:pPr>
      <w:r>
        <w:rPr>
          <w:color w:val="231F20"/>
        </w:rPr>
        <w:t>Se concluye que las mujeres son quienes más aplican la innovación; la formación de pequeños grupos de trabajo de naturaleza familiar o mixta, y satisfacer las necesidades de capacitación en los sistemas de producción ovina, pueden contribuir   al incremento del capital humano y en consecuen- cia a la generación de satisfactores hacia los que intervienen en dichos </w:t>
      </w:r>
      <w:r>
        <w:rPr>
          <w:color w:val="231F20"/>
          <w:spacing w:val="9"/>
        </w:rPr>
        <w:t> </w:t>
      </w:r>
      <w:r>
        <w:rPr>
          <w:color w:val="231F20"/>
        </w:rPr>
        <w:t>sistemas.</w:t>
      </w:r>
    </w:p>
    <w:p>
      <w:pPr>
        <w:pStyle w:val="BodyText"/>
        <w:spacing w:line="266" w:lineRule="auto" w:before="112"/>
        <w:ind w:left="1553"/>
        <w:jc w:val="both"/>
      </w:pPr>
      <w:r>
        <w:rPr>
          <w:color w:val="231F20"/>
        </w:rPr>
        <w:t>El estudio mostró que  la  innovación  tecnológica es interpretada por los productores de distintas formas. Se encontró que existen numerosas acep- ciones del término, igual que ocurre en la</w:t>
      </w:r>
      <w:r>
        <w:rPr>
          <w:color w:val="231F20"/>
          <w:spacing w:val="-10"/>
        </w:rPr>
        <w:t> </w:t>
      </w:r>
      <w:r>
        <w:rPr>
          <w:color w:val="231F20"/>
        </w:rPr>
        <w:t>literatura especializada. Una quinta parte de los </w:t>
      </w:r>
      <w:r>
        <w:rPr>
          <w:color w:val="231F20"/>
          <w:spacing w:val="3"/>
        </w:rPr>
        <w:t> </w:t>
      </w:r>
      <w:r>
        <w:rPr>
          <w:color w:val="231F20"/>
        </w:rPr>
        <w:t>productores</w:t>
      </w:r>
    </w:p>
    <w:p>
      <w:pPr>
        <w:pStyle w:val="BodyText"/>
        <w:spacing w:line="268" w:lineRule="auto" w:before="67"/>
        <w:ind w:left="412" w:right="1551"/>
        <w:jc w:val="both"/>
        <w:rPr>
          <w:i/>
        </w:rPr>
      </w:pPr>
      <w:r>
        <w:rPr/>
        <w:br w:type="column"/>
      </w:r>
      <w:r>
        <w:rPr>
          <w:color w:val="231F20"/>
          <w:spacing w:val="-3"/>
        </w:rPr>
        <w:t>(19,1%) </w:t>
      </w:r>
      <w:r>
        <w:rPr>
          <w:color w:val="231F20"/>
        </w:rPr>
        <w:t>expresaron no saber a qué se refiere el término, particularmente aquellos que no tienen estudios formales y los que han cursado sólo la primaria. Sin embargo, dentro de este último gru- po hay productores que interpretan la tecnología como algo que incrementa sus conocimientos </w:t>
      </w:r>
      <w:r>
        <w:rPr>
          <w:color w:val="231F20"/>
          <w:spacing w:val="-3"/>
        </w:rPr>
        <w:t>(19,1%) </w:t>
      </w:r>
      <w:r>
        <w:rPr>
          <w:color w:val="231F20"/>
        </w:rPr>
        <w:t>y otros cuya idea se relaciona con  que  ésta permite mejorar, ayuda a producir más con menos costo (6.4%), la considera cuestiones avanzadas de los procesos de producción (6,4%)     y que son procedimientos y conocimientos para solucionar problemas (6,4%). Algunos (4,3%) consideraron que es cara o que sustituye a la falta de experiencia (2,1%) (Fig. 6). Esta gran heteroge- neidad de conceptos, muy probablemente, podría ser la razón por la cual no existe una asociación directa con la cantidad de innovaciones que los productores aplican en sus sistemas. Además, se otorga mayor importancia a factores como la dis- ponibilidad de otras fuentes de ingresos o la ca- pacidad de invertir dinero en capacitación o si se dedica tiempo a ella, e incluso la pertenencia a un grupo de trabajo, los parentescos dentro del grupo y el número de integrantes de él; todos ellos fac- tores que proporcionan apoyo para la realización de la</w:t>
      </w:r>
      <w:r>
        <w:rPr>
          <w:color w:val="231F20"/>
          <w:spacing w:val="5"/>
        </w:rPr>
        <w:t> </w:t>
      </w:r>
      <w:r>
        <w:rPr>
          <w:color w:val="231F20"/>
        </w:rPr>
        <w:t>actividad</w:t>
      </w:r>
      <w:r>
        <w:rPr>
          <w:i/>
          <w:color w:val="231F20"/>
        </w:rPr>
        <w:t>.</w:t>
      </w:r>
    </w:p>
    <w:p>
      <w:pPr>
        <w:spacing w:after="0" w:line="268" w:lineRule="auto"/>
        <w:jc w:val="both"/>
        <w:sectPr>
          <w:type w:val="continuous"/>
          <w:pgSz w:w="11900" w:h="14450"/>
          <w:pgMar w:top="420" w:bottom="420" w:left="0" w:right="0"/>
          <w:cols w:num="2" w:equalWidth="0">
            <w:col w:w="5722" w:space="40"/>
            <w:col w:w="6138"/>
          </w:cols>
        </w:sectPr>
      </w:pPr>
    </w:p>
    <w:p>
      <w:pPr>
        <w:pStyle w:val="BodyText"/>
        <w:rPr>
          <w:i/>
        </w:rPr>
      </w:pPr>
    </w:p>
    <w:p>
      <w:pPr>
        <w:pStyle w:val="BodyText"/>
        <w:rPr>
          <w:i/>
        </w:rPr>
      </w:pPr>
    </w:p>
    <w:p>
      <w:pPr>
        <w:pStyle w:val="BodyText"/>
        <w:rPr>
          <w:i/>
          <w:sz w:val="17"/>
        </w:rPr>
      </w:pPr>
    </w:p>
    <w:p>
      <w:pPr>
        <w:tabs>
          <w:tab w:pos="10341" w:val="right" w:leader="none"/>
        </w:tabs>
        <w:spacing w:before="64"/>
        <w:ind w:left="1553" w:right="0" w:firstLine="0"/>
        <w:jc w:val="left"/>
        <w:rPr>
          <w:sz w:val="22"/>
        </w:rPr>
      </w:pPr>
      <w:r>
        <w:rPr/>
        <w:pict>
          <v:group style="position:absolute;margin-left:140.100616pt;margin-top:46.792068pt;width:312.5pt;height:188.6pt;mso-position-horizontal-relative:page;mso-position-vertical-relative:paragraph;z-index:-490984" coordorigin="2802,936" coordsize="6250,3772">
            <v:shape style="position:absolute;left:2881;top:1222;width:6163;height:3485" type="#_x0000_t75" stroked="false">
              <v:imagedata r:id="rId357" o:title=""/>
            </v:shape>
            <v:shape style="position:absolute;left:2945;top:6651;width:6235;height:3370" coordorigin="2945,6651" coordsize="6235,3370" path="m8795,2184l8954,1888,9044,1888m8228,4123l8261,4313,8351,4313m3106,3541l2900,3614,2810,3614m4089,1564l3256,1662,3166,1662m4520,1430l4201,943,4111,943m5799,1258l5870,1127e" filled="false" stroked="true" strokeweight=".75pt" strokecolor="#000000">
              <v:path arrowok="t"/>
            </v:shape>
            <w10:wrap type="none"/>
          </v:group>
        </w:pict>
      </w:r>
      <w:r>
        <w:rPr>
          <w:color w:val="231F20"/>
          <w:w w:val="105"/>
          <w:sz w:val="18"/>
        </w:rPr>
        <w:t>Capítulo </w:t>
      </w:r>
      <w:r>
        <w:rPr>
          <w:color w:val="231F20"/>
          <w:spacing w:val="-3"/>
          <w:w w:val="105"/>
          <w:sz w:val="18"/>
        </w:rPr>
        <w:t>12.  </w:t>
      </w:r>
      <w:r>
        <w:rPr>
          <w:color w:val="231F20"/>
          <w:w w:val="105"/>
          <w:sz w:val="18"/>
        </w:rPr>
        <w:t>Innovación tecnológica en sistemas campesinos de </w:t>
      </w:r>
      <w:r>
        <w:rPr>
          <w:color w:val="231F20"/>
          <w:spacing w:val="13"/>
          <w:w w:val="105"/>
          <w:sz w:val="18"/>
        </w:rPr>
        <w:t> </w:t>
      </w:r>
      <w:r>
        <w:rPr>
          <w:color w:val="231F20"/>
          <w:w w:val="105"/>
          <w:sz w:val="18"/>
        </w:rPr>
        <w:t>producción</w:t>
      </w:r>
      <w:r>
        <w:rPr>
          <w:color w:val="231F20"/>
          <w:spacing w:val="5"/>
          <w:w w:val="105"/>
          <w:sz w:val="18"/>
        </w:rPr>
        <w:t> </w:t>
      </w:r>
      <w:r>
        <w:rPr>
          <w:color w:val="231F20"/>
          <w:w w:val="105"/>
          <w:sz w:val="18"/>
        </w:rPr>
        <w:t>ovina...</w:t>
      </w:r>
      <w:r>
        <w:rPr>
          <w:color w:val="231F20"/>
          <w:w w:val="105"/>
          <w:sz w:val="22"/>
        </w:rPr>
        <w:tab/>
      </w:r>
      <w:r>
        <w:rPr>
          <w:color w:val="231F20"/>
          <w:spacing w:val="-3"/>
          <w:w w:val="105"/>
          <w:sz w:val="22"/>
        </w:rPr>
        <w:t>193</w:t>
      </w:r>
    </w:p>
    <w:p>
      <w:pPr>
        <w:spacing w:after="0"/>
        <w:jc w:val="left"/>
        <w:rPr>
          <w:sz w:val="22"/>
        </w:rPr>
        <w:sectPr>
          <w:pgSz w:w="11900" w:h="14450"/>
          <w:pgMar w:header="0" w:footer="222" w:top="420" w:bottom="420" w:left="0" w:right="0"/>
        </w:sectPr>
      </w:pPr>
    </w:p>
    <w:p>
      <w:pPr>
        <w:spacing w:before="416"/>
        <w:ind w:left="3031" w:right="-14" w:hanging="286"/>
        <w:jc w:val="left"/>
        <w:rPr>
          <w:rFonts w:ascii="Arial"/>
          <w:sz w:val="16"/>
        </w:rPr>
      </w:pPr>
      <w:r>
        <w:rPr>
          <w:rFonts w:ascii="Arial"/>
          <w:w w:val="85"/>
          <w:sz w:val="16"/>
        </w:rPr>
        <w:t>Tecnicas</w:t>
      </w:r>
      <w:r>
        <w:rPr>
          <w:rFonts w:ascii="Arial"/>
          <w:spacing w:val="-27"/>
          <w:w w:val="85"/>
          <w:sz w:val="16"/>
        </w:rPr>
        <w:t> </w:t>
      </w:r>
      <w:r>
        <w:rPr>
          <w:rFonts w:ascii="Arial"/>
          <w:w w:val="85"/>
          <w:sz w:val="16"/>
        </w:rPr>
        <w:t>para</w:t>
      </w:r>
      <w:r>
        <w:rPr>
          <w:rFonts w:ascii="Arial"/>
          <w:spacing w:val="-25"/>
          <w:w w:val="85"/>
          <w:sz w:val="16"/>
        </w:rPr>
        <w:t> </w:t>
      </w:r>
      <w:r>
        <w:rPr>
          <w:rFonts w:ascii="Arial"/>
          <w:w w:val="85"/>
          <w:sz w:val="16"/>
        </w:rPr>
        <w:t>producir </w:t>
      </w:r>
      <w:r>
        <w:rPr>
          <w:rFonts w:ascii="Arial"/>
          <w:w w:val="80"/>
          <w:sz w:val="16"/>
        </w:rPr>
        <w:t>y</w:t>
      </w:r>
      <w:r>
        <w:rPr>
          <w:rFonts w:ascii="Arial"/>
          <w:spacing w:val="14"/>
          <w:w w:val="80"/>
          <w:sz w:val="16"/>
        </w:rPr>
        <w:t> </w:t>
      </w:r>
      <w:r>
        <w:rPr>
          <w:rFonts w:ascii="Arial"/>
          <w:w w:val="80"/>
          <w:sz w:val="16"/>
        </w:rPr>
        <w:t>organizarte</w:t>
      </w:r>
    </w:p>
    <w:p>
      <w:pPr>
        <w:spacing w:before="220"/>
        <w:ind w:left="219" w:right="0" w:hanging="3"/>
        <w:jc w:val="center"/>
        <w:rPr>
          <w:rFonts w:ascii="Arial"/>
          <w:sz w:val="16"/>
        </w:rPr>
      </w:pPr>
      <w:r>
        <w:rPr/>
        <w:br w:type="column"/>
      </w:r>
      <w:r>
        <w:rPr>
          <w:rFonts w:ascii="Arial"/>
          <w:w w:val="90"/>
          <w:sz w:val="16"/>
        </w:rPr>
        <w:t>Procedimientos y </w:t>
      </w:r>
      <w:r>
        <w:rPr>
          <w:rFonts w:ascii="Arial"/>
          <w:w w:val="85"/>
          <w:sz w:val="16"/>
        </w:rPr>
        <w:t>Conocimientos para </w:t>
      </w:r>
      <w:r>
        <w:rPr>
          <w:rFonts w:ascii="Arial"/>
          <w:w w:val="80"/>
          <w:sz w:val="16"/>
        </w:rPr>
        <w:t>solucionar problemas</w:t>
      </w:r>
    </w:p>
    <w:p>
      <w:pPr>
        <w:spacing w:before="420"/>
        <w:ind w:left="264" w:right="-12" w:hanging="152"/>
        <w:jc w:val="left"/>
        <w:rPr>
          <w:rFonts w:ascii="Arial"/>
          <w:sz w:val="16"/>
        </w:rPr>
      </w:pPr>
      <w:r>
        <w:rPr/>
        <w:br w:type="column"/>
      </w:r>
      <w:r>
        <w:rPr>
          <w:rFonts w:ascii="Arial"/>
          <w:w w:val="85"/>
          <w:sz w:val="16"/>
        </w:rPr>
        <w:t>Sustiituye</w:t>
      </w:r>
      <w:r>
        <w:rPr>
          <w:rFonts w:ascii="Arial"/>
          <w:spacing w:val="-19"/>
          <w:w w:val="85"/>
          <w:sz w:val="16"/>
        </w:rPr>
        <w:t> </w:t>
      </w:r>
      <w:r>
        <w:rPr>
          <w:rFonts w:ascii="Arial"/>
          <w:w w:val="85"/>
          <w:sz w:val="16"/>
        </w:rPr>
        <w:t>la</w:t>
      </w:r>
      <w:r>
        <w:rPr>
          <w:rFonts w:ascii="Arial"/>
          <w:spacing w:val="-16"/>
          <w:w w:val="85"/>
          <w:sz w:val="16"/>
        </w:rPr>
        <w:t> </w:t>
      </w:r>
      <w:r>
        <w:rPr>
          <w:rFonts w:ascii="Arial"/>
          <w:w w:val="85"/>
          <w:sz w:val="16"/>
        </w:rPr>
        <w:t>falta</w:t>
      </w:r>
      <w:r>
        <w:rPr>
          <w:rFonts w:ascii="Arial"/>
          <w:spacing w:val="-16"/>
          <w:w w:val="85"/>
          <w:sz w:val="16"/>
        </w:rPr>
        <w:t> </w:t>
      </w:r>
      <w:r>
        <w:rPr>
          <w:rFonts w:ascii="Arial"/>
          <w:w w:val="85"/>
          <w:sz w:val="16"/>
        </w:rPr>
        <w:t>de </w:t>
      </w:r>
      <w:r>
        <w:rPr>
          <w:rFonts w:ascii="Arial"/>
          <w:w w:val="90"/>
          <w:sz w:val="16"/>
        </w:rPr>
        <w:t>Experiencia</w:t>
      </w:r>
    </w:p>
    <w:p>
      <w:pPr>
        <w:spacing w:line="106" w:lineRule="exact" w:before="684"/>
        <w:ind w:left="395" w:right="0" w:firstLine="0"/>
        <w:jc w:val="left"/>
        <w:rPr>
          <w:rFonts w:ascii="Arial"/>
          <w:sz w:val="16"/>
        </w:rPr>
      </w:pPr>
      <w:r>
        <w:rPr/>
        <w:br w:type="column"/>
      </w:r>
      <w:r>
        <w:rPr>
          <w:rFonts w:ascii="Arial"/>
          <w:w w:val="85"/>
          <w:sz w:val="16"/>
        </w:rPr>
        <w:t>No sabe</w:t>
      </w:r>
    </w:p>
    <w:p>
      <w:pPr>
        <w:spacing w:after="0" w:line="106" w:lineRule="exact"/>
        <w:jc w:val="left"/>
        <w:rPr>
          <w:rFonts w:ascii="Arial"/>
          <w:sz w:val="16"/>
        </w:rPr>
        <w:sectPr>
          <w:type w:val="continuous"/>
          <w:pgSz w:w="11900" w:h="14450"/>
          <w:pgMar w:top="420" w:bottom="420" w:left="0" w:right="0"/>
          <w:cols w:num="4" w:equalWidth="0">
            <w:col w:w="4083" w:space="40"/>
            <w:col w:w="1471" w:space="40"/>
            <w:col w:w="1287" w:space="40"/>
            <w:col w:w="4939"/>
          </w:cols>
        </w:sectPr>
      </w:pPr>
    </w:p>
    <w:p>
      <w:pPr>
        <w:tabs>
          <w:tab w:pos="3316" w:val="left" w:leader="none"/>
        </w:tabs>
        <w:spacing w:line="184" w:lineRule="exact" w:before="32"/>
        <w:ind w:left="2453" w:right="0" w:firstLine="72"/>
        <w:jc w:val="left"/>
        <w:rPr>
          <w:rFonts w:ascii="Arial" w:hAnsi="Arial"/>
          <w:sz w:val="16"/>
        </w:rPr>
      </w:pPr>
      <w:r>
        <w:rPr>
          <w:rFonts w:ascii="Arial" w:hAnsi="Arial"/>
          <w:w w:val="90"/>
          <w:sz w:val="16"/>
        </w:rPr>
        <w:t>Lo</w:t>
      </w:r>
      <w:r>
        <w:rPr>
          <w:rFonts w:ascii="Arial" w:hAnsi="Arial"/>
          <w:spacing w:val="-17"/>
          <w:w w:val="90"/>
          <w:sz w:val="16"/>
        </w:rPr>
        <w:t> </w:t>
      </w:r>
      <w:r>
        <w:rPr>
          <w:rFonts w:ascii="Arial" w:hAnsi="Arial"/>
          <w:w w:val="90"/>
          <w:sz w:val="16"/>
        </w:rPr>
        <w:t>más</w:t>
        <w:tab/>
      </w:r>
      <w:r>
        <w:rPr>
          <w:rFonts w:ascii="Arial" w:hAnsi="Arial"/>
          <w:w w:val="80"/>
          <w:position w:val="4"/>
          <w:sz w:val="16"/>
        </w:rPr>
        <w:t>2% </w:t>
      </w:r>
      <w:r>
        <w:rPr>
          <w:rFonts w:ascii="Arial" w:hAnsi="Arial"/>
          <w:w w:val="90"/>
          <w:sz w:val="16"/>
        </w:rPr>
        <w:t>avanzado</w:t>
      </w:r>
    </w:p>
    <w:p>
      <w:pPr>
        <w:spacing w:line="240" w:lineRule="auto" w:before="0"/>
        <w:ind w:left="2643" w:right="168" w:hanging="291"/>
        <w:jc w:val="left"/>
        <w:rPr>
          <w:rFonts w:ascii="Arial"/>
          <w:sz w:val="16"/>
        </w:rPr>
      </w:pPr>
      <w:r>
        <w:rPr>
          <w:rFonts w:ascii="Arial"/>
          <w:w w:val="85"/>
          <w:sz w:val="16"/>
        </w:rPr>
        <w:t>para producir </w:t>
      </w:r>
      <w:r>
        <w:rPr>
          <w:rFonts w:ascii="Arial"/>
          <w:w w:val="90"/>
          <w:sz w:val="16"/>
        </w:rPr>
        <w:t>4%</w:t>
      </w:r>
    </w:p>
    <w:p>
      <w:pPr>
        <w:tabs>
          <w:tab w:pos="2596" w:val="left" w:leader="none"/>
        </w:tabs>
        <w:spacing w:line="181" w:lineRule="exact" w:before="0"/>
        <w:ind w:left="1320" w:right="0" w:firstLine="0"/>
        <w:jc w:val="left"/>
        <w:rPr>
          <w:rFonts w:ascii="Arial"/>
          <w:sz w:val="16"/>
        </w:rPr>
      </w:pPr>
      <w:r>
        <w:rPr/>
        <w:br w:type="column"/>
      </w:r>
      <w:r>
        <w:rPr>
          <w:rFonts w:ascii="Arial"/>
          <w:w w:val="90"/>
          <w:position w:val="2"/>
          <w:sz w:val="16"/>
        </w:rPr>
        <w:t>6%</w:t>
        <w:tab/>
      </w:r>
      <w:r>
        <w:rPr>
          <w:rFonts w:ascii="Arial"/>
          <w:w w:val="80"/>
          <w:sz w:val="16"/>
        </w:rPr>
        <w:t>2%</w:t>
      </w:r>
    </w:p>
    <w:p>
      <w:pPr>
        <w:spacing w:before="78"/>
        <w:ind w:left="0" w:right="0" w:firstLine="0"/>
        <w:jc w:val="right"/>
        <w:rPr>
          <w:rFonts w:ascii="Arial"/>
          <w:sz w:val="16"/>
        </w:rPr>
      </w:pPr>
      <w:r>
        <w:rPr/>
        <w:br w:type="column"/>
      </w:r>
      <w:r>
        <w:rPr>
          <w:rFonts w:ascii="Arial"/>
          <w:w w:val="80"/>
          <w:sz w:val="16"/>
        </w:rPr>
        <w:t>19%</w:t>
      </w:r>
    </w:p>
    <w:p>
      <w:pPr>
        <w:spacing w:before="254"/>
        <w:ind w:left="898" w:right="2230" w:hanging="5"/>
        <w:jc w:val="center"/>
        <w:rPr>
          <w:rFonts w:ascii="Arial"/>
          <w:sz w:val="16"/>
        </w:rPr>
      </w:pPr>
      <w:r>
        <w:rPr/>
        <w:br w:type="column"/>
      </w:r>
      <w:r>
        <w:rPr>
          <w:rFonts w:ascii="Arial"/>
          <w:w w:val="90"/>
          <w:sz w:val="16"/>
        </w:rPr>
        <w:t>Ayuda a </w:t>
      </w:r>
      <w:r>
        <w:rPr>
          <w:rFonts w:ascii="Arial"/>
          <w:w w:val="80"/>
          <w:sz w:val="16"/>
        </w:rPr>
        <w:t>Disminuir Costos </w:t>
      </w:r>
      <w:r>
        <w:rPr>
          <w:rFonts w:ascii="Arial"/>
          <w:w w:val="90"/>
          <w:sz w:val="16"/>
        </w:rPr>
        <w:t>7%</w:t>
      </w:r>
    </w:p>
    <w:p>
      <w:pPr>
        <w:spacing w:after="0"/>
        <w:jc w:val="center"/>
        <w:rPr>
          <w:rFonts w:ascii="Arial"/>
          <w:sz w:val="16"/>
        </w:rPr>
        <w:sectPr>
          <w:type w:val="continuous"/>
          <w:pgSz w:w="11900" w:h="14450"/>
          <w:pgMar w:top="420" w:bottom="420" w:left="0" w:right="0"/>
          <w:cols w:num="4" w:equalWidth="0">
            <w:col w:w="3510" w:space="40"/>
            <w:col w:w="2790" w:space="40"/>
            <w:col w:w="1354" w:space="40"/>
            <w:col w:w="4126"/>
          </w:cols>
        </w:sectPr>
      </w:pPr>
    </w:p>
    <w:p>
      <w:pPr>
        <w:spacing w:before="2"/>
        <w:ind w:left="2258" w:right="8289" w:firstLine="0"/>
        <w:jc w:val="center"/>
        <w:rPr>
          <w:rFonts w:ascii="Arial" w:hAnsi="Arial"/>
          <w:sz w:val="16"/>
        </w:rPr>
      </w:pPr>
      <w:r>
        <w:rPr>
          <w:rFonts w:ascii="Arial" w:hAnsi="Arial"/>
          <w:w w:val="85"/>
          <w:sz w:val="16"/>
        </w:rPr>
        <w:t>Ayuda a producir más con menos costo 15%</w:t>
      </w:r>
    </w:p>
    <w:p>
      <w:pPr>
        <w:spacing w:after="0"/>
        <w:jc w:val="center"/>
        <w:rPr>
          <w:rFonts w:ascii="Arial" w:hAnsi="Arial"/>
          <w:sz w:val="16"/>
        </w:rPr>
        <w:sectPr>
          <w:type w:val="continuous"/>
          <w:pgSz w:w="11900" w:h="14450"/>
          <w:pgMar w:top="420" w:bottom="420" w:left="0" w:right="0"/>
        </w:sect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3"/>
        <w:rPr>
          <w:rFonts w:ascii="Arial"/>
          <w:sz w:val="21"/>
        </w:rPr>
      </w:pPr>
    </w:p>
    <w:p>
      <w:pPr>
        <w:spacing w:before="0"/>
        <w:ind w:left="2445" w:right="574" w:hanging="142"/>
        <w:jc w:val="left"/>
        <w:rPr>
          <w:rFonts w:ascii="Arial"/>
          <w:sz w:val="16"/>
        </w:rPr>
      </w:pPr>
      <w:r>
        <w:rPr>
          <w:rFonts w:ascii="Arial"/>
          <w:w w:val="85"/>
          <w:sz w:val="16"/>
        </w:rPr>
        <w:t>Es Cara </w:t>
      </w:r>
      <w:r>
        <w:rPr>
          <w:rFonts w:ascii="Arial"/>
          <w:w w:val="90"/>
          <w:sz w:val="16"/>
        </w:rPr>
        <w:t>4%</w:t>
      </w:r>
    </w:p>
    <w:p>
      <w:pPr>
        <w:pStyle w:val="BodyText"/>
        <w:rPr>
          <w:rFonts w:ascii="Arial"/>
          <w:sz w:val="16"/>
        </w:rPr>
      </w:pPr>
    </w:p>
    <w:p>
      <w:pPr>
        <w:spacing w:before="107"/>
        <w:ind w:left="2263" w:right="0" w:firstLine="0"/>
        <w:jc w:val="center"/>
        <w:rPr>
          <w:rFonts w:ascii="Arial"/>
          <w:sz w:val="16"/>
        </w:rPr>
      </w:pPr>
      <w:r>
        <w:rPr>
          <w:rFonts w:ascii="Arial"/>
          <w:w w:val="80"/>
          <w:sz w:val="16"/>
        </w:rPr>
        <w:t>Considera Cuestiones </w:t>
      </w:r>
      <w:r>
        <w:rPr>
          <w:rFonts w:ascii="Arial"/>
          <w:w w:val="90"/>
          <w:sz w:val="16"/>
        </w:rPr>
        <w:t>Avanzadas</w:t>
      </w:r>
    </w:p>
    <w:p>
      <w:pPr>
        <w:spacing w:line="182" w:lineRule="exact" w:before="0"/>
        <w:ind w:left="0" w:right="548" w:firstLine="0"/>
        <w:jc w:val="right"/>
        <w:rPr>
          <w:rFonts w:ascii="Arial"/>
          <w:sz w:val="16"/>
        </w:rPr>
      </w:pPr>
      <w:r>
        <w:rPr>
          <w:rFonts w:ascii="Arial"/>
          <w:w w:val="80"/>
          <w:sz w:val="16"/>
        </w:rPr>
        <w:t>7%</w:t>
      </w:r>
    </w:p>
    <w:p>
      <w:pPr>
        <w:pStyle w:val="BodyText"/>
        <w:rPr>
          <w:rFonts w:ascii="Arial"/>
          <w:sz w:val="16"/>
        </w:rPr>
      </w:pPr>
      <w:r>
        <w:rPr/>
        <w:br w:type="column"/>
      </w:r>
      <w:r>
        <w:rPr>
          <w:rFonts w:ascii="Arial"/>
          <w:sz w:val="16"/>
        </w:rPr>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10"/>
        <w:rPr>
          <w:rFonts w:ascii="Arial"/>
          <w:sz w:val="13"/>
        </w:rPr>
      </w:pPr>
    </w:p>
    <w:p>
      <w:pPr>
        <w:spacing w:before="0"/>
        <w:ind w:left="1904" w:right="0" w:hanging="2"/>
        <w:jc w:val="center"/>
        <w:rPr>
          <w:rFonts w:ascii="Arial"/>
          <w:sz w:val="16"/>
        </w:rPr>
      </w:pPr>
      <w:r>
        <w:rPr>
          <w:rFonts w:ascii="Arial"/>
          <w:w w:val="90"/>
          <w:sz w:val="16"/>
        </w:rPr>
        <w:t>Incrementa </w:t>
      </w:r>
      <w:r>
        <w:rPr>
          <w:rFonts w:ascii="Arial"/>
          <w:w w:val="80"/>
          <w:sz w:val="16"/>
        </w:rPr>
        <w:t>Conocimientos </w:t>
      </w:r>
      <w:r>
        <w:rPr>
          <w:rFonts w:ascii="Arial"/>
          <w:w w:val="90"/>
          <w:sz w:val="16"/>
        </w:rPr>
        <w:t>19%</w:t>
      </w:r>
    </w:p>
    <w:p>
      <w:pPr>
        <w:pStyle w:val="BodyText"/>
        <w:rPr>
          <w:rFonts w:ascii="Arial"/>
          <w:sz w:val="16"/>
        </w:rPr>
      </w:pPr>
      <w:r>
        <w:rPr/>
        <w:br w:type="column"/>
      </w:r>
      <w:r>
        <w:rPr>
          <w:rFonts w:ascii="Arial"/>
          <w:sz w:val="16"/>
        </w:rPr>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6"/>
        <w:rPr>
          <w:rFonts w:ascii="Arial"/>
          <w:sz w:val="16"/>
        </w:rPr>
      </w:pPr>
    </w:p>
    <w:p>
      <w:pPr>
        <w:spacing w:before="0"/>
        <w:ind w:left="2418" w:right="2124" w:firstLine="0"/>
        <w:jc w:val="center"/>
        <w:rPr>
          <w:rFonts w:ascii="Arial"/>
          <w:sz w:val="16"/>
        </w:rPr>
      </w:pPr>
      <w:r>
        <w:rPr>
          <w:rFonts w:ascii="Arial"/>
          <w:w w:val="80"/>
          <w:sz w:val="16"/>
        </w:rPr>
        <w:t>Permite Mejorar </w:t>
      </w:r>
      <w:r>
        <w:rPr>
          <w:rFonts w:ascii="Arial"/>
          <w:w w:val="90"/>
          <w:sz w:val="16"/>
        </w:rPr>
        <w:t>11%</w:t>
      </w:r>
    </w:p>
    <w:p>
      <w:pPr>
        <w:pStyle w:val="BodyText"/>
        <w:spacing w:before="4"/>
        <w:rPr>
          <w:rFonts w:ascii="Arial"/>
          <w:sz w:val="17"/>
        </w:rPr>
      </w:pPr>
    </w:p>
    <w:p>
      <w:pPr>
        <w:spacing w:before="1"/>
        <w:ind w:left="1949" w:right="2182" w:firstLine="0"/>
        <w:jc w:val="center"/>
        <w:rPr>
          <w:rFonts w:ascii="Arial"/>
          <w:sz w:val="16"/>
        </w:rPr>
      </w:pPr>
      <w:r>
        <w:rPr>
          <w:rFonts w:ascii="Arial"/>
          <w:w w:val="85"/>
          <w:sz w:val="16"/>
        </w:rPr>
        <w:t>Permite saber cuando realizar actividades </w:t>
      </w:r>
      <w:r>
        <w:rPr>
          <w:rFonts w:ascii="Arial"/>
          <w:w w:val="90"/>
          <w:sz w:val="16"/>
        </w:rPr>
        <w:t>4%</w:t>
      </w:r>
    </w:p>
    <w:p>
      <w:pPr>
        <w:spacing w:after="0"/>
        <w:jc w:val="center"/>
        <w:rPr>
          <w:rFonts w:ascii="Arial"/>
          <w:sz w:val="16"/>
        </w:rPr>
        <w:sectPr>
          <w:type w:val="continuous"/>
          <w:pgSz w:w="11900" w:h="14450"/>
          <w:pgMar w:top="420" w:bottom="420" w:left="0" w:right="0"/>
          <w:cols w:num="3" w:equalWidth="0">
            <w:col w:w="3557" w:space="40"/>
            <w:col w:w="2779" w:space="40"/>
            <w:col w:w="5484"/>
          </w:cols>
        </w:sectPr>
      </w:pPr>
    </w:p>
    <w:p>
      <w:pPr>
        <w:spacing w:before="150"/>
        <w:ind w:left="2282" w:right="0" w:firstLine="0"/>
        <w:jc w:val="left"/>
        <w:rPr>
          <w:sz w:val="18"/>
        </w:rPr>
      </w:pPr>
      <w:r>
        <w:rPr>
          <w:color w:val="231F20"/>
          <w:sz w:val="18"/>
        </w:rPr>
        <w:t>Figura 6.       Opinión de los productores de ovinos sobre la tecnología. (Fuente: elaboración propia.)</w:t>
      </w:r>
    </w:p>
    <w:p>
      <w:pPr>
        <w:pStyle w:val="BodyText"/>
      </w:pPr>
    </w:p>
    <w:p>
      <w:pPr>
        <w:pStyle w:val="BodyText"/>
      </w:pPr>
    </w:p>
    <w:p>
      <w:pPr>
        <w:pStyle w:val="BodyText"/>
        <w:spacing w:before="2"/>
        <w:rPr>
          <w:sz w:val="18"/>
        </w:rPr>
      </w:pPr>
    </w:p>
    <w:p>
      <w:pPr>
        <w:spacing w:after="0"/>
        <w:rPr>
          <w:sz w:val="18"/>
        </w:rPr>
        <w:sectPr>
          <w:type w:val="continuous"/>
          <w:pgSz w:w="11900" w:h="14450"/>
          <w:pgMar w:top="420" w:bottom="420" w:left="0" w:right="0"/>
        </w:sectPr>
      </w:pPr>
    </w:p>
    <w:p>
      <w:pPr>
        <w:pStyle w:val="BodyText"/>
        <w:spacing w:line="256" w:lineRule="auto" w:before="67"/>
        <w:ind w:left="1553"/>
        <w:jc w:val="both"/>
      </w:pPr>
      <w:r>
        <w:rPr>
          <w:color w:val="231F20"/>
        </w:rPr>
        <w:t>Lo anterior no quiere decir  que  los  productores no tengan claro qué  esperan  de  su  actividad  o  su ideal de ésta. El 30% consideró que su siste-    ma sería ideal si tuviera más borregos de los que actualmente posee, y un 39% consideró llegar a    su ideal cuando sus aspiraciones de mejores ani- males, bien cuidados y adecuadamente alimen- tados se hubiesen cumplido. Producir con mayor frecuencia (12,8%), y producir más y con mejor mercado (8,5%), también eran aspiraciones de los productores, aunque en menor grado. Pocos pro- ductores (2,1%) esperaban tener más maquinaria para optimizar tiempo y recursos, trabajar menos (4,3%) o tecnificar la producción (2,1%) (Fig. 7). Este ideal interpretado por los productores se re- laciona con una necesidad para  lograrlo,  la  cual en una gran proporción de productores (55,3%) estaba vinculada con la necesidad de dinero para invertir. Un </w:t>
      </w:r>
      <w:r>
        <w:rPr>
          <w:color w:val="231F20"/>
          <w:spacing w:val="-4"/>
        </w:rPr>
        <w:t>19,1% </w:t>
      </w:r>
      <w:r>
        <w:rPr>
          <w:color w:val="231F20"/>
        </w:rPr>
        <w:t>manifestó requerir mayores re- cursos alimenticios y un 8,5% de los productores exteriorizó necesitar un mejor</w:t>
      </w:r>
      <w:r>
        <w:rPr>
          <w:color w:val="231F20"/>
          <w:spacing w:val="25"/>
        </w:rPr>
        <w:t> </w:t>
      </w:r>
      <w:r>
        <w:rPr>
          <w:color w:val="231F20"/>
        </w:rPr>
        <w:t>mercado.</w:t>
      </w:r>
    </w:p>
    <w:p>
      <w:pPr>
        <w:pStyle w:val="BodyText"/>
        <w:spacing w:line="256" w:lineRule="auto" w:before="67"/>
        <w:ind w:left="413" w:right="1551"/>
        <w:jc w:val="both"/>
      </w:pPr>
      <w:r>
        <w:rPr/>
        <w:br w:type="column"/>
      </w:r>
      <w:r>
        <w:rPr>
          <w:color w:val="231F20"/>
        </w:rPr>
        <w:t>Es de destacar que  sólo  el  6,4%  expresó  reque- rir conocimientos y el </w:t>
      </w:r>
      <w:r>
        <w:rPr>
          <w:color w:val="231F20"/>
          <w:spacing w:val="-3"/>
        </w:rPr>
        <w:t>2,1%  </w:t>
      </w:r>
      <w:r>
        <w:rPr>
          <w:color w:val="231F20"/>
        </w:rPr>
        <w:t>asistencia  técnica.  Esto podría explicarse por el hecho de que fue-   ron aquellos que buscaban mejores instalaciones   y más borregos los que tenían como necesidad dinero para invertir. Los que consideraron su siste- ma como ideal si tuvieran mejores animales bien cuidados y alimentados, o si la producción fuera más frecuente, fueron los que necesitan conoci- mientos y asistencia técnica. Al respecto, Gigch (2006) concluyó que la toma de decisiones en los sistemas (en este caso la innovación tecnológica) viene determinada por la urgencia de satisfacer necesidades, que pueden variar de nivel o jerar- quía. Al no poder satisfacer todas las necesidades, los individuos seleccionan la meta que consideran más facil de lograr y la convierten en un deseo o aspiración. Por ello, es comprensible que el ideal del sistema para los productores tuvo que ver con un mayor número de activos que contribuyan a in- crementar el capital económico de la familia  </w:t>
      </w:r>
      <w:r>
        <w:rPr>
          <w:color w:val="231F20"/>
          <w:spacing w:val="36"/>
        </w:rPr>
        <w:t> </w:t>
      </w:r>
      <w:r>
        <w:rPr>
          <w:color w:val="231F20"/>
        </w:rPr>
        <w:t>(más</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194</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11"/>
        <w:rPr>
          <w:sz w:val="29"/>
        </w:rPr>
      </w:pPr>
    </w:p>
    <w:p>
      <w:pPr>
        <w:spacing w:after="0"/>
        <w:rPr>
          <w:sz w:val="29"/>
        </w:rPr>
        <w:sectPr>
          <w:pgSz w:w="11900" w:h="14450"/>
          <w:pgMar w:header="0" w:footer="222" w:top="420" w:bottom="420" w:left="0" w:right="0"/>
        </w:sectPr>
      </w:pPr>
    </w:p>
    <w:p>
      <w:pPr>
        <w:pStyle w:val="BodyText"/>
        <w:rPr>
          <w:sz w:val="16"/>
        </w:rPr>
      </w:pPr>
    </w:p>
    <w:p>
      <w:pPr>
        <w:pStyle w:val="BodyText"/>
        <w:spacing w:before="9"/>
        <w:rPr>
          <w:sz w:val="19"/>
        </w:rPr>
      </w:pPr>
    </w:p>
    <w:p>
      <w:pPr>
        <w:spacing w:line="242" w:lineRule="auto" w:before="1"/>
        <w:ind w:left="3346" w:right="0" w:firstLine="0"/>
        <w:jc w:val="center"/>
        <w:rPr>
          <w:rFonts w:ascii="Arial" w:hAnsi="Arial"/>
          <w:sz w:val="16"/>
        </w:rPr>
      </w:pPr>
      <w:r>
        <w:rPr>
          <w:rFonts w:ascii="Arial" w:hAnsi="Arial"/>
          <w:w w:val="85"/>
          <w:sz w:val="16"/>
        </w:rPr>
        <w:t>Producir</w:t>
      </w:r>
      <w:r>
        <w:rPr>
          <w:rFonts w:ascii="Arial" w:hAnsi="Arial"/>
          <w:spacing w:val="-20"/>
          <w:w w:val="85"/>
          <w:sz w:val="16"/>
        </w:rPr>
        <w:t> </w:t>
      </w:r>
      <w:r>
        <w:rPr>
          <w:rFonts w:ascii="Arial" w:hAnsi="Arial"/>
          <w:w w:val="85"/>
          <w:sz w:val="16"/>
        </w:rPr>
        <w:t>más</w:t>
      </w:r>
      <w:r>
        <w:rPr>
          <w:rFonts w:ascii="Arial" w:hAnsi="Arial"/>
          <w:w w:val="83"/>
          <w:sz w:val="16"/>
        </w:rPr>
        <w:t> </w:t>
      </w:r>
      <w:r>
        <w:rPr>
          <w:rFonts w:ascii="Arial" w:hAnsi="Arial"/>
          <w:w w:val="95"/>
          <w:sz w:val="16"/>
        </w:rPr>
        <w:t>Seguido 13%</w:t>
      </w:r>
    </w:p>
    <w:p>
      <w:pPr>
        <w:spacing w:line="244" w:lineRule="auto" w:before="83"/>
        <w:ind w:left="532" w:right="0" w:firstLine="0"/>
        <w:jc w:val="center"/>
        <w:rPr>
          <w:rFonts w:ascii="Arial" w:hAnsi="Arial"/>
          <w:sz w:val="16"/>
        </w:rPr>
      </w:pPr>
      <w:r>
        <w:rPr/>
        <w:br w:type="column"/>
      </w:r>
      <w:r>
        <w:rPr>
          <w:rFonts w:ascii="Arial" w:hAnsi="Arial"/>
          <w:w w:val="85"/>
          <w:sz w:val="16"/>
        </w:rPr>
        <w:t>Producir</w:t>
      </w:r>
      <w:r>
        <w:rPr>
          <w:rFonts w:ascii="Arial" w:hAnsi="Arial"/>
          <w:spacing w:val="-11"/>
          <w:w w:val="85"/>
          <w:sz w:val="16"/>
        </w:rPr>
        <w:t> </w:t>
      </w:r>
      <w:r>
        <w:rPr>
          <w:rFonts w:ascii="Arial" w:hAnsi="Arial"/>
          <w:w w:val="85"/>
          <w:sz w:val="16"/>
        </w:rPr>
        <w:t>Más</w:t>
      </w:r>
      <w:r>
        <w:rPr>
          <w:rFonts w:ascii="Arial" w:hAnsi="Arial"/>
          <w:spacing w:val="-10"/>
          <w:w w:val="85"/>
          <w:sz w:val="16"/>
        </w:rPr>
        <w:t> </w:t>
      </w:r>
      <w:r>
        <w:rPr>
          <w:rFonts w:ascii="Arial" w:hAnsi="Arial"/>
          <w:w w:val="85"/>
          <w:sz w:val="16"/>
        </w:rPr>
        <w:t>y</w:t>
      </w:r>
      <w:r>
        <w:rPr>
          <w:rFonts w:ascii="Arial" w:hAnsi="Arial"/>
          <w:spacing w:val="-9"/>
          <w:w w:val="85"/>
          <w:sz w:val="16"/>
        </w:rPr>
        <w:t> </w:t>
      </w:r>
      <w:r>
        <w:rPr>
          <w:rFonts w:ascii="Arial" w:hAnsi="Arial"/>
          <w:w w:val="85"/>
          <w:sz w:val="16"/>
        </w:rPr>
        <w:t>con Mejor</w:t>
      </w:r>
      <w:r>
        <w:rPr>
          <w:rFonts w:ascii="Arial" w:hAnsi="Arial"/>
          <w:spacing w:val="-24"/>
          <w:w w:val="85"/>
          <w:sz w:val="16"/>
        </w:rPr>
        <w:t> </w:t>
      </w:r>
      <w:r>
        <w:rPr>
          <w:rFonts w:ascii="Arial" w:hAnsi="Arial"/>
          <w:w w:val="85"/>
          <w:sz w:val="16"/>
        </w:rPr>
        <w:t>Mercado</w:t>
      </w:r>
    </w:p>
    <w:p>
      <w:pPr>
        <w:spacing w:line="182" w:lineRule="exact" w:before="0"/>
        <w:ind w:left="540" w:right="0" w:firstLine="0"/>
        <w:jc w:val="center"/>
        <w:rPr>
          <w:rFonts w:ascii="Arial"/>
          <w:sz w:val="16"/>
        </w:rPr>
      </w:pPr>
      <w:r>
        <w:rPr/>
        <w:pict>
          <v:group style="position:absolute;margin-left:169.715393pt;margin-top:.888604pt;width:273.6pt;height:175.95pt;mso-position-horizontal-relative:page;mso-position-vertical-relative:paragraph;z-index:-490960" coordorigin="3394,18" coordsize="5472,3519">
            <v:shape style="position:absolute;left:3394;top:18;width:5472;height:3519" type="#_x0000_t75" stroked="false">
              <v:imagedata r:id="rId358" o:title=""/>
            </v:shape>
            <v:shape style="position:absolute;left:2859;top:4616;width:5045;height:3430" coordorigin="2859,4616" coordsize="5045,3430" path="m7443,379l7512,252,7585,252m3476,1314l3476,2868,3476,2942m4199,606l3973,503,3899,503m5532,249l5472,148,5399,148e" filled="false" stroked="true" strokeweight=".610882pt" strokecolor="#000000">
              <v:path arrowok="t"/>
            </v:shape>
            <w10:wrap type="none"/>
          </v:group>
        </w:pict>
      </w:r>
      <w:r>
        <w:rPr>
          <w:rFonts w:ascii="Arial"/>
          <w:w w:val="95"/>
          <w:sz w:val="16"/>
        </w:rPr>
        <w:t>8%</w:t>
      </w:r>
    </w:p>
    <w:p>
      <w:pPr>
        <w:pStyle w:val="BodyText"/>
        <w:rPr>
          <w:rFonts w:ascii="Arial"/>
          <w:sz w:val="21"/>
        </w:rPr>
      </w:pPr>
      <w:r>
        <w:rPr/>
        <w:br w:type="column"/>
      </w:r>
      <w:r>
        <w:rPr>
          <w:rFonts w:ascii="Arial"/>
          <w:sz w:val="21"/>
        </w:rPr>
      </w:r>
    </w:p>
    <w:p>
      <w:pPr>
        <w:spacing w:line="158" w:lineRule="exact" w:before="0"/>
        <w:ind w:left="5" w:right="0" w:firstLine="0"/>
        <w:jc w:val="left"/>
        <w:rPr>
          <w:rFonts w:ascii="Arial"/>
          <w:sz w:val="16"/>
        </w:rPr>
      </w:pPr>
      <w:r>
        <w:rPr>
          <w:rFonts w:ascii="Arial"/>
          <w:w w:val="85"/>
          <w:sz w:val="16"/>
        </w:rPr>
        <w:t>Menos Trabajo</w:t>
      </w:r>
    </w:p>
    <w:p>
      <w:pPr>
        <w:tabs>
          <w:tab w:pos="1880" w:val="left" w:leader="none"/>
        </w:tabs>
        <w:spacing w:line="190" w:lineRule="exact" w:before="0"/>
        <w:ind w:left="356" w:right="0" w:firstLine="0"/>
        <w:jc w:val="left"/>
        <w:rPr>
          <w:rFonts w:ascii="Arial"/>
          <w:sz w:val="16"/>
        </w:rPr>
      </w:pPr>
      <w:r>
        <w:rPr>
          <w:rFonts w:ascii="Arial"/>
          <w:w w:val="95"/>
          <w:position w:val="-5"/>
          <w:sz w:val="16"/>
        </w:rPr>
        <w:t>2%</w:t>
        <w:tab/>
      </w:r>
      <w:r>
        <w:rPr>
          <w:rFonts w:ascii="Arial"/>
          <w:w w:val="95"/>
          <w:sz w:val="16"/>
        </w:rPr>
        <w:t>Mejores</w:t>
      </w:r>
    </w:p>
    <w:p>
      <w:pPr>
        <w:spacing w:line="156" w:lineRule="exact" w:before="0"/>
        <w:ind w:left="1656" w:right="3433" w:firstLine="0"/>
        <w:jc w:val="center"/>
        <w:rPr>
          <w:rFonts w:ascii="Arial"/>
          <w:sz w:val="16"/>
        </w:rPr>
      </w:pPr>
      <w:r>
        <w:rPr>
          <w:rFonts w:ascii="Arial"/>
          <w:w w:val="95"/>
          <w:sz w:val="16"/>
        </w:rPr>
        <w:t>Instalaciones</w:t>
      </w:r>
    </w:p>
    <w:p>
      <w:pPr>
        <w:spacing w:before="1"/>
        <w:ind w:left="1656" w:right="3426" w:firstLine="0"/>
        <w:jc w:val="center"/>
        <w:rPr>
          <w:rFonts w:ascii="Arial"/>
          <w:sz w:val="16"/>
        </w:rPr>
      </w:pPr>
      <w:r>
        <w:rPr>
          <w:rFonts w:ascii="Arial"/>
          <w:w w:val="95"/>
          <w:sz w:val="16"/>
        </w:rPr>
        <w:t>15%</w:t>
      </w:r>
    </w:p>
    <w:p>
      <w:pPr>
        <w:spacing w:after="0"/>
        <w:jc w:val="center"/>
        <w:rPr>
          <w:rFonts w:ascii="Arial"/>
          <w:sz w:val="16"/>
        </w:rPr>
        <w:sectPr>
          <w:type w:val="continuous"/>
          <w:pgSz w:w="11900" w:h="14450"/>
          <w:pgMar w:top="420" w:bottom="420" w:left="0" w:right="0"/>
          <w:cols w:num="3" w:equalWidth="0">
            <w:col w:w="4130" w:space="40"/>
            <w:col w:w="1673" w:space="40"/>
            <w:col w:w="6017"/>
          </w:cols>
        </w:sectPr>
      </w:pPr>
    </w:p>
    <w:p>
      <w:pPr>
        <w:pStyle w:val="BodyText"/>
        <w:rPr>
          <w:rFonts w:ascii="Arial"/>
          <w:sz w:val="13"/>
        </w:rPr>
      </w:pPr>
    </w:p>
    <w:p>
      <w:pPr>
        <w:spacing w:line="242" w:lineRule="auto" w:before="0"/>
        <w:ind w:left="2828" w:right="8289" w:firstLine="0"/>
        <w:jc w:val="center"/>
        <w:rPr>
          <w:rFonts w:ascii="Arial" w:hAnsi="Arial"/>
          <w:sz w:val="16"/>
        </w:rPr>
      </w:pPr>
      <w:r>
        <w:rPr>
          <w:rFonts w:ascii="Arial" w:hAnsi="Arial"/>
          <w:w w:val="85"/>
          <w:sz w:val="16"/>
        </w:rPr>
        <w:t>Tecnificar la Producción </w:t>
      </w:r>
      <w:r>
        <w:rPr>
          <w:rFonts w:ascii="Arial" w:hAnsi="Arial"/>
          <w:w w:val="95"/>
          <w:sz w:val="16"/>
        </w:rPr>
        <w:t>2%</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3"/>
        <w:rPr>
          <w:rFonts w:ascii="Arial"/>
          <w:sz w:val="24"/>
        </w:rPr>
      </w:pPr>
    </w:p>
    <w:p>
      <w:pPr>
        <w:spacing w:after="0"/>
        <w:rPr>
          <w:rFonts w:ascii="Arial"/>
          <w:sz w:val="24"/>
        </w:rPr>
        <w:sectPr>
          <w:type w:val="continuous"/>
          <w:pgSz w:w="11900" w:h="14450"/>
          <w:pgMar w:top="420" w:bottom="420" w:left="0" w:right="0"/>
        </w:sectPr>
      </w:pPr>
    </w:p>
    <w:p>
      <w:pPr>
        <w:pStyle w:val="BodyText"/>
        <w:spacing w:before="7"/>
        <w:rPr>
          <w:rFonts w:ascii="Arial"/>
          <w:sz w:val="22"/>
        </w:rPr>
      </w:pPr>
    </w:p>
    <w:p>
      <w:pPr>
        <w:spacing w:line="244" w:lineRule="auto" w:before="0"/>
        <w:ind w:left="2858" w:right="0" w:hanging="1"/>
        <w:jc w:val="center"/>
        <w:rPr>
          <w:rFonts w:ascii="Arial" w:hAnsi="Arial"/>
          <w:sz w:val="16"/>
        </w:rPr>
      </w:pPr>
      <w:r>
        <w:rPr>
          <w:rFonts w:ascii="Arial" w:hAnsi="Arial"/>
          <w:w w:val="90"/>
          <w:sz w:val="16"/>
        </w:rPr>
        <w:t>Más Maquinaria </w:t>
      </w:r>
      <w:r>
        <w:rPr>
          <w:rFonts w:ascii="Arial" w:hAnsi="Arial"/>
          <w:w w:val="95"/>
          <w:sz w:val="16"/>
        </w:rPr>
        <w:t>para Optmizar </w:t>
      </w:r>
      <w:r>
        <w:rPr>
          <w:rFonts w:ascii="Arial" w:hAnsi="Arial"/>
          <w:w w:val="85"/>
          <w:sz w:val="16"/>
        </w:rPr>
        <w:t>Tiempo</w:t>
      </w:r>
      <w:r>
        <w:rPr>
          <w:rFonts w:ascii="Arial" w:hAnsi="Arial"/>
          <w:spacing w:val="-16"/>
          <w:w w:val="85"/>
          <w:sz w:val="16"/>
        </w:rPr>
        <w:t> </w:t>
      </w:r>
      <w:r>
        <w:rPr>
          <w:rFonts w:ascii="Arial" w:hAnsi="Arial"/>
          <w:w w:val="85"/>
          <w:sz w:val="16"/>
        </w:rPr>
        <w:t>y</w:t>
      </w:r>
      <w:r>
        <w:rPr>
          <w:rFonts w:ascii="Arial" w:hAnsi="Arial"/>
          <w:spacing w:val="-16"/>
          <w:w w:val="85"/>
          <w:sz w:val="16"/>
        </w:rPr>
        <w:t> </w:t>
      </w:r>
      <w:r>
        <w:rPr>
          <w:rFonts w:ascii="Arial" w:hAnsi="Arial"/>
          <w:w w:val="85"/>
          <w:sz w:val="16"/>
        </w:rPr>
        <w:t>Recursos </w:t>
      </w:r>
      <w:r>
        <w:rPr>
          <w:rFonts w:ascii="Arial" w:hAnsi="Arial"/>
          <w:w w:val="95"/>
          <w:sz w:val="16"/>
        </w:rPr>
        <w:t>4%</w:t>
      </w:r>
    </w:p>
    <w:p>
      <w:pPr>
        <w:pStyle w:val="BodyText"/>
        <w:rPr>
          <w:rFonts w:ascii="Arial"/>
          <w:sz w:val="16"/>
        </w:rPr>
      </w:pPr>
      <w:r>
        <w:rPr/>
        <w:br w:type="column"/>
      </w:r>
      <w:r>
        <w:rPr>
          <w:rFonts w:ascii="Arial"/>
          <w:sz w:val="16"/>
        </w:rPr>
      </w:r>
    </w:p>
    <w:p>
      <w:pPr>
        <w:pStyle w:val="BodyText"/>
        <w:rPr>
          <w:rFonts w:ascii="Arial"/>
          <w:sz w:val="16"/>
        </w:rPr>
      </w:pPr>
    </w:p>
    <w:p>
      <w:pPr>
        <w:pStyle w:val="BodyText"/>
        <w:spacing w:before="8"/>
        <w:rPr>
          <w:rFonts w:ascii="Arial"/>
          <w:sz w:val="15"/>
        </w:rPr>
      </w:pPr>
    </w:p>
    <w:p>
      <w:pPr>
        <w:spacing w:line="242" w:lineRule="auto" w:before="0"/>
        <w:ind w:left="711" w:right="0" w:firstLine="0"/>
        <w:jc w:val="center"/>
        <w:rPr>
          <w:rFonts w:ascii="Arial"/>
          <w:sz w:val="16"/>
        </w:rPr>
      </w:pPr>
      <w:r>
        <w:rPr>
          <w:rFonts w:ascii="Arial"/>
          <w:w w:val="80"/>
          <w:sz w:val="16"/>
        </w:rPr>
        <w:t>Mejores Animales, </w:t>
      </w:r>
      <w:r>
        <w:rPr>
          <w:rFonts w:ascii="Arial"/>
          <w:w w:val="90"/>
          <w:sz w:val="16"/>
        </w:rPr>
        <w:t>Bien Cuidados y </w:t>
      </w:r>
      <w:r>
        <w:rPr>
          <w:rFonts w:ascii="Arial"/>
          <w:w w:val="95"/>
          <w:sz w:val="16"/>
        </w:rPr>
        <w:t>Alimentados</w:t>
      </w:r>
    </w:p>
    <w:p>
      <w:pPr>
        <w:spacing w:before="2"/>
        <w:ind w:left="717" w:right="0" w:firstLine="0"/>
        <w:jc w:val="center"/>
        <w:rPr>
          <w:rFonts w:ascii="Arial"/>
          <w:sz w:val="16"/>
        </w:rPr>
      </w:pPr>
      <w:r>
        <w:rPr>
          <w:rFonts w:ascii="Arial"/>
          <w:w w:val="95"/>
          <w:sz w:val="16"/>
        </w:rPr>
        <w:t>28%</w:t>
      </w:r>
    </w:p>
    <w:p>
      <w:pPr>
        <w:spacing w:line="244" w:lineRule="auto" w:before="83"/>
        <w:ind w:left="2168" w:right="2960" w:firstLine="0"/>
        <w:jc w:val="center"/>
        <w:rPr>
          <w:rFonts w:ascii="Arial" w:hAnsi="Arial"/>
          <w:sz w:val="16"/>
        </w:rPr>
      </w:pPr>
      <w:r>
        <w:rPr/>
        <w:br w:type="column"/>
      </w:r>
      <w:r>
        <w:rPr>
          <w:rFonts w:ascii="Arial" w:hAnsi="Arial"/>
          <w:w w:val="85"/>
          <w:sz w:val="16"/>
        </w:rPr>
        <w:t>Más Borregos </w:t>
      </w:r>
      <w:r>
        <w:rPr>
          <w:rFonts w:ascii="Arial" w:hAnsi="Arial"/>
          <w:w w:val="95"/>
          <w:sz w:val="16"/>
        </w:rPr>
        <w:t>28%</w:t>
      </w:r>
    </w:p>
    <w:p>
      <w:pPr>
        <w:spacing w:after="0" w:line="244" w:lineRule="auto"/>
        <w:jc w:val="center"/>
        <w:rPr>
          <w:rFonts w:ascii="Arial" w:hAnsi="Arial"/>
          <w:sz w:val="16"/>
        </w:rPr>
        <w:sectPr>
          <w:type w:val="continuous"/>
          <w:pgSz w:w="11900" w:h="14450"/>
          <w:pgMar w:top="420" w:bottom="420" w:left="0" w:right="0"/>
          <w:cols w:num="3" w:equalWidth="0">
            <w:col w:w="4006" w:space="40"/>
            <w:col w:w="1805" w:space="40"/>
            <w:col w:w="6009"/>
          </w:cols>
        </w:sectPr>
      </w:pPr>
    </w:p>
    <w:p>
      <w:pPr>
        <w:spacing w:before="134"/>
        <w:ind w:left="2382" w:right="0" w:firstLine="0"/>
        <w:jc w:val="left"/>
        <w:rPr>
          <w:sz w:val="18"/>
        </w:rPr>
      </w:pPr>
      <w:r>
        <w:rPr>
          <w:color w:val="231F20"/>
          <w:sz w:val="18"/>
        </w:rPr>
        <w:t>Figura 7.          Visión del sistema ideal para los productores de ovinos. (Fuente: elaboración propia.)</w:t>
      </w:r>
    </w:p>
    <w:p>
      <w:pPr>
        <w:pStyle w:val="BodyText"/>
      </w:pPr>
    </w:p>
    <w:p>
      <w:pPr>
        <w:pStyle w:val="BodyText"/>
      </w:pPr>
    </w:p>
    <w:p>
      <w:pPr>
        <w:pStyle w:val="BodyText"/>
        <w:spacing w:before="6"/>
        <w:rPr>
          <w:sz w:val="25"/>
        </w:rPr>
      </w:pPr>
    </w:p>
    <w:p>
      <w:pPr>
        <w:spacing w:after="0"/>
        <w:rPr>
          <w:sz w:val="25"/>
        </w:rPr>
        <w:sectPr>
          <w:type w:val="continuous"/>
          <w:pgSz w:w="11900" w:h="14450"/>
          <w:pgMar w:top="420" w:bottom="420" w:left="0" w:right="0"/>
        </w:sectPr>
      </w:pPr>
    </w:p>
    <w:p>
      <w:pPr>
        <w:pStyle w:val="BodyText"/>
        <w:spacing w:line="264" w:lineRule="auto" w:before="68"/>
        <w:ind w:left="1553"/>
        <w:jc w:val="both"/>
      </w:pPr>
      <w:r>
        <w:rPr>
          <w:color w:val="231F20"/>
        </w:rPr>
        <w:t>borregos, bien cuidados y alimentados, etc.), y en consecuencia con la nesecidad de dinero para in- vertir.</w:t>
      </w:r>
    </w:p>
    <w:p>
      <w:pPr>
        <w:pStyle w:val="BodyText"/>
        <w:spacing w:line="264" w:lineRule="auto" w:before="114"/>
        <w:ind w:left="1553"/>
        <w:jc w:val="both"/>
      </w:pPr>
      <w:r>
        <w:rPr>
          <w:color w:val="231F20"/>
          <w:w w:val="105"/>
        </w:rPr>
        <w:t>Los</w:t>
      </w:r>
      <w:r>
        <w:rPr>
          <w:color w:val="231F20"/>
          <w:spacing w:val="-10"/>
          <w:w w:val="105"/>
        </w:rPr>
        <w:t> </w:t>
      </w:r>
      <w:r>
        <w:rPr>
          <w:color w:val="231F20"/>
          <w:w w:val="105"/>
        </w:rPr>
        <w:t>productores</w:t>
      </w:r>
      <w:r>
        <w:rPr>
          <w:color w:val="231F20"/>
          <w:spacing w:val="-10"/>
          <w:w w:val="105"/>
        </w:rPr>
        <w:t> </w:t>
      </w:r>
      <w:r>
        <w:rPr>
          <w:color w:val="231F20"/>
          <w:w w:val="105"/>
        </w:rPr>
        <w:t>consideraron</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concepto</w:t>
      </w:r>
      <w:r>
        <w:rPr>
          <w:color w:val="231F20"/>
          <w:spacing w:val="-10"/>
          <w:w w:val="105"/>
        </w:rPr>
        <w:t> </w:t>
      </w:r>
      <w:r>
        <w:rPr>
          <w:color w:val="231F20"/>
          <w:w w:val="105"/>
        </w:rPr>
        <w:t>de sistema ideal se relaciona con el apoyo que pue- den obtener a través de sus relaciones de paren- tesco</w:t>
      </w:r>
      <w:r>
        <w:rPr>
          <w:color w:val="231F20"/>
          <w:spacing w:val="-9"/>
          <w:w w:val="105"/>
        </w:rPr>
        <w:t> </w:t>
      </w:r>
      <w:r>
        <w:rPr>
          <w:color w:val="231F20"/>
          <w:w w:val="105"/>
        </w:rPr>
        <w:t>entre</w:t>
      </w:r>
      <w:r>
        <w:rPr>
          <w:color w:val="231F20"/>
          <w:spacing w:val="-9"/>
          <w:w w:val="105"/>
        </w:rPr>
        <w:t> </w:t>
      </w:r>
      <w:r>
        <w:rPr>
          <w:color w:val="231F20"/>
          <w:w w:val="105"/>
        </w:rPr>
        <w:t>los</w:t>
      </w:r>
      <w:r>
        <w:rPr>
          <w:color w:val="231F20"/>
          <w:spacing w:val="-9"/>
          <w:w w:val="105"/>
        </w:rPr>
        <w:t> </w:t>
      </w:r>
      <w:r>
        <w:rPr>
          <w:color w:val="231F20"/>
          <w:w w:val="105"/>
        </w:rPr>
        <w:t>involucrados</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ovinocultura.</w:t>
      </w:r>
      <w:r>
        <w:rPr>
          <w:color w:val="231F20"/>
          <w:spacing w:val="-9"/>
          <w:w w:val="105"/>
        </w:rPr>
        <w:t> </w:t>
      </w:r>
      <w:r>
        <w:rPr>
          <w:color w:val="231F20"/>
          <w:w w:val="105"/>
        </w:rPr>
        <w:t>El 76,6% involucra a sus hijos y esposas en la activi- dad,</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claramente</w:t>
      </w:r>
      <w:r>
        <w:rPr>
          <w:color w:val="231F20"/>
          <w:spacing w:val="-12"/>
          <w:w w:val="105"/>
        </w:rPr>
        <w:t> </w:t>
      </w:r>
      <w:r>
        <w:rPr>
          <w:color w:val="231F20"/>
          <w:w w:val="105"/>
        </w:rPr>
        <w:t>deja</w:t>
      </w:r>
      <w:r>
        <w:rPr>
          <w:color w:val="231F20"/>
          <w:spacing w:val="-12"/>
          <w:w w:val="105"/>
        </w:rPr>
        <w:t> </w:t>
      </w:r>
      <w:r>
        <w:rPr>
          <w:color w:val="231F20"/>
          <w:w w:val="105"/>
        </w:rPr>
        <w:t>de</w:t>
      </w:r>
      <w:r>
        <w:rPr>
          <w:color w:val="231F20"/>
          <w:spacing w:val="-12"/>
          <w:w w:val="105"/>
        </w:rPr>
        <w:t> </w:t>
      </w:r>
      <w:r>
        <w:rPr>
          <w:color w:val="231F20"/>
          <w:w w:val="105"/>
        </w:rPr>
        <w:t>manifiesto</w:t>
      </w:r>
      <w:r>
        <w:rPr>
          <w:color w:val="231F20"/>
          <w:spacing w:val="-12"/>
          <w:w w:val="105"/>
        </w:rPr>
        <w:t> </w:t>
      </w:r>
      <w:r>
        <w:rPr>
          <w:color w:val="231F20"/>
          <w:w w:val="105"/>
        </w:rPr>
        <w:t>la</w:t>
      </w:r>
      <w:r>
        <w:rPr>
          <w:color w:val="231F20"/>
          <w:spacing w:val="-12"/>
          <w:w w:val="105"/>
        </w:rPr>
        <w:t> </w:t>
      </w:r>
      <w:r>
        <w:rPr>
          <w:color w:val="231F20"/>
          <w:w w:val="105"/>
        </w:rPr>
        <w:t>fuer- te presencia de la familia y su importancia como generador de una ocupación productiva para  sus miembros (cada sistema ocupa en prome- dio 2,23 ± 1,64 personas; Cuadro 2). Son estos miembros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familia</w:t>
      </w:r>
      <w:r>
        <w:rPr>
          <w:color w:val="231F20"/>
          <w:spacing w:val="-8"/>
          <w:w w:val="105"/>
        </w:rPr>
        <w:t> </w:t>
      </w:r>
      <w:r>
        <w:rPr>
          <w:color w:val="231F20"/>
          <w:w w:val="105"/>
        </w:rPr>
        <w:t>(esposos/as</w:t>
      </w:r>
      <w:r>
        <w:rPr>
          <w:color w:val="231F20"/>
          <w:spacing w:val="-8"/>
          <w:w w:val="105"/>
        </w:rPr>
        <w:t> </w:t>
      </w:r>
      <w:r>
        <w:rPr>
          <w:color w:val="231F20"/>
          <w:w w:val="105"/>
        </w:rPr>
        <w:t>e</w:t>
      </w:r>
      <w:r>
        <w:rPr>
          <w:color w:val="231F20"/>
          <w:spacing w:val="-8"/>
          <w:w w:val="105"/>
        </w:rPr>
        <w:t> </w:t>
      </w:r>
      <w:r>
        <w:rPr>
          <w:color w:val="231F20"/>
          <w:w w:val="105"/>
        </w:rPr>
        <w:t>hijos/as)</w:t>
      </w:r>
      <w:r>
        <w:rPr>
          <w:color w:val="231F20"/>
          <w:spacing w:val="-8"/>
          <w:w w:val="105"/>
        </w:rPr>
        <w:t> </w:t>
      </w:r>
      <w:r>
        <w:rPr>
          <w:color w:val="231F20"/>
          <w:w w:val="105"/>
        </w:rPr>
        <w:t>los</w:t>
      </w:r>
      <w:r>
        <w:rPr>
          <w:color w:val="231F20"/>
          <w:w w:val="101"/>
        </w:rPr>
        <w:t> </w:t>
      </w:r>
      <w:r>
        <w:rPr>
          <w:color w:val="231F20"/>
          <w:w w:val="105"/>
        </w:rPr>
        <w:t>que</w:t>
      </w:r>
      <w:r>
        <w:rPr>
          <w:color w:val="231F20"/>
          <w:spacing w:val="-9"/>
          <w:w w:val="105"/>
        </w:rPr>
        <w:t> </w:t>
      </w:r>
      <w:r>
        <w:rPr>
          <w:color w:val="231F20"/>
          <w:w w:val="105"/>
        </w:rPr>
        <w:t>expresan</w:t>
      </w:r>
      <w:r>
        <w:rPr>
          <w:color w:val="231F20"/>
          <w:spacing w:val="-9"/>
          <w:w w:val="105"/>
        </w:rPr>
        <w:t> </w:t>
      </w:r>
      <w:r>
        <w:rPr>
          <w:color w:val="231F20"/>
          <w:w w:val="105"/>
        </w:rPr>
        <w:t>la</w:t>
      </w:r>
      <w:r>
        <w:rPr>
          <w:color w:val="231F20"/>
          <w:spacing w:val="-9"/>
          <w:w w:val="105"/>
        </w:rPr>
        <w:t> </w:t>
      </w:r>
      <w:r>
        <w:rPr>
          <w:color w:val="231F20"/>
          <w:w w:val="105"/>
        </w:rPr>
        <w:t>necesidad</w:t>
      </w:r>
      <w:r>
        <w:rPr>
          <w:color w:val="231F20"/>
          <w:spacing w:val="-9"/>
          <w:w w:val="105"/>
        </w:rPr>
        <w:t> </w:t>
      </w:r>
      <w:r>
        <w:rPr>
          <w:color w:val="231F20"/>
          <w:w w:val="105"/>
        </w:rPr>
        <w:t>de</w:t>
      </w:r>
      <w:r>
        <w:rPr>
          <w:color w:val="231F20"/>
          <w:spacing w:val="-9"/>
          <w:w w:val="105"/>
        </w:rPr>
        <w:t> </w:t>
      </w:r>
      <w:r>
        <w:rPr>
          <w:color w:val="231F20"/>
          <w:w w:val="105"/>
        </w:rPr>
        <w:t>aprender</w:t>
      </w:r>
      <w:r>
        <w:rPr>
          <w:color w:val="231F20"/>
          <w:spacing w:val="-9"/>
          <w:w w:val="105"/>
        </w:rPr>
        <w:t> </w:t>
      </w:r>
      <w:r>
        <w:rPr>
          <w:color w:val="231F20"/>
          <w:w w:val="105"/>
        </w:rPr>
        <w:t>más</w:t>
      </w:r>
      <w:r>
        <w:rPr>
          <w:color w:val="231F20"/>
          <w:spacing w:val="-9"/>
          <w:w w:val="105"/>
        </w:rPr>
        <w:t> </w:t>
      </w:r>
      <w:r>
        <w:rPr>
          <w:color w:val="231F20"/>
          <w:w w:val="105"/>
        </w:rPr>
        <w:t>acer- ca de la ovinocultura, con una correlación entre el tipo de integrante y la necesidad de aprender (–0,413**). Los hermanos y hermanas mayores no están directamente involucrados con la</w:t>
      </w:r>
      <w:r>
        <w:rPr>
          <w:color w:val="231F20"/>
          <w:spacing w:val="-23"/>
          <w:w w:val="105"/>
        </w:rPr>
        <w:t> </w:t>
      </w:r>
      <w:r>
        <w:rPr>
          <w:color w:val="231F20"/>
          <w:w w:val="105"/>
        </w:rPr>
        <w:t>activi- dad, muy probablemente debido a la edad de</w:t>
      </w:r>
      <w:r>
        <w:rPr>
          <w:color w:val="231F20"/>
          <w:spacing w:val="-17"/>
          <w:w w:val="105"/>
        </w:rPr>
        <w:t> </w:t>
      </w:r>
      <w:r>
        <w:rPr>
          <w:color w:val="231F20"/>
          <w:w w:val="105"/>
        </w:rPr>
        <w:t>los</w:t>
      </w:r>
    </w:p>
    <w:p>
      <w:pPr>
        <w:pStyle w:val="BodyText"/>
        <w:spacing w:line="259" w:lineRule="auto" w:before="68"/>
        <w:ind w:left="413" w:right="1551"/>
        <w:jc w:val="both"/>
      </w:pPr>
      <w:r>
        <w:rPr/>
        <w:br w:type="column"/>
      </w:r>
      <w:r>
        <w:rPr>
          <w:color w:val="231F20"/>
        </w:rPr>
        <w:t>productores, porque quizá ellos hayan formado ya otro núcleo familiar.</w:t>
      </w:r>
    </w:p>
    <w:p>
      <w:pPr>
        <w:pStyle w:val="BodyText"/>
        <w:spacing w:line="259" w:lineRule="auto" w:before="113"/>
        <w:ind w:left="413" w:right="1551"/>
        <w:jc w:val="both"/>
      </w:pPr>
      <w:r>
        <w:rPr>
          <w:color w:val="231F20"/>
        </w:rPr>
        <w:t>El estudio permitió visualizar las deficiencias exis- tentes en torno a la formación de capital humano en el medio rural, y particularmente como impul- sor de la innovación tecnológica agropecuaria ex- presa la necesidad de fortalecer el conocimiento sobre una actividad económica mediante estrate- gias que permitan la difusión de conocimientos, técnicas y tecnologías  que  no  sólo  favorezcan  a la innovación, sino que hagan que el productor pueda conocer y entender nuevas  concepciones de las potencialidades de los recursos de que dis- pone para el logro de los ideales y las metas de      la</w:t>
      </w:r>
      <w:r>
        <w:rPr>
          <w:color w:val="231F20"/>
          <w:spacing w:val="-9"/>
        </w:rPr>
        <w:t> </w:t>
      </w:r>
      <w:r>
        <w:rPr>
          <w:color w:val="231F20"/>
        </w:rPr>
        <w:t>familia.</w:t>
      </w:r>
    </w:p>
    <w:p>
      <w:pPr>
        <w:pStyle w:val="BodyText"/>
        <w:spacing w:line="259" w:lineRule="auto" w:before="113"/>
        <w:ind w:left="413" w:right="1551"/>
        <w:jc w:val="both"/>
      </w:pPr>
      <w:r>
        <w:rPr>
          <w:color w:val="231F20"/>
          <w:spacing w:val="-3"/>
        </w:rPr>
        <w:t>También </w:t>
      </w:r>
      <w:r>
        <w:rPr>
          <w:color w:val="231F20"/>
        </w:rPr>
        <w:t>se aportó un componente a la tradicio-  nal forma de concebir el capital humano: la visión de los productores sobre una actividad producti-  va que, como se apreció, influye de forma directa  o</w:t>
      </w:r>
      <w:r>
        <w:rPr>
          <w:color w:val="231F20"/>
          <w:spacing w:val="36"/>
        </w:rPr>
        <w:t> </w:t>
      </w:r>
      <w:r>
        <w:rPr>
          <w:color w:val="231F20"/>
        </w:rPr>
        <w:t>indirecta</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proceso</w:t>
      </w:r>
      <w:r>
        <w:rPr>
          <w:color w:val="231F20"/>
          <w:spacing w:val="36"/>
        </w:rPr>
        <w:t> </w:t>
      </w:r>
      <w:r>
        <w:rPr>
          <w:color w:val="231F20"/>
        </w:rPr>
        <w:t>de</w:t>
      </w:r>
      <w:r>
        <w:rPr>
          <w:color w:val="231F20"/>
          <w:spacing w:val="36"/>
        </w:rPr>
        <w:t> </w:t>
      </w:r>
      <w:r>
        <w:rPr>
          <w:color w:val="231F20"/>
        </w:rPr>
        <w:t>toma</w:t>
      </w:r>
      <w:r>
        <w:rPr>
          <w:color w:val="231F20"/>
          <w:spacing w:val="36"/>
        </w:rPr>
        <w:t> </w:t>
      </w:r>
      <w:r>
        <w:rPr>
          <w:color w:val="231F20"/>
        </w:rPr>
        <w:t>de</w:t>
      </w:r>
      <w:r>
        <w:rPr>
          <w:color w:val="231F20"/>
          <w:spacing w:val="36"/>
        </w:rPr>
        <w:t> </w:t>
      </w:r>
      <w:r>
        <w:rPr>
          <w:color w:val="231F20"/>
        </w:rPr>
        <w:t>decisiones</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w w:val="105"/>
          <w:sz w:val="18"/>
        </w:rPr>
        <w:t>Capítulo </w:t>
      </w:r>
      <w:r>
        <w:rPr>
          <w:color w:val="231F20"/>
          <w:spacing w:val="-3"/>
          <w:w w:val="105"/>
          <w:sz w:val="18"/>
        </w:rPr>
        <w:t>12.  </w:t>
      </w:r>
      <w:r>
        <w:rPr>
          <w:color w:val="231F20"/>
          <w:w w:val="105"/>
          <w:sz w:val="18"/>
        </w:rPr>
        <w:t>Innovación tecnológica en sistemas campesinos de </w:t>
      </w:r>
      <w:r>
        <w:rPr>
          <w:color w:val="231F20"/>
          <w:spacing w:val="13"/>
          <w:w w:val="105"/>
          <w:sz w:val="18"/>
        </w:rPr>
        <w:t> </w:t>
      </w:r>
      <w:r>
        <w:rPr>
          <w:color w:val="231F20"/>
          <w:w w:val="105"/>
          <w:sz w:val="18"/>
        </w:rPr>
        <w:t>producción</w:t>
      </w:r>
      <w:r>
        <w:rPr>
          <w:color w:val="231F20"/>
          <w:spacing w:val="5"/>
          <w:w w:val="105"/>
          <w:sz w:val="18"/>
        </w:rPr>
        <w:t> </w:t>
      </w:r>
      <w:r>
        <w:rPr>
          <w:color w:val="231F20"/>
          <w:w w:val="105"/>
          <w:sz w:val="18"/>
        </w:rPr>
        <w:t>ovina...</w:t>
      </w:r>
      <w:r>
        <w:rPr>
          <w:color w:val="231F20"/>
          <w:w w:val="105"/>
          <w:sz w:val="22"/>
        </w:rPr>
        <w:tab/>
      </w:r>
      <w:r>
        <w:rPr>
          <w:color w:val="231F20"/>
          <w:spacing w:val="-3"/>
          <w:w w:val="105"/>
          <w:sz w:val="22"/>
        </w:rPr>
        <w:t>195</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pPr>
      <w:r>
        <w:rPr>
          <w:color w:val="231F20"/>
        </w:rPr>
        <w:t>para la innovación tecnológica, la producción de ovinos y el capital humano (Cuadro    3).</w:t>
      </w:r>
    </w:p>
    <w:p>
      <w:pPr>
        <w:pStyle w:val="BodyText"/>
        <w:spacing w:before="3"/>
        <w:rPr>
          <w:sz w:val="23"/>
        </w:rPr>
      </w:pPr>
    </w:p>
    <w:p>
      <w:pPr>
        <w:pStyle w:val="BodyText"/>
        <w:spacing w:line="256" w:lineRule="auto"/>
        <w:ind w:left="1553" w:right="548"/>
      </w:pPr>
      <w:r>
        <w:rPr>
          <w:color w:val="231F20"/>
          <w:w w:val="110"/>
        </w:rPr>
        <w:t>CONTRIBUCIÓN DE LOS SISTEMAS CAMPESINOS DE PRODUCCIÓN OVINA AL DESARROLLO RURAL</w:t>
      </w:r>
    </w:p>
    <w:p>
      <w:pPr>
        <w:pStyle w:val="BodyText"/>
        <w:spacing w:line="256" w:lineRule="auto" w:before="113"/>
        <w:ind w:left="1553"/>
        <w:jc w:val="both"/>
      </w:pPr>
      <w:r>
        <w:rPr>
          <w:color w:val="231F20"/>
        </w:rPr>
        <w:t>Los sistemas antes descritos contribuyen al desa- rrollo rural desde una perspectiva de los núcleos familiares y los grupos sociales que se forman a partir de las relaciones que los productores   </w:t>
      </w:r>
      <w:r>
        <w:rPr>
          <w:color w:val="231F20"/>
          <w:spacing w:val="-2"/>
        </w:rPr>
        <w:t>tienen</w:t>
      </w:r>
    </w:p>
    <w:p>
      <w:pPr>
        <w:pStyle w:val="BodyText"/>
        <w:spacing w:before="3"/>
        <w:rPr>
          <w:sz w:val="28"/>
        </w:rPr>
      </w:pPr>
      <w:r>
        <w:rPr/>
        <w:br w:type="column"/>
      </w:r>
      <w:r>
        <w:rPr>
          <w:sz w:val="28"/>
        </w:rPr>
      </w:r>
    </w:p>
    <w:p>
      <w:pPr>
        <w:pStyle w:val="BodyText"/>
        <w:spacing w:line="271" w:lineRule="auto"/>
        <w:ind w:left="413" w:right="1553"/>
        <w:jc w:val="both"/>
      </w:pPr>
      <w:r>
        <w:rPr>
          <w:color w:val="231F20"/>
        </w:rPr>
        <w:t>con la familia, los vecinos y aquellos agentes </w:t>
      </w:r>
      <w:r>
        <w:rPr>
          <w:color w:val="231F20"/>
          <w:spacing w:val="-2"/>
        </w:rPr>
        <w:t>que </w:t>
      </w:r>
      <w:r>
        <w:rPr>
          <w:color w:val="231F20"/>
        </w:rPr>
        <w:t>intervienen en la producción ovina. Desde el punto de</w:t>
      </w:r>
      <w:r>
        <w:rPr>
          <w:color w:val="231F20"/>
          <w:spacing w:val="-10"/>
        </w:rPr>
        <w:t> </w:t>
      </w:r>
      <w:r>
        <w:rPr>
          <w:color w:val="231F20"/>
        </w:rPr>
        <w:t>vista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familia,</w:t>
      </w:r>
      <w:r>
        <w:rPr>
          <w:color w:val="231F20"/>
          <w:spacing w:val="-10"/>
        </w:rPr>
        <w:t> </w:t>
      </w:r>
      <w:r>
        <w:rPr>
          <w:color w:val="231F20"/>
        </w:rPr>
        <w:t>la</w:t>
      </w:r>
      <w:r>
        <w:rPr>
          <w:color w:val="231F20"/>
          <w:spacing w:val="-10"/>
        </w:rPr>
        <w:t> </w:t>
      </w:r>
      <w:r>
        <w:rPr>
          <w:color w:val="231F20"/>
        </w:rPr>
        <w:t>ovinocultura</w:t>
      </w:r>
      <w:r>
        <w:rPr>
          <w:color w:val="231F20"/>
          <w:spacing w:val="-10"/>
        </w:rPr>
        <w:t> </w:t>
      </w:r>
      <w:r>
        <w:rPr>
          <w:color w:val="231F20"/>
        </w:rPr>
        <w:t>representa</w:t>
      </w:r>
      <w:r>
        <w:rPr>
          <w:color w:val="231F20"/>
          <w:spacing w:val="-10"/>
        </w:rPr>
        <w:t> </w:t>
      </w:r>
      <w:r>
        <w:rPr>
          <w:color w:val="231F20"/>
          <w:spacing w:val="-2"/>
        </w:rPr>
        <w:t>una </w:t>
      </w:r>
      <w:r>
        <w:rPr>
          <w:color w:val="231F20"/>
        </w:rPr>
        <w:t>fuente de ingresos importante, que si bien no es    la única, porque complementa a otras </w:t>
      </w:r>
      <w:r>
        <w:rPr>
          <w:color w:val="231F20"/>
          <w:spacing w:val="-2"/>
        </w:rPr>
        <w:t>actividades, </w:t>
      </w:r>
      <w:r>
        <w:rPr>
          <w:color w:val="231F20"/>
        </w:rPr>
        <w:t>sí tiene un papel preponderante en la economía familiar (Cuadro 4). Así, se ha observado que en   los municipios de Epitacio Huerta y Contepec, en el Estado de Michoacán, la ovinocultura aporta hasta el 60% de los ingresos de la familia  </w:t>
      </w:r>
      <w:r>
        <w:rPr>
          <w:color w:val="231F20"/>
          <w:spacing w:val="26"/>
        </w:rPr>
        <w:t> </w:t>
      </w:r>
      <w:r>
        <w:rPr>
          <w:color w:val="231F20"/>
        </w:rPr>
        <w:t>campesina.</w:t>
      </w:r>
    </w:p>
    <w:p>
      <w:pPr>
        <w:spacing w:after="0" w:line="271" w:lineRule="auto"/>
        <w:jc w:val="both"/>
        <w:sectPr>
          <w:type w:val="continuous"/>
          <w:pgSz w:w="11900" w:h="14450"/>
          <w:pgMar w:top="420" w:bottom="420" w:left="0" w:right="0"/>
          <w:cols w:num="2" w:equalWidth="0">
            <w:col w:w="5721" w:space="40"/>
            <w:col w:w="6139"/>
          </w:cols>
        </w:sectPr>
      </w:pPr>
    </w:p>
    <w:p>
      <w:pPr>
        <w:pStyle w:val="BodyText"/>
        <w:spacing w:before="11"/>
        <w:rPr>
          <w:sz w:val="26"/>
        </w:rPr>
      </w:pPr>
    </w:p>
    <w:p>
      <w:pPr>
        <w:spacing w:line="285" w:lineRule="auto" w:before="72"/>
        <w:ind w:left="1553" w:right="1536" w:firstLine="0"/>
        <w:jc w:val="left"/>
        <w:rPr>
          <w:sz w:val="18"/>
        </w:rPr>
      </w:pPr>
      <w:r>
        <w:rPr>
          <w:color w:val="231F20"/>
          <w:w w:val="105"/>
          <w:sz w:val="18"/>
        </w:rPr>
        <w:t>Cuadro 3. La innovación tecnológica y los componentes del capital humano en los sistemas campesinos de produc- </w:t>
      </w:r>
      <w:r>
        <w:rPr>
          <w:color w:val="231F20"/>
          <w:sz w:val="18"/>
        </w:rPr>
        <w:t>ción ovina.</w:t>
      </w:r>
    </w:p>
    <w:p>
      <w:pPr>
        <w:pStyle w:val="BodyText"/>
        <w:spacing w:before="6"/>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48"/>
        <w:gridCol w:w="1228"/>
        <w:gridCol w:w="6401"/>
      </w:tblGrid>
      <w:tr>
        <w:trPr>
          <w:trHeight w:val="1454" w:hRule="exact"/>
        </w:trPr>
        <w:tc>
          <w:tcPr>
            <w:tcW w:w="1148" w:type="dxa"/>
            <w:vMerge w:val="restart"/>
            <w:tcBorders>
              <w:left w:val="nil"/>
            </w:tcBorders>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6"/>
              <w:rPr>
                <w:sz w:val="17"/>
              </w:rPr>
            </w:pPr>
          </w:p>
          <w:p>
            <w:pPr>
              <w:pStyle w:val="TableParagraph"/>
              <w:spacing w:line="295" w:lineRule="auto" w:before="0"/>
              <w:ind w:left="113" w:right="101" w:firstLine="20"/>
              <w:rPr>
                <w:rFonts w:ascii="Cambria" w:hAnsi="Cambria"/>
                <w:i/>
                <w:sz w:val="18"/>
              </w:rPr>
            </w:pPr>
            <w:r>
              <w:rPr>
                <w:rFonts w:ascii="Cambria" w:hAnsi="Cambria"/>
                <w:i/>
                <w:color w:val="231F20"/>
                <w:w w:val="105"/>
                <w:sz w:val="18"/>
              </w:rPr>
              <w:t>Innovación </w:t>
            </w:r>
            <w:r>
              <w:rPr>
                <w:rFonts w:ascii="Cambria" w:hAnsi="Cambria"/>
                <w:i/>
                <w:color w:val="231F20"/>
                <w:w w:val="105"/>
                <w:sz w:val="18"/>
              </w:rPr>
              <w:t>tecnológica</w:t>
            </w:r>
          </w:p>
        </w:tc>
        <w:tc>
          <w:tcPr>
            <w:tcW w:w="1228" w:type="dxa"/>
          </w:tcPr>
          <w:p>
            <w:pPr>
              <w:pStyle w:val="TableParagraph"/>
              <w:spacing w:before="0"/>
              <w:rPr>
                <w:sz w:val="16"/>
              </w:rPr>
            </w:pPr>
          </w:p>
          <w:p>
            <w:pPr>
              <w:pStyle w:val="TableParagraph"/>
              <w:spacing w:before="0"/>
              <w:rPr>
                <w:sz w:val="16"/>
              </w:rPr>
            </w:pPr>
          </w:p>
          <w:p>
            <w:pPr>
              <w:pStyle w:val="TableParagraph"/>
              <w:spacing w:before="1"/>
              <w:rPr>
                <w:sz w:val="19"/>
              </w:rPr>
            </w:pPr>
          </w:p>
          <w:p>
            <w:pPr>
              <w:pStyle w:val="TableParagraph"/>
              <w:spacing w:before="0"/>
              <w:ind w:left="108" w:right="231"/>
              <w:rPr>
                <w:sz w:val="17"/>
              </w:rPr>
            </w:pPr>
            <w:r>
              <w:rPr>
                <w:color w:val="231F20"/>
                <w:sz w:val="17"/>
              </w:rPr>
              <w:t>Escolaridad</w:t>
            </w:r>
          </w:p>
        </w:tc>
        <w:tc>
          <w:tcPr>
            <w:tcW w:w="6401" w:type="dxa"/>
            <w:tcBorders>
              <w:right w:val="nil"/>
            </w:tcBorders>
          </w:tcPr>
          <w:p>
            <w:pPr>
              <w:pStyle w:val="TableParagraph"/>
              <w:tabs>
                <w:tab w:pos="3302" w:val="left" w:leader="none"/>
              </w:tabs>
              <w:spacing w:line="254" w:lineRule="auto"/>
              <w:ind w:left="108" w:right="243"/>
              <w:rPr>
                <w:sz w:val="17"/>
              </w:rPr>
            </w:pPr>
            <w:r>
              <w:rPr>
                <w:color w:val="231F20"/>
                <w:sz w:val="17"/>
              </w:rPr>
              <w:t>Escolaridad superior a</w:t>
            </w:r>
            <w:r>
              <w:rPr>
                <w:color w:val="231F20"/>
                <w:spacing w:val="22"/>
                <w:sz w:val="17"/>
              </w:rPr>
              <w:t> </w:t>
            </w:r>
            <w:r>
              <w:rPr>
                <w:color w:val="231F20"/>
                <w:sz w:val="17"/>
              </w:rPr>
              <w:t>primaria</w:t>
            </w:r>
            <w:r>
              <w:rPr>
                <w:color w:val="231F20"/>
                <w:spacing w:val="7"/>
                <w:sz w:val="17"/>
              </w:rPr>
              <w:t> </w:t>
            </w:r>
            <w:r>
              <w:rPr>
                <w:color w:val="231F20"/>
                <w:sz w:val="17"/>
              </w:rPr>
              <w:t>permite</w:t>
              <w:tab/>
              <w:t>La edad tiene una relación </w:t>
            </w:r>
            <w:r>
              <w:rPr>
                <w:color w:val="231F20"/>
                <w:spacing w:val="26"/>
                <w:sz w:val="17"/>
              </w:rPr>
              <w:t> </w:t>
            </w:r>
            <w:r>
              <w:rPr>
                <w:color w:val="231F20"/>
                <w:sz w:val="17"/>
              </w:rPr>
              <w:t>negativa</w:t>
            </w:r>
            <w:r>
              <w:rPr>
                <w:color w:val="231F20"/>
                <w:spacing w:val="13"/>
                <w:sz w:val="17"/>
              </w:rPr>
              <w:t> </w:t>
            </w:r>
            <w:r>
              <w:rPr>
                <w:color w:val="231F20"/>
                <w:sz w:val="17"/>
              </w:rPr>
              <w:t>con</w:t>
            </w:r>
            <w:r>
              <w:rPr>
                <w:color w:val="231F20"/>
                <w:w w:val="103"/>
                <w:sz w:val="17"/>
              </w:rPr>
              <w:t> </w:t>
            </w:r>
            <w:r>
              <w:rPr>
                <w:color w:val="231F20"/>
                <w:sz w:val="17"/>
              </w:rPr>
              <w:t>mejores índices</w:t>
            </w:r>
            <w:r>
              <w:rPr>
                <w:color w:val="231F20"/>
                <w:spacing w:val="34"/>
                <w:sz w:val="17"/>
              </w:rPr>
              <w:t> </w:t>
            </w:r>
            <w:r>
              <w:rPr>
                <w:color w:val="231F20"/>
                <w:sz w:val="17"/>
              </w:rPr>
              <w:t>de</w:t>
            </w:r>
            <w:r>
              <w:rPr>
                <w:color w:val="231F20"/>
                <w:spacing w:val="17"/>
                <w:sz w:val="17"/>
              </w:rPr>
              <w:t> </w:t>
            </w:r>
            <w:r>
              <w:rPr>
                <w:color w:val="231F20"/>
                <w:sz w:val="17"/>
              </w:rPr>
              <w:t>innovación</w:t>
              <w:tab/>
              <w:t>la escolaridad, por lo que la mayor </w:t>
            </w:r>
            <w:r>
              <w:rPr>
                <w:color w:val="231F20"/>
                <w:spacing w:val="19"/>
                <w:sz w:val="17"/>
              </w:rPr>
              <w:t> </w:t>
            </w:r>
            <w:r>
              <w:rPr>
                <w:color w:val="231F20"/>
                <w:sz w:val="17"/>
              </w:rPr>
              <w:t>parte</w:t>
            </w:r>
          </w:p>
          <w:p>
            <w:pPr>
              <w:pStyle w:val="TableParagraph"/>
              <w:spacing w:line="254" w:lineRule="auto" w:before="0"/>
              <w:ind w:left="3302" w:right="169"/>
              <w:rPr>
                <w:sz w:val="17"/>
              </w:rPr>
            </w:pPr>
            <w:r>
              <w:rPr>
                <w:color w:val="231F20"/>
                <w:sz w:val="17"/>
              </w:rPr>
              <w:t>de los productores jóvenes tienen mayo- res índices de innovación; sin embargo, la edad favorece la acumulación de conoci- miento a través de la  experiencia</w:t>
            </w:r>
          </w:p>
        </w:tc>
      </w:tr>
      <w:tr>
        <w:trPr>
          <w:trHeight w:val="1234" w:hRule="exact"/>
        </w:trPr>
        <w:tc>
          <w:tcPr>
            <w:tcW w:w="1148" w:type="dxa"/>
            <w:vMerge/>
            <w:tcBorders>
              <w:left w:val="nil"/>
            </w:tcBorders>
          </w:tcPr>
          <w:p>
            <w:pPr/>
          </w:p>
        </w:tc>
        <w:tc>
          <w:tcPr>
            <w:tcW w:w="1228" w:type="dxa"/>
          </w:tcPr>
          <w:p>
            <w:pPr>
              <w:pStyle w:val="TableParagraph"/>
              <w:spacing w:before="0"/>
              <w:rPr>
                <w:sz w:val="16"/>
              </w:rPr>
            </w:pPr>
          </w:p>
          <w:p>
            <w:pPr>
              <w:pStyle w:val="TableParagraph"/>
              <w:spacing w:before="0"/>
              <w:rPr>
                <w:sz w:val="16"/>
              </w:rPr>
            </w:pPr>
          </w:p>
          <w:p>
            <w:pPr>
              <w:pStyle w:val="TableParagraph"/>
              <w:spacing w:before="123"/>
              <w:ind w:left="108" w:right="231"/>
              <w:rPr>
                <w:sz w:val="17"/>
              </w:rPr>
            </w:pPr>
            <w:r>
              <w:rPr>
                <w:color w:val="231F20"/>
                <w:sz w:val="17"/>
              </w:rPr>
              <w:t>Experiencia</w:t>
            </w:r>
          </w:p>
        </w:tc>
        <w:tc>
          <w:tcPr>
            <w:tcW w:w="6401" w:type="dxa"/>
            <w:tcBorders>
              <w:right w:val="nil"/>
            </w:tcBorders>
          </w:tcPr>
          <w:p>
            <w:pPr>
              <w:pStyle w:val="TableParagraph"/>
              <w:spacing w:line="254" w:lineRule="auto"/>
              <w:ind w:left="108" w:right="3384"/>
              <w:rPr>
                <w:sz w:val="17"/>
              </w:rPr>
            </w:pPr>
            <w:r>
              <w:rPr>
                <w:color w:val="231F20"/>
                <w:sz w:val="17"/>
              </w:rPr>
              <w:t>No existe un efecto directo de la expe- riencia sobre la innovación tecnológica, pero ésta permite la creación de grupos de trabajo y la búsqueda de conocimien- tos a través de la capacitación</w:t>
            </w:r>
          </w:p>
        </w:tc>
      </w:tr>
      <w:tr>
        <w:trPr>
          <w:trHeight w:val="1674" w:hRule="exact"/>
        </w:trPr>
        <w:tc>
          <w:tcPr>
            <w:tcW w:w="1148" w:type="dxa"/>
            <w:vMerge/>
            <w:tcBorders>
              <w:left w:val="nil"/>
            </w:tcBorders>
          </w:tcPr>
          <w:p>
            <w:pPr/>
          </w:p>
        </w:tc>
        <w:tc>
          <w:tcPr>
            <w:tcW w:w="1228" w:type="dxa"/>
          </w:tcPr>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1"/>
              <w:rPr>
                <w:sz w:val="12"/>
              </w:rPr>
            </w:pPr>
          </w:p>
          <w:p>
            <w:pPr>
              <w:pStyle w:val="TableParagraph"/>
              <w:spacing w:before="0"/>
              <w:ind w:left="108" w:right="231"/>
              <w:rPr>
                <w:sz w:val="17"/>
              </w:rPr>
            </w:pPr>
            <w:r>
              <w:rPr>
                <w:color w:val="231F20"/>
                <w:sz w:val="17"/>
              </w:rPr>
              <w:t>Trabajo</w:t>
            </w:r>
          </w:p>
        </w:tc>
        <w:tc>
          <w:tcPr>
            <w:tcW w:w="6401" w:type="dxa"/>
            <w:tcBorders>
              <w:right w:val="nil"/>
            </w:tcBorders>
          </w:tcPr>
          <w:p>
            <w:pPr>
              <w:pStyle w:val="TableParagraph"/>
              <w:tabs>
                <w:tab w:pos="3302" w:val="left" w:leader="none"/>
              </w:tabs>
              <w:spacing w:line="254" w:lineRule="auto"/>
              <w:ind w:left="108" w:right="151"/>
              <w:rPr>
                <w:sz w:val="17"/>
              </w:rPr>
            </w:pPr>
            <w:r>
              <w:rPr>
                <w:color w:val="231F20"/>
                <w:sz w:val="17"/>
              </w:rPr>
              <w:t>El trabajo en los sistemas </w:t>
            </w:r>
            <w:r>
              <w:rPr>
                <w:color w:val="231F20"/>
                <w:spacing w:val="27"/>
                <w:sz w:val="17"/>
              </w:rPr>
              <w:t> </w:t>
            </w:r>
            <w:r>
              <w:rPr>
                <w:color w:val="231F20"/>
                <w:sz w:val="17"/>
              </w:rPr>
              <w:t>de</w:t>
            </w:r>
            <w:r>
              <w:rPr>
                <w:color w:val="231F20"/>
                <w:spacing w:val="13"/>
                <w:sz w:val="17"/>
              </w:rPr>
              <w:t> </w:t>
            </w:r>
            <w:r>
              <w:rPr>
                <w:color w:val="231F20"/>
                <w:sz w:val="17"/>
              </w:rPr>
              <w:t>producción</w:t>
              <w:tab/>
              <w:t>El involucramiento de la familia en </w:t>
            </w:r>
            <w:r>
              <w:rPr>
                <w:color w:val="231F20"/>
                <w:spacing w:val="27"/>
                <w:sz w:val="17"/>
              </w:rPr>
              <w:t> </w:t>
            </w:r>
            <w:r>
              <w:rPr>
                <w:color w:val="231F20"/>
                <w:sz w:val="17"/>
              </w:rPr>
              <w:t>las</w:t>
            </w:r>
            <w:r>
              <w:rPr>
                <w:color w:val="231F20"/>
                <w:spacing w:val="11"/>
                <w:sz w:val="17"/>
              </w:rPr>
              <w:t> </w:t>
            </w:r>
            <w:r>
              <w:rPr>
                <w:color w:val="231F20"/>
                <w:sz w:val="17"/>
              </w:rPr>
              <w:t>ac-</w:t>
            </w:r>
            <w:r>
              <w:rPr>
                <w:color w:val="231F20"/>
                <w:w w:val="95"/>
                <w:sz w:val="17"/>
              </w:rPr>
              <w:t> </w:t>
            </w:r>
            <w:r>
              <w:rPr>
                <w:color w:val="231F20"/>
                <w:sz w:val="17"/>
              </w:rPr>
              <w:t>ovina permite la inserción de la </w:t>
            </w:r>
            <w:r>
              <w:rPr>
                <w:color w:val="231F20"/>
                <w:spacing w:val="25"/>
                <w:sz w:val="17"/>
              </w:rPr>
              <w:t> </w:t>
            </w:r>
            <w:r>
              <w:rPr>
                <w:color w:val="231F20"/>
                <w:sz w:val="17"/>
              </w:rPr>
              <w:t>familia</w:t>
            </w:r>
            <w:r>
              <w:rPr>
                <w:color w:val="231F20"/>
                <w:spacing w:val="10"/>
                <w:sz w:val="17"/>
              </w:rPr>
              <w:t> </w:t>
            </w:r>
            <w:r>
              <w:rPr>
                <w:color w:val="231F20"/>
                <w:sz w:val="17"/>
              </w:rPr>
              <w:t>en</w:t>
              <w:tab/>
              <w:t>tividades de la producción de </w:t>
            </w:r>
            <w:r>
              <w:rPr>
                <w:color w:val="231F20"/>
                <w:spacing w:val="27"/>
                <w:sz w:val="17"/>
              </w:rPr>
              <w:t> </w:t>
            </w:r>
            <w:r>
              <w:rPr>
                <w:color w:val="231F20"/>
                <w:sz w:val="17"/>
              </w:rPr>
              <w:t>ovinos</w:t>
            </w:r>
            <w:r>
              <w:rPr>
                <w:color w:val="231F20"/>
                <w:spacing w:val="13"/>
                <w:sz w:val="17"/>
              </w:rPr>
              <w:t> </w:t>
            </w:r>
            <w:r>
              <w:rPr>
                <w:color w:val="231F20"/>
                <w:sz w:val="17"/>
              </w:rPr>
              <w:t>inci-</w:t>
            </w:r>
            <w:r>
              <w:rPr>
                <w:color w:val="231F20"/>
                <w:w w:val="95"/>
                <w:sz w:val="17"/>
              </w:rPr>
              <w:t> </w:t>
            </w:r>
            <w:r>
              <w:rPr>
                <w:color w:val="231F20"/>
                <w:sz w:val="17"/>
              </w:rPr>
              <w:t>las actividades propias de</w:t>
            </w:r>
            <w:r>
              <w:rPr>
                <w:color w:val="231F20"/>
                <w:spacing w:val="35"/>
                <w:sz w:val="17"/>
              </w:rPr>
              <w:t> </w:t>
            </w:r>
            <w:r>
              <w:rPr>
                <w:color w:val="231F20"/>
                <w:sz w:val="17"/>
              </w:rPr>
              <w:t>la</w:t>
            </w:r>
            <w:r>
              <w:rPr>
                <w:color w:val="231F20"/>
                <w:spacing w:val="8"/>
                <w:sz w:val="17"/>
              </w:rPr>
              <w:t> </w:t>
            </w:r>
            <w:r>
              <w:rPr>
                <w:color w:val="231F20"/>
                <w:sz w:val="17"/>
              </w:rPr>
              <w:t>ovinocultura</w:t>
              <w:tab/>
              <w:t>de de manera favorable en </w:t>
            </w:r>
            <w:r>
              <w:rPr>
                <w:color w:val="231F20"/>
                <w:spacing w:val="28"/>
                <w:sz w:val="17"/>
              </w:rPr>
              <w:t> </w:t>
            </w:r>
            <w:r>
              <w:rPr>
                <w:color w:val="231F20"/>
                <w:sz w:val="17"/>
              </w:rPr>
              <w:t>la</w:t>
            </w:r>
            <w:r>
              <w:rPr>
                <w:color w:val="231F20"/>
                <w:spacing w:val="13"/>
                <w:sz w:val="17"/>
              </w:rPr>
              <w:t> </w:t>
            </w:r>
            <w:r>
              <w:rPr>
                <w:color w:val="231F20"/>
                <w:sz w:val="17"/>
              </w:rPr>
              <w:t>innovación;</w:t>
            </w:r>
            <w:r>
              <w:rPr>
                <w:color w:val="231F20"/>
                <w:w w:val="100"/>
                <w:sz w:val="17"/>
              </w:rPr>
              <w:t> </w:t>
            </w:r>
            <w:r>
              <w:rPr>
                <w:color w:val="231F20"/>
                <w:sz w:val="17"/>
              </w:rPr>
              <w:t>y de la producción de granos, y  </w:t>
            </w:r>
            <w:r>
              <w:rPr>
                <w:color w:val="231F20"/>
                <w:spacing w:val="12"/>
                <w:sz w:val="17"/>
              </w:rPr>
              <w:t> </w:t>
            </w:r>
            <w:r>
              <w:rPr>
                <w:color w:val="231F20"/>
                <w:sz w:val="17"/>
              </w:rPr>
              <w:t>con</w:t>
            </w:r>
            <w:r>
              <w:rPr>
                <w:color w:val="231F20"/>
                <w:spacing w:val="12"/>
                <w:sz w:val="17"/>
              </w:rPr>
              <w:t> </w:t>
            </w:r>
            <w:r>
              <w:rPr>
                <w:color w:val="231F20"/>
                <w:sz w:val="17"/>
              </w:rPr>
              <w:t>ello</w:t>
              <w:tab/>
              <w:t>además, grupos de </w:t>
            </w:r>
            <w:r>
              <w:rPr>
                <w:color w:val="231F20"/>
                <w:spacing w:val="10"/>
                <w:sz w:val="17"/>
              </w:rPr>
              <w:t> </w:t>
            </w:r>
            <w:r>
              <w:rPr>
                <w:color w:val="231F20"/>
                <w:sz w:val="17"/>
              </w:rPr>
              <w:t>trabajo</w:t>
            </w:r>
            <w:r>
              <w:rPr>
                <w:color w:val="231F20"/>
                <w:spacing w:val="16"/>
                <w:sz w:val="17"/>
              </w:rPr>
              <w:t> </w:t>
            </w:r>
            <w:r>
              <w:rPr>
                <w:color w:val="231F20"/>
                <w:sz w:val="17"/>
              </w:rPr>
              <w:t>conformados</w:t>
            </w:r>
            <w:r>
              <w:rPr>
                <w:color w:val="231F20"/>
                <w:w w:val="101"/>
                <w:sz w:val="17"/>
              </w:rPr>
              <w:t> </w:t>
            </w:r>
            <w:r>
              <w:rPr>
                <w:color w:val="231F20"/>
                <w:sz w:val="17"/>
              </w:rPr>
              <w:t>una diversificación de las </w:t>
            </w:r>
            <w:r>
              <w:rPr>
                <w:color w:val="231F20"/>
                <w:spacing w:val="10"/>
                <w:sz w:val="17"/>
              </w:rPr>
              <w:t> </w:t>
            </w:r>
            <w:r>
              <w:rPr>
                <w:color w:val="231F20"/>
                <w:sz w:val="17"/>
              </w:rPr>
              <w:t>actividades</w:t>
            </w:r>
            <w:r>
              <w:rPr>
                <w:color w:val="231F20"/>
                <w:spacing w:val="12"/>
                <w:sz w:val="17"/>
              </w:rPr>
              <w:t> </w:t>
            </w:r>
            <w:r>
              <w:rPr>
                <w:color w:val="231F20"/>
                <w:sz w:val="17"/>
              </w:rPr>
              <w:t>que</w:t>
              <w:tab/>
              <w:t>por al menos un familiar y </w:t>
            </w:r>
            <w:r>
              <w:rPr>
                <w:color w:val="231F20"/>
                <w:spacing w:val="37"/>
                <w:sz w:val="17"/>
              </w:rPr>
              <w:t> </w:t>
            </w:r>
            <w:r>
              <w:rPr>
                <w:color w:val="231F20"/>
                <w:sz w:val="17"/>
              </w:rPr>
              <w:t>de</w:t>
            </w:r>
            <w:r>
              <w:rPr>
                <w:color w:val="231F20"/>
                <w:spacing w:val="12"/>
                <w:sz w:val="17"/>
              </w:rPr>
              <w:t> </w:t>
            </w:r>
            <w:r>
              <w:rPr>
                <w:color w:val="231F20"/>
                <w:sz w:val="17"/>
              </w:rPr>
              <w:t>tamaño</w:t>
            </w:r>
            <w:r>
              <w:rPr>
                <w:color w:val="231F20"/>
                <w:w w:val="100"/>
                <w:sz w:val="17"/>
              </w:rPr>
              <w:t> </w:t>
            </w:r>
            <w:r>
              <w:rPr>
                <w:color w:val="231F20"/>
                <w:sz w:val="17"/>
              </w:rPr>
              <w:t>asegura los ingresos de </w:t>
            </w:r>
            <w:r>
              <w:rPr>
                <w:color w:val="231F20"/>
                <w:spacing w:val="11"/>
                <w:sz w:val="17"/>
              </w:rPr>
              <w:t> </w:t>
            </w:r>
            <w:r>
              <w:rPr>
                <w:color w:val="231F20"/>
                <w:sz w:val="17"/>
              </w:rPr>
              <w:t>la</w:t>
            </w:r>
            <w:r>
              <w:rPr>
                <w:color w:val="231F20"/>
                <w:spacing w:val="12"/>
                <w:sz w:val="17"/>
              </w:rPr>
              <w:t> </w:t>
            </w:r>
            <w:r>
              <w:rPr>
                <w:color w:val="231F20"/>
                <w:sz w:val="17"/>
              </w:rPr>
              <w:t>familia</w:t>
              <w:tab/>
              <w:t>pequeño en los cuales prevalecen  </w:t>
            </w:r>
            <w:r>
              <w:rPr>
                <w:color w:val="231F20"/>
                <w:spacing w:val="25"/>
                <w:sz w:val="17"/>
              </w:rPr>
              <w:t> </w:t>
            </w:r>
            <w:r>
              <w:rPr>
                <w:color w:val="231F20"/>
                <w:sz w:val="17"/>
              </w:rPr>
              <w:t>las</w:t>
            </w:r>
          </w:p>
          <w:p>
            <w:pPr>
              <w:pStyle w:val="TableParagraph"/>
              <w:spacing w:before="0"/>
              <w:ind w:left="3302" w:right="243"/>
              <w:rPr>
                <w:sz w:val="17"/>
              </w:rPr>
            </w:pPr>
            <w:r>
              <w:rPr>
                <w:color w:val="231F20"/>
                <w:sz w:val="17"/>
              </w:rPr>
              <w:t>mujeres favorecen la  innovación</w:t>
            </w:r>
          </w:p>
        </w:tc>
      </w:tr>
      <w:tr>
        <w:trPr>
          <w:trHeight w:val="1234" w:hRule="exact"/>
        </w:trPr>
        <w:tc>
          <w:tcPr>
            <w:tcW w:w="1148" w:type="dxa"/>
            <w:vMerge/>
            <w:tcBorders>
              <w:left w:val="nil"/>
            </w:tcBorders>
          </w:tcPr>
          <w:p>
            <w:pPr/>
          </w:p>
        </w:tc>
        <w:tc>
          <w:tcPr>
            <w:tcW w:w="1228" w:type="dxa"/>
          </w:tcPr>
          <w:p>
            <w:pPr>
              <w:pStyle w:val="TableParagraph"/>
              <w:spacing w:before="0"/>
              <w:rPr>
                <w:sz w:val="15"/>
              </w:rPr>
            </w:pPr>
          </w:p>
          <w:p>
            <w:pPr>
              <w:pStyle w:val="TableParagraph"/>
              <w:spacing w:line="254" w:lineRule="auto" w:before="0"/>
              <w:ind w:left="108" w:right="231"/>
              <w:rPr>
                <w:sz w:val="17"/>
              </w:rPr>
            </w:pPr>
            <w:r>
              <w:rPr>
                <w:color w:val="231F20"/>
                <w:w w:val="105"/>
                <w:sz w:val="17"/>
              </w:rPr>
              <w:t>Búsqueda de nuevos</w:t>
            </w:r>
          </w:p>
          <w:p>
            <w:pPr>
              <w:pStyle w:val="TableParagraph"/>
              <w:spacing w:line="254" w:lineRule="auto" w:before="0"/>
              <w:ind w:left="108"/>
              <w:rPr>
                <w:sz w:val="17"/>
              </w:rPr>
            </w:pPr>
            <w:r>
              <w:rPr>
                <w:color w:val="231F20"/>
                <w:sz w:val="17"/>
              </w:rPr>
              <w:t>conocimientos (capacitación)</w:t>
            </w:r>
          </w:p>
        </w:tc>
        <w:tc>
          <w:tcPr>
            <w:tcW w:w="6401" w:type="dxa"/>
            <w:tcBorders>
              <w:right w:val="nil"/>
            </w:tcBorders>
          </w:tcPr>
          <w:p>
            <w:pPr>
              <w:pStyle w:val="TableParagraph"/>
              <w:spacing w:line="254" w:lineRule="auto"/>
              <w:ind w:left="108" w:right="3398"/>
              <w:rPr>
                <w:sz w:val="17"/>
              </w:rPr>
            </w:pPr>
            <w:r>
              <w:rPr>
                <w:color w:val="231F20"/>
                <w:sz w:val="17"/>
              </w:rPr>
              <w:t>La capacitación en estos sistemas es  poca, y la mujer está más dispuesta a re- cibirla e incluso a invertir en ella; factores que se relacionan de forma directa con la innovación</w:t>
            </w:r>
          </w:p>
        </w:tc>
      </w:tr>
      <w:tr>
        <w:trPr>
          <w:trHeight w:val="1454" w:hRule="exact"/>
        </w:trPr>
        <w:tc>
          <w:tcPr>
            <w:tcW w:w="1148" w:type="dxa"/>
            <w:vMerge/>
            <w:tcBorders>
              <w:left w:val="nil"/>
            </w:tcBorders>
          </w:tcPr>
          <w:p>
            <w:pPr/>
          </w:p>
        </w:tc>
        <w:tc>
          <w:tcPr>
            <w:tcW w:w="1228" w:type="dxa"/>
          </w:tcPr>
          <w:p>
            <w:pPr>
              <w:pStyle w:val="TableParagraph"/>
              <w:spacing w:before="0"/>
              <w:rPr>
                <w:sz w:val="16"/>
              </w:rPr>
            </w:pPr>
          </w:p>
          <w:p>
            <w:pPr>
              <w:pStyle w:val="TableParagraph"/>
              <w:spacing w:before="0"/>
              <w:rPr>
                <w:sz w:val="16"/>
              </w:rPr>
            </w:pPr>
          </w:p>
          <w:p>
            <w:pPr>
              <w:pStyle w:val="TableParagraph"/>
              <w:spacing w:line="254" w:lineRule="auto" w:before="123"/>
              <w:ind w:left="108" w:right="501"/>
              <w:rPr>
                <w:sz w:val="17"/>
              </w:rPr>
            </w:pPr>
            <w:r>
              <w:rPr>
                <w:color w:val="231F20"/>
                <w:sz w:val="17"/>
              </w:rPr>
              <w:t>Ideal del sistema</w:t>
            </w:r>
          </w:p>
        </w:tc>
        <w:tc>
          <w:tcPr>
            <w:tcW w:w="6401" w:type="dxa"/>
            <w:tcBorders>
              <w:right w:val="nil"/>
            </w:tcBorders>
          </w:tcPr>
          <w:p>
            <w:pPr>
              <w:pStyle w:val="TableParagraph"/>
              <w:tabs>
                <w:tab w:pos="3302" w:val="left" w:leader="none"/>
              </w:tabs>
              <w:spacing w:line="254" w:lineRule="auto"/>
              <w:ind w:left="108" w:right="151"/>
              <w:rPr>
                <w:sz w:val="17"/>
              </w:rPr>
            </w:pPr>
            <w:r>
              <w:rPr>
                <w:color w:val="231F20"/>
                <w:sz w:val="17"/>
              </w:rPr>
              <w:t>Los productores tienen claro el </w:t>
            </w:r>
            <w:r>
              <w:rPr>
                <w:color w:val="231F20"/>
                <w:spacing w:val="19"/>
                <w:sz w:val="17"/>
              </w:rPr>
              <w:t> </w:t>
            </w:r>
            <w:r>
              <w:rPr>
                <w:color w:val="231F20"/>
                <w:sz w:val="17"/>
              </w:rPr>
              <w:t>ideal</w:t>
            </w:r>
            <w:r>
              <w:rPr>
                <w:color w:val="231F20"/>
                <w:spacing w:val="11"/>
                <w:sz w:val="17"/>
              </w:rPr>
              <w:t> </w:t>
            </w:r>
            <w:r>
              <w:rPr>
                <w:color w:val="231F20"/>
                <w:sz w:val="17"/>
              </w:rPr>
              <w:t>de</w:t>
              <w:tab/>
              <w:t>Las necesidades para lograr el </w:t>
            </w:r>
            <w:r>
              <w:rPr>
                <w:color w:val="231F20"/>
                <w:spacing w:val="36"/>
                <w:sz w:val="17"/>
              </w:rPr>
              <w:t> </w:t>
            </w:r>
            <w:r>
              <w:rPr>
                <w:color w:val="231F20"/>
                <w:sz w:val="17"/>
              </w:rPr>
              <w:t>ideal</w:t>
            </w:r>
            <w:r>
              <w:rPr>
                <w:color w:val="231F20"/>
                <w:spacing w:val="15"/>
                <w:sz w:val="17"/>
              </w:rPr>
              <w:t> </w:t>
            </w:r>
            <w:r>
              <w:rPr>
                <w:color w:val="231F20"/>
                <w:sz w:val="17"/>
              </w:rPr>
              <w:t>se</w:t>
            </w:r>
            <w:r>
              <w:rPr>
                <w:color w:val="231F20"/>
                <w:w w:val="105"/>
                <w:sz w:val="17"/>
              </w:rPr>
              <w:t> </w:t>
            </w:r>
            <w:r>
              <w:rPr>
                <w:color w:val="231F20"/>
                <w:sz w:val="17"/>
              </w:rPr>
              <w:t>sus sistemas, con una </w:t>
            </w:r>
            <w:r>
              <w:rPr>
                <w:color w:val="231F20"/>
                <w:spacing w:val="34"/>
                <w:sz w:val="17"/>
              </w:rPr>
              <w:t> </w:t>
            </w:r>
            <w:r>
              <w:rPr>
                <w:color w:val="231F20"/>
                <w:sz w:val="17"/>
              </w:rPr>
              <w:t>percepción</w:t>
            </w:r>
            <w:r>
              <w:rPr>
                <w:color w:val="231F20"/>
                <w:spacing w:val="18"/>
                <w:sz w:val="17"/>
              </w:rPr>
              <w:t> </w:t>
            </w:r>
            <w:r>
              <w:rPr>
                <w:color w:val="231F20"/>
                <w:sz w:val="17"/>
              </w:rPr>
              <w:t>que</w:t>
              <w:tab/>
              <w:t>refieren a la obtención de </w:t>
            </w:r>
            <w:r>
              <w:rPr>
                <w:color w:val="231F20"/>
                <w:spacing w:val="18"/>
                <w:sz w:val="17"/>
              </w:rPr>
              <w:t> </w:t>
            </w:r>
            <w:r>
              <w:rPr>
                <w:color w:val="231F20"/>
                <w:sz w:val="17"/>
              </w:rPr>
              <w:t>recursos</w:t>
            </w:r>
            <w:r>
              <w:rPr>
                <w:color w:val="231F20"/>
                <w:spacing w:val="11"/>
                <w:sz w:val="17"/>
              </w:rPr>
              <w:t> </w:t>
            </w:r>
            <w:r>
              <w:rPr>
                <w:color w:val="231F20"/>
                <w:sz w:val="17"/>
              </w:rPr>
              <w:t>eco-</w:t>
            </w:r>
            <w:r>
              <w:rPr>
                <w:color w:val="231F20"/>
                <w:w w:val="95"/>
                <w:sz w:val="17"/>
              </w:rPr>
              <w:t> </w:t>
            </w:r>
            <w:r>
              <w:rPr>
                <w:color w:val="231F20"/>
                <w:sz w:val="17"/>
              </w:rPr>
              <w:t>refleja la naturaleza de éste:</w:t>
            </w:r>
            <w:r>
              <w:rPr>
                <w:color w:val="231F20"/>
                <w:spacing w:val="32"/>
                <w:sz w:val="17"/>
              </w:rPr>
              <w:t> </w:t>
            </w:r>
            <w:r>
              <w:rPr>
                <w:color w:val="231F20"/>
                <w:sz w:val="17"/>
              </w:rPr>
              <w:t>una</w:t>
            </w:r>
            <w:r>
              <w:rPr>
                <w:color w:val="231F20"/>
                <w:spacing w:val="6"/>
                <w:sz w:val="17"/>
              </w:rPr>
              <w:t> </w:t>
            </w:r>
            <w:r>
              <w:rPr>
                <w:color w:val="231F20"/>
                <w:sz w:val="17"/>
              </w:rPr>
              <w:t>actividad</w:t>
              <w:tab/>
              <w:t>nómicos para la inversión en  </w:t>
            </w:r>
            <w:r>
              <w:rPr>
                <w:color w:val="231F20"/>
                <w:spacing w:val="2"/>
                <w:sz w:val="17"/>
              </w:rPr>
              <w:t> </w:t>
            </w:r>
            <w:r>
              <w:rPr>
                <w:color w:val="231F20"/>
                <w:sz w:val="17"/>
              </w:rPr>
              <w:t>los</w:t>
            </w:r>
            <w:r>
              <w:rPr>
                <w:color w:val="231F20"/>
                <w:spacing w:val="15"/>
                <w:sz w:val="17"/>
              </w:rPr>
              <w:t> </w:t>
            </w:r>
            <w:r>
              <w:rPr>
                <w:color w:val="231F20"/>
                <w:sz w:val="17"/>
              </w:rPr>
              <w:t>sistemas</w:t>
            </w:r>
            <w:r>
              <w:rPr>
                <w:color w:val="231F20"/>
                <w:w w:val="102"/>
                <w:sz w:val="17"/>
              </w:rPr>
              <w:t> </w:t>
            </w:r>
            <w:r>
              <w:rPr>
                <w:color w:val="231F20"/>
                <w:sz w:val="17"/>
              </w:rPr>
              <w:t>generadora  de  ingresos</w:t>
            </w:r>
            <w:r>
              <w:rPr>
                <w:color w:val="231F20"/>
                <w:spacing w:val="-18"/>
                <w:sz w:val="17"/>
              </w:rPr>
              <w:t> </w:t>
            </w:r>
            <w:r>
              <w:rPr>
                <w:color w:val="231F20"/>
                <w:sz w:val="17"/>
              </w:rPr>
              <w:t>que</w:t>
            </w:r>
            <w:r>
              <w:rPr>
                <w:color w:val="231F20"/>
                <w:spacing w:val="19"/>
                <w:sz w:val="17"/>
              </w:rPr>
              <w:t> </w:t>
            </w:r>
            <w:r>
              <w:rPr>
                <w:color w:val="231F20"/>
                <w:sz w:val="17"/>
              </w:rPr>
              <w:t>complemen-</w:t>
              <w:tab/>
              <w:t>de producción ovina; los </w:t>
            </w:r>
            <w:r>
              <w:rPr>
                <w:color w:val="231F20"/>
                <w:spacing w:val="14"/>
                <w:sz w:val="17"/>
              </w:rPr>
              <w:t> </w:t>
            </w:r>
            <w:r>
              <w:rPr>
                <w:color w:val="231F20"/>
                <w:sz w:val="17"/>
              </w:rPr>
              <w:t>productores</w:t>
            </w:r>
          </w:p>
          <w:p>
            <w:pPr>
              <w:pStyle w:val="TableParagraph"/>
              <w:tabs>
                <w:tab w:pos="3302" w:val="left" w:leader="none"/>
              </w:tabs>
              <w:spacing w:line="254" w:lineRule="auto" w:before="0"/>
              <w:ind w:left="108" w:right="169"/>
              <w:rPr>
                <w:sz w:val="17"/>
              </w:rPr>
            </w:pPr>
            <w:r>
              <w:rPr>
                <w:color w:val="231F20"/>
                <w:sz w:val="17"/>
              </w:rPr>
              <w:t>ta a otra actividad importante</w:t>
            </w:r>
            <w:r>
              <w:rPr>
                <w:color w:val="231F20"/>
                <w:spacing w:val="16"/>
                <w:sz w:val="17"/>
              </w:rPr>
              <w:t> </w:t>
            </w:r>
            <w:r>
              <w:rPr>
                <w:color w:val="231F20"/>
                <w:sz w:val="17"/>
              </w:rPr>
              <w:t>para</w:t>
            </w:r>
            <w:r>
              <w:rPr>
                <w:color w:val="231F20"/>
                <w:spacing w:val="3"/>
                <w:sz w:val="17"/>
              </w:rPr>
              <w:t> </w:t>
            </w:r>
            <w:r>
              <w:rPr>
                <w:color w:val="231F20"/>
                <w:sz w:val="17"/>
              </w:rPr>
              <w:t>ellos,</w:t>
              <w:tab/>
              <w:t>mencionan en menor grado  </w:t>
            </w:r>
            <w:r>
              <w:rPr>
                <w:color w:val="231F20"/>
                <w:spacing w:val="11"/>
                <w:sz w:val="17"/>
              </w:rPr>
              <w:t> </w:t>
            </w:r>
            <w:r>
              <w:rPr>
                <w:color w:val="231F20"/>
                <w:sz w:val="17"/>
              </w:rPr>
              <w:t>la</w:t>
            </w:r>
            <w:r>
              <w:rPr>
                <w:color w:val="231F20"/>
                <w:spacing w:val="22"/>
                <w:sz w:val="17"/>
              </w:rPr>
              <w:t> </w:t>
            </w:r>
            <w:r>
              <w:rPr>
                <w:color w:val="231F20"/>
                <w:sz w:val="17"/>
              </w:rPr>
              <w:t>necesidad</w:t>
            </w:r>
            <w:r>
              <w:rPr>
                <w:color w:val="231F20"/>
                <w:w w:val="102"/>
                <w:sz w:val="17"/>
              </w:rPr>
              <w:t> </w:t>
            </w:r>
            <w:r>
              <w:rPr>
                <w:color w:val="231F20"/>
                <w:sz w:val="17"/>
              </w:rPr>
              <w:t>como lo es la producción  </w:t>
            </w:r>
            <w:r>
              <w:rPr>
                <w:color w:val="231F20"/>
                <w:spacing w:val="5"/>
                <w:sz w:val="17"/>
              </w:rPr>
              <w:t> </w:t>
            </w:r>
            <w:r>
              <w:rPr>
                <w:color w:val="231F20"/>
                <w:sz w:val="17"/>
              </w:rPr>
              <w:t>de</w:t>
            </w:r>
            <w:r>
              <w:rPr>
                <w:color w:val="231F20"/>
                <w:spacing w:val="16"/>
                <w:sz w:val="17"/>
              </w:rPr>
              <w:t> </w:t>
            </w:r>
            <w:r>
              <w:rPr>
                <w:color w:val="231F20"/>
                <w:sz w:val="17"/>
              </w:rPr>
              <w:t>maíz</w:t>
              <w:tab/>
              <w:t>de  nuevos</w:t>
            </w:r>
            <w:r>
              <w:rPr>
                <w:color w:val="231F20"/>
                <w:spacing w:val="22"/>
                <w:sz w:val="17"/>
              </w:rPr>
              <w:t> </w:t>
            </w:r>
            <w:r>
              <w:rPr>
                <w:color w:val="231F20"/>
                <w:sz w:val="17"/>
              </w:rPr>
              <w:t>conocimientos</w:t>
            </w:r>
          </w:p>
        </w:tc>
      </w:tr>
    </w:tbl>
    <w:p>
      <w:pPr>
        <w:spacing w:before="94"/>
        <w:ind w:left="1553" w:right="2503" w:firstLine="0"/>
        <w:jc w:val="left"/>
        <w:rPr>
          <w:sz w:val="15"/>
        </w:rPr>
      </w:pPr>
      <w:r>
        <w:rPr>
          <w:color w:val="231F20"/>
          <w:sz w:val="15"/>
        </w:rPr>
        <w:t>Fuente: elaboración propia.</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196</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spacing w:line="290" w:lineRule="auto" w:before="71"/>
        <w:ind w:left="1553" w:right="0" w:firstLine="0"/>
        <w:jc w:val="both"/>
        <w:rPr>
          <w:sz w:val="18"/>
        </w:rPr>
      </w:pPr>
      <w:r>
        <w:rPr>
          <w:color w:val="231F20"/>
          <w:sz w:val="18"/>
        </w:rPr>
        <w:t>Cuadro 4. Proporción de ingresos obtenidos de la ovi- nocultura.</w:t>
      </w:r>
    </w:p>
    <w:p>
      <w:pPr>
        <w:pStyle w:val="BodyText"/>
        <w:spacing w:before="7" w:after="1"/>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187"/>
        <w:gridCol w:w="1984"/>
      </w:tblGrid>
      <w:tr>
        <w:trPr>
          <w:trHeight w:val="889" w:hRule="exact"/>
        </w:trPr>
        <w:tc>
          <w:tcPr>
            <w:tcW w:w="2187" w:type="dxa"/>
            <w:tcBorders>
              <w:left w:val="nil"/>
            </w:tcBorders>
          </w:tcPr>
          <w:p>
            <w:pPr>
              <w:pStyle w:val="TableParagraph"/>
              <w:spacing w:line="295" w:lineRule="auto" w:before="79"/>
              <w:ind w:left="138" w:right="131"/>
              <w:jc w:val="center"/>
              <w:rPr>
                <w:rFonts w:ascii="Cambria" w:hAnsi="Cambria"/>
                <w:i/>
                <w:sz w:val="18"/>
              </w:rPr>
            </w:pPr>
            <w:r>
              <w:rPr>
                <w:rFonts w:ascii="Cambria" w:hAnsi="Cambria"/>
                <w:i/>
                <w:color w:val="231F20"/>
                <w:w w:val="110"/>
                <w:sz w:val="18"/>
              </w:rPr>
              <w:t>Proporción de ingresos</w:t>
            </w:r>
            <w:r>
              <w:rPr>
                <w:rFonts w:ascii="Cambria" w:hAnsi="Cambria"/>
                <w:i/>
                <w:color w:val="231F20"/>
                <w:w w:val="108"/>
                <w:sz w:val="18"/>
              </w:rPr>
              <w:t> </w:t>
            </w:r>
            <w:r>
              <w:rPr>
                <w:rFonts w:ascii="Cambria" w:hAnsi="Cambria"/>
                <w:i/>
                <w:color w:val="231F20"/>
                <w:w w:val="110"/>
                <w:sz w:val="18"/>
              </w:rPr>
              <w:t>económicos derivados de la actividad</w:t>
            </w:r>
          </w:p>
        </w:tc>
        <w:tc>
          <w:tcPr>
            <w:tcW w:w="1984" w:type="dxa"/>
            <w:tcBorders>
              <w:right w:val="nil"/>
            </w:tcBorders>
          </w:tcPr>
          <w:p>
            <w:pPr>
              <w:pStyle w:val="TableParagraph"/>
              <w:spacing w:before="2"/>
              <w:rPr>
                <w:sz w:val="17"/>
              </w:rPr>
            </w:pPr>
          </w:p>
          <w:p>
            <w:pPr>
              <w:pStyle w:val="TableParagraph"/>
              <w:spacing w:line="295" w:lineRule="auto" w:before="0"/>
              <w:ind w:left="509" w:hanging="74"/>
              <w:rPr>
                <w:rFonts w:ascii="Cambria"/>
                <w:i/>
                <w:sz w:val="18"/>
              </w:rPr>
            </w:pPr>
            <w:r>
              <w:rPr>
                <w:rFonts w:ascii="Cambria"/>
                <w:i/>
                <w:color w:val="231F20"/>
                <w:w w:val="105"/>
                <w:sz w:val="18"/>
              </w:rPr>
              <w:t>Porcentaje de </w:t>
            </w:r>
            <w:r>
              <w:rPr>
                <w:rFonts w:ascii="Cambria"/>
                <w:i/>
                <w:color w:val="231F20"/>
                <w:w w:val="105"/>
                <w:sz w:val="18"/>
              </w:rPr>
              <w:t>productores</w:t>
            </w:r>
          </w:p>
        </w:tc>
      </w:tr>
      <w:tr>
        <w:trPr>
          <w:trHeight w:val="354" w:hRule="exact"/>
        </w:trPr>
        <w:tc>
          <w:tcPr>
            <w:tcW w:w="2187" w:type="dxa"/>
            <w:tcBorders>
              <w:left w:val="nil"/>
            </w:tcBorders>
          </w:tcPr>
          <w:p>
            <w:pPr>
              <w:pStyle w:val="TableParagraph"/>
              <w:ind w:left="125" w:right="131"/>
              <w:jc w:val="center"/>
              <w:rPr>
                <w:sz w:val="17"/>
              </w:rPr>
            </w:pPr>
            <w:r>
              <w:rPr>
                <w:color w:val="231F20"/>
                <w:w w:val="120"/>
                <w:sz w:val="17"/>
              </w:rPr>
              <w:t>&lt;1/5</w:t>
            </w:r>
          </w:p>
        </w:tc>
        <w:tc>
          <w:tcPr>
            <w:tcW w:w="1984" w:type="dxa"/>
            <w:tcBorders>
              <w:right w:val="nil"/>
            </w:tcBorders>
          </w:tcPr>
          <w:p>
            <w:pPr>
              <w:pStyle w:val="TableParagraph"/>
              <w:ind w:left="755" w:right="754"/>
              <w:jc w:val="center"/>
              <w:rPr>
                <w:sz w:val="17"/>
              </w:rPr>
            </w:pPr>
            <w:r>
              <w:rPr>
                <w:color w:val="231F20"/>
                <w:w w:val="110"/>
                <w:sz w:val="17"/>
              </w:rPr>
              <w:t>6,4</w:t>
            </w:r>
          </w:p>
        </w:tc>
      </w:tr>
      <w:tr>
        <w:trPr>
          <w:trHeight w:val="354" w:hRule="exact"/>
        </w:trPr>
        <w:tc>
          <w:tcPr>
            <w:tcW w:w="2187" w:type="dxa"/>
            <w:tcBorders>
              <w:left w:val="nil"/>
            </w:tcBorders>
          </w:tcPr>
          <w:p>
            <w:pPr>
              <w:pStyle w:val="TableParagraph"/>
              <w:ind w:left="138" w:right="33"/>
              <w:jc w:val="center"/>
              <w:rPr>
                <w:sz w:val="17"/>
              </w:rPr>
            </w:pPr>
            <w:r>
              <w:rPr>
                <w:color w:val="231F20"/>
                <w:w w:val="115"/>
                <w:sz w:val="17"/>
              </w:rPr>
              <w:t>1/5</w:t>
            </w:r>
          </w:p>
        </w:tc>
        <w:tc>
          <w:tcPr>
            <w:tcW w:w="1984" w:type="dxa"/>
            <w:tcBorders>
              <w:right w:val="nil"/>
            </w:tcBorders>
          </w:tcPr>
          <w:p>
            <w:pPr>
              <w:pStyle w:val="TableParagraph"/>
              <w:ind w:left="682" w:right="755"/>
              <w:jc w:val="center"/>
              <w:rPr>
                <w:sz w:val="17"/>
              </w:rPr>
            </w:pPr>
            <w:r>
              <w:rPr>
                <w:color w:val="231F20"/>
                <w:w w:val="110"/>
                <w:sz w:val="17"/>
              </w:rPr>
              <w:t>14,9</w:t>
            </w:r>
          </w:p>
        </w:tc>
      </w:tr>
      <w:tr>
        <w:trPr>
          <w:trHeight w:val="354" w:hRule="exact"/>
        </w:trPr>
        <w:tc>
          <w:tcPr>
            <w:tcW w:w="2187" w:type="dxa"/>
            <w:tcBorders>
              <w:left w:val="nil"/>
            </w:tcBorders>
          </w:tcPr>
          <w:p>
            <w:pPr>
              <w:pStyle w:val="TableParagraph"/>
              <w:ind w:left="138" w:right="33"/>
              <w:jc w:val="center"/>
              <w:rPr>
                <w:sz w:val="17"/>
              </w:rPr>
            </w:pPr>
            <w:r>
              <w:rPr>
                <w:color w:val="231F20"/>
                <w:w w:val="115"/>
                <w:sz w:val="17"/>
              </w:rPr>
              <w:t>2/5</w:t>
            </w:r>
          </w:p>
        </w:tc>
        <w:tc>
          <w:tcPr>
            <w:tcW w:w="1984" w:type="dxa"/>
            <w:tcBorders>
              <w:right w:val="nil"/>
            </w:tcBorders>
          </w:tcPr>
          <w:p>
            <w:pPr>
              <w:pStyle w:val="TableParagraph"/>
              <w:ind w:left="657" w:right="755"/>
              <w:jc w:val="center"/>
              <w:rPr>
                <w:sz w:val="17"/>
              </w:rPr>
            </w:pPr>
            <w:r>
              <w:rPr>
                <w:color w:val="231F20"/>
                <w:w w:val="110"/>
                <w:sz w:val="17"/>
              </w:rPr>
              <w:t>27,7</w:t>
            </w:r>
          </w:p>
        </w:tc>
      </w:tr>
      <w:tr>
        <w:trPr>
          <w:trHeight w:val="354" w:hRule="exact"/>
        </w:trPr>
        <w:tc>
          <w:tcPr>
            <w:tcW w:w="2187" w:type="dxa"/>
            <w:tcBorders>
              <w:left w:val="nil"/>
            </w:tcBorders>
          </w:tcPr>
          <w:p>
            <w:pPr>
              <w:pStyle w:val="TableParagraph"/>
              <w:ind w:left="138" w:right="33"/>
              <w:jc w:val="center"/>
              <w:rPr>
                <w:sz w:val="17"/>
              </w:rPr>
            </w:pPr>
            <w:r>
              <w:rPr>
                <w:color w:val="231F20"/>
                <w:w w:val="115"/>
                <w:sz w:val="17"/>
              </w:rPr>
              <w:t>3/5</w:t>
            </w:r>
          </w:p>
        </w:tc>
        <w:tc>
          <w:tcPr>
            <w:tcW w:w="1984" w:type="dxa"/>
            <w:tcBorders>
              <w:right w:val="nil"/>
            </w:tcBorders>
          </w:tcPr>
          <w:p>
            <w:pPr>
              <w:pStyle w:val="TableParagraph"/>
              <w:ind w:left="685" w:right="755"/>
              <w:jc w:val="center"/>
              <w:rPr>
                <w:sz w:val="17"/>
              </w:rPr>
            </w:pPr>
            <w:r>
              <w:rPr>
                <w:color w:val="231F20"/>
                <w:w w:val="110"/>
                <w:sz w:val="17"/>
              </w:rPr>
              <w:t>34,0</w:t>
            </w:r>
          </w:p>
        </w:tc>
      </w:tr>
      <w:tr>
        <w:trPr>
          <w:trHeight w:val="354" w:hRule="exact"/>
        </w:trPr>
        <w:tc>
          <w:tcPr>
            <w:tcW w:w="2187" w:type="dxa"/>
            <w:tcBorders>
              <w:left w:val="nil"/>
            </w:tcBorders>
          </w:tcPr>
          <w:p>
            <w:pPr>
              <w:pStyle w:val="TableParagraph"/>
              <w:ind w:left="138" w:right="33"/>
              <w:jc w:val="center"/>
              <w:rPr>
                <w:sz w:val="17"/>
              </w:rPr>
            </w:pPr>
            <w:r>
              <w:rPr>
                <w:color w:val="231F20"/>
                <w:w w:val="115"/>
                <w:sz w:val="17"/>
              </w:rPr>
              <w:t>4/5</w:t>
            </w:r>
          </w:p>
        </w:tc>
        <w:tc>
          <w:tcPr>
            <w:tcW w:w="1984" w:type="dxa"/>
            <w:tcBorders>
              <w:right w:val="nil"/>
            </w:tcBorders>
          </w:tcPr>
          <w:p>
            <w:pPr>
              <w:pStyle w:val="TableParagraph"/>
              <w:ind w:left="682" w:right="755"/>
              <w:jc w:val="center"/>
              <w:rPr>
                <w:sz w:val="17"/>
              </w:rPr>
            </w:pPr>
            <w:r>
              <w:rPr>
                <w:color w:val="231F20"/>
                <w:w w:val="110"/>
                <w:sz w:val="17"/>
              </w:rPr>
              <w:t>12,8</w:t>
            </w:r>
          </w:p>
        </w:tc>
      </w:tr>
      <w:tr>
        <w:trPr>
          <w:trHeight w:val="354" w:hRule="exact"/>
        </w:trPr>
        <w:tc>
          <w:tcPr>
            <w:tcW w:w="2187" w:type="dxa"/>
            <w:tcBorders>
              <w:left w:val="nil"/>
            </w:tcBorders>
          </w:tcPr>
          <w:p>
            <w:pPr>
              <w:pStyle w:val="TableParagraph"/>
              <w:ind w:left="138" w:right="33"/>
              <w:jc w:val="center"/>
              <w:rPr>
                <w:sz w:val="17"/>
              </w:rPr>
            </w:pPr>
            <w:r>
              <w:rPr>
                <w:color w:val="231F20"/>
                <w:w w:val="115"/>
                <w:sz w:val="17"/>
              </w:rPr>
              <w:t>5/5</w:t>
            </w:r>
          </w:p>
        </w:tc>
        <w:tc>
          <w:tcPr>
            <w:tcW w:w="1984" w:type="dxa"/>
            <w:tcBorders>
              <w:right w:val="nil"/>
            </w:tcBorders>
          </w:tcPr>
          <w:p>
            <w:pPr>
              <w:pStyle w:val="TableParagraph"/>
              <w:ind w:left="755" w:right="658"/>
              <w:jc w:val="center"/>
              <w:rPr>
                <w:sz w:val="17"/>
              </w:rPr>
            </w:pPr>
            <w:r>
              <w:rPr>
                <w:color w:val="231F20"/>
                <w:w w:val="110"/>
                <w:sz w:val="17"/>
              </w:rPr>
              <w:t>4,30</w:t>
            </w:r>
          </w:p>
        </w:tc>
      </w:tr>
    </w:tbl>
    <w:p>
      <w:pPr>
        <w:spacing w:before="100"/>
        <w:ind w:left="1553" w:right="0" w:firstLine="0"/>
        <w:jc w:val="both"/>
        <w:rPr>
          <w:sz w:val="15"/>
        </w:rPr>
      </w:pPr>
      <w:r>
        <w:rPr>
          <w:color w:val="231F20"/>
          <w:sz w:val="15"/>
        </w:rPr>
        <w:t>Fuente: elaboración propia.</w:t>
      </w:r>
    </w:p>
    <w:p>
      <w:pPr>
        <w:pStyle w:val="BodyText"/>
        <w:rPr>
          <w:sz w:val="14"/>
        </w:rPr>
      </w:pPr>
    </w:p>
    <w:p>
      <w:pPr>
        <w:pStyle w:val="BodyText"/>
        <w:rPr>
          <w:sz w:val="14"/>
        </w:rPr>
      </w:pPr>
    </w:p>
    <w:p>
      <w:pPr>
        <w:pStyle w:val="BodyText"/>
        <w:spacing w:line="261" w:lineRule="auto" w:before="91"/>
        <w:ind w:left="1553"/>
        <w:jc w:val="both"/>
      </w:pPr>
      <w:r>
        <w:rPr/>
        <w:pict>
          <v:group style="position:absolute;margin-left:157.989044pt;margin-top:154.781326pt;width:264.150pt;height:195.95pt;mso-position-horizontal-relative:page;mso-position-vertical-relative:paragraph;z-index:-490936" coordorigin="3160,3096" coordsize="5283,3919">
            <v:shape style="position:absolute;left:3160;top:3096;width:5283;height:3918" type="#_x0000_t75" stroked="false">
              <v:imagedata r:id="rId359" o:title=""/>
            </v:shape>
            <v:shape style="position:absolute;left:4299;top:3596;width:211;height:85" coordorigin="4299,3596" coordsize="211,85" path="m4509,3680l4380,3596,4299,3596e" filled="false" stroked="true" strokeweight=".676875pt" strokecolor="#000000">
              <v:path arrowok="t"/>
            </v:shape>
            <w10:wrap type="none"/>
          </v:group>
        </w:pict>
      </w:r>
      <w:r>
        <w:rPr>
          <w:color w:val="231F20"/>
        </w:rPr>
        <w:t>Las actividades que complementa la  actividad ovina son variadas, pero se centran fundamental- mente en el cultivo de maíz (Fig. 8). Más del 80% de los productores se dedica a la siembra de maíz, y los subproductos que se generan de este culti-  vo se utilizan para la alimentación de los ovinos. Esto refleja una articulación entre lo agrícola y lo pecuario, y permite otorgar un valor agregado a </w:t>
      </w:r>
      <w:r>
        <w:rPr>
          <w:color w:val="231F20"/>
          <w:spacing w:val="34"/>
        </w:rPr>
        <w:t> </w:t>
      </w:r>
      <w:r>
        <w:rPr>
          <w:color w:val="231F20"/>
        </w:rPr>
        <w:t>la</w:t>
      </w:r>
    </w:p>
    <w:p>
      <w:pPr>
        <w:pStyle w:val="BodyText"/>
        <w:spacing w:line="273" w:lineRule="auto" w:before="67"/>
        <w:ind w:left="412" w:right="1551"/>
        <w:jc w:val="both"/>
      </w:pPr>
      <w:r>
        <w:rPr/>
        <w:br w:type="column"/>
      </w:r>
      <w:r>
        <w:rPr>
          <w:color w:val="231F20"/>
        </w:rPr>
        <w:t>actividad de la siembra de maíz al convertir este cultivo en ovinos en pie para su venta y consumo. Es en el aspecto productivo donde la innovación tecnológica tiene un importante papel, al favorecer mediante el conocimiento la utilización racional de los recursos tierra, agua y planta.</w:t>
      </w:r>
    </w:p>
    <w:p>
      <w:pPr>
        <w:pStyle w:val="BodyText"/>
        <w:spacing w:line="273" w:lineRule="auto" w:before="114"/>
        <w:ind w:left="412" w:right="1551"/>
        <w:jc w:val="both"/>
      </w:pPr>
      <w:r>
        <w:rPr>
          <w:color w:val="231F20"/>
        </w:rPr>
        <w:t>Este capítulo no pretende ahondar en la discusión de la moralidad de la innovación tecnológica. La visión que se tenga de este aspecto debe estar centrada en la práctica de una actividad que ge- nere satisfactores para la familia y que permita su persistencia a través del tiempo mediante la utili- zación racional de los recursos y la maximización de los beneficios a partir del trabajo del campesino y su familia. En este sentido se observa que la ac- tividad contribuye a la generación de empleo y de ocupación (Fig. 9) para los  adultos,  que  aunque no es remunerado supone satisfacciones para la familia y ocupación para sus integrantes; y en el caso de los jóvenes y de los niños hijos de los productores que realizan el trabajo después de la escuela, la ovinocultura contribuye a la formación  y la responsabilidad de estos futuros </w:t>
      </w:r>
      <w:r>
        <w:rPr>
          <w:color w:val="231F20"/>
          <w:spacing w:val="17"/>
        </w:rPr>
        <w:t> </w:t>
      </w:r>
      <w:r>
        <w:rPr>
          <w:color w:val="231F20"/>
        </w:rPr>
        <w:t>productores.</w:t>
      </w:r>
    </w:p>
    <w:p>
      <w:pPr>
        <w:spacing w:after="0" w:line="273"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3"/>
        <w:rPr>
          <w:sz w:val="21"/>
        </w:rPr>
      </w:pPr>
    </w:p>
    <w:p>
      <w:pPr>
        <w:spacing w:after="0"/>
        <w:rPr>
          <w:sz w:val="21"/>
        </w:rPr>
        <w:sectPr>
          <w:type w:val="continuous"/>
          <w:pgSz w:w="11900" w:h="14450"/>
          <w:pgMar w:top="420" w:bottom="420" w:left="0" w:right="0"/>
        </w:sectPr>
      </w:pPr>
    </w:p>
    <w:p>
      <w:pPr>
        <w:pStyle w:val="BodyText"/>
        <w:rPr>
          <w:sz w:val="18"/>
        </w:rPr>
      </w:pPr>
    </w:p>
    <w:p>
      <w:pPr>
        <w:pStyle w:val="BodyText"/>
        <w:spacing w:before="5"/>
      </w:pPr>
    </w:p>
    <w:p>
      <w:pPr>
        <w:spacing w:before="0"/>
        <w:ind w:left="3950" w:right="-14" w:hanging="263"/>
        <w:jc w:val="left"/>
        <w:rPr>
          <w:sz w:val="18"/>
        </w:rPr>
      </w:pPr>
      <w:r>
        <w:rPr>
          <w:sz w:val="18"/>
        </w:rPr>
        <w:t>Un</w:t>
      </w:r>
      <w:r>
        <w:rPr>
          <w:spacing w:val="-7"/>
          <w:sz w:val="18"/>
        </w:rPr>
        <w:t> </w:t>
      </w:r>
      <w:r>
        <w:rPr>
          <w:sz w:val="18"/>
        </w:rPr>
        <w:t>Familiar 11%</w:t>
      </w:r>
    </w:p>
    <w:p>
      <w:pPr>
        <w:spacing w:before="63"/>
        <w:ind w:left="317" w:right="0" w:hanging="2"/>
        <w:jc w:val="center"/>
        <w:rPr>
          <w:sz w:val="18"/>
        </w:rPr>
      </w:pPr>
      <w:r>
        <w:rPr/>
        <w:br w:type="column"/>
      </w:r>
      <w:r>
        <w:rPr>
          <w:sz w:val="18"/>
        </w:rPr>
        <w:t>Empleado o </w:t>
      </w:r>
      <w:r>
        <w:rPr>
          <w:spacing w:val="-1"/>
          <w:sz w:val="18"/>
        </w:rPr>
        <w:t>Comerciante </w:t>
      </w:r>
      <w:r>
        <w:rPr>
          <w:sz w:val="18"/>
        </w:rPr>
        <w:t>4%</w:t>
      </w:r>
    </w:p>
    <w:p>
      <w:pPr>
        <w:pStyle w:val="BodyText"/>
        <w:spacing w:before="9"/>
        <w:rPr>
          <w:sz w:val="26"/>
        </w:rPr>
      </w:pPr>
      <w:r>
        <w:rPr/>
        <w:br w:type="column"/>
      </w:r>
      <w:r>
        <w:rPr>
          <w:sz w:val="26"/>
        </w:rPr>
      </w:r>
    </w:p>
    <w:p>
      <w:pPr>
        <w:spacing w:line="187" w:lineRule="auto" w:before="0"/>
        <w:ind w:left="209" w:right="5318" w:hanging="115"/>
        <w:jc w:val="left"/>
        <w:rPr>
          <w:sz w:val="18"/>
        </w:rPr>
      </w:pPr>
      <w:r>
        <w:rPr>
          <w:sz w:val="18"/>
        </w:rPr>
        <w:t>Ninguna 4%</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44"/>
        <w:ind w:left="672" w:right="4665" w:hanging="347"/>
        <w:jc w:val="left"/>
        <w:rPr>
          <w:sz w:val="18"/>
        </w:rPr>
      </w:pPr>
      <w:r>
        <w:rPr>
          <w:sz w:val="18"/>
        </w:rPr>
        <w:t>Producción de Maíz  81%</w:t>
      </w:r>
    </w:p>
    <w:p>
      <w:pPr>
        <w:spacing w:after="0"/>
        <w:jc w:val="left"/>
        <w:rPr>
          <w:sz w:val="18"/>
        </w:rPr>
        <w:sectPr>
          <w:type w:val="continuous"/>
          <w:pgSz w:w="11900" w:h="14450"/>
          <w:pgMar w:top="420" w:bottom="420" w:left="0" w:right="0"/>
          <w:cols w:num="3" w:equalWidth="0">
            <w:col w:w="4523" w:space="40"/>
            <w:col w:w="1252" w:space="40"/>
            <w:col w:w="6045"/>
          </w:cols>
        </w:sectPr>
      </w:pPr>
    </w:p>
    <w:p>
      <w:pPr>
        <w:pStyle w:val="BodyText"/>
      </w:pPr>
    </w:p>
    <w:p>
      <w:pPr>
        <w:pStyle w:val="BodyText"/>
      </w:pPr>
    </w:p>
    <w:p>
      <w:pPr>
        <w:pStyle w:val="BodyText"/>
        <w:spacing w:before="3"/>
        <w:rPr>
          <w:sz w:val="26"/>
        </w:rPr>
      </w:pPr>
    </w:p>
    <w:p>
      <w:pPr>
        <w:spacing w:before="71"/>
        <w:ind w:left="2387" w:right="0" w:firstLine="0"/>
        <w:jc w:val="left"/>
        <w:rPr>
          <w:sz w:val="18"/>
        </w:rPr>
      </w:pPr>
      <w:r>
        <w:rPr>
          <w:color w:val="231F20"/>
          <w:sz w:val="18"/>
        </w:rPr>
        <w:t>Figura 8.       Recursos que proporcionan ingresos a los productores. (Fuente: elaboración propia.)</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w w:val="105"/>
          <w:sz w:val="18"/>
        </w:rPr>
        <w:t>Capítulo </w:t>
      </w:r>
      <w:r>
        <w:rPr>
          <w:color w:val="231F20"/>
          <w:spacing w:val="-3"/>
          <w:w w:val="105"/>
          <w:sz w:val="18"/>
        </w:rPr>
        <w:t>12.  </w:t>
      </w:r>
      <w:r>
        <w:rPr>
          <w:color w:val="231F20"/>
          <w:w w:val="105"/>
          <w:sz w:val="18"/>
        </w:rPr>
        <w:t>Innovación tecnológica en sistemas campesinos de </w:t>
      </w:r>
      <w:r>
        <w:rPr>
          <w:color w:val="231F20"/>
          <w:spacing w:val="13"/>
          <w:w w:val="105"/>
          <w:sz w:val="18"/>
        </w:rPr>
        <w:t> </w:t>
      </w:r>
      <w:r>
        <w:rPr>
          <w:color w:val="231F20"/>
          <w:w w:val="105"/>
          <w:sz w:val="18"/>
        </w:rPr>
        <w:t>producción</w:t>
      </w:r>
      <w:r>
        <w:rPr>
          <w:color w:val="231F20"/>
          <w:spacing w:val="5"/>
          <w:w w:val="105"/>
          <w:sz w:val="18"/>
        </w:rPr>
        <w:t> </w:t>
      </w:r>
      <w:r>
        <w:rPr>
          <w:color w:val="231F20"/>
          <w:w w:val="105"/>
          <w:sz w:val="18"/>
        </w:rPr>
        <w:t>ovina...</w:t>
      </w:r>
      <w:r>
        <w:rPr>
          <w:color w:val="231F20"/>
          <w:w w:val="105"/>
          <w:sz w:val="22"/>
        </w:rPr>
        <w:tab/>
      </w:r>
      <w:r>
        <w:rPr>
          <w:color w:val="231F20"/>
          <w:spacing w:val="-9"/>
          <w:w w:val="105"/>
          <w:sz w:val="22"/>
        </w:rPr>
        <w:t>197</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4" w:lineRule="auto"/>
        <w:ind w:left="1553"/>
        <w:jc w:val="both"/>
      </w:pPr>
      <w:r>
        <w:rPr>
          <w:color w:val="231F20"/>
        </w:rPr>
        <w:t>Lo anterior permite inferir que la ovinocultura es una actividad que contribuye al desarrollo rural a través de la generación de satisfactores econó- micos, que son complementados por otras acti- vidades propias de la economía campesina. Este complemento es importante al transferir valor al cultivo de maíz en la producción de ovinos para abasto.</w:t>
      </w:r>
    </w:p>
    <w:p>
      <w:pPr>
        <w:pStyle w:val="BodyText"/>
        <w:spacing w:line="254" w:lineRule="auto" w:before="114"/>
        <w:ind w:left="1553"/>
        <w:jc w:val="both"/>
      </w:pPr>
      <w:r>
        <w:rPr>
          <w:color w:val="231F20"/>
          <w:spacing w:val="-3"/>
        </w:rPr>
        <w:t>También </w:t>
      </w:r>
      <w:r>
        <w:rPr>
          <w:color w:val="231F20"/>
        </w:rPr>
        <w:t>permite la integración de la familia en torno a las actividades que se derivan de la pro- ducción de borregos, y favorece la formación de grupos de productores para obtener otros satis- factores, que pueden ser de índole económica (subsidios) o social  (relaciones),  lo  que  favorece la difusión del conocimiento y  en  consecuencia  de la innovación  tecnológica.</w:t>
      </w:r>
    </w:p>
    <w:p>
      <w:pPr>
        <w:pStyle w:val="BodyText"/>
      </w:pPr>
    </w:p>
    <w:p>
      <w:pPr>
        <w:pStyle w:val="BodyText"/>
        <w:spacing w:before="154"/>
        <w:ind w:left="1553"/>
        <w:jc w:val="both"/>
      </w:pPr>
      <w:r>
        <w:rPr>
          <w:color w:val="231F20"/>
          <w:w w:val="115"/>
        </w:rPr>
        <w:t>CONCLUSIÓN</w:t>
      </w:r>
    </w:p>
    <w:p>
      <w:pPr>
        <w:pStyle w:val="BodyText"/>
        <w:spacing w:line="254" w:lineRule="auto" w:before="129"/>
        <w:ind w:left="1553"/>
        <w:jc w:val="both"/>
      </w:pPr>
      <w:r>
        <w:rPr>
          <w:color w:val="231F20"/>
        </w:rPr>
        <w:t>La innovación tecnológica en los sistemas campe- sinos de producción ovina se ha visto influenciada por aspectos económicos, culturales y  sociales.  Los capitales social y humano han favorecido la persistencia de este tipo de sistemas  a  lo  largo del  tiempo.  Se  considera  importante  ahondar</w:t>
      </w:r>
      <w:r>
        <w:rPr>
          <w:color w:val="231F20"/>
          <w:spacing w:val="-6"/>
        </w:rPr>
        <w:t> </w:t>
      </w:r>
      <w:r>
        <w:rPr>
          <w:color w:val="231F20"/>
        </w:rPr>
        <w:t>en</w:t>
      </w:r>
    </w:p>
    <w:p>
      <w:pPr>
        <w:pStyle w:val="BodyText"/>
        <w:spacing w:before="3"/>
        <w:rPr>
          <w:sz w:val="28"/>
        </w:rPr>
      </w:pPr>
      <w:r>
        <w:rPr/>
        <w:br w:type="column"/>
      </w:r>
      <w:r>
        <w:rPr>
          <w:sz w:val="28"/>
        </w:rPr>
      </w:r>
    </w:p>
    <w:p>
      <w:pPr>
        <w:pStyle w:val="BodyText"/>
        <w:spacing w:line="273" w:lineRule="auto"/>
        <w:ind w:left="412" w:right="1551"/>
        <w:jc w:val="both"/>
      </w:pPr>
      <w:r>
        <w:rPr>
          <w:color w:val="231F20"/>
        </w:rPr>
        <w:t>la discusión sobre cómo el capital humano, a tra- vés de la adquisición y la asimilación del conoci- miento, ha permitido una “elasticidad” que hace que la ovinocultura campesina pueda soportar la influencia de los mercados, así como las visiones  de “modernidad” de la</w:t>
      </w:r>
      <w:r>
        <w:rPr>
          <w:color w:val="231F20"/>
          <w:spacing w:val="30"/>
        </w:rPr>
        <w:t> </w:t>
      </w:r>
      <w:r>
        <w:rPr>
          <w:color w:val="231F20"/>
        </w:rPr>
        <w:t>actividad.</w:t>
      </w:r>
    </w:p>
    <w:p>
      <w:pPr>
        <w:pStyle w:val="BodyText"/>
        <w:spacing w:line="273" w:lineRule="auto" w:before="113"/>
        <w:ind w:left="412" w:right="1551"/>
        <w:jc w:val="both"/>
      </w:pPr>
      <w:r>
        <w:rPr>
          <w:color w:val="231F20"/>
        </w:rPr>
        <w:t>Puede concluirse que el capital humano debe ser incentivado, porque permite que los tomadores de decisiones tengan una amplia diversidad de posi- bilidades para la elección de las prácticas y técni- cas adecuadas para la operación de los sistemas,    y con ello para la obtención de los beneficios que  el sistema aporta a las familias y al desarrollo</w:t>
      </w:r>
      <w:r>
        <w:rPr>
          <w:color w:val="231F20"/>
          <w:spacing w:val="12"/>
        </w:rPr>
        <w:t> </w:t>
      </w:r>
      <w:r>
        <w:rPr>
          <w:color w:val="231F20"/>
        </w:rPr>
        <w:t>rural.</w:t>
      </w:r>
    </w:p>
    <w:p>
      <w:pPr>
        <w:pStyle w:val="BodyText"/>
        <w:spacing w:line="273" w:lineRule="auto" w:before="113"/>
        <w:ind w:left="412" w:right="1551"/>
        <w:jc w:val="both"/>
      </w:pPr>
      <w:r>
        <w:rPr>
          <w:color w:val="231F20"/>
        </w:rPr>
        <w:t>Sin embargo, también es importante fortalecer el capital humano, proporcionar un mayor acompa- ñamiento al productor durante la aplicación de las técnicas en los sistemas de producción y conse- guir una mayor dinamización del conocimiento hacia los productores campesinos. El capital social, a través de las redes sociales, permite esta dina- mización del conocimiento y favorece los medios de soporte para el desarrollo de la actividad, tales como  la  formación  de  grupos  de  trabajo,  la</w:t>
      </w:r>
      <w:r>
        <w:rPr>
          <w:color w:val="231F20"/>
          <w:spacing w:val="36"/>
        </w:rPr>
        <w:t> </w:t>
      </w:r>
      <w:r>
        <w:rPr>
          <w:color w:val="231F20"/>
        </w:rPr>
        <w:t>ob-</w:t>
      </w:r>
    </w:p>
    <w:p>
      <w:pPr>
        <w:spacing w:after="0" w:line="273" w:lineRule="auto"/>
        <w:jc w:val="both"/>
        <w:sectPr>
          <w:type w:val="continuous"/>
          <w:pgSz w:w="11900" w:h="14450"/>
          <w:pgMar w:top="420" w:bottom="420" w:left="0" w:right="0"/>
          <w:cols w:num="2" w:equalWidth="0">
            <w:col w:w="5722" w:space="40"/>
            <w:col w:w="6138"/>
          </w:cols>
        </w:sectPr>
      </w:pPr>
    </w:p>
    <w:p>
      <w:pPr>
        <w:pStyle w:val="BodyText"/>
      </w:pPr>
    </w:p>
    <w:p>
      <w:pPr>
        <w:spacing w:after="0"/>
        <w:sectPr>
          <w:type w:val="continuous"/>
          <w:pgSz w:w="11900" w:h="14450"/>
          <w:pgMar w:top="420" w:bottom="420" w:left="0" w:right="0"/>
        </w:sectPr>
      </w:pPr>
    </w:p>
    <w:p>
      <w:pPr>
        <w:spacing w:line="260" w:lineRule="exact" w:before="198"/>
        <w:ind w:left="0" w:right="0" w:firstLine="0"/>
        <w:jc w:val="right"/>
        <w:rPr>
          <w:sz w:val="18"/>
        </w:rPr>
      </w:pPr>
      <w:r>
        <w:rPr>
          <w:position w:val="-7"/>
          <w:sz w:val="18"/>
        </w:rPr>
        <w:t>Nietos </w:t>
      </w:r>
      <w:r>
        <w:rPr>
          <w:sz w:val="18"/>
        </w:rPr>
        <w:t>Parentesco</w:t>
      </w:r>
    </w:p>
    <w:p>
      <w:pPr>
        <w:spacing w:line="79" w:lineRule="exact" w:before="0"/>
        <w:ind w:left="0" w:right="133" w:firstLine="0"/>
        <w:jc w:val="right"/>
        <w:rPr>
          <w:sz w:val="18"/>
        </w:rPr>
      </w:pPr>
      <w:r>
        <w:rPr>
          <w:w w:val="95"/>
          <w:sz w:val="18"/>
        </w:rPr>
        <w:t>Politico</w:t>
      </w:r>
    </w:p>
    <w:p>
      <w:pPr>
        <w:pStyle w:val="BodyText"/>
        <w:rPr>
          <w:sz w:val="18"/>
        </w:rPr>
      </w:pPr>
      <w:r>
        <w:rPr/>
        <w:br w:type="column"/>
      </w:r>
      <w:r>
        <w:rPr>
          <w:sz w:val="18"/>
        </w:rPr>
      </w:r>
    </w:p>
    <w:p>
      <w:pPr>
        <w:spacing w:line="203" w:lineRule="exact" w:before="114"/>
        <w:ind w:left="399" w:right="0" w:firstLine="0"/>
        <w:jc w:val="left"/>
        <w:rPr>
          <w:sz w:val="18"/>
        </w:rPr>
      </w:pPr>
      <w:r>
        <w:rPr>
          <w:sz w:val="18"/>
        </w:rPr>
        <w:t>Ninguna</w:t>
      </w:r>
    </w:p>
    <w:p>
      <w:pPr>
        <w:spacing w:after="0" w:line="203" w:lineRule="exact"/>
        <w:jc w:val="left"/>
        <w:rPr>
          <w:sz w:val="18"/>
        </w:rPr>
        <w:sectPr>
          <w:type w:val="continuous"/>
          <w:pgSz w:w="11900" w:h="14450"/>
          <w:pgMar w:top="420" w:bottom="420" w:left="0" w:right="0"/>
          <w:cols w:num="2" w:equalWidth="0">
            <w:col w:w="5615" w:space="40"/>
            <w:col w:w="6245"/>
          </w:cols>
        </w:sectPr>
      </w:pPr>
    </w:p>
    <w:p>
      <w:pPr>
        <w:tabs>
          <w:tab w:pos="5099" w:val="left" w:leader="none"/>
          <w:tab w:pos="6252" w:val="left" w:leader="none"/>
        </w:tabs>
        <w:spacing w:line="307" w:lineRule="exact" w:before="0"/>
        <w:ind w:left="3288" w:right="2503" w:firstLine="0"/>
        <w:jc w:val="left"/>
        <w:rPr>
          <w:sz w:val="18"/>
        </w:rPr>
      </w:pPr>
      <w:r>
        <w:rPr/>
        <w:pict>
          <v:group style="position:absolute;margin-left:172.512314pt;margin-top:2.305705pt;width:274.55pt;height:160.550pt;mso-position-horizontal-relative:page;mso-position-vertical-relative:paragraph;z-index:-490912" coordorigin="3450,46" coordsize="5491,3211">
            <v:shape style="position:absolute;left:3450;top:249;width:5490;height:3008" type="#_x0000_t75" stroked="false">
              <v:imagedata r:id="rId360" o:title=""/>
            </v:shape>
            <v:shape style="position:absolute;left:3982;top:-8023;width:1586;height:489" coordorigin="3982,-8023" coordsize="1586,489" path="m4736,493l4386,225,4305,225m5093,396l4702,123,4621,123m5733,297l5590,53,5509,53e" filled="false" stroked="true" strokeweight=".67518pt" strokecolor="#000000">
              <v:path arrowok="t"/>
            </v:shape>
            <w10:wrap type="none"/>
          </v:group>
        </w:pict>
      </w:r>
      <w:r>
        <w:rPr>
          <w:sz w:val="18"/>
        </w:rPr>
        <w:t>Hermanos/as </w:t>
      </w:r>
      <w:r>
        <w:rPr>
          <w:spacing w:val="23"/>
          <w:sz w:val="18"/>
        </w:rPr>
        <w:t> </w:t>
      </w:r>
      <w:r>
        <w:rPr>
          <w:position w:val="10"/>
          <w:sz w:val="18"/>
        </w:rPr>
        <w:t>3%</w:t>
        <w:tab/>
      </w:r>
      <w:r>
        <w:rPr>
          <w:position w:val="-3"/>
          <w:sz w:val="18"/>
        </w:rPr>
        <w:t>7%</w:t>
        <w:tab/>
      </w:r>
      <w:r>
        <w:rPr>
          <w:position w:val="5"/>
          <w:sz w:val="18"/>
        </w:rPr>
        <w:t>2%</w:t>
      </w:r>
    </w:p>
    <w:p>
      <w:pPr>
        <w:spacing w:line="200" w:lineRule="exact" w:before="0"/>
        <w:ind w:left="3668" w:right="2503" w:firstLine="0"/>
        <w:jc w:val="left"/>
        <w:rPr>
          <w:sz w:val="18"/>
        </w:rPr>
      </w:pPr>
      <w:r>
        <w:rPr>
          <w:sz w:val="18"/>
        </w:rPr>
        <w:t>3%</w:t>
      </w:r>
    </w:p>
    <w:p>
      <w:pPr>
        <w:pStyle w:val="BodyText"/>
      </w:pPr>
    </w:p>
    <w:p>
      <w:pPr>
        <w:pStyle w:val="BodyText"/>
      </w:pPr>
    </w:p>
    <w:p>
      <w:pPr>
        <w:pStyle w:val="BodyText"/>
      </w:pPr>
    </w:p>
    <w:p>
      <w:pPr>
        <w:pStyle w:val="BodyText"/>
      </w:pPr>
    </w:p>
    <w:p>
      <w:pPr>
        <w:pStyle w:val="BodyText"/>
      </w:pPr>
    </w:p>
    <w:p>
      <w:pPr>
        <w:pStyle w:val="BodyText"/>
        <w:spacing w:before="9"/>
        <w:rPr>
          <w:sz w:val="14"/>
        </w:rPr>
      </w:pPr>
    </w:p>
    <w:p>
      <w:pPr>
        <w:spacing w:before="63"/>
        <w:ind w:left="7180" w:right="3941" w:hanging="448"/>
        <w:jc w:val="left"/>
        <w:rPr>
          <w:sz w:val="18"/>
        </w:rPr>
      </w:pPr>
      <w:r>
        <w:rPr>
          <w:sz w:val="18"/>
        </w:rPr>
        <w:t>Hijos o Esposo/a 85%</w:t>
      </w:r>
    </w:p>
    <w:p>
      <w:pPr>
        <w:pStyle w:val="BodyText"/>
      </w:pPr>
    </w:p>
    <w:p>
      <w:pPr>
        <w:pStyle w:val="BodyText"/>
      </w:pPr>
    </w:p>
    <w:p>
      <w:pPr>
        <w:pStyle w:val="BodyText"/>
      </w:pPr>
    </w:p>
    <w:p>
      <w:pPr>
        <w:pStyle w:val="BodyText"/>
        <w:spacing w:before="3"/>
        <w:rPr>
          <w:sz w:val="24"/>
        </w:rPr>
      </w:pPr>
    </w:p>
    <w:p>
      <w:pPr>
        <w:spacing w:before="72"/>
        <w:ind w:left="2502" w:right="0" w:firstLine="0"/>
        <w:jc w:val="left"/>
        <w:rPr>
          <w:sz w:val="18"/>
        </w:rPr>
      </w:pPr>
      <w:r>
        <w:rPr>
          <w:color w:val="231F20"/>
          <w:sz w:val="18"/>
        </w:rPr>
        <w:t>Figura 9.   Relación filial de los involucrados en la ovinocultura. (Fuente: elaboración    propia.)</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7037" w:val="left" w:leader="none"/>
        </w:tabs>
        <w:spacing w:before="64"/>
        <w:ind w:left="1551" w:right="0" w:firstLine="0"/>
        <w:jc w:val="left"/>
        <w:rPr>
          <w:sz w:val="12"/>
        </w:rPr>
      </w:pPr>
      <w:r>
        <w:rPr>
          <w:color w:val="231F20"/>
          <w:spacing w:val="-3"/>
          <w:w w:val="120"/>
          <w:sz w:val="22"/>
        </w:rPr>
        <w:t>198</w:t>
        <w:tab/>
      </w:r>
      <w:r>
        <w:rPr>
          <w:color w:val="231F20"/>
          <w:w w:val="120"/>
          <w:sz w:val="18"/>
        </w:rPr>
        <w:t>SECCIÓN </w:t>
      </w:r>
      <w:r>
        <w:rPr>
          <w:color w:val="231F20"/>
          <w:w w:val="115"/>
          <w:sz w:val="18"/>
        </w:rPr>
        <w:t>3.  A. </w:t>
      </w:r>
      <w:r>
        <w:rPr>
          <w:color w:val="231F20"/>
          <w:w w:val="120"/>
          <w:sz w:val="18"/>
        </w:rPr>
        <w:t>S</w:t>
      </w:r>
      <w:r>
        <w:rPr>
          <w:color w:val="231F20"/>
          <w:w w:val="120"/>
          <w:sz w:val="12"/>
        </w:rPr>
        <w:t>iStemAS  productoreS  de</w:t>
      </w:r>
      <w:r>
        <w:rPr>
          <w:color w:val="231F20"/>
          <w:spacing w:val="-8"/>
          <w:w w:val="120"/>
          <w:sz w:val="12"/>
        </w:rPr>
        <w:t> </w:t>
      </w:r>
      <w:r>
        <w:rPr>
          <w:color w:val="231F20"/>
          <w:w w:val="120"/>
          <w:sz w:val="12"/>
        </w:rPr>
        <w:t>ovinoS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4" w:lineRule="auto" w:before="67"/>
        <w:ind w:left="1553"/>
        <w:jc w:val="both"/>
      </w:pPr>
      <w:r>
        <w:rPr>
          <w:color w:val="231F20"/>
        </w:rPr>
        <w:t>tención de beneficios económicos mediante sub- sidios y la integración de grupos de  trabajo.</w:t>
      </w:r>
    </w:p>
    <w:p>
      <w:pPr>
        <w:pStyle w:val="BodyText"/>
        <w:spacing w:line="264" w:lineRule="auto" w:before="112"/>
        <w:ind w:left="1553"/>
        <w:jc w:val="both"/>
      </w:pPr>
      <w:r>
        <w:rPr>
          <w:color w:val="231F20"/>
        </w:rPr>
        <w:t>Es importante señalar el papel de la mujer en la producción de ovinos. Se aprecia que es la mujer   la que más innova, aprovechando sus relaciones sociales y su capital humano para tal </w:t>
      </w:r>
      <w:r>
        <w:rPr>
          <w:color w:val="231F20"/>
          <w:spacing w:val="30"/>
        </w:rPr>
        <w:t> </w:t>
      </w:r>
      <w:r>
        <w:rPr>
          <w:color w:val="231F20"/>
        </w:rPr>
        <w:t>fin.</w:t>
      </w:r>
    </w:p>
    <w:p>
      <w:pPr>
        <w:pStyle w:val="BodyText"/>
      </w:pPr>
    </w:p>
    <w:p>
      <w:pPr>
        <w:pStyle w:val="BodyText"/>
        <w:spacing w:before="151"/>
        <w:ind w:left="1553"/>
        <w:jc w:val="both"/>
      </w:pPr>
      <w:r>
        <w:rPr>
          <w:color w:val="231F20"/>
          <w:w w:val="110"/>
        </w:rPr>
        <w:t>BIBLIOGRAFÍA</w:t>
      </w:r>
    </w:p>
    <w:p>
      <w:pPr>
        <w:spacing w:line="271" w:lineRule="auto" w:before="135"/>
        <w:ind w:left="1837" w:right="0" w:hanging="284"/>
        <w:jc w:val="both"/>
        <w:rPr>
          <w:sz w:val="18"/>
        </w:rPr>
      </w:pPr>
      <w:r>
        <w:rPr>
          <w:color w:val="231F20"/>
          <w:sz w:val="18"/>
        </w:rPr>
        <w:t>Ahmed A., Stein J. (2004). Science, technology and sus- tainable development: a world review. </w:t>
      </w:r>
      <w:r>
        <w:rPr>
          <w:i/>
          <w:color w:val="231F20"/>
          <w:sz w:val="18"/>
        </w:rPr>
        <w:t>World Review </w:t>
      </w:r>
      <w:r>
        <w:rPr>
          <w:i/>
          <w:color w:val="231F20"/>
          <w:sz w:val="18"/>
        </w:rPr>
        <w:t>of Science, </w:t>
      </w:r>
      <w:r>
        <w:rPr>
          <w:i/>
          <w:color w:val="231F20"/>
          <w:spacing w:val="-3"/>
          <w:sz w:val="18"/>
        </w:rPr>
        <w:t>Tecnology </w:t>
      </w:r>
      <w:r>
        <w:rPr>
          <w:i/>
          <w:color w:val="231F20"/>
          <w:sz w:val="18"/>
        </w:rPr>
        <w:t>and Sustainable  Develop- ment,  </w:t>
      </w:r>
      <w:r>
        <w:rPr>
          <w:color w:val="231F20"/>
          <w:sz w:val="18"/>
        </w:rPr>
        <w:t>1(1): </w:t>
      </w:r>
      <w:r>
        <w:rPr>
          <w:color w:val="231F20"/>
          <w:spacing w:val="30"/>
          <w:sz w:val="18"/>
        </w:rPr>
        <w:t> </w:t>
      </w:r>
      <w:r>
        <w:rPr>
          <w:color w:val="231F20"/>
          <w:sz w:val="18"/>
        </w:rPr>
        <w:t>5-23.</w:t>
      </w:r>
    </w:p>
    <w:p>
      <w:pPr>
        <w:spacing w:line="271" w:lineRule="auto" w:before="56"/>
        <w:ind w:left="1837" w:right="0" w:hanging="284"/>
        <w:jc w:val="both"/>
        <w:rPr>
          <w:i/>
          <w:sz w:val="18"/>
        </w:rPr>
      </w:pPr>
      <w:r>
        <w:rPr>
          <w:color w:val="231F20"/>
          <w:sz w:val="18"/>
        </w:rPr>
        <w:t>Alemán </w:t>
      </w:r>
      <w:r>
        <w:rPr>
          <w:color w:val="231F20"/>
          <w:spacing w:val="-5"/>
          <w:sz w:val="18"/>
        </w:rPr>
        <w:t>T., </w:t>
      </w:r>
      <w:r>
        <w:rPr>
          <w:color w:val="231F20"/>
          <w:sz w:val="18"/>
        </w:rPr>
        <w:t>Nahed J., López J. (2003). Sostenibilidad y agricultura campesina: la producción agrosilvipasto- rial en los Altos de Chiapas, México. </w:t>
      </w:r>
      <w:r>
        <w:rPr>
          <w:i/>
          <w:color w:val="231F20"/>
          <w:sz w:val="18"/>
        </w:rPr>
        <w:t>LEISA Revista   </w:t>
      </w:r>
      <w:r>
        <w:rPr>
          <w:i/>
          <w:color w:val="231F20"/>
          <w:sz w:val="18"/>
        </w:rPr>
        <w:t>de </w:t>
      </w:r>
      <w:r>
        <w:rPr>
          <w:i/>
          <w:color w:val="231F20"/>
          <w:spacing w:val="9"/>
          <w:sz w:val="18"/>
        </w:rPr>
        <w:t> </w:t>
      </w:r>
      <w:r>
        <w:rPr>
          <w:i/>
          <w:color w:val="231F20"/>
          <w:sz w:val="18"/>
        </w:rPr>
        <w:t>Agroecología</w:t>
      </w:r>
    </w:p>
    <w:p>
      <w:pPr>
        <w:spacing w:line="271" w:lineRule="auto" w:before="56"/>
        <w:ind w:left="1544" w:right="0" w:firstLine="0"/>
        <w:jc w:val="right"/>
        <w:rPr>
          <w:sz w:val="18"/>
        </w:rPr>
      </w:pPr>
      <w:r>
        <w:rPr>
          <w:color w:val="231F20"/>
          <w:sz w:val="18"/>
        </w:rPr>
        <w:t>Becker G. (1962). Investment in human capital: a theor-</w:t>
      </w:r>
      <w:r>
        <w:rPr>
          <w:color w:val="231F20"/>
          <w:w w:val="95"/>
          <w:sz w:val="18"/>
        </w:rPr>
        <w:t> </w:t>
      </w:r>
      <w:r>
        <w:rPr>
          <w:color w:val="231F20"/>
          <w:sz w:val="18"/>
        </w:rPr>
        <w:t>ical analisys. </w:t>
      </w:r>
      <w:r>
        <w:rPr>
          <w:i/>
          <w:color w:val="231F20"/>
          <w:sz w:val="18"/>
        </w:rPr>
        <w:t>The Journal of Political Economy,    </w:t>
      </w:r>
      <w:r>
        <w:rPr>
          <w:color w:val="231F20"/>
          <w:sz w:val="18"/>
        </w:rPr>
        <w:t>9-49.</w:t>
      </w:r>
    </w:p>
    <w:p>
      <w:pPr>
        <w:spacing w:line="271" w:lineRule="auto" w:before="56"/>
        <w:ind w:left="1837" w:right="0" w:hanging="284"/>
        <w:jc w:val="both"/>
        <w:rPr>
          <w:sz w:val="18"/>
        </w:rPr>
      </w:pPr>
      <w:r>
        <w:rPr>
          <w:color w:val="231F20"/>
          <w:sz w:val="18"/>
        </w:rPr>
        <w:t>Bores R., </w:t>
      </w:r>
      <w:r>
        <w:rPr>
          <w:color w:val="231F20"/>
          <w:spacing w:val="-3"/>
          <w:sz w:val="18"/>
        </w:rPr>
        <w:t>Vega </w:t>
      </w:r>
      <w:r>
        <w:rPr>
          <w:color w:val="231F20"/>
          <w:sz w:val="18"/>
        </w:rPr>
        <w:t>C. (2003). La investigación pecuaria ante los retos y desafíos de la ovinocultura en México.   1er Symposium Internacional de Ovinos de Carne. Pachuca, Hidalgo,</w:t>
      </w:r>
      <w:r>
        <w:rPr>
          <w:color w:val="231F20"/>
          <w:spacing w:val="13"/>
          <w:sz w:val="18"/>
        </w:rPr>
        <w:t> </w:t>
      </w:r>
      <w:r>
        <w:rPr>
          <w:color w:val="231F20"/>
          <w:sz w:val="18"/>
        </w:rPr>
        <w:t>México.</w:t>
      </w:r>
    </w:p>
    <w:p>
      <w:pPr>
        <w:spacing w:line="271" w:lineRule="auto" w:before="56"/>
        <w:ind w:left="1837" w:right="0" w:hanging="284"/>
        <w:jc w:val="both"/>
        <w:rPr>
          <w:sz w:val="18"/>
        </w:rPr>
      </w:pPr>
      <w:r>
        <w:rPr>
          <w:color w:val="231F20"/>
          <w:sz w:val="18"/>
        </w:rPr>
        <w:t>Carrillo J., Chafla </w:t>
      </w:r>
      <w:r>
        <w:rPr>
          <w:color w:val="231F20"/>
          <w:spacing w:val="-8"/>
          <w:sz w:val="18"/>
        </w:rPr>
        <w:t>P. </w:t>
      </w:r>
      <w:r>
        <w:rPr>
          <w:color w:val="231F20"/>
          <w:sz w:val="18"/>
        </w:rPr>
        <w:t>(2003). Techonology transfer and sustainable development in emerging economies:  the problem of tecnology lock-in. </w:t>
      </w:r>
      <w:r>
        <w:rPr>
          <w:i/>
          <w:color w:val="231F20"/>
          <w:sz w:val="18"/>
        </w:rPr>
        <w:t>Working Papers </w:t>
      </w:r>
      <w:r>
        <w:rPr>
          <w:i/>
          <w:color w:val="231F20"/>
          <w:sz w:val="18"/>
        </w:rPr>
        <w:t>Economy, </w:t>
      </w:r>
      <w:r>
        <w:rPr>
          <w:i/>
          <w:color w:val="231F20"/>
          <w:spacing w:val="24"/>
          <w:sz w:val="18"/>
        </w:rPr>
        <w:t> </w:t>
      </w:r>
      <w:r>
        <w:rPr>
          <w:color w:val="231F20"/>
          <w:spacing w:val="-4"/>
          <w:sz w:val="18"/>
        </w:rPr>
        <w:t>1-18.</w:t>
      </w:r>
    </w:p>
    <w:p>
      <w:pPr>
        <w:spacing w:line="271" w:lineRule="auto" w:before="56"/>
        <w:ind w:left="1837" w:right="0" w:hanging="284"/>
        <w:jc w:val="both"/>
        <w:rPr>
          <w:sz w:val="18"/>
        </w:rPr>
      </w:pPr>
      <w:r>
        <w:rPr>
          <w:color w:val="231F20"/>
          <w:w w:val="105"/>
          <w:sz w:val="18"/>
        </w:rPr>
        <w:t>Davis</w:t>
      </w:r>
      <w:r>
        <w:rPr>
          <w:color w:val="231F20"/>
          <w:spacing w:val="-12"/>
          <w:w w:val="105"/>
          <w:sz w:val="18"/>
        </w:rPr>
        <w:t> </w:t>
      </w:r>
      <w:r>
        <w:rPr>
          <w:color w:val="231F20"/>
          <w:w w:val="105"/>
          <w:sz w:val="18"/>
        </w:rPr>
        <w:t>B.,</w:t>
      </w:r>
      <w:r>
        <w:rPr>
          <w:color w:val="231F20"/>
          <w:spacing w:val="-12"/>
          <w:w w:val="105"/>
          <w:sz w:val="18"/>
        </w:rPr>
        <w:t> </w:t>
      </w:r>
      <w:r>
        <w:rPr>
          <w:color w:val="231F20"/>
          <w:w w:val="105"/>
          <w:sz w:val="18"/>
        </w:rPr>
        <w:t>Winters</w:t>
      </w:r>
      <w:r>
        <w:rPr>
          <w:color w:val="231F20"/>
          <w:spacing w:val="-12"/>
          <w:w w:val="105"/>
          <w:sz w:val="18"/>
        </w:rPr>
        <w:t> </w:t>
      </w:r>
      <w:r>
        <w:rPr>
          <w:color w:val="231F20"/>
          <w:spacing w:val="-8"/>
          <w:w w:val="105"/>
          <w:sz w:val="18"/>
        </w:rPr>
        <w:t>P.</w:t>
      </w:r>
      <w:r>
        <w:rPr>
          <w:color w:val="231F20"/>
          <w:spacing w:val="-12"/>
          <w:w w:val="105"/>
          <w:sz w:val="18"/>
        </w:rPr>
        <w:t> </w:t>
      </w:r>
      <w:r>
        <w:rPr>
          <w:color w:val="231F20"/>
          <w:w w:val="105"/>
          <w:sz w:val="18"/>
        </w:rPr>
        <w:t>(2008).</w:t>
      </w:r>
      <w:r>
        <w:rPr>
          <w:color w:val="231F20"/>
          <w:spacing w:val="-12"/>
          <w:w w:val="105"/>
          <w:sz w:val="18"/>
        </w:rPr>
        <w:t> </w:t>
      </w:r>
      <w:r>
        <w:rPr>
          <w:color w:val="231F20"/>
          <w:w w:val="105"/>
          <w:sz w:val="18"/>
        </w:rPr>
        <w:t>Gender,</w:t>
      </w:r>
      <w:r>
        <w:rPr>
          <w:color w:val="231F20"/>
          <w:spacing w:val="-12"/>
          <w:w w:val="105"/>
          <w:sz w:val="18"/>
        </w:rPr>
        <w:t> </w:t>
      </w:r>
      <w:r>
        <w:rPr>
          <w:color w:val="231F20"/>
          <w:w w:val="105"/>
          <w:sz w:val="18"/>
        </w:rPr>
        <w:t>networks</w:t>
      </w:r>
      <w:r>
        <w:rPr>
          <w:color w:val="231F20"/>
          <w:spacing w:val="-12"/>
          <w:w w:val="105"/>
          <w:sz w:val="18"/>
        </w:rPr>
        <w:t> </w:t>
      </w:r>
      <w:r>
        <w:rPr>
          <w:color w:val="231F20"/>
          <w:w w:val="105"/>
          <w:sz w:val="18"/>
        </w:rPr>
        <w:t>and</w:t>
      </w:r>
      <w:r>
        <w:rPr>
          <w:color w:val="231F20"/>
          <w:spacing w:val="-12"/>
          <w:w w:val="105"/>
          <w:sz w:val="18"/>
        </w:rPr>
        <w:t> </w:t>
      </w:r>
      <w:r>
        <w:rPr>
          <w:color w:val="231F20"/>
          <w:w w:val="105"/>
          <w:sz w:val="18"/>
        </w:rPr>
        <w:t>Mex- ico-US migration. </w:t>
      </w:r>
      <w:r>
        <w:rPr>
          <w:i/>
          <w:color w:val="231F20"/>
          <w:w w:val="105"/>
          <w:sz w:val="18"/>
        </w:rPr>
        <w:t>Journal of Development Studies, </w:t>
      </w:r>
      <w:r>
        <w:rPr>
          <w:color w:val="231F20"/>
          <w:w w:val="105"/>
          <w:sz w:val="18"/>
        </w:rPr>
        <w:t>38(1): </w:t>
      </w:r>
      <w:r>
        <w:rPr>
          <w:color w:val="231F20"/>
          <w:spacing w:val="26"/>
          <w:w w:val="105"/>
          <w:sz w:val="18"/>
        </w:rPr>
        <w:t> </w:t>
      </w:r>
      <w:r>
        <w:rPr>
          <w:color w:val="231F20"/>
          <w:spacing w:val="-3"/>
          <w:w w:val="105"/>
          <w:sz w:val="18"/>
        </w:rPr>
        <w:t>1-26.</w:t>
      </w:r>
    </w:p>
    <w:p>
      <w:pPr>
        <w:spacing w:line="271" w:lineRule="auto" w:before="56"/>
        <w:ind w:left="1837" w:right="0" w:hanging="284"/>
        <w:jc w:val="both"/>
        <w:rPr>
          <w:sz w:val="18"/>
        </w:rPr>
      </w:pPr>
      <w:r>
        <w:rPr>
          <w:color w:val="231F20"/>
          <w:sz w:val="18"/>
        </w:rPr>
        <w:t>DFID (2001). Sustainable livelihoods guidance sheets. Department for International Development, London, UK.</w:t>
      </w:r>
    </w:p>
    <w:p>
      <w:pPr>
        <w:spacing w:line="271" w:lineRule="auto" w:before="56"/>
        <w:ind w:left="1837" w:right="0" w:hanging="284"/>
        <w:jc w:val="both"/>
        <w:rPr>
          <w:sz w:val="18"/>
        </w:rPr>
      </w:pPr>
      <w:r>
        <w:rPr>
          <w:color w:val="231F20"/>
          <w:sz w:val="18"/>
        </w:rPr>
        <w:t>Gigch J. (2006). </w:t>
      </w:r>
      <w:r>
        <w:rPr>
          <w:color w:val="231F20"/>
          <w:spacing w:val="-4"/>
          <w:sz w:val="18"/>
        </w:rPr>
        <w:t>Teoría </w:t>
      </w:r>
      <w:r>
        <w:rPr>
          <w:color w:val="231F20"/>
          <w:sz w:val="18"/>
        </w:rPr>
        <w:t>general de sistemas. 3ª ed. </w:t>
      </w:r>
      <w:r>
        <w:rPr>
          <w:color w:val="231F20"/>
          <w:spacing w:val="-5"/>
          <w:sz w:val="18"/>
        </w:rPr>
        <w:t>Tri-  </w:t>
      </w:r>
      <w:r>
        <w:rPr>
          <w:color w:val="231F20"/>
          <w:sz w:val="18"/>
        </w:rPr>
        <w:t>llas,</w:t>
      </w:r>
      <w:r>
        <w:rPr>
          <w:color w:val="231F20"/>
          <w:spacing w:val="-17"/>
          <w:sz w:val="18"/>
        </w:rPr>
        <w:t> </w:t>
      </w:r>
      <w:r>
        <w:rPr>
          <w:color w:val="231F20"/>
          <w:sz w:val="18"/>
        </w:rPr>
        <w:t>México.</w:t>
      </w:r>
    </w:p>
    <w:p>
      <w:pPr>
        <w:spacing w:line="271" w:lineRule="auto" w:before="56"/>
        <w:ind w:left="1544" w:right="0" w:firstLine="0"/>
        <w:jc w:val="right"/>
        <w:rPr>
          <w:sz w:val="18"/>
        </w:rPr>
      </w:pPr>
      <w:r>
        <w:rPr>
          <w:color w:val="231F20"/>
          <w:sz w:val="18"/>
        </w:rPr>
        <w:t>Jafry T. (2000). Women, human capital and livelihoods:</w:t>
      </w:r>
      <w:r>
        <w:rPr>
          <w:color w:val="231F20"/>
          <w:w w:val="99"/>
          <w:sz w:val="18"/>
        </w:rPr>
        <w:t> </w:t>
      </w:r>
      <w:r>
        <w:rPr>
          <w:color w:val="231F20"/>
          <w:sz w:val="18"/>
        </w:rPr>
        <w:t>an ergonomics perspective in natural resource per-</w:t>
      </w:r>
      <w:r>
        <w:rPr>
          <w:color w:val="231F20"/>
          <w:w w:val="95"/>
          <w:sz w:val="18"/>
        </w:rPr>
        <w:t> </w:t>
      </w:r>
      <w:r>
        <w:rPr>
          <w:color w:val="231F20"/>
          <w:sz w:val="18"/>
        </w:rPr>
        <w:t>spectives. </w:t>
      </w:r>
      <w:r>
        <w:rPr>
          <w:i/>
          <w:color w:val="231F20"/>
          <w:sz w:val="18"/>
        </w:rPr>
        <w:t>Overseas Development Institute, </w:t>
      </w:r>
      <w:r>
        <w:rPr>
          <w:color w:val="231F20"/>
          <w:sz w:val="18"/>
        </w:rPr>
        <w:t>54:    1-4.</w:t>
      </w:r>
    </w:p>
    <w:p>
      <w:pPr>
        <w:spacing w:line="271" w:lineRule="auto" w:before="56"/>
        <w:ind w:left="1837" w:right="0" w:hanging="284"/>
        <w:jc w:val="both"/>
        <w:rPr>
          <w:sz w:val="18"/>
        </w:rPr>
      </w:pPr>
      <w:r>
        <w:rPr>
          <w:color w:val="231F20"/>
          <w:sz w:val="18"/>
        </w:rPr>
        <w:t>Loria L., López L. (1999). Fortalecimiento de los sectores productivos a través de la innovación. Costa Rica: Centro Latinoamericano para la Competitividad y de- sarrollo Sostenible de  INCAE.</w:t>
      </w:r>
    </w:p>
    <w:p>
      <w:pPr>
        <w:spacing w:line="271" w:lineRule="auto" w:before="71"/>
        <w:ind w:left="696" w:right="1551" w:hanging="284"/>
        <w:jc w:val="both"/>
        <w:rPr>
          <w:sz w:val="18"/>
        </w:rPr>
      </w:pPr>
      <w:r>
        <w:rPr/>
        <w:br w:type="column"/>
      </w:r>
      <w:r>
        <w:rPr>
          <w:color w:val="231F20"/>
          <w:sz w:val="18"/>
        </w:rPr>
        <w:t>Martínez C., Rodríguez J., Blanco R., González M. (2004). La transferencia tecnológica y la educación a distan- cia. Binomio estratégico para la vinculación univer- sidad-entorno social. VII Congreso de Educación a Distancia CREAD. Mercosur/Sul. Córdoba, Argentina. pp.  1-20.</w:t>
      </w:r>
    </w:p>
    <w:p>
      <w:pPr>
        <w:spacing w:line="271" w:lineRule="auto" w:before="56"/>
        <w:ind w:left="696" w:right="1551" w:hanging="284"/>
        <w:jc w:val="both"/>
        <w:rPr>
          <w:sz w:val="18"/>
        </w:rPr>
      </w:pPr>
      <w:r>
        <w:rPr>
          <w:color w:val="231F20"/>
          <w:sz w:val="18"/>
        </w:rPr>
        <w:t>Méndola M. (2005). Migration and tecnological chance in rural households: complements or sustitutes? Uni- versità Degli Studi di Milano, Milano,</w:t>
      </w:r>
      <w:r>
        <w:rPr>
          <w:color w:val="231F20"/>
          <w:spacing w:val="-7"/>
          <w:sz w:val="18"/>
        </w:rPr>
        <w:t> </w:t>
      </w:r>
      <w:r>
        <w:rPr>
          <w:color w:val="231F20"/>
          <w:sz w:val="18"/>
        </w:rPr>
        <w:t>Italia.</w:t>
      </w:r>
    </w:p>
    <w:p>
      <w:pPr>
        <w:spacing w:line="271" w:lineRule="auto" w:before="56"/>
        <w:ind w:left="696" w:right="1551" w:hanging="284"/>
        <w:jc w:val="both"/>
        <w:rPr>
          <w:sz w:val="18"/>
        </w:rPr>
      </w:pPr>
      <w:r>
        <w:rPr>
          <w:color w:val="231F20"/>
          <w:sz w:val="18"/>
        </w:rPr>
        <w:t>Monge M., Hartwich F. (2008). Análisis de redes sociales aplicado al estudio de los procesos de innovación agrícola. </w:t>
      </w:r>
      <w:r>
        <w:rPr>
          <w:i/>
          <w:color w:val="231F20"/>
          <w:sz w:val="18"/>
        </w:rPr>
        <w:t>Redes Revista Hispana de Redes Sociales, </w:t>
      </w:r>
      <w:r>
        <w:rPr>
          <w:color w:val="231F20"/>
          <w:sz w:val="18"/>
        </w:rPr>
        <w:t>14(2):   1-31.</w:t>
      </w:r>
    </w:p>
    <w:p>
      <w:pPr>
        <w:spacing w:line="271" w:lineRule="auto" w:before="56"/>
        <w:ind w:left="696" w:right="1551" w:hanging="284"/>
        <w:jc w:val="both"/>
        <w:rPr>
          <w:sz w:val="18"/>
        </w:rPr>
      </w:pPr>
      <w:r>
        <w:rPr>
          <w:color w:val="231F20"/>
          <w:sz w:val="18"/>
        </w:rPr>
        <w:t>Mungaray A., Ramírez M. (2007). Capital humano y pro- ductividad en microempresas. </w:t>
      </w:r>
      <w:r>
        <w:rPr>
          <w:i/>
          <w:color w:val="231F20"/>
          <w:sz w:val="18"/>
        </w:rPr>
        <w:t>Investigación Econó- </w:t>
      </w:r>
      <w:r>
        <w:rPr>
          <w:i/>
          <w:color w:val="231F20"/>
          <w:sz w:val="18"/>
        </w:rPr>
        <w:t>mica,  </w:t>
      </w:r>
      <w:r>
        <w:rPr>
          <w:color w:val="231F20"/>
          <w:sz w:val="18"/>
        </w:rPr>
        <w:t>pp.  81-115.</w:t>
      </w:r>
    </w:p>
    <w:p>
      <w:pPr>
        <w:spacing w:line="271" w:lineRule="auto" w:before="56"/>
        <w:ind w:left="696" w:right="1551" w:hanging="284"/>
        <w:jc w:val="both"/>
        <w:rPr>
          <w:sz w:val="18"/>
        </w:rPr>
      </w:pPr>
      <w:r>
        <w:rPr>
          <w:color w:val="231F20"/>
          <w:sz w:val="18"/>
        </w:rPr>
        <w:t>Nuncio G., Nahed J., Hernández B., Escobedo F., Salva- tierra B. (2001). Caracterización de los sistemas de producción ovina en el Estado de Tabasco. </w:t>
      </w:r>
      <w:r>
        <w:rPr>
          <w:i/>
          <w:color w:val="231F20"/>
          <w:sz w:val="18"/>
        </w:rPr>
        <w:t>Agrocien- </w:t>
      </w:r>
      <w:r>
        <w:rPr>
          <w:i/>
          <w:color w:val="231F20"/>
          <w:sz w:val="18"/>
        </w:rPr>
        <w:t>cia,   </w:t>
      </w:r>
      <w:r>
        <w:rPr>
          <w:color w:val="231F20"/>
          <w:sz w:val="18"/>
        </w:rPr>
        <w:t>35(4):  469-477.</w:t>
      </w:r>
    </w:p>
    <w:p>
      <w:pPr>
        <w:spacing w:line="271" w:lineRule="auto" w:before="56"/>
        <w:ind w:left="696" w:right="1551" w:hanging="284"/>
        <w:jc w:val="both"/>
        <w:rPr>
          <w:sz w:val="18"/>
        </w:rPr>
      </w:pPr>
      <w:r>
        <w:rPr>
          <w:color w:val="231F20"/>
          <w:sz w:val="18"/>
        </w:rPr>
        <w:t>Otte M., Chilonda </w:t>
      </w:r>
      <w:r>
        <w:rPr>
          <w:color w:val="231F20"/>
          <w:spacing w:val="-8"/>
          <w:sz w:val="18"/>
        </w:rPr>
        <w:t>P. </w:t>
      </w:r>
      <w:r>
        <w:rPr>
          <w:color w:val="231F20"/>
          <w:sz w:val="18"/>
        </w:rPr>
        <w:t>(2000). Animal health economics;  an introduction. Animal Production and Health Divi- sion </w:t>
      </w:r>
      <w:r>
        <w:rPr>
          <w:color w:val="231F20"/>
          <w:spacing w:val="-4"/>
          <w:sz w:val="18"/>
        </w:rPr>
        <w:t>FAO. </w:t>
      </w:r>
      <w:r>
        <w:rPr>
          <w:color w:val="231F20"/>
          <w:sz w:val="18"/>
        </w:rPr>
        <w:t>Roma,</w:t>
      </w:r>
      <w:r>
        <w:rPr>
          <w:color w:val="231F20"/>
          <w:spacing w:val="21"/>
          <w:sz w:val="18"/>
        </w:rPr>
        <w:t> </w:t>
      </w:r>
      <w:r>
        <w:rPr>
          <w:color w:val="231F20"/>
          <w:sz w:val="18"/>
        </w:rPr>
        <w:t>Italia.</w:t>
      </w:r>
    </w:p>
    <w:p>
      <w:pPr>
        <w:spacing w:line="271" w:lineRule="auto" w:before="56"/>
        <w:ind w:left="696" w:right="1551" w:hanging="284"/>
        <w:jc w:val="both"/>
        <w:rPr>
          <w:sz w:val="18"/>
        </w:rPr>
      </w:pPr>
      <w:r>
        <w:rPr>
          <w:color w:val="231F20"/>
          <w:sz w:val="18"/>
        </w:rPr>
        <w:t>Pandolfelli L., Meinzen-Dick R., Dohrn H. (2008). Gen-  der and collective action: motivations, effectiveness and impact. </w:t>
      </w:r>
      <w:r>
        <w:rPr>
          <w:i/>
          <w:color w:val="231F20"/>
          <w:sz w:val="18"/>
        </w:rPr>
        <w:t>Journal of International  Develoment,  </w:t>
      </w:r>
      <w:r>
        <w:rPr>
          <w:color w:val="231F20"/>
          <w:sz w:val="18"/>
        </w:rPr>
        <w:t>20: </w:t>
      </w:r>
      <w:r>
        <w:rPr>
          <w:color w:val="231F20"/>
          <w:spacing w:val="25"/>
          <w:sz w:val="18"/>
        </w:rPr>
        <w:t> </w:t>
      </w:r>
      <w:r>
        <w:rPr>
          <w:color w:val="231F20"/>
          <w:spacing w:val="-4"/>
          <w:sz w:val="18"/>
        </w:rPr>
        <w:t>1-11.</w:t>
      </w:r>
    </w:p>
    <w:p>
      <w:pPr>
        <w:spacing w:line="271" w:lineRule="auto" w:before="56"/>
        <w:ind w:left="696" w:right="1551" w:hanging="284"/>
        <w:jc w:val="both"/>
        <w:rPr>
          <w:sz w:val="18"/>
        </w:rPr>
      </w:pPr>
      <w:r>
        <w:rPr>
          <w:color w:val="231F20"/>
          <w:sz w:val="18"/>
        </w:rPr>
        <w:t>Perea M., Sánchez E., Espinoza A. (2008). Innovación tecnológica y capital social en los sistemas de pro- ducción ovina. En: Cavallotti B., Ramírez </w:t>
      </w:r>
      <w:r>
        <w:rPr>
          <w:color w:val="231F20"/>
          <w:spacing w:val="-5"/>
          <w:sz w:val="18"/>
        </w:rPr>
        <w:t>V., </w:t>
      </w:r>
      <w:r>
        <w:rPr>
          <w:color w:val="231F20"/>
          <w:sz w:val="18"/>
        </w:rPr>
        <w:t>Marcof C., editores. Ganadería y desarrollo rural en tiempo de crisis. Universidad Autónoma de Chapingo, Méxi- co.  pp.</w:t>
      </w:r>
      <w:r>
        <w:rPr>
          <w:color w:val="231F20"/>
          <w:spacing w:val="40"/>
          <w:sz w:val="18"/>
        </w:rPr>
        <w:t> </w:t>
      </w:r>
      <w:r>
        <w:rPr>
          <w:color w:val="231F20"/>
          <w:sz w:val="18"/>
        </w:rPr>
        <w:t>293-303.</w:t>
      </w:r>
    </w:p>
    <w:p>
      <w:pPr>
        <w:spacing w:line="271" w:lineRule="auto" w:before="56"/>
        <w:ind w:left="696" w:right="1550" w:hanging="284"/>
        <w:jc w:val="both"/>
        <w:rPr>
          <w:sz w:val="18"/>
        </w:rPr>
      </w:pPr>
      <w:r>
        <w:rPr>
          <w:color w:val="231F20"/>
          <w:sz w:val="18"/>
        </w:rPr>
        <w:t>Perea M., Sánchez E., Espinoza A. </w:t>
      </w:r>
      <w:r>
        <w:rPr>
          <w:color w:val="231F20"/>
          <w:spacing w:val="-3"/>
          <w:sz w:val="18"/>
        </w:rPr>
        <w:t>(2011). </w:t>
      </w:r>
      <w:r>
        <w:rPr>
          <w:color w:val="231F20"/>
          <w:sz w:val="18"/>
        </w:rPr>
        <w:t>Los capitales social, humano y fisico en los procesos de inno- vación tecnológica de los sistemas campesinos de producción ovina en Michoacán. En: Cavallotti B., Ramírez </w:t>
      </w:r>
      <w:r>
        <w:rPr>
          <w:color w:val="231F20"/>
          <w:spacing w:val="-5"/>
          <w:sz w:val="18"/>
        </w:rPr>
        <w:t>V.,  </w:t>
      </w:r>
      <w:r>
        <w:rPr>
          <w:color w:val="231F20"/>
          <w:sz w:val="18"/>
        </w:rPr>
        <w:t>Marcof C., editores. La ganadería ante   el agotamiento de los paradigmas dominantes. Universidad Autónoma de Chapingo, México. pp. </w:t>
      </w:r>
      <w:r>
        <w:rPr>
          <w:color w:val="231F20"/>
          <w:spacing w:val="-6"/>
          <w:sz w:val="18"/>
        </w:rPr>
        <w:t>101-112</w:t>
      </w:r>
    </w:p>
    <w:p>
      <w:pPr>
        <w:spacing w:line="271" w:lineRule="auto" w:before="56"/>
        <w:ind w:left="696" w:right="1551" w:hanging="284"/>
        <w:jc w:val="both"/>
        <w:rPr>
          <w:sz w:val="18"/>
        </w:rPr>
      </w:pPr>
      <w:r>
        <w:rPr>
          <w:color w:val="231F20"/>
          <w:sz w:val="18"/>
        </w:rPr>
        <w:t>Rigada E., Cuanalo H. (2005). Factores socioculturales críticos en la adopción de cabras </w:t>
      </w:r>
      <w:r>
        <w:rPr>
          <w:i/>
          <w:color w:val="231F20"/>
          <w:sz w:val="18"/>
        </w:rPr>
        <w:t>(Capra hyrcus) </w:t>
      </w:r>
      <w:r>
        <w:rPr>
          <w:color w:val="231F20"/>
          <w:sz w:val="18"/>
        </w:rPr>
        <w:t>en</w:t>
      </w:r>
    </w:p>
    <w:p>
      <w:pPr>
        <w:spacing w:after="0" w:line="271"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w w:val="105"/>
          <w:sz w:val="18"/>
        </w:rPr>
        <w:t>Capítulo </w:t>
      </w:r>
      <w:r>
        <w:rPr>
          <w:color w:val="231F20"/>
          <w:spacing w:val="-3"/>
          <w:w w:val="105"/>
          <w:sz w:val="18"/>
        </w:rPr>
        <w:t>12.  </w:t>
      </w:r>
      <w:r>
        <w:rPr>
          <w:color w:val="231F20"/>
          <w:w w:val="105"/>
          <w:sz w:val="18"/>
        </w:rPr>
        <w:t>Innovación tecnológica en sistemas campesinos de </w:t>
      </w:r>
      <w:r>
        <w:rPr>
          <w:color w:val="231F20"/>
          <w:spacing w:val="13"/>
          <w:w w:val="105"/>
          <w:sz w:val="18"/>
        </w:rPr>
        <w:t> </w:t>
      </w:r>
      <w:r>
        <w:rPr>
          <w:color w:val="231F20"/>
          <w:w w:val="105"/>
          <w:sz w:val="18"/>
        </w:rPr>
        <w:t>producción</w:t>
      </w:r>
      <w:r>
        <w:rPr>
          <w:color w:val="231F20"/>
          <w:spacing w:val="5"/>
          <w:w w:val="105"/>
          <w:sz w:val="18"/>
        </w:rPr>
        <w:t> </w:t>
      </w:r>
      <w:r>
        <w:rPr>
          <w:color w:val="231F20"/>
          <w:w w:val="105"/>
          <w:sz w:val="18"/>
        </w:rPr>
        <w:t>ovina...</w:t>
      </w:r>
      <w:r>
        <w:rPr>
          <w:color w:val="231F20"/>
          <w:w w:val="105"/>
          <w:sz w:val="22"/>
        </w:rPr>
        <w:tab/>
      </w:r>
      <w:r>
        <w:rPr>
          <w:color w:val="231F20"/>
          <w:spacing w:val="-3"/>
          <w:w w:val="105"/>
          <w:sz w:val="22"/>
        </w:rPr>
        <w:t>199</w:t>
      </w:r>
    </w:p>
    <w:p>
      <w:pPr>
        <w:spacing w:after="0"/>
        <w:jc w:val="left"/>
        <w:rPr>
          <w:sz w:val="22"/>
        </w:rPr>
        <w:sectPr>
          <w:footerReference w:type="default" r:id="rId361"/>
          <w:pgSz w:w="11900" w:h="14450"/>
          <w:pgMar w:footer="222" w:header="0" w:top="420" w:bottom="420" w:left="0" w:right="0"/>
        </w:sectPr>
      </w:pPr>
    </w:p>
    <w:p>
      <w:pPr>
        <w:pStyle w:val="BodyText"/>
        <w:rPr>
          <w:sz w:val="18"/>
        </w:rPr>
      </w:pPr>
    </w:p>
    <w:p>
      <w:pPr>
        <w:spacing w:line="271" w:lineRule="auto" w:before="129"/>
        <w:ind w:left="1837" w:right="0" w:firstLine="0"/>
        <w:jc w:val="left"/>
        <w:rPr>
          <w:sz w:val="18"/>
        </w:rPr>
      </w:pPr>
      <w:r>
        <w:rPr>
          <w:color w:val="231F20"/>
          <w:w w:val="105"/>
          <w:sz w:val="18"/>
        </w:rPr>
        <w:t>dos comunidades rurales de Yucatán. </w:t>
      </w:r>
      <w:r>
        <w:rPr>
          <w:i/>
          <w:color w:val="231F20"/>
          <w:w w:val="105"/>
          <w:sz w:val="18"/>
        </w:rPr>
        <w:t>Técnica Pe- </w:t>
      </w:r>
      <w:r>
        <w:rPr>
          <w:i/>
          <w:color w:val="231F20"/>
          <w:w w:val="105"/>
          <w:sz w:val="18"/>
        </w:rPr>
        <w:t>cuaria  México,  </w:t>
      </w:r>
      <w:r>
        <w:rPr>
          <w:color w:val="231F20"/>
          <w:w w:val="105"/>
          <w:sz w:val="18"/>
        </w:rPr>
        <w:t>43(2): 163-172.</w:t>
      </w:r>
    </w:p>
    <w:p>
      <w:pPr>
        <w:spacing w:line="271" w:lineRule="auto" w:before="56"/>
        <w:ind w:left="1837" w:right="0" w:hanging="284"/>
        <w:jc w:val="both"/>
        <w:rPr>
          <w:sz w:val="18"/>
        </w:rPr>
      </w:pPr>
      <w:r>
        <w:rPr>
          <w:color w:val="231F20"/>
          <w:w w:val="105"/>
          <w:sz w:val="18"/>
        </w:rPr>
        <w:t>Singh N., Gilman J. (1999). Making livelihoods more</w:t>
      </w:r>
      <w:r>
        <w:rPr>
          <w:color w:val="231F20"/>
          <w:w w:val="101"/>
          <w:sz w:val="18"/>
        </w:rPr>
        <w:t> </w:t>
      </w:r>
      <w:r>
        <w:rPr>
          <w:color w:val="231F20"/>
          <w:w w:val="105"/>
          <w:sz w:val="18"/>
        </w:rPr>
        <w:t>sustainable. </w:t>
      </w:r>
      <w:r>
        <w:rPr>
          <w:i/>
          <w:color w:val="231F20"/>
          <w:w w:val="105"/>
          <w:sz w:val="18"/>
        </w:rPr>
        <w:t>International Social Science Journal, </w:t>
      </w:r>
      <w:r>
        <w:rPr>
          <w:color w:val="231F20"/>
          <w:w w:val="105"/>
          <w:sz w:val="18"/>
        </w:rPr>
        <w:t>51(162):   539-545.</w:t>
      </w:r>
    </w:p>
    <w:p>
      <w:pPr>
        <w:spacing w:line="271" w:lineRule="auto" w:before="56"/>
        <w:ind w:left="1837" w:right="0" w:hanging="284"/>
        <w:jc w:val="both"/>
        <w:rPr>
          <w:sz w:val="18"/>
        </w:rPr>
      </w:pPr>
      <w:r>
        <w:rPr>
          <w:color w:val="231F20"/>
          <w:sz w:val="18"/>
        </w:rPr>
        <w:t>Stefanou S., Saxena S. (1988). Education,  experience  and allocative efficiency: a dual aproach. </w:t>
      </w:r>
      <w:r>
        <w:rPr>
          <w:i/>
          <w:color w:val="231F20"/>
          <w:sz w:val="18"/>
        </w:rPr>
        <w:t>American </w:t>
      </w:r>
      <w:r>
        <w:rPr>
          <w:i/>
          <w:color w:val="231F20"/>
          <w:sz w:val="18"/>
        </w:rPr>
        <w:t>Juornal  of  Agricultural  Economics,</w:t>
      </w:r>
      <w:r>
        <w:rPr>
          <w:i/>
          <w:color w:val="231F20"/>
          <w:spacing w:val="15"/>
          <w:sz w:val="18"/>
        </w:rPr>
        <w:t> </w:t>
      </w:r>
      <w:r>
        <w:rPr>
          <w:color w:val="231F20"/>
          <w:sz w:val="18"/>
        </w:rPr>
        <w:t>338-345.</w:t>
      </w:r>
    </w:p>
    <w:p>
      <w:pPr>
        <w:pStyle w:val="BodyText"/>
        <w:rPr>
          <w:sz w:val="18"/>
        </w:rPr>
      </w:pPr>
      <w:r>
        <w:rPr/>
        <w:br w:type="column"/>
      </w:r>
      <w:r>
        <w:rPr>
          <w:sz w:val="18"/>
        </w:rPr>
      </w:r>
    </w:p>
    <w:p>
      <w:pPr>
        <w:spacing w:line="326" w:lineRule="auto" w:before="129"/>
        <w:ind w:left="696" w:right="1551" w:hanging="284"/>
        <w:jc w:val="both"/>
        <w:rPr>
          <w:sz w:val="18"/>
        </w:rPr>
      </w:pPr>
      <w:r>
        <w:rPr>
          <w:color w:val="231F20"/>
          <w:sz w:val="18"/>
        </w:rPr>
        <w:t>Tapia A. (2002). El proceso de investigación y transfe- rencia de tecnología en el sector agricultura, la expe- riencia  del  INIFAP.  </w:t>
      </w:r>
      <w:r>
        <w:rPr>
          <w:i/>
          <w:color w:val="231F20"/>
          <w:sz w:val="18"/>
        </w:rPr>
        <w:t>Aportes,  </w:t>
      </w:r>
      <w:r>
        <w:rPr>
          <w:color w:val="231F20"/>
          <w:sz w:val="18"/>
        </w:rPr>
        <w:t>7(20): 179-183.</w:t>
      </w:r>
    </w:p>
    <w:p>
      <w:pPr>
        <w:spacing w:line="326" w:lineRule="auto" w:before="56"/>
        <w:ind w:left="696" w:right="1555" w:hanging="284"/>
        <w:jc w:val="both"/>
        <w:rPr>
          <w:sz w:val="18"/>
        </w:rPr>
      </w:pPr>
      <w:r>
        <w:rPr>
          <w:color w:val="231F20"/>
          <w:spacing w:val="-4"/>
          <w:sz w:val="18"/>
        </w:rPr>
        <w:t>Vilaboa </w:t>
      </w:r>
      <w:r>
        <w:rPr>
          <w:color w:val="231F20"/>
          <w:spacing w:val="-3"/>
          <w:sz w:val="18"/>
        </w:rPr>
        <w:t>A., Díaz R., </w:t>
      </w:r>
      <w:r>
        <w:rPr>
          <w:color w:val="231F20"/>
          <w:spacing w:val="-4"/>
          <w:sz w:val="18"/>
        </w:rPr>
        <w:t>Platas </w:t>
      </w:r>
      <w:r>
        <w:rPr>
          <w:color w:val="231F20"/>
          <w:spacing w:val="-3"/>
          <w:sz w:val="18"/>
        </w:rPr>
        <w:t>R., Ortega R., </w:t>
      </w:r>
      <w:r>
        <w:rPr>
          <w:color w:val="231F20"/>
          <w:spacing w:val="-4"/>
          <w:sz w:val="18"/>
        </w:rPr>
        <w:t>Rodríguez M.  (2006). Productividad </w:t>
      </w:r>
      <w:r>
        <w:rPr>
          <w:color w:val="231F20"/>
          <w:sz w:val="18"/>
        </w:rPr>
        <w:t>y </w:t>
      </w:r>
      <w:r>
        <w:rPr>
          <w:color w:val="231F20"/>
          <w:spacing w:val="-4"/>
          <w:sz w:val="18"/>
        </w:rPr>
        <w:t>autonomía </w:t>
      </w:r>
      <w:r>
        <w:rPr>
          <w:color w:val="231F20"/>
          <w:sz w:val="18"/>
        </w:rPr>
        <w:t>en </w:t>
      </w:r>
      <w:r>
        <w:rPr>
          <w:color w:val="231F20"/>
          <w:spacing w:val="-4"/>
          <w:sz w:val="18"/>
        </w:rPr>
        <w:t>sistemas de producción ovina: </w:t>
      </w:r>
      <w:r>
        <w:rPr>
          <w:color w:val="231F20"/>
          <w:spacing w:val="-3"/>
          <w:sz w:val="18"/>
        </w:rPr>
        <w:t>dos </w:t>
      </w:r>
      <w:r>
        <w:rPr>
          <w:color w:val="231F20"/>
          <w:spacing w:val="-4"/>
          <w:sz w:val="18"/>
        </w:rPr>
        <w:t>propiedades emergentes </w:t>
      </w:r>
      <w:r>
        <w:rPr>
          <w:color w:val="231F20"/>
          <w:sz w:val="18"/>
        </w:rPr>
        <w:t>de </w:t>
      </w:r>
      <w:r>
        <w:rPr>
          <w:color w:val="231F20"/>
          <w:spacing w:val="-4"/>
          <w:sz w:val="18"/>
        </w:rPr>
        <w:t>los agroecosistemas.  </w:t>
      </w:r>
      <w:r>
        <w:rPr>
          <w:i/>
          <w:color w:val="231F20"/>
          <w:spacing w:val="-4"/>
          <w:sz w:val="18"/>
        </w:rPr>
        <w:t>Interciencia,  </w:t>
      </w:r>
      <w:r>
        <w:rPr>
          <w:color w:val="231F20"/>
          <w:spacing w:val="-4"/>
          <w:sz w:val="18"/>
        </w:rPr>
        <w:t>31(1):  </w:t>
      </w:r>
      <w:r>
        <w:rPr>
          <w:color w:val="231F20"/>
          <w:spacing w:val="12"/>
          <w:sz w:val="18"/>
        </w:rPr>
        <w:t> </w:t>
      </w:r>
      <w:r>
        <w:rPr>
          <w:color w:val="231F20"/>
          <w:spacing w:val="-6"/>
          <w:sz w:val="18"/>
        </w:rPr>
        <w:t>37-44.</w:t>
      </w:r>
    </w:p>
    <w:p>
      <w:pPr>
        <w:spacing w:after="0" w:line="326" w:lineRule="auto"/>
        <w:jc w:val="both"/>
        <w:rPr>
          <w:sz w:val="18"/>
        </w:rPr>
        <w:sectPr>
          <w:type w:val="continuous"/>
          <w:pgSz w:w="11900" w:h="14450"/>
          <w:pgMar w:top="420" w:bottom="420" w:left="0" w:right="0"/>
          <w:cols w:num="2" w:equalWidth="0">
            <w:col w:w="5721" w:space="40"/>
            <w:col w:w="6139"/>
          </w:cols>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ListParagraph"/>
        <w:numPr>
          <w:ilvl w:val="0"/>
          <w:numId w:val="17"/>
        </w:numPr>
        <w:tabs>
          <w:tab w:pos="2098" w:val="left" w:leader="none"/>
        </w:tabs>
        <w:spacing w:line="240" w:lineRule="auto" w:before="154" w:after="0"/>
        <w:ind w:left="2097" w:right="0" w:hanging="544"/>
        <w:jc w:val="both"/>
        <w:rPr>
          <w:sz w:val="28"/>
        </w:rPr>
      </w:pPr>
      <w:r>
        <w:rPr>
          <w:color w:val="6D6E71"/>
          <w:w w:val="125"/>
          <w:sz w:val="40"/>
        </w:rPr>
        <w:t>S</w:t>
      </w:r>
      <w:r>
        <w:rPr>
          <w:color w:val="6D6E71"/>
          <w:w w:val="125"/>
          <w:sz w:val="28"/>
        </w:rPr>
        <w:t>iStemaS productoreS de</w:t>
      </w:r>
      <w:r>
        <w:rPr>
          <w:color w:val="6D6E71"/>
          <w:spacing w:val="53"/>
          <w:w w:val="125"/>
          <w:sz w:val="28"/>
        </w:rPr>
        <w:t> </w:t>
      </w:r>
      <w:r>
        <w:rPr>
          <w:color w:val="6D6E71"/>
          <w:spacing w:val="2"/>
          <w:w w:val="125"/>
          <w:sz w:val="28"/>
        </w:rPr>
        <w:t>caprinoS</w:t>
      </w:r>
    </w:p>
    <w:p>
      <w:pPr>
        <w:pStyle w:val="Heading3"/>
        <w:spacing w:before="290"/>
        <w:rPr>
          <w:sz w:val="60"/>
        </w:rPr>
      </w:pPr>
      <w:bookmarkStart w:name="_TOC_250002" w:id="10"/>
      <w:r>
        <w:rPr>
          <w:color w:val="231F20"/>
          <w:w w:val="110"/>
        </w:rPr>
        <w:t>CAPÍTULO </w:t>
      </w:r>
      <w:bookmarkEnd w:id="10"/>
      <w:r>
        <w:rPr>
          <w:color w:val="231F20"/>
          <w:spacing w:val="-25"/>
          <w:w w:val="110"/>
          <w:sz w:val="60"/>
        </w:rPr>
        <w:t>13</w:t>
      </w:r>
    </w:p>
    <w:p>
      <w:pPr>
        <w:spacing w:before="219"/>
        <w:ind w:left="1553" w:right="2778" w:firstLine="0"/>
        <w:jc w:val="left"/>
        <w:rPr>
          <w:sz w:val="36"/>
        </w:rPr>
      </w:pPr>
      <w:r>
        <w:rPr>
          <w:color w:val="231F20"/>
          <w:w w:val="105"/>
          <w:sz w:val="36"/>
        </w:rPr>
        <w:t>SOCIOECONOMÍA DE LA PRODUCCIÓN CAPRINA EN EL SUR DEL ESTADO DE   MÉXICO</w:t>
      </w:r>
    </w:p>
    <w:p>
      <w:pPr>
        <w:spacing w:before="0"/>
        <w:ind w:left="1553" w:right="0" w:firstLine="0"/>
        <w:jc w:val="both"/>
        <w:rPr>
          <w:sz w:val="36"/>
        </w:rPr>
      </w:pPr>
      <w:r>
        <w:rPr>
          <w:color w:val="231F20"/>
          <w:w w:val="105"/>
          <w:sz w:val="36"/>
        </w:rPr>
        <w:t>Y SU CONTRIBUCIÓN AL DESARROLLO </w:t>
      </w:r>
      <w:r>
        <w:rPr>
          <w:color w:val="231F20"/>
          <w:spacing w:val="71"/>
          <w:w w:val="105"/>
          <w:sz w:val="36"/>
        </w:rPr>
        <w:t> </w:t>
      </w:r>
      <w:r>
        <w:rPr>
          <w:color w:val="231F20"/>
          <w:spacing w:val="4"/>
          <w:w w:val="105"/>
          <w:sz w:val="36"/>
        </w:rPr>
        <w:t>RURAL</w:t>
      </w:r>
    </w:p>
    <w:p>
      <w:pPr>
        <w:pStyle w:val="Heading4"/>
        <w:spacing w:before="307"/>
        <w:ind w:right="4475"/>
        <w:jc w:val="left"/>
      </w:pPr>
      <w:r>
        <w:rPr>
          <w:i/>
          <w:color w:val="231F20"/>
        </w:rPr>
        <w:t>Samuel Rebollar-Rebollar</w:t>
      </w:r>
      <w:r>
        <w:rPr>
          <w:i/>
          <w:color w:val="231F20"/>
          <w:position w:val="9"/>
          <w:sz w:val="16"/>
        </w:rPr>
        <w:t>*</w:t>
      </w:r>
      <w:r>
        <w:rPr>
          <w:i/>
          <w:color w:val="231F20"/>
        </w:rPr>
        <w:t>, Benito Albarrán Portillo  </w:t>
      </w:r>
      <w:r>
        <w:rPr>
          <w:color w:val="231F20"/>
        </w:rPr>
        <w:t>y Anastacio García </w:t>
      </w:r>
      <w:r>
        <w:rPr>
          <w:color w:val="231F20"/>
          <w:spacing w:val="17"/>
        </w:rPr>
        <w:t> </w:t>
      </w:r>
      <w:r>
        <w:rPr>
          <w:color w:val="231F20"/>
        </w:rPr>
        <w:t>Martínez</w:t>
      </w:r>
    </w:p>
    <w:p>
      <w:pPr>
        <w:pStyle w:val="BodyText"/>
        <w:spacing w:line="254" w:lineRule="auto" w:before="175"/>
        <w:ind w:left="1553" w:right="2984"/>
      </w:pPr>
      <w:r>
        <w:rPr>
          <w:color w:val="231F20"/>
        </w:rPr>
        <w:t>Centro Universitario UAEM Temascaltepec-Universidad Autónoma del Estado de México. Km. 67,5  Carretera Toluca-Tejupilco.  Col. Barrio de Santiago  s/n.</w:t>
      </w:r>
    </w:p>
    <w:p>
      <w:pPr>
        <w:pStyle w:val="BodyText"/>
        <w:spacing w:before="1"/>
        <w:ind w:left="1553"/>
        <w:jc w:val="both"/>
      </w:pPr>
      <w:r>
        <w:rPr>
          <w:color w:val="231F20"/>
        </w:rPr>
        <w:t>Temascaltepec, Estado de México, México, C.P.    51300</w:t>
      </w:r>
    </w:p>
    <w:p>
      <w:pPr>
        <w:pStyle w:val="BodyText"/>
      </w:pPr>
    </w:p>
    <w:p>
      <w:pPr>
        <w:pStyle w:val="BodyText"/>
      </w:pPr>
    </w:p>
    <w:p>
      <w:pPr>
        <w:pStyle w:val="BodyText"/>
        <w:spacing w:before="5"/>
        <w:rPr>
          <w:sz w:val="22"/>
        </w:rPr>
      </w:pPr>
      <w:r>
        <w:rPr/>
        <w:pict>
          <v:line style="position:absolute;mso-position-horizontal-relative:page;mso-position-vertical-relative:paragraph;z-index:6016;mso-wrap-distance-left:0;mso-wrap-distance-right:0" from="77.692902pt,15.879604pt" to="517.062902pt,15.879604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0"/>
        <w:jc w:val="both"/>
      </w:pPr>
      <w:r>
        <w:rPr>
          <w:color w:val="231F20"/>
          <w:w w:val="105"/>
        </w:rPr>
        <w:t>El</w:t>
      </w:r>
      <w:r>
        <w:rPr>
          <w:color w:val="231F20"/>
          <w:spacing w:val="-5"/>
          <w:w w:val="105"/>
        </w:rPr>
        <w:t> </w:t>
      </w:r>
      <w:r>
        <w:rPr>
          <w:color w:val="231F20"/>
          <w:w w:val="105"/>
        </w:rPr>
        <w:t>objetivo</w:t>
      </w:r>
      <w:r>
        <w:rPr>
          <w:color w:val="231F20"/>
          <w:spacing w:val="-5"/>
          <w:w w:val="105"/>
        </w:rPr>
        <w:t> </w:t>
      </w:r>
      <w:r>
        <w:rPr>
          <w:color w:val="231F20"/>
          <w:w w:val="105"/>
        </w:rPr>
        <w:t>del</w:t>
      </w:r>
      <w:r>
        <w:rPr>
          <w:color w:val="231F20"/>
          <w:spacing w:val="-5"/>
          <w:w w:val="105"/>
        </w:rPr>
        <w:t> </w:t>
      </w:r>
      <w:r>
        <w:rPr>
          <w:color w:val="231F20"/>
          <w:w w:val="105"/>
        </w:rPr>
        <w:t>presente</w:t>
      </w:r>
      <w:r>
        <w:rPr>
          <w:color w:val="231F20"/>
          <w:spacing w:val="-5"/>
          <w:w w:val="105"/>
        </w:rPr>
        <w:t> </w:t>
      </w:r>
      <w:r>
        <w:rPr>
          <w:color w:val="231F20"/>
          <w:w w:val="105"/>
        </w:rPr>
        <w:t>trabajo</w:t>
      </w:r>
      <w:r>
        <w:rPr>
          <w:color w:val="231F20"/>
          <w:spacing w:val="-5"/>
          <w:w w:val="105"/>
        </w:rPr>
        <w:t> </w:t>
      </w:r>
      <w:r>
        <w:rPr>
          <w:color w:val="231F20"/>
          <w:w w:val="105"/>
        </w:rPr>
        <w:t>fue</w:t>
      </w:r>
      <w:r>
        <w:rPr>
          <w:color w:val="231F20"/>
          <w:spacing w:val="-5"/>
          <w:w w:val="105"/>
        </w:rPr>
        <w:t> </w:t>
      </w:r>
      <w:r>
        <w:rPr>
          <w:color w:val="231F20"/>
          <w:w w:val="105"/>
        </w:rPr>
        <w:t>presentar</w:t>
      </w:r>
      <w:r>
        <w:rPr>
          <w:color w:val="231F20"/>
          <w:spacing w:val="-5"/>
          <w:w w:val="105"/>
        </w:rPr>
        <w:t> </w:t>
      </w:r>
      <w:r>
        <w:rPr>
          <w:color w:val="231F20"/>
          <w:w w:val="105"/>
        </w:rPr>
        <w:t>un</w:t>
      </w:r>
      <w:r>
        <w:rPr>
          <w:color w:val="231F20"/>
          <w:spacing w:val="-5"/>
          <w:w w:val="105"/>
        </w:rPr>
        <w:t> </w:t>
      </w:r>
      <w:r>
        <w:rPr>
          <w:color w:val="231F20"/>
          <w:w w:val="105"/>
        </w:rPr>
        <w:t>análisis</w:t>
      </w:r>
      <w:r>
        <w:rPr>
          <w:color w:val="231F20"/>
          <w:spacing w:val="-5"/>
          <w:w w:val="105"/>
        </w:rPr>
        <w:t> </w:t>
      </w:r>
      <w:r>
        <w:rPr>
          <w:color w:val="231F20"/>
          <w:w w:val="105"/>
        </w:rPr>
        <w:t>socioeconómico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producción</w:t>
      </w:r>
      <w:r>
        <w:rPr>
          <w:color w:val="231F20"/>
          <w:spacing w:val="-5"/>
          <w:w w:val="105"/>
        </w:rPr>
        <w:t> </w:t>
      </w:r>
      <w:r>
        <w:rPr>
          <w:color w:val="231F20"/>
          <w:w w:val="105"/>
        </w:rPr>
        <w:t>caprina</w:t>
      </w:r>
      <w:r>
        <w:rPr>
          <w:color w:val="231F20"/>
          <w:spacing w:val="-5"/>
          <w:w w:val="105"/>
        </w:rPr>
        <w:t> </w:t>
      </w:r>
      <w:r>
        <w:rPr>
          <w:color w:val="231F20"/>
          <w:w w:val="105"/>
        </w:rPr>
        <w:t>en</w:t>
      </w:r>
      <w:r>
        <w:rPr>
          <w:color w:val="231F20"/>
          <w:spacing w:val="-5"/>
          <w:w w:val="105"/>
        </w:rPr>
        <w:t> </w:t>
      </w:r>
      <w:r>
        <w:rPr>
          <w:color w:val="231F20"/>
          <w:w w:val="105"/>
        </w:rPr>
        <w:t>el sur</w:t>
      </w:r>
      <w:r>
        <w:rPr>
          <w:color w:val="231F20"/>
          <w:spacing w:val="-18"/>
          <w:w w:val="105"/>
        </w:rPr>
        <w:t> </w:t>
      </w:r>
      <w:r>
        <w:rPr>
          <w:color w:val="231F20"/>
          <w:w w:val="105"/>
        </w:rPr>
        <w:t>del</w:t>
      </w:r>
      <w:r>
        <w:rPr>
          <w:color w:val="231F20"/>
          <w:spacing w:val="-18"/>
          <w:w w:val="105"/>
        </w:rPr>
        <w:t> </w:t>
      </w:r>
      <w:r>
        <w:rPr>
          <w:color w:val="231F20"/>
          <w:w w:val="105"/>
        </w:rPr>
        <w:t>Estado</w:t>
      </w:r>
      <w:r>
        <w:rPr>
          <w:color w:val="231F20"/>
          <w:spacing w:val="-18"/>
          <w:w w:val="105"/>
        </w:rPr>
        <w:t> </w:t>
      </w:r>
      <w:r>
        <w:rPr>
          <w:color w:val="231F20"/>
          <w:w w:val="105"/>
        </w:rPr>
        <w:t>de</w:t>
      </w:r>
      <w:r>
        <w:rPr>
          <w:color w:val="231F20"/>
          <w:spacing w:val="-18"/>
          <w:w w:val="105"/>
        </w:rPr>
        <w:t> </w:t>
      </w:r>
      <w:r>
        <w:rPr>
          <w:color w:val="231F20"/>
          <w:w w:val="105"/>
        </w:rPr>
        <w:t>México,</w:t>
      </w:r>
      <w:r>
        <w:rPr>
          <w:color w:val="231F20"/>
          <w:spacing w:val="-18"/>
          <w:w w:val="105"/>
        </w:rPr>
        <w:t> </w:t>
      </w:r>
      <w:r>
        <w:rPr>
          <w:color w:val="231F20"/>
          <w:w w:val="105"/>
        </w:rPr>
        <w:t>así</w:t>
      </w:r>
      <w:r>
        <w:rPr>
          <w:color w:val="231F20"/>
          <w:spacing w:val="-18"/>
          <w:w w:val="105"/>
        </w:rPr>
        <w:t> </w:t>
      </w:r>
      <w:r>
        <w:rPr>
          <w:color w:val="231F20"/>
          <w:w w:val="105"/>
        </w:rPr>
        <w:t>como</w:t>
      </w:r>
      <w:r>
        <w:rPr>
          <w:color w:val="231F20"/>
          <w:spacing w:val="-18"/>
          <w:w w:val="105"/>
        </w:rPr>
        <w:t> </w:t>
      </w:r>
      <w:r>
        <w:rPr>
          <w:color w:val="231F20"/>
          <w:w w:val="105"/>
        </w:rPr>
        <w:t>elementos</w:t>
      </w:r>
      <w:r>
        <w:rPr>
          <w:color w:val="231F20"/>
          <w:spacing w:val="-18"/>
          <w:w w:val="105"/>
        </w:rPr>
        <w:t> </w:t>
      </w:r>
      <w:r>
        <w:rPr>
          <w:color w:val="231F20"/>
          <w:w w:val="105"/>
        </w:rPr>
        <w:t>que</w:t>
      </w:r>
      <w:r>
        <w:rPr>
          <w:color w:val="231F20"/>
          <w:spacing w:val="-18"/>
          <w:w w:val="105"/>
        </w:rPr>
        <w:t> </w:t>
      </w:r>
      <w:r>
        <w:rPr>
          <w:color w:val="231F20"/>
          <w:w w:val="105"/>
        </w:rPr>
        <w:t>permitan</w:t>
      </w:r>
      <w:r>
        <w:rPr>
          <w:color w:val="231F20"/>
          <w:spacing w:val="-18"/>
          <w:w w:val="105"/>
        </w:rPr>
        <w:t> </w:t>
      </w:r>
      <w:r>
        <w:rPr>
          <w:color w:val="231F20"/>
          <w:w w:val="105"/>
        </w:rPr>
        <w:t>evidenciar</w:t>
      </w:r>
      <w:r>
        <w:rPr>
          <w:color w:val="231F20"/>
          <w:spacing w:val="-18"/>
          <w:w w:val="105"/>
        </w:rPr>
        <w:t> </w:t>
      </w:r>
      <w:r>
        <w:rPr>
          <w:color w:val="231F20"/>
          <w:w w:val="105"/>
        </w:rPr>
        <w:t>su</w:t>
      </w:r>
      <w:r>
        <w:rPr>
          <w:color w:val="231F20"/>
          <w:spacing w:val="-18"/>
          <w:w w:val="105"/>
        </w:rPr>
        <w:t> </w:t>
      </w:r>
      <w:r>
        <w:rPr>
          <w:color w:val="231F20"/>
          <w:w w:val="105"/>
        </w:rPr>
        <w:t>contribución</w:t>
      </w:r>
      <w:r>
        <w:rPr>
          <w:color w:val="231F20"/>
          <w:spacing w:val="-18"/>
          <w:w w:val="105"/>
        </w:rPr>
        <w:t> </w:t>
      </w:r>
      <w:r>
        <w:rPr>
          <w:color w:val="231F20"/>
          <w:w w:val="105"/>
        </w:rPr>
        <w:t>al</w:t>
      </w:r>
      <w:r>
        <w:rPr>
          <w:color w:val="231F20"/>
          <w:spacing w:val="-18"/>
          <w:w w:val="105"/>
        </w:rPr>
        <w:t> </w:t>
      </w:r>
      <w:r>
        <w:rPr>
          <w:color w:val="231F20"/>
          <w:w w:val="105"/>
        </w:rPr>
        <w:t>desarrollo</w:t>
      </w:r>
      <w:r>
        <w:rPr>
          <w:color w:val="231F20"/>
          <w:spacing w:val="-18"/>
          <w:w w:val="105"/>
        </w:rPr>
        <w:t> </w:t>
      </w:r>
      <w:r>
        <w:rPr>
          <w:color w:val="231F20"/>
          <w:w w:val="105"/>
        </w:rPr>
        <w:t>rural. Para</w:t>
      </w:r>
      <w:r>
        <w:rPr>
          <w:color w:val="231F20"/>
          <w:spacing w:val="-22"/>
          <w:w w:val="105"/>
        </w:rPr>
        <w:t> </w:t>
      </w:r>
      <w:r>
        <w:rPr>
          <w:color w:val="231F20"/>
          <w:w w:val="105"/>
        </w:rPr>
        <w:t>ello</w:t>
      </w:r>
      <w:r>
        <w:rPr>
          <w:color w:val="231F20"/>
          <w:spacing w:val="-22"/>
          <w:w w:val="105"/>
        </w:rPr>
        <w:t> </w:t>
      </w:r>
      <w:r>
        <w:rPr>
          <w:color w:val="231F20"/>
          <w:w w:val="105"/>
        </w:rPr>
        <w:t>se</w:t>
      </w:r>
      <w:r>
        <w:rPr>
          <w:color w:val="231F20"/>
          <w:spacing w:val="-22"/>
          <w:w w:val="105"/>
        </w:rPr>
        <w:t> </w:t>
      </w:r>
      <w:r>
        <w:rPr>
          <w:color w:val="231F20"/>
          <w:w w:val="105"/>
        </w:rPr>
        <w:t>utilizó</w:t>
      </w:r>
      <w:r>
        <w:rPr>
          <w:color w:val="231F20"/>
          <w:spacing w:val="-22"/>
          <w:w w:val="105"/>
        </w:rPr>
        <w:t> </w:t>
      </w:r>
      <w:r>
        <w:rPr>
          <w:color w:val="231F20"/>
          <w:w w:val="105"/>
        </w:rPr>
        <w:t>información</w:t>
      </w:r>
      <w:r>
        <w:rPr>
          <w:color w:val="231F20"/>
          <w:spacing w:val="-22"/>
          <w:w w:val="105"/>
        </w:rPr>
        <w:t> </w:t>
      </w:r>
      <w:r>
        <w:rPr>
          <w:color w:val="231F20"/>
          <w:w w:val="105"/>
        </w:rPr>
        <w:t>reciente,</w:t>
      </w:r>
      <w:r>
        <w:rPr>
          <w:color w:val="231F20"/>
          <w:spacing w:val="-22"/>
          <w:w w:val="105"/>
        </w:rPr>
        <w:t> </w:t>
      </w:r>
      <w:r>
        <w:rPr>
          <w:color w:val="231F20"/>
          <w:w w:val="105"/>
        </w:rPr>
        <w:t>proveniente</w:t>
      </w:r>
      <w:r>
        <w:rPr>
          <w:color w:val="231F20"/>
          <w:spacing w:val="-22"/>
          <w:w w:val="105"/>
        </w:rPr>
        <w:t> </w:t>
      </w:r>
      <w:r>
        <w:rPr>
          <w:color w:val="231F20"/>
          <w:w w:val="105"/>
        </w:rPr>
        <w:t>de</w:t>
      </w:r>
      <w:r>
        <w:rPr>
          <w:color w:val="231F20"/>
          <w:spacing w:val="-22"/>
          <w:w w:val="105"/>
        </w:rPr>
        <w:t> </w:t>
      </w:r>
      <w:r>
        <w:rPr>
          <w:color w:val="231F20"/>
          <w:w w:val="105"/>
        </w:rPr>
        <w:t>estadísticas</w:t>
      </w:r>
      <w:r>
        <w:rPr>
          <w:color w:val="231F20"/>
          <w:spacing w:val="-22"/>
          <w:w w:val="105"/>
        </w:rPr>
        <w:t> </w:t>
      </w:r>
      <w:r>
        <w:rPr>
          <w:color w:val="231F20"/>
          <w:w w:val="105"/>
        </w:rPr>
        <w:t>oficiales</w:t>
      </w:r>
      <w:r>
        <w:rPr>
          <w:color w:val="231F20"/>
          <w:spacing w:val="-22"/>
          <w:w w:val="105"/>
        </w:rPr>
        <w:t> </w:t>
      </w:r>
      <w:r>
        <w:rPr>
          <w:color w:val="231F20"/>
          <w:w w:val="105"/>
        </w:rPr>
        <w:t>(SAGARPA-SEDAGRO),</w:t>
      </w:r>
      <w:r>
        <w:rPr>
          <w:color w:val="231F20"/>
          <w:spacing w:val="-22"/>
          <w:w w:val="105"/>
        </w:rPr>
        <w:t> </w:t>
      </w:r>
      <w:r>
        <w:rPr>
          <w:color w:val="231F20"/>
          <w:w w:val="105"/>
        </w:rPr>
        <w:t>sobre apoyos</w:t>
      </w:r>
      <w:r>
        <w:rPr>
          <w:color w:val="231F20"/>
          <w:spacing w:val="-14"/>
          <w:w w:val="105"/>
        </w:rPr>
        <w:t> </w:t>
      </w:r>
      <w:r>
        <w:rPr>
          <w:color w:val="231F20"/>
          <w:w w:val="105"/>
        </w:rPr>
        <w:t>a</w:t>
      </w:r>
      <w:r>
        <w:rPr>
          <w:color w:val="231F20"/>
          <w:spacing w:val="-14"/>
          <w:w w:val="105"/>
        </w:rPr>
        <w:t> </w:t>
      </w:r>
      <w:r>
        <w:rPr>
          <w:color w:val="231F20"/>
          <w:w w:val="105"/>
        </w:rPr>
        <w:t>productores</w:t>
      </w:r>
      <w:r>
        <w:rPr>
          <w:color w:val="231F20"/>
          <w:spacing w:val="-14"/>
          <w:w w:val="105"/>
        </w:rPr>
        <w:t> </w:t>
      </w:r>
      <w:r>
        <w:rPr>
          <w:color w:val="231F20"/>
          <w:w w:val="105"/>
        </w:rPr>
        <w:t>pecuarios,</w:t>
      </w:r>
      <w:r>
        <w:rPr>
          <w:color w:val="231F20"/>
          <w:spacing w:val="-14"/>
          <w:w w:val="105"/>
        </w:rPr>
        <w:t> </w:t>
      </w:r>
      <w:r>
        <w:rPr>
          <w:color w:val="231F20"/>
          <w:w w:val="105"/>
        </w:rPr>
        <w:t>como</w:t>
      </w:r>
      <w:r>
        <w:rPr>
          <w:color w:val="231F20"/>
          <w:spacing w:val="-14"/>
          <w:w w:val="105"/>
        </w:rPr>
        <w:t> </w:t>
      </w:r>
      <w:r>
        <w:rPr>
          <w:color w:val="231F20"/>
          <w:w w:val="105"/>
        </w:rPr>
        <w:t>el</w:t>
      </w:r>
      <w:r>
        <w:rPr>
          <w:color w:val="231F20"/>
          <w:spacing w:val="-14"/>
          <w:w w:val="105"/>
        </w:rPr>
        <w:t> </w:t>
      </w:r>
      <w:r>
        <w:rPr>
          <w:color w:val="231F20"/>
          <w:w w:val="105"/>
        </w:rPr>
        <w:t>Programa</w:t>
      </w:r>
      <w:r>
        <w:rPr>
          <w:color w:val="231F20"/>
          <w:spacing w:val="-14"/>
          <w:w w:val="105"/>
        </w:rPr>
        <w:t> </w:t>
      </w:r>
      <w:r>
        <w:rPr>
          <w:color w:val="231F20"/>
          <w:w w:val="105"/>
        </w:rPr>
        <w:t>Soporte</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de</w:t>
      </w:r>
      <w:r>
        <w:rPr>
          <w:color w:val="231F20"/>
          <w:spacing w:val="-14"/>
          <w:w w:val="105"/>
        </w:rPr>
        <w:t> </w:t>
      </w:r>
      <w:r>
        <w:rPr>
          <w:color w:val="231F20"/>
          <w:w w:val="105"/>
        </w:rPr>
        <w:t>Activos</w:t>
      </w:r>
      <w:r>
        <w:rPr>
          <w:color w:val="231F20"/>
          <w:spacing w:val="-14"/>
          <w:w w:val="105"/>
        </w:rPr>
        <w:t> </w:t>
      </w:r>
      <w:r>
        <w:rPr>
          <w:color w:val="231F20"/>
          <w:w w:val="105"/>
        </w:rPr>
        <w:t>Productivos,</w:t>
      </w:r>
      <w:r>
        <w:rPr>
          <w:color w:val="231F20"/>
          <w:spacing w:val="-14"/>
          <w:w w:val="105"/>
        </w:rPr>
        <w:t> </w:t>
      </w:r>
      <w:r>
        <w:rPr>
          <w:color w:val="231F20"/>
          <w:w w:val="105"/>
        </w:rPr>
        <w:t>destinados</w:t>
      </w:r>
      <w:r>
        <w:rPr>
          <w:color w:val="231F20"/>
          <w:spacing w:val="-14"/>
          <w:w w:val="105"/>
        </w:rPr>
        <w:t> </w:t>
      </w:r>
      <w:r>
        <w:rPr>
          <w:color w:val="231F20"/>
          <w:w w:val="105"/>
        </w:rPr>
        <w:t>a</w:t>
      </w:r>
      <w:r>
        <w:rPr>
          <w:color w:val="231F20"/>
          <w:spacing w:val="-14"/>
          <w:w w:val="105"/>
        </w:rPr>
        <w:t> </w:t>
      </w:r>
      <w:r>
        <w:rPr>
          <w:color w:val="231F20"/>
          <w:w w:val="105"/>
        </w:rPr>
        <w:t>me- jorar</w:t>
      </w:r>
      <w:r>
        <w:rPr>
          <w:color w:val="231F20"/>
          <w:spacing w:val="-11"/>
          <w:w w:val="105"/>
        </w:rPr>
        <w:t> </w:t>
      </w:r>
      <w:r>
        <w:rPr>
          <w:color w:val="231F20"/>
          <w:w w:val="105"/>
        </w:rPr>
        <w:t>la</w:t>
      </w:r>
      <w:r>
        <w:rPr>
          <w:color w:val="231F20"/>
          <w:spacing w:val="-11"/>
          <w:w w:val="105"/>
        </w:rPr>
        <w:t> </w:t>
      </w:r>
      <w:r>
        <w:rPr>
          <w:color w:val="231F20"/>
          <w:w w:val="105"/>
        </w:rPr>
        <w:t>situación</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caprinocultura</w:t>
      </w:r>
      <w:r>
        <w:rPr>
          <w:color w:val="231F20"/>
          <w:spacing w:val="-11"/>
          <w:w w:val="105"/>
        </w:rPr>
        <w:t> </w:t>
      </w:r>
      <w:r>
        <w:rPr>
          <w:color w:val="231F20"/>
          <w:w w:val="105"/>
        </w:rPr>
        <w:t>en</w:t>
      </w:r>
      <w:r>
        <w:rPr>
          <w:color w:val="231F20"/>
          <w:spacing w:val="-11"/>
          <w:w w:val="105"/>
        </w:rPr>
        <w:t> </w:t>
      </w:r>
      <w:r>
        <w:rPr>
          <w:color w:val="231F20"/>
          <w:w w:val="105"/>
        </w:rPr>
        <w:t>esa</w:t>
      </w:r>
      <w:r>
        <w:rPr>
          <w:color w:val="231F20"/>
          <w:spacing w:val="-11"/>
          <w:w w:val="105"/>
        </w:rPr>
        <w:t> </w:t>
      </w:r>
      <w:r>
        <w:rPr>
          <w:color w:val="231F20"/>
          <w:w w:val="105"/>
        </w:rPr>
        <w:t>región</w:t>
      </w:r>
      <w:r>
        <w:rPr>
          <w:color w:val="231F20"/>
          <w:spacing w:val="-11"/>
          <w:w w:val="105"/>
        </w:rPr>
        <w:t> </w:t>
      </w:r>
      <w:r>
        <w:rPr>
          <w:color w:val="231F20"/>
          <w:w w:val="105"/>
        </w:rPr>
        <w:t>mexiquense;</w:t>
      </w:r>
      <w:r>
        <w:rPr>
          <w:color w:val="231F20"/>
          <w:spacing w:val="-11"/>
          <w:w w:val="105"/>
        </w:rPr>
        <w:t> </w:t>
      </w:r>
      <w:r>
        <w:rPr>
          <w:color w:val="231F20"/>
          <w:w w:val="105"/>
        </w:rPr>
        <w:t>así</w:t>
      </w:r>
      <w:r>
        <w:rPr>
          <w:color w:val="231F20"/>
          <w:spacing w:val="-11"/>
          <w:w w:val="105"/>
        </w:rPr>
        <w:t> </w:t>
      </w:r>
      <w:r>
        <w:rPr>
          <w:color w:val="231F20"/>
          <w:w w:val="105"/>
        </w:rPr>
        <w:t>como</w:t>
      </w:r>
      <w:r>
        <w:rPr>
          <w:color w:val="231F20"/>
          <w:spacing w:val="-11"/>
          <w:w w:val="105"/>
        </w:rPr>
        <w:t> </w:t>
      </w:r>
      <w:r>
        <w:rPr>
          <w:color w:val="231F20"/>
          <w:w w:val="105"/>
        </w:rPr>
        <w:t>parte</w:t>
      </w:r>
      <w:r>
        <w:rPr>
          <w:color w:val="231F20"/>
          <w:spacing w:val="-11"/>
          <w:w w:val="105"/>
        </w:rPr>
        <w:t> </w:t>
      </w:r>
      <w:r>
        <w:rPr>
          <w:color w:val="231F20"/>
          <w:w w:val="105"/>
        </w:rPr>
        <w:t>de</w:t>
      </w:r>
      <w:r>
        <w:rPr>
          <w:color w:val="231F20"/>
          <w:spacing w:val="-11"/>
          <w:w w:val="105"/>
        </w:rPr>
        <w:t> </w:t>
      </w:r>
      <w:r>
        <w:rPr>
          <w:color w:val="231F20"/>
          <w:w w:val="105"/>
        </w:rPr>
        <w:t>resultados</w:t>
      </w:r>
      <w:r>
        <w:rPr>
          <w:color w:val="231F20"/>
          <w:spacing w:val="-11"/>
          <w:w w:val="105"/>
        </w:rPr>
        <w:t> </w:t>
      </w:r>
      <w:r>
        <w:rPr>
          <w:color w:val="231F20"/>
          <w:w w:val="105"/>
        </w:rPr>
        <w:t>de</w:t>
      </w:r>
      <w:r>
        <w:rPr>
          <w:color w:val="231F20"/>
          <w:spacing w:val="-11"/>
          <w:w w:val="105"/>
        </w:rPr>
        <w:t> </w:t>
      </w:r>
      <w:r>
        <w:rPr>
          <w:color w:val="231F20"/>
          <w:w w:val="105"/>
        </w:rPr>
        <w:t>investi- gaciones</w:t>
      </w:r>
      <w:r>
        <w:rPr>
          <w:color w:val="231F20"/>
          <w:spacing w:val="-18"/>
          <w:w w:val="105"/>
        </w:rPr>
        <w:t> </w:t>
      </w:r>
      <w:r>
        <w:rPr>
          <w:color w:val="231F20"/>
          <w:w w:val="105"/>
        </w:rPr>
        <w:t>realizadas</w:t>
      </w:r>
      <w:r>
        <w:rPr>
          <w:color w:val="231F20"/>
          <w:spacing w:val="-18"/>
          <w:w w:val="105"/>
        </w:rPr>
        <w:t> </w:t>
      </w:r>
      <w:r>
        <w:rPr>
          <w:color w:val="231F20"/>
          <w:w w:val="105"/>
        </w:rPr>
        <w:t>sobre</w:t>
      </w:r>
      <w:r>
        <w:rPr>
          <w:color w:val="231F20"/>
          <w:spacing w:val="-18"/>
          <w:w w:val="105"/>
        </w:rPr>
        <w:t> </w:t>
      </w:r>
      <w:r>
        <w:rPr>
          <w:color w:val="231F20"/>
          <w:w w:val="105"/>
        </w:rPr>
        <w:t>la</w:t>
      </w:r>
      <w:r>
        <w:rPr>
          <w:color w:val="231F20"/>
          <w:spacing w:val="-18"/>
          <w:w w:val="105"/>
        </w:rPr>
        <w:t> </w:t>
      </w:r>
      <w:r>
        <w:rPr>
          <w:color w:val="231F20"/>
          <w:w w:val="105"/>
        </w:rPr>
        <w:t>especie.</w:t>
      </w:r>
      <w:r>
        <w:rPr>
          <w:color w:val="231F20"/>
          <w:spacing w:val="-18"/>
          <w:w w:val="105"/>
        </w:rPr>
        <w:t> </w:t>
      </w:r>
      <w:r>
        <w:rPr>
          <w:color w:val="231F20"/>
          <w:w w:val="105"/>
        </w:rPr>
        <w:t>Los</w:t>
      </w:r>
      <w:r>
        <w:rPr>
          <w:color w:val="231F20"/>
          <w:spacing w:val="-18"/>
          <w:w w:val="105"/>
        </w:rPr>
        <w:t> </w:t>
      </w:r>
      <w:r>
        <w:rPr>
          <w:color w:val="231F20"/>
          <w:w w:val="105"/>
        </w:rPr>
        <w:t>resultados</w:t>
      </w:r>
      <w:r>
        <w:rPr>
          <w:color w:val="231F20"/>
          <w:spacing w:val="-18"/>
          <w:w w:val="105"/>
        </w:rPr>
        <w:t> </w:t>
      </w:r>
      <w:r>
        <w:rPr>
          <w:color w:val="231F20"/>
          <w:w w:val="105"/>
        </w:rPr>
        <w:t>indicaron</w:t>
      </w:r>
      <w:r>
        <w:rPr>
          <w:color w:val="231F20"/>
          <w:spacing w:val="-18"/>
          <w:w w:val="105"/>
        </w:rPr>
        <w:t> </w:t>
      </w:r>
      <w:r>
        <w:rPr>
          <w:color w:val="231F20"/>
          <w:w w:val="105"/>
        </w:rPr>
        <w:t>que</w:t>
      </w:r>
      <w:r>
        <w:rPr>
          <w:color w:val="231F20"/>
          <w:spacing w:val="-18"/>
          <w:w w:val="105"/>
        </w:rPr>
        <w:t> </w:t>
      </w:r>
      <w:r>
        <w:rPr>
          <w:color w:val="231F20"/>
          <w:w w:val="105"/>
        </w:rPr>
        <w:t>Amatepec,</w:t>
      </w:r>
      <w:r>
        <w:rPr>
          <w:color w:val="231F20"/>
          <w:spacing w:val="-18"/>
          <w:w w:val="105"/>
        </w:rPr>
        <w:t> </w:t>
      </w:r>
      <w:r>
        <w:rPr>
          <w:color w:val="231F20"/>
          <w:spacing w:val="-3"/>
          <w:w w:val="105"/>
        </w:rPr>
        <w:t>Tejupilco</w:t>
      </w:r>
      <w:r>
        <w:rPr>
          <w:color w:val="231F20"/>
          <w:spacing w:val="-18"/>
          <w:w w:val="105"/>
        </w:rPr>
        <w:t> </w:t>
      </w:r>
      <w:r>
        <w:rPr>
          <w:color w:val="231F20"/>
          <w:w w:val="105"/>
        </w:rPr>
        <w:t>y</w:t>
      </w:r>
      <w:r>
        <w:rPr>
          <w:color w:val="231F20"/>
          <w:spacing w:val="-18"/>
          <w:w w:val="105"/>
        </w:rPr>
        <w:t> </w:t>
      </w:r>
      <w:r>
        <w:rPr>
          <w:color w:val="231F20"/>
          <w:w w:val="105"/>
        </w:rPr>
        <w:t>Tlatlaya</w:t>
      </w:r>
      <w:r>
        <w:rPr>
          <w:color w:val="231F20"/>
          <w:spacing w:val="-18"/>
          <w:w w:val="105"/>
        </w:rPr>
        <w:t> </w:t>
      </w:r>
      <w:r>
        <w:rPr>
          <w:color w:val="231F20"/>
          <w:w w:val="105"/>
        </w:rPr>
        <w:t>han</w:t>
      </w:r>
      <w:r>
        <w:rPr>
          <w:color w:val="231F20"/>
          <w:spacing w:val="-18"/>
          <w:w w:val="105"/>
        </w:rPr>
        <w:t> </w:t>
      </w:r>
      <w:r>
        <w:rPr>
          <w:color w:val="231F20"/>
          <w:w w:val="105"/>
        </w:rPr>
        <w:t>sido, en</w:t>
      </w:r>
      <w:r>
        <w:rPr>
          <w:color w:val="231F20"/>
          <w:spacing w:val="-10"/>
          <w:w w:val="105"/>
        </w:rPr>
        <w:t> </w:t>
      </w:r>
      <w:r>
        <w:rPr>
          <w:color w:val="231F20"/>
          <w:w w:val="105"/>
        </w:rPr>
        <w:t>los</w:t>
      </w:r>
      <w:r>
        <w:rPr>
          <w:color w:val="231F20"/>
          <w:spacing w:val="-10"/>
          <w:w w:val="105"/>
        </w:rPr>
        <w:t> </w:t>
      </w:r>
      <w:r>
        <w:rPr>
          <w:color w:val="231F20"/>
          <w:w w:val="105"/>
        </w:rPr>
        <w:t>últimos</w:t>
      </w:r>
      <w:r>
        <w:rPr>
          <w:color w:val="231F20"/>
          <w:spacing w:val="-10"/>
          <w:w w:val="105"/>
        </w:rPr>
        <w:t> </w:t>
      </w:r>
      <w:r>
        <w:rPr>
          <w:color w:val="231F20"/>
          <w:w w:val="105"/>
        </w:rPr>
        <w:t>años,</w:t>
      </w:r>
      <w:r>
        <w:rPr>
          <w:color w:val="231F20"/>
          <w:spacing w:val="-10"/>
          <w:w w:val="105"/>
        </w:rPr>
        <w:t> </w:t>
      </w:r>
      <w:r>
        <w:rPr>
          <w:color w:val="231F20"/>
          <w:w w:val="105"/>
        </w:rPr>
        <w:t>los</w:t>
      </w:r>
      <w:r>
        <w:rPr>
          <w:color w:val="231F20"/>
          <w:spacing w:val="-10"/>
          <w:w w:val="105"/>
        </w:rPr>
        <w:t> </w:t>
      </w:r>
      <w:r>
        <w:rPr>
          <w:color w:val="231F20"/>
          <w:w w:val="105"/>
        </w:rPr>
        <w:t>municipios</w:t>
      </w:r>
      <w:r>
        <w:rPr>
          <w:color w:val="231F20"/>
          <w:spacing w:val="-10"/>
          <w:w w:val="105"/>
        </w:rPr>
        <w:t> </w:t>
      </w:r>
      <w:r>
        <w:rPr>
          <w:color w:val="231F20"/>
          <w:w w:val="105"/>
        </w:rPr>
        <w:t>más</w:t>
      </w:r>
      <w:r>
        <w:rPr>
          <w:color w:val="231F20"/>
          <w:spacing w:val="-10"/>
          <w:w w:val="105"/>
        </w:rPr>
        <w:t> </w:t>
      </w:r>
      <w:r>
        <w:rPr>
          <w:color w:val="231F20"/>
          <w:w w:val="105"/>
        </w:rPr>
        <w:t>apoyados</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vía</w:t>
      </w:r>
      <w:r>
        <w:rPr>
          <w:color w:val="231F20"/>
          <w:spacing w:val="-10"/>
          <w:w w:val="105"/>
        </w:rPr>
        <w:t> </w:t>
      </w:r>
      <w:r>
        <w:rPr>
          <w:color w:val="231F20"/>
          <w:w w:val="105"/>
        </w:rPr>
        <w:t>estatal</w:t>
      </w:r>
      <w:r>
        <w:rPr>
          <w:color w:val="231F20"/>
          <w:spacing w:val="-10"/>
          <w:w w:val="105"/>
        </w:rPr>
        <w:t> </w:t>
      </w:r>
      <w:r>
        <w:rPr>
          <w:color w:val="231F20"/>
          <w:w w:val="105"/>
        </w:rPr>
        <w:t>y</w:t>
      </w:r>
      <w:r>
        <w:rPr>
          <w:color w:val="231F20"/>
          <w:spacing w:val="-10"/>
          <w:w w:val="105"/>
        </w:rPr>
        <w:t> </w:t>
      </w:r>
      <w:r>
        <w:rPr>
          <w:color w:val="231F20"/>
          <w:w w:val="105"/>
        </w:rPr>
        <w:t>federal</w:t>
      </w:r>
      <w:r>
        <w:rPr>
          <w:color w:val="231F20"/>
          <w:spacing w:val="-10"/>
          <w:w w:val="105"/>
        </w:rPr>
        <w:t> </w:t>
      </w:r>
      <w:r>
        <w:rPr>
          <w:color w:val="231F20"/>
          <w:w w:val="105"/>
        </w:rPr>
        <w:t>mediante</w:t>
      </w:r>
      <w:r>
        <w:rPr>
          <w:color w:val="231F20"/>
          <w:spacing w:val="-10"/>
          <w:w w:val="105"/>
        </w:rPr>
        <w:t> </w:t>
      </w:r>
      <w:r>
        <w:rPr>
          <w:color w:val="231F20"/>
          <w:w w:val="105"/>
        </w:rPr>
        <w:t>dichos</w:t>
      </w:r>
      <w:r>
        <w:rPr>
          <w:color w:val="231F20"/>
          <w:spacing w:val="-10"/>
          <w:w w:val="105"/>
        </w:rPr>
        <w:t> </w:t>
      </w:r>
      <w:r>
        <w:rPr>
          <w:color w:val="231F20"/>
          <w:w w:val="105"/>
        </w:rPr>
        <w:t>programas, con</w:t>
      </w:r>
      <w:r>
        <w:rPr>
          <w:color w:val="231F20"/>
          <w:spacing w:val="-8"/>
          <w:w w:val="105"/>
        </w:rPr>
        <w:t> </w:t>
      </w:r>
      <w:r>
        <w:rPr>
          <w:color w:val="231F20"/>
          <w:w w:val="105"/>
        </w:rPr>
        <w:t>adquisición</w:t>
      </w:r>
      <w:r>
        <w:rPr>
          <w:color w:val="231F20"/>
          <w:spacing w:val="-8"/>
          <w:w w:val="105"/>
        </w:rPr>
        <w:t> </w:t>
      </w:r>
      <w:r>
        <w:rPr>
          <w:color w:val="231F20"/>
          <w:w w:val="105"/>
        </w:rPr>
        <w:t>tanto</w:t>
      </w:r>
      <w:r>
        <w:rPr>
          <w:color w:val="231F20"/>
          <w:spacing w:val="-8"/>
          <w:w w:val="105"/>
        </w:rPr>
        <w:t> </w:t>
      </w:r>
      <w:r>
        <w:rPr>
          <w:color w:val="231F20"/>
          <w:w w:val="105"/>
        </w:rPr>
        <w:t>de</w:t>
      </w:r>
      <w:r>
        <w:rPr>
          <w:color w:val="231F20"/>
          <w:spacing w:val="-8"/>
          <w:w w:val="105"/>
        </w:rPr>
        <w:t> </w:t>
      </w:r>
      <w:r>
        <w:rPr>
          <w:color w:val="231F20"/>
          <w:w w:val="105"/>
        </w:rPr>
        <w:t>sementales</w:t>
      </w:r>
      <w:r>
        <w:rPr>
          <w:color w:val="231F20"/>
          <w:spacing w:val="-8"/>
          <w:w w:val="105"/>
        </w:rPr>
        <w:t> </w:t>
      </w:r>
      <w:r>
        <w:rPr>
          <w:color w:val="231F20"/>
          <w:w w:val="105"/>
        </w:rPr>
        <w:t>como</w:t>
      </w:r>
      <w:r>
        <w:rPr>
          <w:color w:val="231F20"/>
          <w:spacing w:val="-8"/>
          <w:w w:val="105"/>
        </w:rPr>
        <w:t> </w:t>
      </w:r>
      <w:r>
        <w:rPr>
          <w:color w:val="231F20"/>
          <w:w w:val="105"/>
        </w:rPr>
        <w:t>de</w:t>
      </w:r>
      <w:r>
        <w:rPr>
          <w:color w:val="231F20"/>
          <w:spacing w:val="-8"/>
          <w:w w:val="105"/>
        </w:rPr>
        <w:t> </w:t>
      </w:r>
      <w:r>
        <w:rPr>
          <w:color w:val="231F20"/>
          <w:w w:val="105"/>
        </w:rPr>
        <w:t>vientres,</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ha</w:t>
      </w:r>
      <w:r>
        <w:rPr>
          <w:color w:val="231F20"/>
          <w:spacing w:val="-8"/>
          <w:w w:val="105"/>
        </w:rPr>
        <w:t> </w:t>
      </w:r>
      <w:r>
        <w:rPr>
          <w:color w:val="231F20"/>
          <w:w w:val="105"/>
        </w:rPr>
        <w:t>contribuido</w:t>
      </w:r>
      <w:r>
        <w:rPr>
          <w:color w:val="231F20"/>
          <w:spacing w:val="-8"/>
          <w:w w:val="105"/>
        </w:rPr>
        <w:t> </w:t>
      </w:r>
      <w:r>
        <w:rPr>
          <w:color w:val="231F20"/>
          <w:w w:val="105"/>
        </w:rPr>
        <w:t>a</w:t>
      </w:r>
      <w:r>
        <w:rPr>
          <w:color w:val="231F20"/>
          <w:spacing w:val="-8"/>
          <w:w w:val="105"/>
        </w:rPr>
        <w:t> </w:t>
      </w:r>
      <w:r>
        <w:rPr>
          <w:color w:val="231F20"/>
          <w:w w:val="105"/>
        </w:rPr>
        <w:t>incrementar</w:t>
      </w:r>
      <w:r>
        <w:rPr>
          <w:color w:val="231F20"/>
          <w:spacing w:val="-8"/>
          <w:w w:val="105"/>
        </w:rPr>
        <w:t> </w:t>
      </w:r>
      <w:r>
        <w:rPr>
          <w:color w:val="231F20"/>
          <w:w w:val="105"/>
        </w:rPr>
        <w:t>la</w:t>
      </w:r>
      <w:r>
        <w:rPr>
          <w:color w:val="231F20"/>
          <w:spacing w:val="-8"/>
          <w:w w:val="105"/>
        </w:rPr>
        <w:t> </w:t>
      </w:r>
      <w:r>
        <w:rPr>
          <w:color w:val="231F20"/>
          <w:w w:val="105"/>
        </w:rPr>
        <w:t>población de</w:t>
      </w:r>
      <w:r>
        <w:rPr>
          <w:color w:val="231F20"/>
          <w:spacing w:val="-16"/>
          <w:w w:val="105"/>
        </w:rPr>
        <w:t> </w:t>
      </w:r>
      <w:r>
        <w:rPr>
          <w:color w:val="231F20"/>
          <w:w w:val="105"/>
        </w:rPr>
        <w:t>los</w:t>
      </w:r>
      <w:r>
        <w:rPr>
          <w:color w:val="231F20"/>
          <w:spacing w:val="-16"/>
          <w:w w:val="105"/>
        </w:rPr>
        <w:t> </w:t>
      </w:r>
      <w:r>
        <w:rPr>
          <w:color w:val="231F20"/>
          <w:w w:val="105"/>
        </w:rPr>
        <w:t>rebaños</w:t>
      </w:r>
      <w:r>
        <w:rPr>
          <w:color w:val="231F20"/>
          <w:spacing w:val="-16"/>
          <w:w w:val="105"/>
        </w:rPr>
        <w:t> </w:t>
      </w:r>
      <w:r>
        <w:rPr>
          <w:color w:val="231F20"/>
          <w:spacing w:val="-5"/>
          <w:w w:val="105"/>
        </w:rPr>
        <w:t>y,</w:t>
      </w:r>
      <w:r>
        <w:rPr>
          <w:color w:val="231F20"/>
          <w:spacing w:val="-16"/>
          <w:w w:val="105"/>
        </w:rPr>
        <w:t> </w:t>
      </w:r>
      <w:r>
        <w:rPr>
          <w:color w:val="231F20"/>
          <w:w w:val="105"/>
        </w:rPr>
        <w:t>aunado</w:t>
      </w:r>
      <w:r>
        <w:rPr>
          <w:color w:val="231F20"/>
          <w:spacing w:val="-16"/>
          <w:w w:val="105"/>
        </w:rPr>
        <w:t> </w:t>
      </w:r>
      <w:r>
        <w:rPr>
          <w:color w:val="231F20"/>
          <w:w w:val="105"/>
        </w:rPr>
        <w:t>a</w:t>
      </w:r>
      <w:r>
        <w:rPr>
          <w:color w:val="231F20"/>
          <w:spacing w:val="-16"/>
          <w:w w:val="105"/>
        </w:rPr>
        <w:t> </w:t>
      </w:r>
      <w:r>
        <w:rPr>
          <w:color w:val="231F20"/>
          <w:w w:val="105"/>
        </w:rPr>
        <w:t>ello,</w:t>
      </w:r>
      <w:r>
        <w:rPr>
          <w:color w:val="231F20"/>
          <w:spacing w:val="-16"/>
          <w:w w:val="105"/>
        </w:rPr>
        <w:t> </w:t>
      </w:r>
      <w:r>
        <w:rPr>
          <w:color w:val="231F20"/>
          <w:w w:val="105"/>
        </w:rPr>
        <w:t>los</w:t>
      </w:r>
      <w:r>
        <w:rPr>
          <w:color w:val="231F20"/>
          <w:spacing w:val="-16"/>
          <w:w w:val="105"/>
        </w:rPr>
        <w:t> </w:t>
      </w:r>
      <w:r>
        <w:rPr>
          <w:color w:val="231F20"/>
          <w:w w:val="105"/>
        </w:rPr>
        <w:t>ingresos</w:t>
      </w:r>
      <w:r>
        <w:rPr>
          <w:color w:val="231F20"/>
          <w:spacing w:val="-16"/>
          <w:w w:val="105"/>
        </w:rPr>
        <w:t> </w:t>
      </w:r>
      <w:r>
        <w:rPr>
          <w:color w:val="231F20"/>
          <w:w w:val="105"/>
        </w:rPr>
        <w:t>de</w:t>
      </w:r>
      <w:r>
        <w:rPr>
          <w:color w:val="231F20"/>
          <w:spacing w:val="-16"/>
          <w:w w:val="105"/>
        </w:rPr>
        <w:t> </w:t>
      </w:r>
      <w:r>
        <w:rPr>
          <w:color w:val="231F20"/>
          <w:w w:val="105"/>
        </w:rPr>
        <w:t>familias</w:t>
      </w:r>
      <w:r>
        <w:rPr>
          <w:color w:val="231F20"/>
          <w:spacing w:val="-16"/>
          <w:w w:val="105"/>
        </w:rPr>
        <w:t> </w:t>
      </w:r>
      <w:r>
        <w:rPr>
          <w:color w:val="231F20"/>
          <w:w w:val="105"/>
        </w:rPr>
        <w:t>dependientes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actividad</w:t>
      </w:r>
      <w:r>
        <w:rPr>
          <w:color w:val="231F20"/>
          <w:spacing w:val="-16"/>
          <w:w w:val="105"/>
        </w:rPr>
        <w:t> </w:t>
      </w:r>
      <w:r>
        <w:rPr>
          <w:color w:val="231F20"/>
          <w:w w:val="105"/>
        </w:rPr>
        <w:t>por</w:t>
      </w:r>
      <w:r>
        <w:rPr>
          <w:color w:val="231F20"/>
          <w:spacing w:val="-16"/>
          <w:w w:val="105"/>
        </w:rPr>
        <w:t> </w:t>
      </w:r>
      <w:r>
        <w:rPr>
          <w:color w:val="231F20"/>
          <w:w w:val="105"/>
        </w:rPr>
        <w:t>medio</w:t>
      </w:r>
      <w:r>
        <w:rPr>
          <w:color w:val="231F20"/>
          <w:spacing w:val="-16"/>
          <w:w w:val="105"/>
        </w:rPr>
        <w:t> </w:t>
      </w:r>
      <w:r>
        <w:rPr>
          <w:color w:val="231F20"/>
          <w:w w:val="105"/>
        </w:rPr>
        <w:t>del</w:t>
      </w:r>
      <w:r>
        <w:rPr>
          <w:color w:val="231F20"/>
          <w:spacing w:val="-16"/>
          <w:w w:val="105"/>
        </w:rPr>
        <w:t> </w:t>
      </w:r>
      <w:r>
        <w:rPr>
          <w:color w:val="231F20"/>
          <w:w w:val="105"/>
        </w:rPr>
        <w:t>platillo </w:t>
      </w:r>
      <w:r>
        <w:rPr>
          <w:color w:val="231F20"/>
        </w:rPr>
        <w:t>tradicional, conocido como</w:t>
      </w:r>
      <w:r>
        <w:rPr>
          <w:color w:val="231F20"/>
          <w:spacing w:val="-14"/>
        </w:rPr>
        <w:t> </w:t>
      </w:r>
      <w:r>
        <w:rPr>
          <w:color w:val="231F20"/>
          <w:spacing w:val="-3"/>
        </w:rPr>
        <w:t>“birria”.</w:t>
      </w:r>
    </w:p>
    <w:p>
      <w:pPr>
        <w:pStyle w:val="BodyText"/>
        <w:spacing w:before="114"/>
        <w:ind w:left="1553"/>
        <w:jc w:val="both"/>
      </w:pPr>
      <w:r>
        <w:rPr>
          <w:color w:val="231F20"/>
        </w:rPr>
        <w:t>Palabras clave: Caprinos - Desarrollo rural - Sur del Estado de México.</w:t>
      </w:r>
    </w:p>
    <w:p>
      <w:pPr>
        <w:pStyle w:val="BodyText"/>
        <w:spacing w:before="3"/>
      </w:pPr>
      <w:r>
        <w:rPr/>
        <w:pict>
          <v:line style="position:absolute;mso-position-horizontal-relative:page;mso-position-vertical-relative:paragraph;z-index:6040;mso-wrap-distance-left:0;mso-wrap-distance-right:0" from="77.692902pt,14.572256pt" to="517.062902pt,14.572256pt" stroked="true" strokeweight=".5pt" strokecolor="#231f20">
            <w10:wrap type="topAndBottom"/>
          </v:line>
        </w:pict>
      </w:r>
    </w:p>
    <w:p>
      <w:pPr>
        <w:pStyle w:val="BodyText"/>
      </w:pPr>
    </w:p>
    <w:p>
      <w:pPr>
        <w:pStyle w:val="BodyText"/>
      </w:pPr>
    </w:p>
    <w:p>
      <w:pPr>
        <w:pStyle w:val="BodyText"/>
      </w:pPr>
    </w:p>
    <w:p>
      <w:pPr>
        <w:pStyle w:val="BodyText"/>
        <w:rPr>
          <w:sz w:val="24"/>
        </w:rPr>
      </w:pPr>
      <w:r>
        <w:rPr/>
        <w:pict>
          <v:group style="position:absolute;margin-left:77.692902pt;margin-top:16.619905pt;width:70.9pt;height:.5pt;mso-position-horizontal-relative:page;mso-position-vertical-relative:paragraph;z-index:6064;mso-wrap-distance-left:0;mso-wrap-distance-right:0" coordorigin="1554,332" coordsize="1418,10">
            <v:line style="position:absolute" from="1589,337" to="2951,337" stroked="true" strokeweight=".5pt" strokecolor="#231f20">
              <v:stroke dashstyle="dash"/>
            </v:line>
            <v:line style="position:absolute" from="1559,337" to="1559,337" stroked="true" strokeweight=".5pt" strokecolor="#231f20"/>
            <v:line style="position:absolute" from="2966,337" to="2966,337" stroked="true" strokeweight=".5pt" strokecolor="#231f20"/>
            <w10:wrap type="topAndBottom"/>
          </v:group>
        </w:pict>
      </w:r>
    </w:p>
    <w:p>
      <w:pPr>
        <w:spacing w:after="0"/>
        <w:rPr>
          <w:sz w:val="24"/>
        </w:rPr>
        <w:sectPr>
          <w:pgSz w:w="11900" w:h="14450"/>
          <w:pgMar w:header="0" w:footer="222" w:top="420" w:bottom="420" w:left="0" w:right="0"/>
        </w:sectPr>
      </w:pPr>
    </w:p>
    <w:p>
      <w:pPr>
        <w:spacing w:before="70"/>
        <w:ind w:left="1553" w:right="-10" w:firstLine="0"/>
        <w:jc w:val="left"/>
        <w:rPr>
          <w:sz w:val="16"/>
        </w:rPr>
      </w:pPr>
      <w:r>
        <w:rPr>
          <w:color w:val="231F20"/>
          <w:sz w:val="16"/>
        </w:rPr>
        <w:t>* Para correspondencia: </w:t>
      </w:r>
      <w:hyperlink r:id="rId362">
        <w:r>
          <w:rPr>
            <w:color w:val="231F20"/>
            <w:sz w:val="16"/>
          </w:rPr>
          <w:t>srebollarr@uaemex.mx</w:t>
        </w:r>
      </w:hyperlink>
    </w:p>
    <w:p>
      <w:pPr>
        <w:pStyle w:val="BodyText"/>
        <w:spacing w:before="4"/>
        <w:rPr>
          <w:sz w:val="32"/>
        </w:rPr>
      </w:pPr>
      <w:r>
        <w:rPr/>
        <w:br w:type="column"/>
      </w:r>
      <w:r>
        <w:rPr>
          <w:sz w:val="32"/>
        </w:rPr>
      </w:r>
    </w:p>
    <w:p>
      <w:pPr>
        <w:pStyle w:val="Heading5"/>
        <w:ind w:left="1522" w:right="1529"/>
        <w:jc w:val="center"/>
      </w:pPr>
      <w:r>
        <w:rPr>
          <w:color w:val="231F20"/>
          <w:w w:val="115"/>
        </w:rPr>
        <w:t>201</w:t>
      </w:r>
    </w:p>
    <w:p>
      <w:pPr>
        <w:spacing w:after="0"/>
        <w:jc w:val="center"/>
        <w:sectPr>
          <w:type w:val="continuous"/>
          <w:pgSz w:w="11900" w:h="14450"/>
          <w:pgMar w:top="420" w:bottom="420" w:left="0" w:right="0"/>
          <w:cols w:num="2" w:equalWidth="0">
            <w:col w:w="4699" w:space="3717"/>
            <w:col w:w="3484"/>
          </w:cols>
        </w:sectPr>
      </w:pPr>
    </w:p>
    <w:p>
      <w:pPr>
        <w:pStyle w:val="BodyText"/>
      </w:pPr>
    </w:p>
    <w:p>
      <w:pPr>
        <w:pStyle w:val="BodyText"/>
      </w:pPr>
    </w:p>
    <w:p>
      <w:pPr>
        <w:pStyle w:val="BodyText"/>
        <w:rPr>
          <w:sz w:val="17"/>
        </w:rPr>
      </w:pPr>
    </w:p>
    <w:p>
      <w:pPr>
        <w:tabs>
          <w:tab w:pos="6897" w:val="left" w:leader="none"/>
        </w:tabs>
        <w:spacing w:before="64"/>
        <w:ind w:left="1551" w:right="0" w:firstLine="0"/>
        <w:jc w:val="left"/>
        <w:rPr>
          <w:sz w:val="12"/>
        </w:rPr>
      </w:pPr>
      <w:r>
        <w:rPr>
          <w:color w:val="231F20"/>
          <w:w w:val="120"/>
          <w:sz w:val="22"/>
        </w:rPr>
        <w:t>202</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9" w:lineRule="auto" w:before="133"/>
        <w:ind w:left="1553"/>
        <w:jc w:val="both"/>
      </w:pPr>
      <w:r>
        <w:rPr>
          <w:color w:val="231F20"/>
        </w:rPr>
        <w:t>Según la Organización de las Naciones Unidas para la Alimentación y la Agricultura </w:t>
      </w:r>
      <w:r>
        <w:rPr>
          <w:color w:val="231F20"/>
          <w:spacing w:val="-3"/>
        </w:rPr>
        <w:t>(FAO), </w:t>
      </w:r>
      <w:r>
        <w:rPr>
          <w:color w:val="231F20"/>
        </w:rPr>
        <w:t>en 2009 la producción mundial de caprinos se  concentraba en Asia y África, la primera representada por</w:t>
      </w:r>
      <w:r>
        <w:rPr>
          <w:color w:val="231F20"/>
          <w:spacing w:val="-19"/>
        </w:rPr>
        <w:t> </w:t>
      </w:r>
      <w:r>
        <w:rPr>
          <w:color w:val="231F20"/>
        </w:rPr>
        <w:t>China, India, Pakistán y Bangladesh, y la segunda por Ni- geria, Sudán, Etiopía, Kenia y Somalia. En América, por su producción en número de cabezas, desta- caban Brasil, México, Argentina y Estados Unidos </w:t>
      </w:r>
      <w:r>
        <w:rPr>
          <w:color w:val="231F20"/>
          <w:spacing w:val="-4"/>
        </w:rPr>
        <w:t>(FAO, 2011). </w:t>
      </w:r>
      <w:r>
        <w:rPr>
          <w:color w:val="231F20"/>
        </w:rPr>
        <w:t>En el mismo año, para México, del inventario total de especies domésticas los capri- nos ocupaban la tercera posición tras los bovinos   y los cerdos, con 8,9 millones de cabezas, y se sa- crificaron aproximadamente 2,8 millones en todo el país, equivalentes a </w:t>
      </w:r>
      <w:r>
        <w:rPr>
          <w:color w:val="231F20"/>
          <w:spacing w:val="5"/>
        </w:rPr>
        <w:t>43000 </w:t>
      </w:r>
      <w:r>
        <w:rPr>
          <w:color w:val="231F20"/>
        </w:rPr>
        <w:t>toneladas de carne en  canal  </w:t>
      </w:r>
      <w:r>
        <w:rPr>
          <w:color w:val="231F20"/>
          <w:spacing w:val="-3"/>
        </w:rPr>
        <w:t>(SIAP, </w:t>
      </w:r>
      <w:r>
        <w:rPr>
          <w:color w:val="231F20"/>
          <w:spacing w:val="9"/>
        </w:rPr>
        <w:t> </w:t>
      </w:r>
      <w:r>
        <w:rPr>
          <w:color w:val="231F20"/>
          <w:spacing w:val="-4"/>
        </w:rPr>
        <w:t>2011).</w:t>
      </w:r>
    </w:p>
    <w:p>
      <w:pPr>
        <w:pStyle w:val="BodyText"/>
        <w:spacing w:line="259" w:lineRule="auto" w:before="113"/>
        <w:ind w:left="1553"/>
        <w:jc w:val="both"/>
      </w:pPr>
      <w:r>
        <w:rPr>
          <w:color w:val="231F20"/>
        </w:rPr>
        <w:t>Con relación al mercado internacional,  en  2009  los principales compradores de carne caprina en   el mundo fueron </w:t>
      </w:r>
      <w:r>
        <w:rPr>
          <w:color w:val="231F20"/>
          <w:spacing w:val="-3"/>
        </w:rPr>
        <w:t>Yemen, </w:t>
      </w:r>
      <w:r>
        <w:rPr>
          <w:color w:val="231F20"/>
        </w:rPr>
        <w:t>Arabia Saudí y Emiratos Árabes Unidos, en tanto que México se ubicó en una posición baja, cercana a 16700 toneladas métricas. Los principales vendedores fueron So- malia, Omán e Irán, y en una posición inferior Chi- na  </w:t>
      </w:r>
      <w:r>
        <w:rPr>
          <w:color w:val="231F20"/>
          <w:spacing w:val="2"/>
        </w:rPr>
        <w:t>(14000  </w:t>
      </w:r>
      <w:r>
        <w:rPr>
          <w:color w:val="231F20"/>
        </w:rPr>
        <w:t>t)  </w:t>
      </w:r>
      <w:r>
        <w:rPr>
          <w:color w:val="231F20"/>
          <w:spacing w:val="-4"/>
        </w:rPr>
        <w:t>(FAO,  </w:t>
      </w:r>
      <w:r>
        <w:rPr>
          <w:color w:val="231F20"/>
          <w:spacing w:val="32"/>
        </w:rPr>
        <w:t> </w:t>
      </w:r>
      <w:r>
        <w:rPr>
          <w:color w:val="231F20"/>
          <w:spacing w:val="-4"/>
        </w:rPr>
        <w:t>2011).</w:t>
      </w:r>
    </w:p>
    <w:p>
      <w:pPr>
        <w:pStyle w:val="BodyText"/>
        <w:spacing w:line="259" w:lineRule="auto" w:before="113"/>
        <w:ind w:left="1553"/>
        <w:jc w:val="both"/>
      </w:pPr>
      <w:r>
        <w:rPr>
          <w:color w:val="231F20"/>
        </w:rPr>
        <w:t>Ese mismo año, el consumo nacional aparente de esta carne fue de </w:t>
      </w:r>
      <w:r>
        <w:rPr>
          <w:color w:val="231F20"/>
          <w:spacing w:val="5"/>
        </w:rPr>
        <w:t>85000 </w:t>
      </w:r>
      <w:r>
        <w:rPr>
          <w:color w:val="231F20"/>
        </w:rPr>
        <w:t>toneladas, de las cuales un 55% lo aportó el volumen doméstico o pro- ducción nacional y un 45% fueron importaciones. Asimismo, en promedio, el 98% del consumo to-  tal de carne en canal lo representó la producción nacional y el resto se cubrió con importaciones.   En el ámbito temporal, tanto la producción como las importaciones de carne de esta especie pre- sentaron una tendencia inversa, esto</w:t>
      </w:r>
      <w:r>
        <w:rPr>
          <w:color w:val="231F20"/>
          <w:spacing w:val="12"/>
        </w:rPr>
        <w:t> </w:t>
      </w:r>
      <w:r>
        <w:rPr>
          <w:color w:val="231F20"/>
        </w:rPr>
        <w:t>es,</w:t>
      </w:r>
      <w:r>
        <w:rPr>
          <w:color w:val="231F20"/>
          <w:spacing w:val="20"/>
        </w:rPr>
        <w:t> </w:t>
      </w:r>
      <w:r>
        <w:rPr>
          <w:color w:val="231F20"/>
        </w:rPr>
        <w:t>mientras</w:t>
      </w:r>
      <w:r>
        <w:rPr>
          <w:color w:val="231F20"/>
          <w:w w:val="99"/>
        </w:rPr>
        <w:t> </w:t>
      </w:r>
      <w:r>
        <w:rPr>
          <w:color w:val="231F20"/>
        </w:rPr>
        <w:t>que en el periodo </w:t>
      </w:r>
      <w:r>
        <w:rPr>
          <w:color w:val="231F20"/>
          <w:spacing w:val="-3"/>
        </w:rPr>
        <w:t>2001-2009 </w:t>
      </w:r>
      <w:r>
        <w:rPr>
          <w:color w:val="231F20"/>
        </w:rPr>
        <w:t>la tasa media de crecimiento anual (TMCA) de la producción  fue  del 1,3%, la de las importaciones fue del –4,9%. Esto significa que la producción de carne de ca- prino aumentó de </w:t>
      </w:r>
      <w:r>
        <w:rPr>
          <w:color w:val="231F20"/>
          <w:spacing w:val="2"/>
        </w:rPr>
        <w:t>76500 </w:t>
      </w:r>
      <w:r>
        <w:rPr>
          <w:color w:val="231F20"/>
        </w:rPr>
        <w:t>a </w:t>
      </w:r>
      <w:r>
        <w:rPr>
          <w:color w:val="231F20"/>
          <w:spacing w:val="4"/>
        </w:rPr>
        <w:t>85000  </w:t>
      </w:r>
      <w:r>
        <w:rPr>
          <w:color w:val="231F20"/>
        </w:rPr>
        <w:t>toneladas  y  que las importaciones disminuyeron de 784,6 a  500  toneladas  </w:t>
      </w:r>
      <w:r>
        <w:rPr>
          <w:color w:val="231F20"/>
          <w:spacing w:val="-3"/>
        </w:rPr>
        <w:t>(SIAP,  </w:t>
      </w:r>
      <w:r>
        <w:rPr>
          <w:color w:val="231F20"/>
          <w:spacing w:val="-5"/>
        </w:rPr>
        <w:t>2011;  FAO,  </w:t>
      </w:r>
      <w:r>
        <w:rPr>
          <w:color w:val="231F20"/>
          <w:spacing w:val="22"/>
        </w:rPr>
        <w:t> </w:t>
      </w:r>
      <w:r>
        <w:rPr>
          <w:color w:val="231F20"/>
          <w:spacing w:val="-4"/>
        </w:rPr>
        <w:t>2011).</w:t>
      </w:r>
    </w:p>
    <w:p>
      <w:pPr>
        <w:pStyle w:val="BodyText"/>
        <w:spacing w:line="266" w:lineRule="auto" w:before="67"/>
        <w:ind w:left="412" w:right="1551"/>
        <w:jc w:val="both"/>
      </w:pPr>
      <w:r>
        <w:rPr/>
        <w:br w:type="column"/>
      </w:r>
      <w:r>
        <w:rPr>
          <w:color w:val="231F20"/>
        </w:rPr>
        <w:t>En 2009, la producción mexicana de carne en ca- nal de caprino se centró en Puebla </w:t>
      </w:r>
      <w:r>
        <w:rPr>
          <w:color w:val="231F20"/>
          <w:spacing w:val="-3"/>
        </w:rPr>
        <w:t>(16,1%), </w:t>
      </w:r>
      <w:r>
        <w:rPr>
          <w:color w:val="231F20"/>
        </w:rPr>
        <w:t>Oa- xaca  (13,2%),  Guerrero  </w:t>
      </w:r>
      <w:r>
        <w:rPr>
          <w:color w:val="231F20"/>
          <w:spacing w:val="-4"/>
        </w:rPr>
        <w:t>(7,6%),   </w:t>
      </w:r>
      <w:r>
        <w:rPr>
          <w:color w:val="231F20"/>
        </w:rPr>
        <w:t>Coahuila  </w:t>
      </w:r>
      <w:r>
        <w:rPr>
          <w:color w:val="231F20"/>
          <w:spacing w:val="-5"/>
        </w:rPr>
        <w:t>(7,3%)    </w:t>
      </w:r>
      <w:r>
        <w:rPr>
          <w:color w:val="231F20"/>
        </w:rPr>
        <w:t>y San Luis Potosí (6,8%), que contribuyeron con más del 50% al total nacional </w:t>
      </w:r>
      <w:r>
        <w:rPr>
          <w:color w:val="231F20"/>
          <w:spacing w:val="-3"/>
        </w:rPr>
        <w:t>(SIAP, </w:t>
      </w:r>
      <w:r>
        <w:rPr>
          <w:color w:val="231F20"/>
          <w:spacing w:val="-4"/>
        </w:rPr>
        <w:t>2011). </w:t>
      </w:r>
      <w:r>
        <w:rPr>
          <w:color w:val="231F20"/>
        </w:rPr>
        <w:t>Mien- tras que en </w:t>
      </w:r>
      <w:r>
        <w:rPr>
          <w:color w:val="231F20"/>
          <w:spacing w:val="-4"/>
        </w:rPr>
        <w:t>2001 </w:t>
      </w:r>
      <w:r>
        <w:rPr>
          <w:color w:val="231F20"/>
        </w:rPr>
        <w:t>el Estado de México ocupaba la posición </w:t>
      </w:r>
      <w:r>
        <w:rPr>
          <w:color w:val="231F20"/>
          <w:spacing w:val="-5"/>
        </w:rPr>
        <w:t>16 </w:t>
      </w:r>
      <w:r>
        <w:rPr>
          <w:color w:val="231F20"/>
        </w:rPr>
        <w:t>de la nación, en 2009 pierde competi- tividad en la producción y se coloca en el lugar </w:t>
      </w:r>
      <w:r>
        <w:rPr>
          <w:color w:val="231F20"/>
          <w:spacing w:val="-3"/>
        </w:rPr>
        <w:t>19, </w:t>
      </w:r>
      <w:r>
        <w:rPr>
          <w:color w:val="231F20"/>
        </w:rPr>
        <w:t>con </w:t>
      </w:r>
      <w:r>
        <w:rPr>
          <w:color w:val="231F20"/>
          <w:spacing w:val="-3"/>
        </w:rPr>
        <w:t>1046 </w:t>
      </w:r>
      <w:r>
        <w:rPr>
          <w:color w:val="231F20"/>
        </w:rPr>
        <w:t>toneladas de carne caprina distribuidas en sus ocho distritos de  desarrollo  rural  (DDR),  de los cuales dos </w:t>
      </w:r>
      <w:r>
        <w:rPr>
          <w:color w:val="231F20"/>
          <w:spacing w:val="-3"/>
        </w:rPr>
        <w:t>(Tejupilco </w:t>
      </w:r>
      <w:r>
        <w:rPr>
          <w:color w:val="231F20"/>
        </w:rPr>
        <w:t>y Coatepec Harinas, ambos ubicados al suroeste, región eminente- mente rural) aportaban el 59%  del  total  estatal de carne en canal. Sin embargo, el crecimiento de la producción nacional no fue igual en todos los Estados. Por ejemplo, el Estado de México repor- tó un crecimiento negativo al haber ahora menos animales que hace </w:t>
      </w:r>
      <w:r>
        <w:rPr>
          <w:color w:val="231F20"/>
          <w:spacing w:val="-5"/>
        </w:rPr>
        <w:t>10 </w:t>
      </w:r>
      <w:r>
        <w:rPr>
          <w:color w:val="231F20"/>
        </w:rPr>
        <w:t>años. En todo el Estado, en  el periodo </w:t>
      </w:r>
      <w:r>
        <w:rPr>
          <w:color w:val="231F20"/>
          <w:spacing w:val="-5"/>
        </w:rPr>
        <w:t>2001-2010,  </w:t>
      </w:r>
      <w:r>
        <w:rPr>
          <w:color w:val="231F20"/>
        </w:rPr>
        <w:t>la  producción  de  anima-  les tuvo una TMCA negativa de –4,04%, al pasar   de  178300  cabezas  en  </w:t>
      </w:r>
      <w:r>
        <w:rPr>
          <w:color w:val="231F20"/>
          <w:spacing w:val="-4"/>
        </w:rPr>
        <w:t>2001  </w:t>
      </w:r>
      <w:r>
        <w:rPr>
          <w:color w:val="231F20"/>
        </w:rPr>
        <w:t>a  123000  en   </w:t>
      </w:r>
      <w:r>
        <w:rPr>
          <w:color w:val="231F20"/>
          <w:spacing w:val="17"/>
        </w:rPr>
        <w:t> </w:t>
      </w:r>
      <w:r>
        <w:rPr>
          <w:color w:val="231F20"/>
          <w:spacing w:val="-6"/>
        </w:rPr>
        <w:t>2010</w:t>
      </w:r>
    </w:p>
    <w:p>
      <w:pPr>
        <w:pStyle w:val="BodyText"/>
        <w:spacing w:line="243" w:lineRule="exact"/>
        <w:ind w:left="412"/>
        <w:jc w:val="both"/>
      </w:pPr>
      <w:r>
        <w:rPr>
          <w:color w:val="231F20"/>
          <w:w w:val="110"/>
        </w:rPr>
        <w:t>(SIAP, 2011).</w:t>
      </w:r>
    </w:p>
    <w:p>
      <w:pPr>
        <w:pStyle w:val="BodyText"/>
        <w:spacing w:line="266" w:lineRule="auto" w:before="139"/>
        <w:ind w:left="412" w:right="1551"/>
        <w:jc w:val="both"/>
      </w:pPr>
      <w:r>
        <w:rPr>
          <w:color w:val="231F20"/>
        </w:rPr>
        <w:t>El sur del Estado de México corresponde al DDR </w:t>
      </w:r>
      <w:r>
        <w:rPr>
          <w:color w:val="231F20"/>
          <w:spacing w:val="-5"/>
        </w:rPr>
        <w:t>076, </w:t>
      </w:r>
      <w:r>
        <w:rPr>
          <w:color w:val="231F20"/>
        </w:rPr>
        <w:t>con sede en  </w:t>
      </w:r>
      <w:r>
        <w:rPr>
          <w:color w:val="231F20"/>
          <w:spacing w:val="-3"/>
        </w:rPr>
        <w:t>Tejupilco.  </w:t>
      </w:r>
      <w:r>
        <w:rPr>
          <w:color w:val="231F20"/>
        </w:rPr>
        <w:t>Es  el  más  importan- te en cuanto a producción de cabras se refiere (tanto en pie como en canal) y comprende los municipios de Temascaltepec, San Simón de Gue- rrero, </w:t>
      </w:r>
      <w:r>
        <w:rPr>
          <w:color w:val="231F20"/>
          <w:spacing w:val="-3"/>
        </w:rPr>
        <w:t>Tejupilco, </w:t>
      </w:r>
      <w:r>
        <w:rPr>
          <w:color w:val="231F20"/>
        </w:rPr>
        <w:t>Luvianos, Amatepec y Tlatlaya. En 2009, sólo este DDR aportó más de un tercio (32,6%) de la producción de carne al total estatal, proveniente de 6842 animales sacrificados </w:t>
      </w:r>
      <w:r>
        <w:rPr>
          <w:color w:val="231F20"/>
          <w:spacing w:val="-3"/>
        </w:rPr>
        <w:t>(SIAP, </w:t>
      </w:r>
      <w:r>
        <w:rPr>
          <w:color w:val="231F20"/>
          <w:spacing w:val="-4"/>
        </w:rPr>
        <w:t>2011). </w:t>
      </w:r>
      <w:r>
        <w:rPr>
          <w:color w:val="231F20"/>
        </w:rPr>
        <w:t>Por tanto, dadas las condiciones agroeco- lógicas, los recursos forrajeros regionales, la adap- tación de la especie a las condiciones adversas y    el manejo en general, la cabra, como especie de interés zootécnico, ha resultado ser una buena op- ción de producción animal para los productores rurales del sur del Estado de México, por lo que    su contribución al desarrollo rural de la región ha sido determinante, básicamente en aspectos de sustento económico</w:t>
      </w:r>
      <w:r>
        <w:rPr>
          <w:color w:val="231F20"/>
          <w:spacing w:val="16"/>
        </w:rPr>
        <w:t> </w:t>
      </w:r>
      <w:r>
        <w:rPr>
          <w:color w:val="231F20"/>
        </w:rPr>
        <w:t>familiar.</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w w:val="105"/>
          <w:sz w:val="18"/>
        </w:rPr>
        <w:t>Capítulo </w:t>
      </w:r>
      <w:r>
        <w:rPr>
          <w:color w:val="231F20"/>
          <w:spacing w:val="-3"/>
          <w:w w:val="105"/>
          <w:sz w:val="18"/>
        </w:rPr>
        <w:t>13.  </w:t>
      </w:r>
      <w:r>
        <w:rPr>
          <w:color w:val="231F20"/>
          <w:w w:val="105"/>
          <w:sz w:val="18"/>
        </w:rPr>
        <w:t>Socioeconomía de la producción caprina en el sur del Estado </w:t>
      </w:r>
      <w:r>
        <w:rPr>
          <w:color w:val="231F20"/>
          <w:spacing w:val="27"/>
          <w:w w:val="105"/>
          <w:sz w:val="18"/>
        </w:rPr>
        <w:t> </w:t>
      </w:r>
      <w:r>
        <w:rPr>
          <w:color w:val="231F20"/>
          <w:w w:val="105"/>
          <w:sz w:val="18"/>
        </w:rPr>
        <w:t>de</w:t>
      </w:r>
      <w:r>
        <w:rPr>
          <w:color w:val="231F20"/>
          <w:spacing w:val="4"/>
          <w:w w:val="105"/>
          <w:sz w:val="18"/>
        </w:rPr>
        <w:t> </w:t>
      </w:r>
      <w:r>
        <w:rPr>
          <w:color w:val="231F20"/>
          <w:w w:val="105"/>
          <w:sz w:val="18"/>
        </w:rPr>
        <w:t>México...</w:t>
      </w:r>
      <w:r>
        <w:rPr>
          <w:color w:val="231F20"/>
          <w:w w:val="105"/>
          <w:sz w:val="22"/>
        </w:rPr>
        <w:tab/>
        <w:t>203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En este trabajo se analizan aspectos importantes por los que la caprinocultura del sur de la Entidad contribuye o ha contribuido a mejorar las condicio- nes de desarrollo rural en esa  región.</w:t>
      </w:r>
    </w:p>
    <w:p>
      <w:pPr>
        <w:pStyle w:val="BodyText"/>
      </w:pPr>
    </w:p>
    <w:p>
      <w:pPr>
        <w:pStyle w:val="BodyText"/>
        <w:spacing w:before="151"/>
        <w:ind w:left="1553"/>
        <w:jc w:val="both"/>
      </w:pPr>
      <w:r>
        <w:rPr>
          <w:color w:val="231F20"/>
          <w:w w:val="110"/>
        </w:rPr>
        <w:t>ANTECEDENTES</w:t>
      </w:r>
    </w:p>
    <w:p>
      <w:pPr>
        <w:pStyle w:val="BodyText"/>
        <w:spacing w:line="256" w:lineRule="auto" w:before="129"/>
        <w:ind w:left="1553"/>
        <w:jc w:val="both"/>
      </w:pPr>
      <w:r>
        <w:rPr>
          <w:color w:val="231F20"/>
        </w:rPr>
        <w:t>En </w:t>
      </w:r>
      <w:r>
        <w:rPr>
          <w:color w:val="231F20"/>
          <w:spacing w:val="-3"/>
        </w:rPr>
        <w:t>1990 </w:t>
      </w:r>
      <w:r>
        <w:rPr>
          <w:color w:val="231F20"/>
        </w:rPr>
        <w:t>había 178900 caprinos en todo el Estado de México, en </w:t>
      </w:r>
      <w:r>
        <w:rPr>
          <w:color w:val="231F20"/>
          <w:spacing w:val="-4"/>
        </w:rPr>
        <w:t>2001 </w:t>
      </w:r>
      <w:r>
        <w:rPr>
          <w:color w:val="231F20"/>
        </w:rPr>
        <w:t>eran 178200, y en 2009 la estadística oficial reportó 123000 cabezas. Es de- </w:t>
      </w:r>
      <w:r>
        <w:rPr>
          <w:color w:val="231F20"/>
          <w:spacing w:val="-3"/>
        </w:rPr>
        <w:t>cir, </w:t>
      </w:r>
      <w:r>
        <w:rPr>
          <w:color w:val="231F20"/>
        </w:rPr>
        <w:t>en 20 años la producción de animales de esta especie presentó una TMAC de –2%. Sin lugar a dudas, hubo periodos en que la cifra fue mayor para luego presentar una tendencia decreciente, pero en promedio la situación ha sido de descen- so. En </w:t>
      </w:r>
      <w:r>
        <w:rPr>
          <w:color w:val="231F20"/>
          <w:spacing w:val="-3"/>
        </w:rPr>
        <w:t>2001, </w:t>
      </w:r>
      <w:r>
        <w:rPr>
          <w:color w:val="231F20"/>
        </w:rPr>
        <w:t>la Entidad  mexiquense  se  mantuvo en la posición </w:t>
      </w:r>
      <w:r>
        <w:rPr>
          <w:color w:val="231F20"/>
          <w:spacing w:val="-5"/>
        </w:rPr>
        <w:t>16 </w:t>
      </w:r>
      <w:r>
        <w:rPr>
          <w:color w:val="231F20"/>
        </w:rPr>
        <w:t>de la nación, pero en 2009 ha-  bía descendido tres lugares, hasta la posición </w:t>
      </w:r>
      <w:r>
        <w:rPr>
          <w:color w:val="231F20"/>
          <w:spacing w:val="-3"/>
        </w:rPr>
        <w:t>19,  </w:t>
      </w:r>
      <w:r>
        <w:rPr>
          <w:color w:val="231F20"/>
        </w:rPr>
        <w:t>es decir, hubo una pérdida de competitividad en la producción de animales vivos al reducirse la pobla- ción de rebaños. En la década </w:t>
      </w:r>
      <w:r>
        <w:rPr>
          <w:color w:val="231F20"/>
          <w:spacing w:val="-5"/>
        </w:rPr>
        <w:t>2001-2010 </w:t>
      </w:r>
      <w:r>
        <w:rPr>
          <w:color w:val="231F20"/>
        </w:rPr>
        <w:t>la pro- ducción de animales vivos disminuyó un 4,04% </w:t>
      </w:r>
      <w:r>
        <w:rPr>
          <w:color w:val="231F20"/>
          <w:spacing w:val="-3"/>
        </w:rPr>
        <w:t>(SIAP, </w:t>
      </w:r>
      <w:r>
        <w:rPr>
          <w:color w:val="231F20"/>
          <w:spacing w:val="-5"/>
        </w:rPr>
        <w:t>2011) </w:t>
      </w:r>
      <w:r>
        <w:rPr>
          <w:color w:val="231F20"/>
        </w:rPr>
        <w:t>en los DDR de </w:t>
      </w:r>
      <w:r>
        <w:rPr>
          <w:color w:val="231F20"/>
          <w:spacing w:val="-3"/>
        </w:rPr>
        <w:t>Toluca, </w:t>
      </w:r>
      <w:r>
        <w:rPr>
          <w:color w:val="231F20"/>
        </w:rPr>
        <w:t>Atlacomulco, </w:t>
      </w:r>
      <w:r>
        <w:rPr>
          <w:color w:val="231F20"/>
          <w:spacing w:val="-3"/>
        </w:rPr>
        <w:t>Texcoco  </w:t>
      </w:r>
      <w:r>
        <w:rPr>
          <w:color w:val="231F20"/>
        </w:rPr>
        <w:t>y Valle de Bravo. En el DDR de </w:t>
      </w:r>
      <w:r>
        <w:rPr>
          <w:color w:val="231F20"/>
          <w:spacing w:val="-3"/>
        </w:rPr>
        <w:t>Tejupilco,  </w:t>
      </w:r>
      <w:r>
        <w:rPr>
          <w:color w:val="231F20"/>
        </w:rPr>
        <w:t>el más importante en todo el Estado, el volumen de carne de cabra creció un 2,5%, y de hecho fue uno  de  los  pocos  DDR  donde  esta  variable</w:t>
      </w:r>
      <w:r>
        <w:rPr>
          <w:color w:val="231F20"/>
          <w:spacing w:val="27"/>
        </w:rPr>
        <w:t> </w:t>
      </w:r>
      <w:r>
        <w:rPr>
          <w:color w:val="231F20"/>
        </w:rPr>
        <w:t>tuvo</w:t>
      </w:r>
    </w:p>
    <w:p>
      <w:pPr>
        <w:pStyle w:val="BodyText"/>
        <w:spacing w:before="3"/>
        <w:rPr>
          <w:sz w:val="28"/>
        </w:rPr>
      </w:pPr>
      <w:r>
        <w:rPr/>
        <w:br w:type="column"/>
      </w:r>
      <w:r>
        <w:rPr>
          <w:sz w:val="28"/>
        </w:rPr>
      </w:r>
    </w:p>
    <w:p>
      <w:pPr>
        <w:pStyle w:val="BodyText"/>
        <w:spacing w:line="261" w:lineRule="auto"/>
        <w:ind w:left="412" w:right="1551"/>
        <w:jc w:val="both"/>
      </w:pPr>
      <w:r>
        <w:rPr>
          <w:color w:val="231F20"/>
        </w:rPr>
        <w:t>una tendencia creciente. Al respecto, las cifras ofi- ciales indican que en 2006 y </w:t>
      </w:r>
      <w:r>
        <w:rPr>
          <w:color w:val="231F20"/>
          <w:spacing w:val="-6"/>
        </w:rPr>
        <w:t>2010 </w:t>
      </w:r>
      <w:r>
        <w:rPr>
          <w:color w:val="231F20"/>
        </w:rPr>
        <w:t>se sacrificaron 6252 y </w:t>
      </w:r>
      <w:r>
        <w:rPr>
          <w:color w:val="231F20"/>
          <w:spacing w:val="-3"/>
        </w:rPr>
        <w:t>7600  </w:t>
      </w:r>
      <w:r>
        <w:rPr>
          <w:color w:val="231F20"/>
        </w:rPr>
        <w:t>animales, esto es, en ese quinque-  nio hubo un incremento del 21,6%. Asimismo, la producción de carne en canal para ese periodo presentó una TMCA del 2,1%, al pasar de </w:t>
      </w:r>
      <w:r>
        <w:rPr>
          <w:color w:val="231F20"/>
          <w:spacing w:val="-3"/>
        </w:rPr>
        <w:t>163 </w:t>
      </w:r>
      <w:r>
        <w:rPr>
          <w:color w:val="231F20"/>
        </w:rPr>
        <w:t>to- neladas  en  2006  a  </w:t>
      </w:r>
      <w:r>
        <w:rPr>
          <w:color w:val="231F20"/>
          <w:spacing w:val="-6"/>
        </w:rPr>
        <w:t>177</w:t>
      </w:r>
      <w:r>
        <w:rPr>
          <w:color w:val="231F20"/>
          <w:spacing w:val="33"/>
        </w:rPr>
        <w:t> </w:t>
      </w:r>
      <w:r>
        <w:rPr>
          <w:color w:val="231F20"/>
        </w:rPr>
        <w:t>en  </w:t>
      </w:r>
      <w:r>
        <w:rPr>
          <w:color w:val="231F20"/>
          <w:spacing w:val="-6"/>
        </w:rPr>
        <w:t>2010</w:t>
      </w:r>
      <w:r>
        <w:rPr>
          <w:color w:val="231F20"/>
          <w:spacing w:val="33"/>
        </w:rPr>
        <w:t> </w:t>
      </w:r>
      <w:r>
        <w:rPr>
          <w:color w:val="231F20"/>
          <w:spacing w:val="-3"/>
        </w:rPr>
        <w:t>(SIAP,  </w:t>
      </w:r>
      <w:r>
        <w:rPr>
          <w:color w:val="231F20"/>
          <w:spacing w:val="-4"/>
        </w:rPr>
        <w:t>2011).  </w:t>
      </w:r>
      <w:r>
        <w:rPr>
          <w:color w:val="231F20"/>
        </w:rPr>
        <w:t>Por las cifras que brindan los organismos oficiales, es congruente pensar que la  producción  in  vivo de animales se vincula más a las zonas donde la situación de pobreza rural es pronunciada o están alejadas geográficamente de la urbe principal, la capital estatal. Por ejemplo, Tlatlaya es el munici- pio geográficamente más grande, pero es también donde el efecto marginal de la pobreza más se acentúa y donde hay más cabras con relación al resto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municipios</w:t>
      </w:r>
      <w:r>
        <w:rPr>
          <w:color w:val="231F20"/>
          <w:spacing w:val="32"/>
        </w:rPr>
        <w:t> </w:t>
      </w:r>
      <w:r>
        <w:rPr>
          <w:color w:val="231F20"/>
        </w:rPr>
        <w:t>del</w:t>
      </w:r>
      <w:r>
        <w:rPr>
          <w:color w:val="231F20"/>
          <w:spacing w:val="32"/>
        </w:rPr>
        <w:t> </w:t>
      </w:r>
      <w:r>
        <w:rPr>
          <w:color w:val="231F20"/>
        </w:rPr>
        <w:t>DDR</w:t>
      </w:r>
      <w:r>
        <w:rPr>
          <w:color w:val="231F20"/>
          <w:spacing w:val="32"/>
        </w:rPr>
        <w:t> </w:t>
      </w:r>
      <w:r>
        <w:rPr>
          <w:color w:val="231F20"/>
          <w:spacing w:val="-6"/>
        </w:rPr>
        <w:t>076</w:t>
      </w:r>
      <w:r>
        <w:rPr>
          <w:color w:val="231F20"/>
          <w:spacing w:val="32"/>
        </w:rPr>
        <w:t> </w:t>
      </w:r>
      <w:r>
        <w:rPr>
          <w:color w:val="231F20"/>
        </w:rPr>
        <w:t>(Cuadro</w:t>
      </w:r>
      <w:r>
        <w:rPr>
          <w:color w:val="231F20"/>
          <w:spacing w:val="32"/>
        </w:rPr>
        <w:t> </w:t>
      </w:r>
      <w:r>
        <w:rPr>
          <w:color w:val="231F20"/>
        </w:rPr>
        <w:t>1).</w:t>
      </w:r>
    </w:p>
    <w:p>
      <w:pPr>
        <w:pStyle w:val="BodyText"/>
        <w:spacing w:line="261" w:lineRule="auto" w:before="113"/>
        <w:ind w:left="412" w:right="1551"/>
        <w:jc w:val="both"/>
      </w:pPr>
      <w:r>
        <w:rPr>
          <w:color w:val="231F20"/>
        </w:rPr>
        <w:t>El destino principal de la producción es, por una parte, autoconsumo, y por otra solucionar emer- gencias económicas de las unidades de produc- ción (Rebollar </w:t>
      </w:r>
      <w:r>
        <w:rPr>
          <w:i/>
          <w:color w:val="231F20"/>
        </w:rPr>
        <w:t>et al</w:t>
      </w:r>
      <w:r>
        <w:rPr>
          <w:color w:val="231F20"/>
        </w:rPr>
        <w:t>., </w:t>
      </w:r>
      <w:r>
        <w:rPr>
          <w:color w:val="231F20"/>
          <w:spacing w:val="-3"/>
        </w:rPr>
        <w:t>2007). </w:t>
      </w:r>
      <w:r>
        <w:rPr>
          <w:color w:val="231F20"/>
        </w:rPr>
        <w:t>El objetivo del sistema es de un solo propósito: producción de carne. Los animales son de raza Criolla encastada con  Nu- bia, y el sistema de producción es completamente extensivo con encierro nocturno (Rebollar y Rojo, </w:t>
      </w:r>
      <w:r>
        <w:rPr>
          <w:color w:val="231F20"/>
          <w:spacing w:val="-4"/>
        </w:rPr>
        <w:t>2010).</w:t>
      </w:r>
    </w:p>
    <w:p>
      <w:pPr>
        <w:spacing w:after="0" w:line="261" w:lineRule="auto"/>
        <w:jc w:val="both"/>
        <w:sectPr>
          <w:type w:val="continuous"/>
          <w:pgSz w:w="11900" w:h="14450"/>
          <w:pgMar w:top="420" w:bottom="420" w:left="0" w:right="0"/>
          <w:cols w:num="2" w:equalWidth="0">
            <w:col w:w="5722" w:space="40"/>
            <w:col w:w="6138"/>
          </w:cols>
        </w:sectPr>
      </w:pPr>
    </w:p>
    <w:p>
      <w:pPr>
        <w:pStyle w:val="BodyText"/>
        <w:rPr>
          <w:sz w:val="23"/>
        </w:rPr>
      </w:pPr>
    </w:p>
    <w:p>
      <w:pPr>
        <w:spacing w:before="72"/>
        <w:ind w:left="1553" w:right="0" w:firstLine="0"/>
        <w:jc w:val="left"/>
        <w:rPr>
          <w:sz w:val="18"/>
        </w:rPr>
      </w:pPr>
      <w:r>
        <w:rPr>
          <w:color w:val="231F20"/>
          <w:sz w:val="18"/>
        </w:rPr>
        <w:t>Cuadro 1.   Producción (en toneladas) de ganado caprino en pie y de carne en canal en Tejupilco (DDR 076), 2010.</w:t>
      </w:r>
    </w:p>
    <w:p>
      <w:pPr>
        <w:pStyle w:val="BodyText"/>
        <w:spacing w:before="10"/>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197"/>
        <w:gridCol w:w="2197"/>
        <w:gridCol w:w="2197"/>
        <w:gridCol w:w="2197"/>
      </w:tblGrid>
      <w:tr>
        <w:trPr>
          <w:trHeight w:val="629" w:hRule="exact"/>
        </w:trPr>
        <w:tc>
          <w:tcPr>
            <w:tcW w:w="2197" w:type="dxa"/>
            <w:tcBorders>
              <w:left w:val="nil"/>
            </w:tcBorders>
          </w:tcPr>
          <w:p>
            <w:pPr>
              <w:pStyle w:val="TableParagraph"/>
              <w:spacing w:before="2"/>
              <w:rPr>
                <w:sz w:val="17"/>
              </w:rPr>
            </w:pPr>
          </w:p>
          <w:p>
            <w:pPr>
              <w:pStyle w:val="TableParagraph"/>
              <w:spacing w:before="0"/>
              <w:ind w:left="704" w:right="614"/>
              <w:rPr>
                <w:rFonts w:ascii="Cambria"/>
                <w:i/>
                <w:sz w:val="18"/>
              </w:rPr>
            </w:pPr>
            <w:r>
              <w:rPr>
                <w:rFonts w:ascii="Cambria"/>
                <w:i/>
                <w:color w:val="231F20"/>
                <w:w w:val="105"/>
                <w:sz w:val="18"/>
              </w:rPr>
              <w:t>Municipio</w:t>
            </w:r>
          </w:p>
        </w:tc>
        <w:tc>
          <w:tcPr>
            <w:tcW w:w="2197" w:type="dxa"/>
          </w:tcPr>
          <w:p>
            <w:pPr>
              <w:pStyle w:val="TableParagraph"/>
              <w:spacing w:line="295" w:lineRule="auto" w:before="79"/>
              <w:ind w:left="842" w:right="630" w:hanging="195"/>
              <w:rPr>
                <w:rFonts w:ascii="Cambria" w:hAnsi="Cambria"/>
                <w:i/>
                <w:sz w:val="18"/>
              </w:rPr>
            </w:pPr>
            <w:r>
              <w:rPr>
                <w:rFonts w:ascii="Cambria" w:hAnsi="Cambria"/>
                <w:i/>
                <w:color w:val="231F20"/>
                <w:w w:val="105"/>
                <w:sz w:val="18"/>
              </w:rPr>
              <w:t>Producción </w:t>
            </w:r>
            <w:r>
              <w:rPr>
                <w:rFonts w:ascii="Cambria" w:hAnsi="Cambria"/>
                <w:i/>
                <w:color w:val="231F20"/>
                <w:w w:val="110"/>
                <w:sz w:val="18"/>
              </w:rPr>
              <w:t>en pie</w:t>
            </w:r>
          </w:p>
        </w:tc>
        <w:tc>
          <w:tcPr>
            <w:tcW w:w="2197" w:type="dxa"/>
          </w:tcPr>
          <w:p>
            <w:pPr>
              <w:pStyle w:val="TableParagraph"/>
              <w:spacing w:before="79"/>
              <w:ind w:left="352" w:right="352"/>
              <w:jc w:val="center"/>
              <w:rPr>
                <w:rFonts w:ascii="Cambria" w:hAnsi="Cambria"/>
                <w:i/>
                <w:sz w:val="18"/>
              </w:rPr>
            </w:pPr>
            <w:r>
              <w:rPr>
                <w:rFonts w:ascii="Cambria" w:hAnsi="Cambria"/>
                <w:i/>
                <w:color w:val="231F20"/>
                <w:w w:val="105"/>
                <w:sz w:val="18"/>
              </w:rPr>
              <w:t>Producción</w:t>
            </w:r>
          </w:p>
          <w:p>
            <w:pPr>
              <w:pStyle w:val="TableParagraph"/>
              <w:spacing w:before="49"/>
              <w:ind w:left="352" w:right="352"/>
              <w:jc w:val="center"/>
              <w:rPr>
                <w:rFonts w:ascii="Cambria"/>
                <w:i/>
                <w:sz w:val="18"/>
              </w:rPr>
            </w:pPr>
            <w:r>
              <w:rPr>
                <w:rFonts w:ascii="Cambria"/>
                <w:i/>
                <w:color w:val="231F20"/>
                <w:w w:val="110"/>
                <w:sz w:val="18"/>
              </w:rPr>
              <w:t>de carne en canal</w:t>
            </w:r>
          </w:p>
        </w:tc>
        <w:tc>
          <w:tcPr>
            <w:tcW w:w="2197" w:type="dxa"/>
            <w:tcBorders>
              <w:right w:val="nil"/>
            </w:tcBorders>
          </w:tcPr>
          <w:p>
            <w:pPr>
              <w:pStyle w:val="TableParagraph"/>
              <w:spacing w:line="295" w:lineRule="auto" w:before="79"/>
              <w:ind w:left="621" w:right="614" w:firstLine="101"/>
              <w:rPr>
                <w:rFonts w:ascii="Cambria"/>
                <w:i/>
                <w:sz w:val="18"/>
              </w:rPr>
            </w:pPr>
            <w:r>
              <w:rPr>
                <w:rFonts w:ascii="Cambria"/>
                <w:i/>
                <w:color w:val="231F20"/>
                <w:w w:val="105"/>
                <w:sz w:val="18"/>
              </w:rPr>
              <w:t>Animales </w:t>
            </w:r>
            <w:r>
              <w:rPr>
                <w:rFonts w:ascii="Cambria"/>
                <w:i/>
                <w:color w:val="231F20"/>
                <w:w w:val="105"/>
                <w:sz w:val="18"/>
              </w:rPr>
              <w:t>sacrificados</w:t>
            </w:r>
          </w:p>
        </w:tc>
      </w:tr>
      <w:tr>
        <w:trPr>
          <w:trHeight w:val="354" w:hRule="exact"/>
        </w:trPr>
        <w:tc>
          <w:tcPr>
            <w:tcW w:w="2197" w:type="dxa"/>
            <w:tcBorders>
              <w:left w:val="nil"/>
            </w:tcBorders>
          </w:tcPr>
          <w:p>
            <w:pPr>
              <w:pStyle w:val="TableParagraph"/>
              <w:ind w:left="113" w:right="614"/>
              <w:rPr>
                <w:sz w:val="17"/>
              </w:rPr>
            </w:pPr>
            <w:r>
              <w:rPr>
                <w:color w:val="231F20"/>
                <w:sz w:val="17"/>
              </w:rPr>
              <w:t>Amatepec</w:t>
            </w:r>
          </w:p>
        </w:tc>
        <w:tc>
          <w:tcPr>
            <w:tcW w:w="2197" w:type="dxa"/>
          </w:tcPr>
          <w:p>
            <w:pPr>
              <w:pStyle w:val="TableParagraph"/>
              <w:ind w:right="900"/>
              <w:jc w:val="right"/>
              <w:rPr>
                <w:sz w:val="17"/>
              </w:rPr>
            </w:pPr>
            <w:r>
              <w:rPr>
                <w:color w:val="231F20"/>
                <w:w w:val="110"/>
                <w:sz w:val="17"/>
              </w:rPr>
              <w:t>98,3</w:t>
            </w:r>
          </w:p>
        </w:tc>
        <w:tc>
          <w:tcPr>
            <w:tcW w:w="2197" w:type="dxa"/>
          </w:tcPr>
          <w:p>
            <w:pPr>
              <w:pStyle w:val="TableParagraph"/>
              <w:ind w:right="900"/>
              <w:jc w:val="right"/>
              <w:rPr>
                <w:sz w:val="17"/>
              </w:rPr>
            </w:pPr>
            <w:r>
              <w:rPr>
                <w:color w:val="231F20"/>
                <w:w w:val="110"/>
                <w:sz w:val="17"/>
              </w:rPr>
              <w:t>45,4</w:t>
            </w:r>
          </w:p>
        </w:tc>
        <w:tc>
          <w:tcPr>
            <w:tcW w:w="2197" w:type="dxa"/>
            <w:tcBorders>
              <w:right w:val="nil"/>
            </w:tcBorders>
          </w:tcPr>
          <w:p>
            <w:pPr>
              <w:pStyle w:val="TableParagraph"/>
              <w:ind w:right="912"/>
              <w:jc w:val="right"/>
              <w:rPr>
                <w:sz w:val="17"/>
              </w:rPr>
            </w:pPr>
            <w:r>
              <w:rPr>
                <w:color w:val="231F20"/>
                <w:w w:val="115"/>
                <w:sz w:val="17"/>
              </w:rPr>
              <w:t>2001</w:t>
            </w:r>
          </w:p>
        </w:tc>
      </w:tr>
      <w:tr>
        <w:trPr>
          <w:trHeight w:val="354" w:hRule="exact"/>
        </w:trPr>
        <w:tc>
          <w:tcPr>
            <w:tcW w:w="2197" w:type="dxa"/>
            <w:tcBorders>
              <w:left w:val="nil"/>
            </w:tcBorders>
          </w:tcPr>
          <w:p>
            <w:pPr>
              <w:pStyle w:val="TableParagraph"/>
              <w:ind w:left="113" w:right="614"/>
              <w:rPr>
                <w:sz w:val="17"/>
              </w:rPr>
            </w:pPr>
            <w:r>
              <w:rPr>
                <w:color w:val="231F20"/>
                <w:sz w:val="17"/>
              </w:rPr>
              <w:t>Luvianos</w:t>
            </w:r>
          </w:p>
        </w:tc>
        <w:tc>
          <w:tcPr>
            <w:tcW w:w="2197" w:type="dxa"/>
          </w:tcPr>
          <w:p>
            <w:pPr>
              <w:pStyle w:val="TableParagraph"/>
              <w:ind w:right="900"/>
              <w:jc w:val="right"/>
              <w:rPr>
                <w:sz w:val="17"/>
              </w:rPr>
            </w:pPr>
            <w:r>
              <w:rPr>
                <w:color w:val="231F20"/>
                <w:w w:val="110"/>
                <w:sz w:val="17"/>
              </w:rPr>
              <w:t>83,4</w:t>
            </w:r>
          </w:p>
        </w:tc>
        <w:tc>
          <w:tcPr>
            <w:tcW w:w="2197" w:type="dxa"/>
          </w:tcPr>
          <w:p>
            <w:pPr>
              <w:pStyle w:val="TableParagraph"/>
              <w:ind w:right="907"/>
              <w:jc w:val="right"/>
              <w:rPr>
                <w:sz w:val="17"/>
              </w:rPr>
            </w:pPr>
            <w:r>
              <w:rPr>
                <w:color w:val="231F20"/>
                <w:w w:val="110"/>
                <w:sz w:val="17"/>
              </w:rPr>
              <w:t>39,7</w:t>
            </w:r>
          </w:p>
        </w:tc>
        <w:tc>
          <w:tcPr>
            <w:tcW w:w="2197" w:type="dxa"/>
            <w:tcBorders>
              <w:right w:val="nil"/>
            </w:tcBorders>
          </w:tcPr>
          <w:p>
            <w:pPr>
              <w:pStyle w:val="TableParagraph"/>
              <w:ind w:right="905"/>
              <w:jc w:val="right"/>
              <w:rPr>
                <w:sz w:val="17"/>
              </w:rPr>
            </w:pPr>
            <w:r>
              <w:rPr>
                <w:color w:val="231F20"/>
                <w:w w:val="115"/>
                <w:sz w:val="17"/>
              </w:rPr>
              <w:t>1724</w:t>
            </w:r>
          </w:p>
        </w:tc>
      </w:tr>
      <w:tr>
        <w:trPr>
          <w:trHeight w:val="354" w:hRule="exact"/>
        </w:trPr>
        <w:tc>
          <w:tcPr>
            <w:tcW w:w="2197" w:type="dxa"/>
            <w:tcBorders>
              <w:left w:val="nil"/>
            </w:tcBorders>
          </w:tcPr>
          <w:p>
            <w:pPr>
              <w:pStyle w:val="TableParagraph"/>
              <w:ind w:left="113" w:right="614"/>
              <w:rPr>
                <w:sz w:val="17"/>
              </w:rPr>
            </w:pPr>
            <w:r>
              <w:rPr>
                <w:color w:val="231F20"/>
                <w:sz w:val="17"/>
              </w:rPr>
              <w:t>Temascaltepec</w:t>
            </w:r>
          </w:p>
        </w:tc>
        <w:tc>
          <w:tcPr>
            <w:tcW w:w="2197" w:type="dxa"/>
          </w:tcPr>
          <w:p>
            <w:pPr>
              <w:pStyle w:val="TableParagraph"/>
              <w:ind w:right="900"/>
              <w:jc w:val="right"/>
              <w:rPr>
                <w:sz w:val="17"/>
              </w:rPr>
            </w:pPr>
            <w:r>
              <w:rPr>
                <w:color w:val="231F20"/>
                <w:w w:val="110"/>
                <w:sz w:val="17"/>
              </w:rPr>
              <w:t>14,5</w:t>
            </w:r>
          </w:p>
        </w:tc>
        <w:tc>
          <w:tcPr>
            <w:tcW w:w="2197" w:type="dxa"/>
          </w:tcPr>
          <w:p>
            <w:pPr>
              <w:pStyle w:val="TableParagraph"/>
              <w:ind w:right="900"/>
              <w:jc w:val="right"/>
              <w:rPr>
                <w:sz w:val="17"/>
              </w:rPr>
            </w:pPr>
            <w:r>
              <w:rPr>
                <w:color w:val="231F20"/>
                <w:w w:val="105"/>
                <w:sz w:val="17"/>
              </w:rPr>
              <w:t>7,0</w:t>
            </w:r>
          </w:p>
        </w:tc>
        <w:tc>
          <w:tcPr>
            <w:tcW w:w="2197" w:type="dxa"/>
            <w:tcBorders>
              <w:right w:val="nil"/>
            </w:tcBorders>
          </w:tcPr>
          <w:p>
            <w:pPr>
              <w:pStyle w:val="TableParagraph"/>
              <w:ind w:right="905"/>
              <w:jc w:val="right"/>
              <w:rPr>
                <w:sz w:val="17"/>
              </w:rPr>
            </w:pPr>
            <w:r>
              <w:rPr>
                <w:color w:val="231F20"/>
                <w:w w:val="115"/>
                <w:sz w:val="17"/>
              </w:rPr>
              <w:t>292</w:t>
            </w:r>
          </w:p>
        </w:tc>
      </w:tr>
      <w:tr>
        <w:trPr>
          <w:trHeight w:val="354" w:hRule="exact"/>
        </w:trPr>
        <w:tc>
          <w:tcPr>
            <w:tcW w:w="2197" w:type="dxa"/>
            <w:tcBorders>
              <w:left w:val="nil"/>
            </w:tcBorders>
          </w:tcPr>
          <w:p>
            <w:pPr>
              <w:pStyle w:val="TableParagraph"/>
              <w:ind w:left="113" w:right="614"/>
              <w:rPr>
                <w:sz w:val="17"/>
              </w:rPr>
            </w:pPr>
            <w:r>
              <w:rPr>
                <w:color w:val="231F20"/>
                <w:sz w:val="17"/>
              </w:rPr>
              <w:t>Tejupilco</w:t>
            </w:r>
          </w:p>
        </w:tc>
        <w:tc>
          <w:tcPr>
            <w:tcW w:w="2197" w:type="dxa"/>
          </w:tcPr>
          <w:p>
            <w:pPr>
              <w:pStyle w:val="TableParagraph"/>
              <w:ind w:right="900"/>
              <w:jc w:val="right"/>
              <w:rPr>
                <w:sz w:val="17"/>
              </w:rPr>
            </w:pPr>
            <w:r>
              <w:rPr>
                <w:color w:val="231F20"/>
                <w:w w:val="110"/>
                <w:sz w:val="17"/>
              </w:rPr>
              <w:t>68,0</w:t>
            </w:r>
          </w:p>
        </w:tc>
        <w:tc>
          <w:tcPr>
            <w:tcW w:w="2197" w:type="dxa"/>
          </w:tcPr>
          <w:p>
            <w:pPr>
              <w:pStyle w:val="TableParagraph"/>
              <w:ind w:right="900"/>
              <w:jc w:val="right"/>
              <w:rPr>
                <w:sz w:val="17"/>
              </w:rPr>
            </w:pPr>
            <w:r>
              <w:rPr>
                <w:color w:val="231F20"/>
                <w:w w:val="110"/>
                <w:sz w:val="17"/>
              </w:rPr>
              <w:t>31,9</w:t>
            </w:r>
          </w:p>
        </w:tc>
        <w:tc>
          <w:tcPr>
            <w:tcW w:w="2197" w:type="dxa"/>
            <w:tcBorders>
              <w:right w:val="nil"/>
            </w:tcBorders>
          </w:tcPr>
          <w:p>
            <w:pPr>
              <w:pStyle w:val="TableParagraph"/>
              <w:ind w:right="912"/>
              <w:jc w:val="right"/>
              <w:rPr>
                <w:sz w:val="17"/>
              </w:rPr>
            </w:pPr>
            <w:r>
              <w:rPr>
                <w:color w:val="231F20"/>
                <w:w w:val="115"/>
                <w:sz w:val="17"/>
              </w:rPr>
              <w:t>1370</w:t>
            </w:r>
          </w:p>
        </w:tc>
      </w:tr>
      <w:tr>
        <w:trPr>
          <w:trHeight w:val="354" w:hRule="exact"/>
        </w:trPr>
        <w:tc>
          <w:tcPr>
            <w:tcW w:w="2197" w:type="dxa"/>
            <w:tcBorders>
              <w:left w:val="nil"/>
            </w:tcBorders>
          </w:tcPr>
          <w:p>
            <w:pPr>
              <w:pStyle w:val="TableParagraph"/>
              <w:ind w:left="113" w:right="614"/>
              <w:rPr>
                <w:sz w:val="17"/>
              </w:rPr>
            </w:pPr>
            <w:r>
              <w:rPr>
                <w:color w:val="231F20"/>
                <w:sz w:val="17"/>
              </w:rPr>
              <w:t>Tlatlaya</w:t>
            </w:r>
          </w:p>
        </w:tc>
        <w:tc>
          <w:tcPr>
            <w:tcW w:w="2197" w:type="dxa"/>
          </w:tcPr>
          <w:p>
            <w:pPr>
              <w:pStyle w:val="TableParagraph"/>
              <w:ind w:right="900"/>
              <w:jc w:val="right"/>
              <w:rPr>
                <w:sz w:val="17"/>
              </w:rPr>
            </w:pPr>
            <w:r>
              <w:rPr>
                <w:color w:val="231F20"/>
                <w:w w:val="110"/>
                <w:sz w:val="17"/>
              </w:rPr>
              <w:t>104,8</w:t>
            </w:r>
          </w:p>
        </w:tc>
        <w:tc>
          <w:tcPr>
            <w:tcW w:w="2197" w:type="dxa"/>
          </w:tcPr>
          <w:p>
            <w:pPr>
              <w:pStyle w:val="TableParagraph"/>
              <w:ind w:right="900"/>
              <w:jc w:val="right"/>
              <w:rPr>
                <w:sz w:val="17"/>
              </w:rPr>
            </w:pPr>
            <w:r>
              <w:rPr>
                <w:color w:val="231F20"/>
                <w:w w:val="110"/>
                <w:sz w:val="17"/>
              </w:rPr>
              <w:t>50,0</w:t>
            </w:r>
          </w:p>
        </w:tc>
        <w:tc>
          <w:tcPr>
            <w:tcW w:w="2197" w:type="dxa"/>
            <w:tcBorders>
              <w:right w:val="nil"/>
            </w:tcBorders>
          </w:tcPr>
          <w:p>
            <w:pPr>
              <w:pStyle w:val="TableParagraph"/>
              <w:ind w:right="912"/>
              <w:jc w:val="right"/>
              <w:rPr>
                <w:sz w:val="17"/>
              </w:rPr>
            </w:pPr>
            <w:r>
              <w:rPr>
                <w:color w:val="231F20"/>
                <w:w w:val="115"/>
                <w:sz w:val="17"/>
              </w:rPr>
              <w:t>2079</w:t>
            </w:r>
          </w:p>
        </w:tc>
      </w:tr>
      <w:tr>
        <w:trPr>
          <w:trHeight w:val="354" w:hRule="exact"/>
        </w:trPr>
        <w:tc>
          <w:tcPr>
            <w:tcW w:w="2197" w:type="dxa"/>
            <w:tcBorders>
              <w:left w:val="nil"/>
            </w:tcBorders>
          </w:tcPr>
          <w:p>
            <w:pPr>
              <w:pStyle w:val="TableParagraph"/>
              <w:ind w:left="113"/>
              <w:rPr>
                <w:sz w:val="17"/>
              </w:rPr>
            </w:pPr>
            <w:r>
              <w:rPr>
                <w:color w:val="231F20"/>
                <w:sz w:val="17"/>
              </w:rPr>
              <w:t>San  Simón  de Guerrero</w:t>
            </w:r>
          </w:p>
        </w:tc>
        <w:tc>
          <w:tcPr>
            <w:tcW w:w="2197" w:type="dxa"/>
          </w:tcPr>
          <w:p>
            <w:pPr>
              <w:pStyle w:val="TableParagraph"/>
              <w:ind w:right="907"/>
              <w:jc w:val="right"/>
              <w:rPr>
                <w:sz w:val="17"/>
              </w:rPr>
            </w:pPr>
            <w:r>
              <w:rPr>
                <w:color w:val="231F20"/>
                <w:w w:val="105"/>
                <w:sz w:val="17"/>
              </w:rPr>
              <w:t>6,7</w:t>
            </w:r>
          </w:p>
        </w:tc>
        <w:tc>
          <w:tcPr>
            <w:tcW w:w="2197" w:type="dxa"/>
          </w:tcPr>
          <w:p>
            <w:pPr>
              <w:pStyle w:val="TableParagraph"/>
              <w:ind w:right="900"/>
              <w:jc w:val="right"/>
              <w:rPr>
                <w:sz w:val="17"/>
              </w:rPr>
            </w:pPr>
            <w:r>
              <w:rPr>
                <w:color w:val="231F20"/>
                <w:w w:val="105"/>
                <w:sz w:val="17"/>
              </w:rPr>
              <w:t>3,3</w:t>
            </w:r>
          </w:p>
        </w:tc>
        <w:tc>
          <w:tcPr>
            <w:tcW w:w="2197" w:type="dxa"/>
            <w:tcBorders>
              <w:right w:val="nil"/>
            </w:tcBorders>
          </w:tcPr>
          <w:p>
            <w:pPr>
              <w:pStyle w:val="TableParagraph"/>
              <w:ind w:right="905"/>
              <w:jc w:val="right"/>
              <w:rPr>
                <w:sz w:val="17"/>
              </w:rPr>
            </w:pPr>
            <w:r>
              <w:rPr>
                <w:color w:val="231F20"/>
                <w:w w:val="115"/>
                <w:sz w:val="17"/>
              </w:rPr>
              <w:t>134</w:t>
            </w:r>
          </w:p>
        </w:tc>
      </w:tr>
      <w:tr>
        <w:trPr>
          <w:trHeight w:val="354" w:hRule="exact"/>
        </w:trPr>
        <w:tc>
          <w:tcPr>
            <w:tcW w:w="2197" w:type="dxa"/>
            <w:tcBorders>
              <w:left w:val="nil"/>
            </w:tcBorders>
          </w:tcPr>
          <w:p>
            <w:pPr>
              <w:pStyle w:val="TableParagraph"/>
              <w:ind w:left="113" w:right="614"/>
              <w:rPr>
                <w:sz w:val="17"/>
              </w:rPr>
            </w:pPr>
            <w:r>
              <w:rPr>
                <w:color w:val="231F20"/>
                <w:w w:val="105"/>
                <w:sz w:val="17"/>
              </w:rPr>
              <w:t>Total DDR</w:t>
            </w:r>
          </w:p>
        </w:tc>
        <w:tc>
          <w:tcPr>
            <w:tcW w:w="2197" w:type="dxa"/>
          </w:tcPr>
          <w:p>
            <w:pPr>
              <w:pStyle w:val="TableParagraph"/>
              <w:ind w:right="907"/>
              <w:jc w:val="right"/>
              <w:rPr>
                <w:sz w:val="17"/>
              </w:rPr>
            </w:pPr>
            <w:r>
              <w:rPr>
                <w:color w:val="231F20"/>
                <w:w w:val="110"/>
                <w:sz w:val="17"/>
              </w:rPr>
              <w:t>375,7</w:t>
            </w:r>
          </w:p>
        </w:tc>
        <w:tc>
          <w:tcPr>
            <w:tcW w:w="2197" w:type="dxa"/>
          </w:tcPr>
          <w:p>
            <w:pPr>
              <w:pStyle w:val="TableParagraph"/>
              <w:ind w:right="900"/>
              <w:jc w:val="right"/>
              <w:rPr>
                <w:sz w:val="17"/>
              </w:rPr>
            </w:pPr>
            <w:r>
              <w:rPr>
                <w:color w:val="231F20"/>
                <w:w w:val="110"/>
                <w:sz w:val="17"/>
              </w:rPr>
              <w:t>177,3</w:t>
            </w:r>
          </w:p>
        </w:tc>
        <w:tc>
          <w:tcPr>
            <w:tcW w:w="2197" w:type="dxa"/>
            <w:tcBorders>
              <w:right w:val="nil"/>
            </w:tcBorders>
          </w:tcPr>
          <w:p>
            <w:pPr>
              <w:pStyle w:val="TableParagraph"/>
              <w:ind w:right="905"/>
              <w:jc w:val="right"/>
              <w:rPr>
                <w:sz w:val="17"/>
              </w:rPr>
            </w:pPr>
            <w:r>
              <w:rPr>
                <w:color w:val="231F20"/>
                <w:w w:val="115"/>
                <w:sz w:val="17"/>
              </w:rPr>
              <w:t>7600</w:t>
            </w:r>
          </w:p>
        </w:tc>
      </w:tr>
    </w:tbl>
    <w:p>
      <w:pPr>
        <w:spacing w:before="94"/>
        <w:ind w:left="1553" w:right="2503" w:firstLine="0"/>
        <w:jc w:val="left"/>
        <w:rPr>
          <w:sz w:val="15"/>
        </w:rPr>
      </w:pPr>
      <w:r>
        <w:rPr>
          <w:color w:val="231F20"/>
          <w:sz w:val="15"/>
        </w:rPr>
        <w:t>Fuente:  SIAP, 2011.</w:t>
      </w:r>
    </w:p>
    <w:p>
      <w:pPr>
        <w:spacing w:after="0"/>
        <w:jc w:val="left"/>
        <w:rPr>
          <w:sz w:val="15"/>
        </w:rPr>
        <w:sectPr>
          <w:type w:val="continuous"/>
          <w:pgSz w:w="11900" w:h="14450"/>
          <w:pgMar w:top="420" w:bottom="420" w:left="0" w:right="0"/>
        </w:sectPr>
      </w:pPr>
    </w:p>
    <w:p>
      <w:pPr>
        <w:pStyle w:val="BodyText"/>
      </w:pPr>
    </w:p>
    <w:p>
      <w:pPr>
        <w:pStyle w:val="BodyText"/>
      </w:pPr>
    </w:p>
    <w:p>
      <w:pPr>
        <w:pStyle w:val="BodyText"/>
        <w:rPr>
          <w:sz w:val="17"/>
        </w:rPr>
      </w:pPr>
    </w:p>
    <w:p>
      <w:pPr>
        <w:tabs>
          <w:tab w:pos="6897" w:val="left" w:leader="none"/>
        </w:tabs>
        <w:spacing w:before="64"/>
        <w:ind w:left="1551" w:right="0" w:firstLine="0"/>
        <w:jc w:val="left"/>
        <w:rPr>
          <w:sz w:val="12"/>
        </w:rPr>
      </w:pPr>
      <w:r>
        <w:rPr>
          <w:color w:val="231F20"/>
          <w:w w:val="120"/>
          <w:sz w:val="22"/>
        </w:rPr>
        <w:t>204</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right="1"/>
        <w:jc w:val="both"/>
      </w:pPr>
      <w:r>
        <w:rPr>
          <w:color w:val="231F20"/>
        </w:rPr>
        <w:t>Durante los últimos </w:t>
      </w:r>
      <w:r>
        <w:rPr>
          <w:color w:val="231F20"/>
          <w:spacing w:val="-5"/>
        </w:rPr>
        <w:t>10  </w:t>
      </w:r>
      <w:r>
        <w:rPr>
          <w:color w:val="231F20"/>
        </w:rPr>
        <w:t>años, producto del traba-  jo de campo y por observaciones realizadas en el área de influencia del DDR de </w:t>
      </w:r>
      <w:r>
        <w:rPr>
          <w:color w:val="231F20"/>
          <w:spacing w:val="-3"/>
        </w:rPr>
        <w:t>Tejupilco, </w:t>
      </w:r>
      <w:r>
        <w:rPr>
          <w:color w:val="231F20"/>
        </w:rPr>
        <w:t>se ha ob- servado la existencia de uno o dos despachos de asesoría técnica agropecuaria constituidos por téc- nicos, algunos de ellos especialistas en cabras. El propósito de tales agrupaciones ha</w:t>
      </w:r>
      <w:r>
        <w:rPr>
          <w:color w:val="231F20"/>
          <w:spacing w:val="41"/>
        </w:rPr>
        <w:t> </w:t>
      </w:r>
      <w:r>
        <w:rPr>
          <w:color w:val="231F20"/>
        </w:rPr>
        <w:t>sido</w:t>
      </w:r>
      <w:r>
        <w:rPr>
          <w:color w:val="231F20"/>
          <w:spacing w:val="17"/>
        </w:rPr>
        <w:t> </w:t>
      </w:r>
      <w:r>
        <w:rPr>
          <w:color w:val="231F20"/>
        </w:rPr>
        <w:t>triangular</w:t>
      </w:r>
      <w:r>
        <w:rPr>
          <w:color w:val="231F20"/>
          <w:w w:val="95"/>
        </w:rPr>
        <w:t> </w:t>
      </w:r>
      <w:r>
        <w:rPr>
          <w:color w:val="231F20"/>
        </w:rPr>
        <w:t>o bajar recursos estatales y federales para asocia- ciones de productores de cabras (como las aso- ciaciones locales de  productores  rurales  [ALPR])  o para productores individuales, encaminados a incrementar la cantidad de rebaños en la región mediante diversos programas de apoyos, impulsa- dos principalmente por la Secretaría de Desarrollo Agropecuario del Estado de México (SEDAGRO), pero con recursos federales provenientes de la SAGARPA. Entre algunas de  las  condiciones  que se exigen a los beneficiarios para  poder  partici- par en estos programas se encuentran formar grupos como mínimo de </w:t>
      </w:r>
      <w:r>
        <w:rPr>
          <w:color w:val="231F20"/>
          <w:spacing w:val="-5"/>
        </w:rPr>
        <w:t>10 </w:t>
      </w:r>
      <w:r>
        <w:rPr>
          <w:color w:val="231F20"/>
        </w:rPr>
        <w:t>productores (en  los que también puede haber mujeres mayores de edad), tener instalaciones apropiadas y superficie de agostadero suficiente para criar a los animales. El despacho organiza a los productores, tramita el apoyo para la adquisición de animales y supervi-   sa el desarrollo de los rebaños. Asimismo, el be- neficio del despacho es el pago otorgado por la SEDAGRO producto de la </w:t>
      </w:r>
      <w:r>
        <w:rPr>
          <w:color w:val="231F20"/>
          <w:spacing w:val="44"/>
        </w:rPr>
        <w:t> </w:t>
      </w:r>
      <w:r>
        <w:rPr>
          <w:color w:val="231F20"/>
        </w:rPr>
        <w:t>asesoría.</w:t>
      </w:r>
    </w:p>
    <w:p>
      <w:pPr>
        <w:pStyle w:val="BodyText"/>
        <w:spacing w:line="259" w:lineRule="auto" w:before="114"/>
        <w:ind w:left="1553"/>
        <w:jc w:val="both"/>
      </w:pPr>
      <w:r>
        <w:rPr>
          <w:color w:val="231F20"/>
        </w:rPr>
        <w:t>Actualmente, sólo aquellos productores orga- nizados  y  registrados  en  sociedades  legalmen-  te establecidas y reconocidas por la  ley  pueden ser sujetos de apoyo a la producción de  capri-  nos. Existen pocos datos oficiales de tales apoyos (Cuadro 2), tanto en  monto  de  recursos  como  en incremento del número de sementales y vien- tres; sin embargo, la evidencia de campo permite afirmar que ha habido un repoblamiento de ani- males en esta región sur del Estado, tanto de la raza  mencionada  como  de  Boer   </w:t>
      </w:r>
      <w:r>
        <w:rPr>
          <w:color w:val="231F20"/>
          <w:spacing w:val="4"/>
        </w:rPr>
        <w:t> </w:t>
      </w:r>
      <w:r>
        <w:rPr>
          <w:color w:val="231F20"/>
        </w:rPr>
        <w:t>principalmente</w:t>
      </w:r>
    </w:p>
    <w:p>
      <w:pPr>
        <w:pStyle w:val="BodyText"/>
        <w:spacing w:line="271" w:lineRule="auto" w:before="67"/>
        <w:ind w:left="411" w:right="1550"/>
        <w:jc w:val="both"/>
      </w:pPr>
      <w:r>
        <w:rPr/>
        <w:br w:type="column"/>
      </w:r>
      <w:r>
        <w:rPr>
          <w:color w:val="231F20"/>
        </w:rPr>
        <w:t>reproductores; de ahí que también las cifras ofi- ciales muestren que la producción de carne de  esta especie está en aumento, aunque en el ám- bito estatal las existencias totales presenten una reducción  de  sus</w:t>
      </w:r>
      <w:r>
        <w:rPr>
          <w:color w:val="231F20"/>
          <w:spacing w:val="-21"/>
        </w:rPr>
        <w:t> </w:t>
      </w:r>
      <w:r>
        <w:rPr>
          <w:color w:val="231F20"/>
        </w:rPr>
        <w:t>cifras.</w:t>
      </w:r>
    </w:p>
    <w:p>
      <w:pPr>
        <w:pStyle w:val="BodyText"/>
        <w:spacing w:line="271" w:lineRule="auto" w:before="113"/>
        <w:ind w:left="411" w:right="1551"/>
        <w:jc w:val="both"/>
      </w:pPr>
      <w:r>
        <w:rPr>
          <w:color w:val="231F20"/>
        </w:rPr>
        <w:t>Se observa, además, que durante </w:t>
      </w:r>
      <w:r>
        <w:rPr>
          <w:color w:val="231F20"/>
          <w:spacing w:val="-5"/>
        </w:rPr>
        <w:t>2009-2010 </w:t>
      </w:r>
      <w:r>
        <w:rPr>
          <w:color w:val="231F20"/>
          <w:spacing w:val="-2"/>
        </w:rPr>
        <w:t>los </w:t>
      </w:r>
      <w:r>
        <w:rPr>
          <w:color w:val="231F20"/>
        </w:rPr>
        <w:t>apoyos en repoblamiento de caprinos se incremen- taron un </w:t>
      </w:r>
      <w:r>
        <w:rPr>
          <w:color w:val="231F20"/>
          <w:spacing w:val="-4"/>
        </w:rPr>
        <w:t>512,5% </w:t>
      </w:r>
      <w:r>
        <w:rPr>
          <w:color w:val="231F20"/>
        </w:rPr>
        <w:t>para Amatepec  y  </w:t>
      </w:r>
      <w:r>
        <w:rPr>
          <w:color w:val="231F20"/>
          <w:spacing w:val="-2"/>
        </w:rPr>
        <w:t>disminuyeron </w:t>
      </w:r>
      <w:r>
        <w:rPr>
          <w:color w:val="231F20"/>
        </w:rPr>
        <w:t>un </w:t>
      </w:r>
      <w:r>
        <w:rPr>
          <w:color w:val="231F20"/>
          <w:spacing w:val="-5"/>
        </w:rPr>
        <w:t>52,1% </w:t>
      </w:r>
      <w:r>
        <w:rPr>
          <w:color w:val="231F20"/>
        </w:rPr>
        <w:t>para </w:t>
      </w:r>
      <w:r>
        <w:rPr>
          <w:color w:val="231F20"/>
          <w:spacing w:val="-4"/>
        </w:rPr>
        <w:t>Tejupilco. </w:t>
      </w:r>
      <w:r>
        <w:rPr>
          <w:color w:val="231F20"/>
        </w:rPr>
        <w:t>Así, mientras que en </w:t>
      </w:r>
      <w:r>
        <w:rPr>
          <w:color w:val="231F20"/>
          <w:spacing w:val="-3"/>
        </w:rPr>
        <w:t>2009 </w:t>
      </w:r>
      <w:r>
        <w:rPr>
          <w:color w:val="231F20"/>
        </w:rPr>
        <w:t>se apoyó con  </w:t>
      </w:r>
      <w:r>
        <w:rPr>
          <w:color w:val="231F20"/>
          <w:spacing w:val="-3"/>
        </w:rPr>
        <w:t>292  </w:t>
      </w:r>
      <w:r>
        <w:rPr>
          <w:color w:val="231F20"/>
        </w:rPr>
        <w:t>animales  a  </w:t>
      </w:r>
      <w:r>
        <w:rPr>
          <w:color w:val="231F20"/>
          <w:spacing w:val="-4"/>
        </w:rPr>
        <w:t>Tejupilco,  </w:t>
      </w:r>
      <w:r>
        <w:rPr>
          <w:color w:val="231F20"/>
        </w:rPr>
        <w:t>en  </w:t>
      </w:r>
      <w:r>
        <w:rPr>
          <w:color w:val="231F20"/>
          <w:spacing w:val="-7"/>
        </w:rPr>
        <w:t>2010 </w:t>
      </w:r>
      <w:r>
        <w:rPr>
          <w:color w:val="231F20"/>
        </w:rPr>
        <w:t>la cifra fue de sólo </w:t>
      </w:r>
      <w:r>
        <w:rPr>
          <w:color w:val="231F20"/>
          <w:spacing w:val="-4"/>
        </w:rPr>
        <w:t>140. </w:t>
      </w:r>
      <w:r>
        <w:rPr>
          <w:color w:val="231F20"/>
        </w:rPr>
        <w:t>El municipio con mayores unidades apoyadas fue </w:t>
      </w:r>
      <w:r>
        <w:rPr>
          <w:color w:val="231F20"/>
          <w:spacing w:val="-3"/>
        </w:rPr>
        <w:t>Tlatlaya, </w:t>
      </w:r>
      <w:r>
        <w:rPr>
          <w:color w:val="231F20"/>
        </w:rPr>
        <w:t>pues en </w:t>
      </w:r>
      <w:r>
        <w:rPr>
          <w:color w:val="231F20"/>
          <w:spacing w:val="-3"/>
        </w:rPr>
        <w:t>2009 </w:t>
      </w:r>
      <w:r>
        <w:rPr>
          <w:color w:val="231F20"/>
        </w:rPr>
        <w:t>se otorgaron</w:t>
      </w:r>
      <w:r>
        <w:rPr>
          <w:color w:val="231F20"/>
          <w:spacing w:val="30"/>
        </w:rPr>
        <w:t> </w:t>
      </w:r>
      <w:r>
        <w:rPr>
          <w:color w:val="231F20"/>
          <w:spacing w:val="-6"/>
        </w:rPr>
        <w:t>575</w:t>
      </w:r>
      <w:r>
        <w:rPr>
          <w:color w:val="231F20"/>
          <w:spacing w:val="30"/>
        </w:rPr>
        <w:t> </w:t>
      </w:r>
      <w:r>
        <w:rPr>
          <w:color w:val="231F20"/>
        </w:rPr>
        <w:t>animales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spacing w:val="-7"/>
        </w:rPr>
        <w:t>2010</w:t>
      </w:r>
      <w:r>
        <w:rPr>
          <w:color w:val="231F20"/>
          <w:spacing w:val="30"/>
        </w:rPr>
        <w:t> </w:t>
      </w:r>
      <w:r>
        <w:rPr>
          <w:color w:val="231F20"/>
        </w:rPr>
        <w:t>la</w:t>
      </w:r>
      <w:r>
        <w:rPr>
          <w:color w:val="231F20"/>
          <w:spacing w:val="30"/>
        </w:rPr>
        <w:t> </w:t>
      </w:r>
      <w:r>
        <w:rPr>
          <w:color w:val="231F20"/>
        </w:rPr>
        <w:t>cifra</w:t>
      </w:r>
      <w:r>
        <w:rPr>
          <w:color w:val="231F20"/>
          <w:spacing w:val="30"/>
        </w:rPr>
        <w:t> </w:t>
      </w:r>
      <w:r>
        <w:rPr>
          <w:color w:val="231F20"/>
        </w:rPr>
        <w:t>fue</w:t>
      </w:r>
      <w:r>
        <w:rPr>
          <w:color w:val="231F20"/>
          <w:spacing w:val="30"/>
        </w:rPr>
        <w:t> </w:t>
      </w:r>
      <w:r>
        <w:rPr>
          <w:color w:val="231F20"/>
        </w:rPr>
        <w:t>de</w:t>
      </w:r>
    </w:p>
    <w:p>
      <w:pPr>
        <w:pStyle w:val="BodyText"/>
        <w:spacing w:line="271" w:lineRule="auto"/>
        <w:ind w:left="411" w:right="1553"/>
        <w:jc w:val="both"/>
      </w:pPr>
      <w:r>
        <w:rPr>
          <w:color w:val="231F20"/>
          <w:spacing w:val="-6"/>
          <w:w w:val="105"/>
        </w:rPr>
        <w:t>410. </w:t>
      </w:r>
      <w:r>
        <w:rPr>
          <w:color w:val="231F20"/>
          <w:w w:val="105"/>
        </w:rPr>
        <w:t>Del monto total del apoyo, el productor </w:t>
      </w:r>
      <w:r>
        <w:rPr>
          <w:color w:val="231F20"/>
          <w:spacing w:val="-2"/>
          <w:w w:val="105"/>
        </w:rPr>
        <w:t>fue </w:t>
      </w:r>
      <w:r>
        <w:rPr>
          <w:color w:val="231F20"/>
          <w:w w:val="105"/>
        </w:rPr>
        <w:t>quien</w:t>
      </w:r>
      <w:r>
        <w:rPr>
          <w:color w:val="231F20"/>
          <w:spacing w:val="-20"/>
          <w:w w:val="105"/>
        </w:rPr>
        <w:t> </w:t>
      </w:r>
      <w:r>
        <w:rPr>
          <w:color w:val="231F20"/>
          <w:w w:val="105"/>
        </w:rPr>
        <w:t>desembolsó</w:t>
      </w:r>
      <w:r>
        <w:rPr>
          <w:color w:val="231F20"/>
          <w:spacing w:val="-20"/>
          <w:w w:val="105"/>
        </w:rPr>
        <w:t> </w:t>
      </w:r>
      <w:r>
        <w:rPr>
          <w:color w:val="231F20"/>
          <w:w w:val="105"/>
        </w:rPr>
        <w:t>más</w:t>
      </w:r>
      <w:r>
        <w:rPr>
          <w:color w:val="231F20"/>
          <w:spacing w:val="-20"/>
          <w:w w:val="105"/>
        </w:rPr>
        <w:t> </w:t>
      </w:r>
      <w:r>
        <w:rPr>
          <w:color w:val="231F20"/>
          <w:w w:val="105"/>
        </w:rPr>
        <w:t>recursos</w:t>
      </w:r>
      <w:r>
        <w:rPr>
          <w:color w:val="231F20"/>
          <w:spacing w:val="-20"/>
          <w:w w:val="105"/>
        </w:rPr>
        <w:t> </w:t>
      </w:r>
      <w:r>
        <w:rPr>
          <w:color w:val="231F20"/>
          <w:w w:val="105"/>
        </w:rPr>
        <w:t>para</w:t>
      </w:r>
      <w:r>
        <w:rPr>
          <w:color w:val="231F20"/>
          <w:spacing w:val="-20"/>
          <w:w w:val="105"/>
        </w:rPr>
        <w:t> </w:t>
      </w:r>
      <w:r>
        <w:rPr>
          <w:color w:val="231F20"/>
          <w:w w:val="105"/>
        </w:rPr>
        <w:t>los</w:t>
      </w:r>
      <w:r>
        <w:rPr>
          <w:color w:val="231F20"/>
          <w:spacing w:val="-20"/>
          <w:w w:val="105"/>
        </w:rPr>
        <w:t> </w:t>
      </w:r>
      <w:r>
        <w:rPr>
          <w:color w:val="231F20"/>
          <w:w w:val="105"/>
        </w:rPr>
        <w:t>3</w:t>
      </w:r>
      <w:r>
        <w:rPr>
          <w:color w:val="231F20"/>
          <w:spacing w:val="-20"/>
          <w:w w:val="105"/>
        </w:rPr>
        <w:t> </w:t>
      </w:r>
      <w:r>
        <w:rPr>
          <w:color w:val="231F20"/>
          <w:w w:val="105"/>
        </w:rPr>
        <w:t>años</w:t>
      </w:r>
      <w:r>
        <w:rPr>
          <w:color w:val="231F20"/>
          <w:spacing w:val="-20"/>
          <w:w w:val="105"/>
        </w:rPr>
        <w:t> </w:t>
      </w:r>
      <w:r>
        <w:rPr>
          <w:color w:val="231F20"/>
          <w:w w:val="105"/>
        </w:rPr>
        <w:t>de análisis  </w:t>
      </w:r>
      <w:r>
        <w:rPr>
          <w:color w:val="231F20"/>
          <w:spacing w:val="-4"/>
          <w:w w:val="105"/>
        </w:rPr>
        <w:t>(SEDAGRO,</w:t>
      </w:r>
      <w:r>
        <w:rPr>
          <w:color w:val="231F20"/>
          <w:w w:val="105"/>
        </w:rPr>
        <w:t> </w:t>
      </w:r>
      <w:r>
        <w:rPr>
          <w:color w:val="231F20"/>
          <w:spacing w:val="-6"/>
          <w:w w:val="105"/>
        </w:rPr>
        <w:t>2012).</w:t>
      </w:r>
    </w:p>
    <w:p>
      <w:pPr>
        <w:pStyle w:val="BodyText"/>
        <w:spacing w:line="271" w:lineRule="auto" w:before="113"/>
        <w:ind w:left="411" w:right="1551"/>
        <w:jc w:val="both"/>
      </w:pPr>
      <w:r>
        <w:rPr>
          <w:color w:val="231F20"/>
        </w:rPr>
        <w:t>Por otro lado, hablar de asistencia técnica en la actualidad es afirmar que en México no existe un servicio de extensión agropecuaria como tal. Más bien los productores cuentan con asistencia técni- ca al acceder a distintos programas de apoyo de la SAGARPA como parte integral de éstos. Dicha asis- tencia se recibe por medio de contratistas del sec- tor privado, prestadores de servicios profesionales cuya función es dar cumplimiento  a  programas  en la explotación agropecuaria. Ese programa fue una estrategia del gobierno para crear un mercado para esos servicios, como respuesta al abandono    a principios de la década de </w:t>
      </w:r>
      <w:r>
        <w:rPr>
          <w:color w:val="231F20"/>
          <w:spacing w:val="-3"/>
        </w:rPr>
        <w:t>1990 </w:t>
      </w:r>
      <w:r>
        <w:rPr>
          <w:color w:val="231F20"/>
        </w:rPr>
        <w:t>de la Dirección Nacional de Extensión Agrícola. Los servicios pro- fesionales definidos para estos efectos incluyen planificación estratégica, formulación de proyec- tos, acceso a recursos públicos, asesoría técnica, estrategias comerciales y capacitación, entre otros; su objetivo es apoyar a los productores para que aumenten su eficiencia y facilitar su integración en cadenas de</w:t>
      </w:r>
      <w:r>
        <w:rPr>
          <w:color w:val="231F20"/>
          <w:spacing w:val="20"/>
        </w:rPr>
        <w:t> </w:t>
      </w:r>
      <w:r>
        <w:rPr>
          <w:color w:val="231F20"/>
        </w:rPr>
        <w:t>valor.</w:t>
      </w:r>
    </w:p>
    <w:p>
      <w:pPr>
        <w:spacing w:after="0" w:line="271" w:lineRule="auto"/>
        <w:jc w:val="both"/>
        <w:sectPr>
          <w:type w:val="continuous"/>
          <w:pgSz w:w="11900" w:h="14450"/>
          <w:pgMar w:top="420" w:bottom="420" w:left="0" w:right="0"/>
          <w:cols w:num="2" w:equalWidth="0">
            <w:col w:w="5723" w:space="40"/>
            <w:col w:w="6137"/>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w w:val="105"/>
          <w:sz w:val="18"/>
        </w:rPr>
        <w:t>Capítulo </w:t>
      </w:r>
      <w:r>
        <w:rPr>
          <w:color w:val="231F20"/>
          <w:spacing w:val="-3"/>
          <w:w w:val="105"/>
          <w:sz w:val="18"/>
        </w:rPr>
        <w:t>13.  </w:t>
      </w:r>
      <w:r>
        <w:rPr>
          <w:color w:val="231F20"/>
          <w:w w:val="105"/>
          <w:sz w:val="18"/>
        </w:rPr>
        <w:t>Socioeconomía de la producción caprina en el sur del Estado </w:t>
      </w:r>
      <w:r>
        <w:rPr>
          <w:color w:val="231F20"/>
          <w:spacing w:val="27"/>
          <w:w w:val="105"/>
          <w:sz w:val="18"/>
        </w:rPr>
        <w:t> </w:t>
      </w:r>
      <w:r>
        <w:rPr>
          <w:color w:val="231F20"/>
          <w:w w:val="105"/>
          <w:sz w:val="18"/>
        </w:rPr>
        <w:t>de</w:t>
      </w:r>
      <w:r>
        <w:rPr>
          <w:color w:val="231F20"/>
          <w:spacing w:val="4"/>
          <w:w w:val="105"/>
          <w:sz w:val="18"/>
        </w:rPr>
        <w:t> </w:t>
      </w:r>
      <w:r>
        <w:rPr>
          <w:color w:val="231F20"/>
          <w:w w:val="105"/>
          <w:sz w:val="18"/>
        </w:rPr>
        <w:t>México...</w:t>
      </w:r>
      <w:r>
        <w:rPr>
          <w:color w:val="231F20"/>
          <w:w w:val="105"/>
          <w:sz w:val="22"/>
        </w:rPr>
        <w:tab/>
        <w:t>205</w:t>
      </w:r>
    </w:p>
    <w:p>
      <w:pPr>
        <w:spacing w:before="349"/>
        <w:ind w:left="1553" w:right="2503" w:firstLine="0"/>
        <w:jc w:val="left"/>
        <w:rPr>
          <w:sz w:val="18"/>
        </w:rPr>
      </w:pPr>
      <w:r>
        <w:rPr>
          <w:color w:val="231F20"/>
          <w:sz w:val="18"/>
        </w:rPr>
        <w:t>Cuadro 2.       Activos productivos (vientres caprinos) otorgados en el sur del Estado de México.</w:t>
      </w:r>
    </w:p>
    <w:p>
      <w:pPr>
        <w:pStyle w:val="BodyText"/>
        <w:spacing w:before="9"/>
        <w:rPr>
          <w:sz w:val="12"/>
        </w:rPr>
      </w:pPr>
    </w:p>
    <w:tbl>
      <w:tblPr>
        <w:tblW w:w="0" w:type="auto"/>
        <w:jc w:val="left"/>
        <w:tblInd w:w="15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28"/>
        <w:gridCol w:w="1281"/>
        <w:gridCol w:w="1345"/>
        <w:gridCol w:w="1015"/>
        <w:gridCol w:w="1305"/>
        <w:gridCol w:w="1483"/>
        <w:gridCol w:w="1111"/>
      </w:tblGrid>
      <w:tr>
        <w:trPr>
          <w:trHeight w:val="891" w:hRule="exact"/>
        </w:trPr>
        <w:tc>
          <w:tcPr>
            <w:tcW w:w="1228" w:type="dxa"/>
            <w:tcBorders>
              <w:left w:val="nil"/>
            </w:tcBorders>
          </w:tcPr>
          <w:p>
            <w:pPr>
              <w:pStyle w:val="TableParagraph"/>
              <w:spacing w:before="339"/>
              <w:ind w:left="220"/>
              <w:rPr>
                <w:rFonts w:ascii="Cambria"/>
                <w:i/>
                <w:sz w:val="18"/>
              </w:rPr>
            </w:pPr>
            <w:r>
              <w:rPr>
                <w:rFonts w:ascii="Cambria"/>
                <w:i/>
                <w:color w:val="231F20"/>
                <w:w w:val="105"/>
                <w:sz w:val="18"/>
              </w:rPr>
              <w:t>Municipio</w:t>
            </w:r>
          </w:p>
        </w:tc>
        <w:tc>
          <w:tcPr>
            <w:tcW w:w="1281" w:type="dxa"/>
          </w:tcPr>
          <w:p>
            <w:pPr>
              <w:pStyle w:val="TableParagraph"/>
              <w:spacing w:before="2"/>
              <w:rPr>
                <w:sz w:val="17"/>
              </w:rPr>
            </w:pPr>
          </w:p>
          <w:p>
            <w:pPr>
              <w:pStyle w:val="TableParagraph"/>
              <w:spacing w:line="295" w:lineRule="auto" w:before="0"/>
              <w:ind w:left="123" w:right="120" w:firstLine="414"/>
              <w:rPr>
                <w:rFonts w:ascii="Cambria" w:hAnsi="Cambria"/>
                <w:i/>
                <w:sz w:val="18"/>
              </w:rPr>
            </w:pPr>
            <w:r>
              <w:rPr>
                <w:rFonts w:ascii="Cambria" w:hAnsi="Cambria"/>
                <w:i/>
                <w:color w:val="231F20"/>
                <w:w w:val="105"/>
                <w:sz w:val="18"/>
              </w:rPr>
              <w:t>Nº </w:t>
            </w:r>
            <w:r>
              <w:rPr>
                <w:rFonts w:ascii="Cambria" w:hAnsi="Cambria"/>
                <w:i/>
                <w:color w:val="231F20"/>
                <w:w w:val="105"/>
                <w:sz w:val="18"/>
              </w:rPr>
              <w:t>beneficiarios</w:t>
            </w:r>
          </w:p>
        </w:tc>
        <w:tc>
          <w:tcPr>
            <w:tcW w:w="1345" w:type="dxa"/>
          </w:tcPr>
          <w:p>
            <w:pPr>
              <w:pStyle w:val="TableParagraph"/>
              <w:spacing w:before="2"/>
              <w:rPr>
                <w:sz w:val="17"/>
              </w:rPr>
            </w:pPr>
          </w:p>
          <w:p>
            <w:pPr>
              <w:pStyle w:val="TableParagraph"/>
              <w:spacing w:line="295" w:lineRule="auto" w:before="0"/>
              <w:ind w:left="232" w:right="192" w:firstLine="140"/>
              <w:rPr>
                <w:rFonts w:ascii="Cambria"/>
                <w:i/>
                <w:sz w:val="18"/>
              </w:rPr>
            </w:pPr>
            <w:r>
              <w:rPr>
                <w:rFonts w:ascii="Cambria"/>
                <w:i/>
                <w:color w:val="231F20"/>
                <w:w w:val="110"/>
                <w:sz w:val="18"/>
              </w:rPr>
              <w:t>Unidad </w:t>
            </w:r>
            <w:r>
              <w:rPr>
                <w:rFonts w:ascii="Cambria"/>
                <w:i/>
                <w:color w:val="231F20"/>
                <w:w w:val="110"/>
                <w:sz w:val="18"/>
              </w:rPr>
              <w:t>de medida</w:t>
            </w:r>
          </w:p>
        </w:tc>
        <w:tc>
          <w:tcPr>
            <w:tcW w:w="1015" w:type="dxa"/>
          </w:tcPr>
          <w:p>
            <w:pPr>
              <w:pStyle w:val="TableParagraph"/>
              <w:spacing w:before="0"/>
              <w:rPr>
                <w:sz w:val="18"/>
              </w:rPr>
            </w:pPr>
          </w:p>
          <w:p>
            <w:pPr>
              <w:pStyle w:val="TableParagraph"/>
              <w:spacing w:before="120"/>
              <w:ind w:left="135"/>
              <w:rPr>
                <w:rFonts w:ascii="Cambria"/>
                <w:i/>
                <w:sz w:val="18"/>
              </w:rPr>
            </w:pPr>
            <w:r>
              <w:rPr>
                <w:rFonts w:ascii="Cambria"/>
                <w:i/>
                <w:color w:val="231F20"/>
                <w:w w:val="110"/>
                <w:sz w:val="18"/>
              </w:rPr>
              <w:t>Cantidad</w:t>
            </w:r>
          </w:p>
        </w:tc>
        <w:tc>
          <w:tcPr>
            <w:tcW w:w="1305" w:type="dxa"/>
          </w:tcPr>
          <w:p>
            <w:pPr>
              <w:pStyle w:val="TableParagraph"/>
              <w:spacing w:line="295" w:lineRule="auto" w:before="79"/>
              <w:ind w:left="210" w:right="208"/>
              <w:jc w:val="center"/>
              <w:rPr>
                <w:rFonts w:ascii="Cambria" w:hAnsi="Cambria"/>
                <w:i/>
                <w:sz w:val="18"/>
              </w:rPr>
            </w:pPr>
            <w:r>
              <w:rPr>
                <w:rFonts w:ascii="Cambria" w:hAnsi="Cambria"/>
                <w:i/>
                <w:color w:val="231F20"/>
                <w:sz w:val="18"/>
              </w:rPr>
              <w:t>Aportación </w:t>
            </w:r>
            <w:r>
              <w:rPr>
                <w:rFonts w:ascii="Cambria" w:hAnsi="Cambria"/>
                <w:i/>
                <w:color w:val="231F20"/>
                <w:w w:val="105"/>
                <w:sz w:val="18"/>
              </w:rPr>
              <w:t>productor ($)</w:t>
            </w:r>
          </w:p>
        </w:tc>
        <w:tc>
          <w:tcPr>
            <w:tcW w:w="1483" w:type="dxa"/>
          </w:tcPr>
          <w:p>
            <w:pPr>
              <w:pStyle w:val="TableParagraph"/>
              <w:spacing w:line="295" w:lineRule="auto" w:before="79"/>
              <w:ind w:left="112" w:right="110"/>
              <w:jc w:val="center"/>
              <w:rPr>
                <w:rFonts w:ascii="Cambria" w:hAnsi="Cambria"/>
                <w:i/>
                <w:sz w:val="18"/>
              </w:rPr>
            </w:pPr>
            <w:r>
              <w:rPr>
                <w:rFonts w:ascii="Cambria" w:hAnsi="Cambria"/>
                <w:i/>
                <w:color w:val="231F20"/>
                <w:w w:val="105"/>
                <w:sz w:val="18"/>
              </w:rPr>
              <w:t>Aportación </w:t>
            </w:r>
            <w:r>
              <w:rPr>
                <w:rFonts w:ascii="Cambria" w:hAnsi="Cambria"/>
                <w:i/>
                <w:color w:val="231F20"/>
                <w:w w:val="105"/>
                <w:sz w:val="18"/>
              </w:rPr>
              <w:t>gubernamental ($)</w:t>
            </w:r>
          </w:p>
        </w:tc>
        <w:tc>
          <w:tcPr>
            <w:tcW w:w="1111" w:type="dxa"/>
            <w:tcBorders>
              <w:right w:val="nil"/>
            </w:tcBorders>
          </w:tcPr>
          <w:p>
            <w:pPr>
              <w:pStyle w:val="TableParagraph"/>
              <w:spacing w:before="2"/>
              <w:rPr>
                <w:sz w:val="17"/>
              </w:rPr>
            </w:pPr>
          </w:p>
          <w:p>
            <w:pPr>
              <w:pStyle w:val="TableParagraph"/>
              <w:spacing w:line="295" w:lineRule="auto" w:before="0"/>
              <w:ind w:left="436" w:right="146" w:hanging="77"/>
              <w:rPr>
                <w:rFonts w:ascii="Cambria"/>
                <w:i/>
                <w:sz w:val="18"/>
              </w:rPr>
            </w:pPr>
            <w:r>
              <w:rPr>
                <w:rFonts w:ascii="Cambria"/>
                <w:i/>
                <w:color w:val="231F20"/>
                <w:sz w:val="18"/>
              </w:rPr>
              <w:t>Total </w:t>
            </w:r>
            <w:r>
              <w:rPr>
                <w:rFonts w:ascii="Cambria"/>
                <w:i/>
                <w:color w:val="231F20"/>
                <w:sz w:val="18"/>
              </w:rPr>
              <w:t>($)</w:t>
            </w:r>
          </w:p>
        </w:tc>
      </w:tr>
      <w:tr>
        <w:trPr>
          <w:trHeight w:val="362" w:hRule="exact"/>
        </w:trPr>
        <w:tc>
          <w:tcPr>
            <w:tcW w:w="8769" w:type="dxa"/>
            <w:gridSpan w:val="7"/>
            <w:tcBorders>
              <w:left w:val="nil"/>
              <w:right w:val="nil"/>
            </w:tcBorders>
          </w:tcPr>
          <w:p>
            <w:pPr>
              <w:pStyle w:val="TableParagraph"/>
              <w:spacing w:before="81"/>
              <w:ind w:left="4001" w:right="4001"/>
              <w:jc w:val="center"/>
              <w:rPr>
                <w:sz w:val="17"/>
              </w:rPr>
            </w:pPr>
            <w:r>
              <w:rPr>
                <w:color w:val="231F20"/>
                <w:w w:val="110"/>
                <w:sz w:val="17"/>
              </w:rPr>
              <w:t>Año 2008</w:t>
            </w:r>
          </w:p>
        </w:tc>
      </w:tr>
      <w:tr>
        <w:trPr>
          <w:trHeight w:val="354" w:hRule="exact"/>
        </w:trPr>
        <w:tc>
          <w:tcPr>
            <w:tcW w:w="1228" w:type="dxa"/>
            <w:tcBorders>
              <w:left w:val="nil"/>
            </w:tcBorders>
          </w:tcPr>
          <w:p>
            <w:pPr>
              <w:pStyle w:val="TableParagraph"/>
              <w:ind w:left="113"/>
              <w:rPr>
                <w:sz w:val="17"/>
              </w:rPr>
            </w:pPr>
            <w:r>
              <w:rPr>
                <w:color w:val="231F20"/>
                <w:sz w:val="17"/>
              </w:rPr>
              <w:t>Amatepec</w:t>
            </w:r>
          </w:p>
        </w:tc>
        <w:tc>
          <w:tcPr>
            <w:tcW w:w="1281" w:type="dxa"/>
          </w:tcPr>
          <w:p>
            <w:pPr>
              <w:pStyle w:val="TableParagraph"/>
              <w:ind w:left="85"/>
              <w:jc w:val="center"/>
              <w:rPr>
                <w:sz w:val="17"/>
              </w:rPr>
            </w:pPr>
            <w:r>
              <w:rPr>
                <w:color w:val="231F20"/>
                <w:w w:val="115"/>
                <w:sz w:val="17"/>
              </w:rPr>
              <w:t>6</w:t>
            </w:r>
          </w:p>
        </w:tc>
        <w:tc>
          <w:tcPr>
            <w:tcW w:w="1345" w:type="dxa"/>
          </w:tcPr>
          <w:p>
            <w:pPr>
              <w:pStyle w:val="TableParagraph"/>
              <w:ind w:left="108" w:right="192"/>
              <w:rPr>
                <w:sz w:val="17"/>
              </w:rPr>
            </w:pPr>
            <w:r>
              <w:rPr>
                <w:color w:val="231F20"/>
                <w:w w:val="105"/>
                <w:sz w:val="17"/>
              </w:rPr>
              <w:t>Sementales</w:t>
            </w:r>
          </w:p>
        </w:tc>
        <w:tc>
          <w:tcPr>
            <w:tcW w:w="1015" w:type="dxa"/>
          </w:tcPr>
          <w:p>
            <w:pPr>
              <w:pStyle w:val="TableParagraph"/>
              <w:ind w:left="170"/>
              <w:jc w:val="center"/>
              <w:rPr>
                <w:sz w:val="17"/>
              </w:rPr>
            </w:pPr>
            <w:r>
              <w:rPr>
                <w:color w:val="231F20"/>
                <w:w w:val="115"/>
                <w:sz w:val="17"/>
              </w:rPr>
              <w:t>8</w:t>
            </w:r>
          </w:p>
        </w:tc>
        <w:tc>
          <w:tcPr>
            <w:tcW w:w="1305" w:type="dxa"/>
          </w:tcPr>
          <w:p>
            <w:pPr>
              <w:pStyle w:val="TableParagraph"/>
              <w:ind w:right="279"/>
              <w:jc w:val="right"/>
              <w:rPr>
                <w:sz w:val="17"/>
              </w:rPr>
            </w:pPr>
            <w:r>
              <w:rPr>
                <w:color w:val="231F20"/>
                <w:w w:val="115"/>
                <w:sz w:val="17"/>
              </w:rPr>
              <w:t>41 323</w:t>
            </w:r>
          </w:p>
        </w:tc>
        <w:tc>
          <w:tcPr>
            <w:tcW w:w="1483" w:type="dxa"/>
          </w:tcPr>
          <w:p>
            <w:pPr>
              <w:pStyle w:val="TableParagraph"/>
              <w:ind w:right="450"/>
              <w:jc w:val="right"/>
              <w:rPr>
                <w:sz w:val="17"/>
              </w:rPr>
            </w:pPr>
            <w:r>
              <w:rPr>
                <w:color w:val="231F20"/>
                <w:w w:val="115"/>
                <w:sz w:val="17"/>
              </w:rPr>
              <w:t>22 251</w:t>
            </w:r>
          </w:p>
        </w:tc>
        <w:tc>
          <w:tcPr>
            <w:tcW w:w="1111" w:type="dxa"/>
            <w:tcBorders>
              <w:right w:val="nil"/>
            </w:tcBorders>
          </w:tcPr>
          <w:p>
            <w:pPr>
              <w:pStyle w:val="TableParagraph"/>
              <w:ind w:right="281"/>
              <w:jc w:val="right"/>
              <w:rPr>
                <w:sz w:val="17"/>
              </w:rPr>
            </w:pPr>
            <w:r>
              <w:rPr>
                <w:color w:val="231F20"/>
                <w:w w:val="115"/>
                <w:sz w:val="17"/>
              </w:rPr>
              <w:t>63574</w:t>
            </w:r>
          </w:p>
        </w:tc>
      </w:tr>
      <w:tr>
        <w:trPr>
          <w:trHeight w:val="354" w:hRule="exact"/>
        </w:trPr>
        <w:tc>
          <w:tcPr>
            <w:tcW w:w="1228" w:type="dxa"/>
            <w:tcBorders>
              <w:left w:val="nil"/>
            </w:tcBorders>
          </w:tcPr>
          <w:p>
            <w:pPr>
              <w:pStyle w:val="TableParagraph"/>
              <w:ind w:left="113"/>
              <w:rPr>
                <w:sz w:val="17"/>
              </w:rPr>
            </w:pPr>
            <w:r>
              <w:rPr>
                <w:color w:val="231F20"/>
                <w:sz w:val="17"/>
              </w:rPr>
              <w:t>Tejupilco</w:t>
            </w:r>
          </w:p>
        </w:tc>
        <w:tc>
          <w:tcPr>
            <w:tcW w:w="1281" w:type="dxa"/>
          </w:tcPr>
          <w:p>
            <w:pPr>
              <w:pStyle w:val="TableParagraph"/>
              <w:ind w:left="85"/>
              <w:jc w:val="center"/>
              <w:rPr>
                <w:sz w:val="17"/>
              </w:rPr>
            </w:pPr>
            <w:r>
              <w:rPr>
                <w:color w:val="231F20"/>
                <w:w w:val="115"/>
                <w:sz w:val="17"/>
              </w:rPr>
              <w:t>8</w:t>
            </w:r>
          </w:p>
        </w:tc>
        <w:tc>
          <w:tcPr>
            <w:tcW w:w="1345" w:type="dxa"/>
          </w:tcPr>
          <w:p>
            <w:pPr>
              <w:pStyle w:val="TableParagraph"/>
              <w:ind w:left="108" w:right="192"/>
              <w:rPr>
                <w:sz w:val="17"/>
              </w:rPr>
            </w:pPr>
            <w:r>
              <w:rPr>
                <w:color w:val="231F20"/>
                <w:w w:val="105"/>
                <w:sz w:val="17"/>
              </w:rPr>
              <w:t>Sementales</w:t>
            </w:r>
          </w:p>
        </w:tc>
        <w:tc>
          <w:tcPr>
            <w:tcW w:w="1015" w:type="dxa"/>
          </w:tcPr>
          <w:p>
            <w:pPr>
              <w:pStyle w:val="TableParagraph"/>
              <w:ind w:left="170"/>
              <w:jc w:val="center"/>
              <w:rPr>
                <w:sz w:val="17"/>
              </w:rPr>
            </w:pPr>
            <w:r>
              <w:rPr>
                <w:color w:val="231F20"/>
                <w:w w:val="115"/>
                <w:sz w:val="17"/>
              </w:rPr>
              <w:t>8</w:t>
            </w:r>
          </w:p>
        </w:tc>
        <w:tc>
          <w:tcPr>
            <w:tcW w:w="1305" w:type="dxa"/>
          </w:tcPr>
          <w:p>
            <w:pPr>
              <w:pStyle w:val="TableParagraph"/>
              <w:ind w:right="276"/>
              <w:jc w:val="right"/>
              <w:rPr>
                <w:sz w:val="17"/>
              </w:rPr>
            </w:pPr>
            <w:r>
              <w:rPr>
                <w:color w:val="231F20"/>
                <w:w w:val="115"/>
                <w:sz w:val="17"/>
              </w:rPr>
              <w:t>13 285</w:t>
            </w:r>
          </w:p>
        </w:tc>
        <w:tc>
          <w:tcPr>
            <w:tcW w:w="1483" w:type="dxa"/>
          </w:tcPr>
          <w:p>
            <w:pPr>
              <w:pStyle w:val="TableParagraph"/>
              <w:ind w:right="446"/>
              <w:jc w:val="right"/>
              <w:rPr>
                <w:sz w:val="17"/>
              </w:rPr>
            </w:pPr>
            <w:r>
              <w:rPr>
                <w:color w:val="231F20"/>
                <w:w w:val="115"/>
                <w:sz w:val="17"/>
              </w:rPr>
              <w:t>7 154</w:t>
            </w:r>
          </w:p>
        </w:tc>
        <w:tc>
          <w:tcPr>
            <w:tcW w:w="1111" w:type="dxa"/>
            <w:tcBorders>
              <w:right w:val="nil"/>
            </w:tcBorders>
          </w:tcPr>
          <w:p>
            <w:pPr>
              <w:pStyle w:val="TableParagraph"/>
              <w:ind w:right="284"/>
              <w:jc w:val="right"/>
              <w:rPr>
                <w:sz w:val="17"/>
              </w:rPr>
            </w:pPr>
            <w:r>
              <w:rPr>
                <w:color w:val="231F20"/>
                <w:w w:val="115"/>
                <w:sz w:val="17"/>
              </w:rPr>
              <w:t>20 439</w:t>
            </w:r>
          </w:p>
        </w:tc>
      </w:tr>
      <w:tr>
        <w:trPr>
          <w:trHeight w:val="354" w:hRule="exact"/>
        </w:trPr>
        <w:tc>
          <w:tcPr>
            <w:tcW w:w="1228" w:type="dxa"/>
            <w:tcBorders>
              <w:left w:val="nil"/>
            </w:tcBorders>
          </w:tcPr>
          <w:p>
            <w:pPr>
              <w:pStyle w:val="TableParagraph"/>
              <w:ind w:left="113"/>
              <w:rPr>
                <w:sz w:val="17"/>
              </w:rPr>
            </w:pPr>
            <w:r>
              <w:rPr>
                <w:color w:val="231F20"/>
                <w:sz w:val="17"/>
              </w:rPr>
              <w:t>Tlatlaya</w:t>
            </w:r>
          </w:p>
        </w:tc>
        <w:tc>
          <w:tcPr>
            <w:tcW w:w="1281" w:type="dxa"/>
          </w:tcPr>
          <w:p>
            <w:pPr>
              <w:pStyle w:val="TableParagraph"/>
              <w:ind w:left="85"/>
              <w:jc w:val="center"/>
              <w:rPr>
                <w:sz w:val="17"/>
              </w:rPr>
            </w:pPr>
            <w:r>
              <w:rPr>
                <w:color w:val="231F20"/>
                <w:w w:val="115"/>
                <w:sz w:val="17"/>
              </w:rPr>
              <w:t>0</w:t>
            </w:r>
          </w:p>
        </w:tc>
        <w:tc>
          <w:tcPr>
            <w:tcW w:w="1345" w:type="dxa"/>
          </w:tcPr>
          <w:p>
            <w:pPr>
              <w:pStyle w:val="TableParagraph"/>
              <w:ind w:left="108" w:right="192"/>
              <w:rPr>
                <w:sz w:val="17"/>
              </w:rPr>
            </w:pPr>
            <w:r>
              <w:rPr>
                <w:color w:val="231F20"/>
                <w:w w:val="105"/>
                <w:sz w:val="17"/>
              </w:rPr>
              <w:t>Sementales</w:t>
            </w:r>
          </w:p>
        </w:tc>
        <w:tc>
          <w:tcPr>
            <w:tcW w:w="1015" w:type="dxa"/>
          </w:tcPr>
          <w:p>
            <w:pPr>
              <w:pStyle w:val="TableParagraph"/>
              <w:ind w:left="170"/>
              <w:jc w:val="center"/>
              <w:rPr>
                <w:sz w:val="17"/>
              </w:rPr>
            </w:pPr>
            <w:r>
              <w:rPr>
                <w:color w:val="231F20"/>
                <w:w w:val="115"/>
                <w:sz w:val="17"/>
              </w:rPr>
              <w:t>0</w:t>
            </w:r>
          </w:p>
        </w:tc>
        <w:tc>
          <w:tcPr>
            <w:tcW w:w="1305" w:type="dxa"/>
          </w:tcPr>
          <w:p>
            <w:pPr>
              <w:pStyle w:val="TableParagraph"/>
              <w:ind w:right="276"/>
              <w:jc w:val="right"/>
              <w:rPr>
                <w:sz w:val="17"/>
              </w:rPr>
            </w:pPr>
            <w:r>
              <w:rPr>
                <w:color w:val="231F20"/>
                <w:w w:val="115"/>
                <w:sz w:val="17"/>
              </w:rPr>
              <w:t>0</w:t>
            </w:r>
          </w:p>
        </w:tc>
        <w:tc>
          <w:tcPr>
            <w:tcW w:w="1483" w:type="dxa"/>
          </w:tcPr>
          <w:p>
            <w:pPr>
              <w:pStyle w:val="TableParagraph"/>
              <w:ind w:right="446"/>
              <w:jc w:val="right"/>
              <w:rPr>
                <w:sz w:val="17"/>
              </w:rPr>
            </w:pPr>
            <w:r>
              <w:rPr>
                <w:color w:val="231F20"/>
                <w:w w:val="115"/>
                <w:sz w:val="17"/>
              </w:rPr>
              <w:t>0</w:t>
            </w:r>
          </w:p>
        </w:tc>
        <w:tc>
          <w:tcPr>
            <w:tcW w:w="1111" w:type="dxa"/>
            <w:tcBorders>
              <w:right w:val="nil"/>
            </w:tcBorders>
          </w:tcPr>
          <w:p>
            <w:pPr>
              <w:pStyle w:val="TableParagraph"/>
              <w:ind w:right="281"/>
              <w:jc w:val="right"/>
              <w:rPr>
                <w:sz w:val="17"/>
              </w:rPr>
            </w:pPr>
            <w:r>
              <w:rPr>
                <w:color w:val="231F20"/>
                <w:w w:val="115"/>
                <w:sz w:val="17"/>
              </w:rPr>
              <w:t>0</w:t>
            </w:r>
          </w:p>
        </w:tc>
      </w:tr>
      <w:tr>
        <w:trPr>
          <w:trHeight w:val="362" w:hRule="exact"/>
        </w:trPr>
        <w:tc>
          <w:tcPr>
            <w:tcW w:w="8769" w:type="dxa"/>
            <w:gridSpan w:val="7"/>
            <w:tcBorders>
              <w:left w:val="nil"/>
              <w:right w:val="nil"/>
            </w:tcBorders>
          </w:tcPr>
          <w:p>
            <w:pPr>
              <w:pStyle w:val="TableParagraph"/>
              <w:spacing w:before="81"/>
              <w:ind w:left="4001" w:right="4001"/>
              <w:jc w:val="center"/>
              <w:rPr>
                <w:sz w:val="17"/>
              </w:rPr>
            </w:pPr>
            <w:r>
              <w:rPr>
                <w:color w:val="231F20"/>
                <w:w w:val="110"/>
                <w:sz w:val="17"/>
              </w:rPr>
              <w:t>Año 2009</w:t>
            </w:r>
          </w:p>
        </w:tc>
      </w:tr>
      <w:tr>
        <w:trPr>
          <w:trHeight w:val="354" w:hRule="exact"/>
        </w:trPr>
        <w:tc>
          <w:tcPr>
            <w:tcW w:w="1228" w:type="dxa"/>
            <w:tcBorders>
              <w:left w:val="nil"/>
            </w:tcBorders>
          </w:tcPr>
          <w:p>
            <w:pPr>
              <w:pStyle w:val="TableParagraph"/>
              <w:ind w:left="113"/>
              <w:rPr>
                <w:sz w:val="17"/>
              </w:rPr>
            </w:pPr>
            <w:r>
              <w:rPr>
                <w:color w:val="231F20"/>
                <w:sz w:val="17"/>
              </w:rPr>
              <w:t>Amatepec</w:t>
            </w:r>
          </w:p>
        </w:tc>
        <w:tc>
          <w:tcPr>
            <w:tcW w:w="1281" w:type="dxa"/>
          </w:tcPr>
          <w:p>
            <w:pPr>
              <w:pStyle w:val="TableParagraph"/>
              <w:ind w:left="85"/>
              <w:jc w:val="center"/>
              <w:rPr>
                <w:sz w:val="17"/>
              </w:rPr>
            </w:pPr>
            <w:r>
              <w:rPr>
                <w:color w:val="231F20"/>
                <w:w w:val="115"/>
                <w:sz w:val="17"/>
              </w:rPr>
              <w:t>2</w:t>
            </w:r>
          </w:p>
        </w:tc>
        <w:tc>
          <w:tcPr>
            <w:tcW w:w="1345" w:type="dxa"/>
          </w:tcPr>
          <w:p>
            <w:pPr>
              <w:pStyle w:val="TableParagraph"/>
              <w:ind w:left="108" w:right="192"/>
              <w:rPr>
                <w:sz w:val="17"/>
              </w:rPr>
            </w:pPr>
            <w:r>
              <w:rPr>
                <w:color w:val="231F20"/>
                <w:sz w:val="17"/>
              </w:rPr>
              <w:t>Vientres</w:t>
            </w:r>
          </w:p>
        </w:tc>
        <w:tc>
          <w:tcPr>
            <w:tcW w:w="1015" w:type="dxa"/>
          </w:tcPr>
          <w:p>
            <w:pPr>
              <w:pStyle w:val="TableParagraph"/>
              <w:ind w:left="331" w:right="246"/>
              <w:jc w:val="center"/>
              <w:rPr>
                <w:sz w:val="17"/>
              </w:rPr>
            </w:pPr>
            <w:r>
              <w:rPr>
                <w:color w:val="231F20"/>
                <w:w w:val="115"/>
                <w:sz w:val="17"/>
              </w:rPr>
              <w:t>80</w:t>
            </w:r>
          </w:p>
        </w:tc>
        <w:tc>
          <w:tcPr>
            <w:tcW w:w="1305" w:type="dxa"/>
          </w:tcPr>
          <w:p>
            <w:pPr>
              <w:pStyle w:val="TableParagraph"/>
              <w:ind w:right="276"/>
              <w:jc w:val="right"/>
              <w:rPr>
                <w:sz w:val="17"/>
              </w:rPr>
            </w:pPr>
            <w:r>
              <w:rPr>
                <w:color w:val="231F20"/>
                <w:w w:val="115"/>
                <w:sz w:val="17"/>
              </w:rPr>
              <w:t>87938</w:t>
            </w:r>
          </w:p>
        </w:tc>
        <w:tc>
          <w:tcPr>
            <w:tcW w:w="1483" w:type="dxa"/>
          </w:tcPr>
          <w:p>
            <w:pPr>
              <w:pStyle w:val="TableParagraph"/>
              <w:ind w:right="446"/>
              <w:jc w:val="right"/>
              <w:rPr>
                <w:sz w:val="17"/>
              </w:rPr>
            </w:pPr>
            <w:r>
              <w:rPr>
                <w:color w:val="231F20"/>
                <w:w w:val="115"/>
                <w:sz w:val="17"/>
              </w:rPr>
              <w:t>29 313</w:t>
            </w:r>
          </w:p>
        </w:tc>
        <w:tc>
          <w:tcPr>
            <w:tcW w:w="1111" w:type="dxa"/>
            <w:tcBorders>
              <w:right w:val="nil"/>
            </w:tcBorders>
          </w:tcPr>
          <w:p>
            <w:pPr>
              <w:pStyle w:val="TableParagraph"/>
              <w:ind w:right="281"/>
              <w:jc w:val="right"/>
              <w:rPr>
                <w:sz w:val="17"/>
              </w:rPr>
            </w:pPr>
            <w:r>
              <w:rPr>
                <w:color w:val="231F20"/>
                <w:w w:val="115"/>
                <w:sz w:val="17"/>
              </w:rPr>
              <w:t>117 251</w:t>
            </w:r>
          </w:p>
        </w:tc>
      </w:tr>
      <w:tr>
        <w:trPr>
          <w:trHeight w:val="354" w:hRule="exact"/>
        </w:trPr>
        <w:tc>
          <w:tcPr>
            <w:tcW w:w="1228" w:type="dxa"/>
            <w:tcBorders>
              <w:left w:val="nil"/>
            </w:tcBorders>
          </w:tcPr>
          <w:p>
            <w:pPr>
              <w:pStyle w:val="TableParagraph"/>
              <w:ind w:left="113"/>
              <w:rPr>
                <w:sz w:val="17"/>
              </w:rPr>
            </w:pPr>
            <w:r>
              <w:rPr>
                <w:color w:val="231F20"/>
                <w:sz w:val="17"/>
              </w:rPr>
              <w:t>Tejupilco</w:t>
            </w:r>
          </w:p>
        </w:tc>
        <w:tc>
          <w:tcPr>
            <w:tcW w:w="1281" w:type="dxa"/>
          </w:tcPr>
          <w:p>
            <w:pPr>
              <w:pStyle w:val="TableParagraph"/>
              <w:ind w:left="512" w:right="517"/>
              <w:jc w:val="center"/>
              <w:rPr>
                <w:sz w:val="17"/>
              </w:rPr>
            </w:pPr>
            <w:r>
              <w:rPr>
                <w:color w:val="231F20"/>
                <w:w w:val="115"/>
                <w:sz w:val="17"/>
              </w:rPr>
              <w:t>19</w:t>
            </w:r>
          </w:p>
        </w:tc>
        <w:tc>
          <w:tcPr>
            <w:tcW w:w="1345" w:type="dxa"/>
          </w:tcPr>
          <w:p>
            <w:pPr>
              <w:pStyle w:val="TableParagraph"/>
              <w:ind w:left="108" w:right="192"/>
              <w:rPr>
                <w:sz w:val="17"/>
              </w:rPr>
            </w:pPr>
            <w:r>
              <w:rPr>
                <w:color w:val="231F20"/>
                <w:sz w:val="17"/>
              </w:rPr>
              <w:t>Vientres</w:t>
            </w:r>
          </w:p>
        </w:tc>
        <w:tc>
          <w:tcPr>
            <w:tcW w:w="1015" w:type="dxa"/>
          </w:tcPr>
          <w:p>
            <w:pPr>
              <w:pStyle w:val="TableParagraph"/>
              <w:ind w:left="331" w:right="331"/>
              <w:jc w:val="center"/>
              <w:rPr>
                <w:sz w:val="17"/>
              </w:rPr>
            </w:pPr>
            <w:r>
              <w:rPr>
                <w:color w:val="231F20"/>
                <w:w w:val="115"/>
                <w:sz w:val="17"/>
              </w:rPr>
              <w:t>292</w:t>
            </w:r>
          </w:p>
        </w:tc>
        <w:tc>
          <w:tcPr>
            <w:tcW w:w="1305" w:type="dxa"/>
          </w:tcPr>
          <w:p>
            <w:pPr>
              <w:pStyle w:val="TableParagraph"/>
              <w:ind w:right="276"/>
              <w:jc w:val="right"/>
              <w:rPr>
                <w:sz w:val="17"/>
              </w:rPr>
            </w:pPr>
            <w:r>
              <w:rPr>
                <w:color w:val="231F20"/>
                <w:w w:val="115"/>
                <w:sz w:val="17"/>
              </w:rPr>
              <w:t>267409</w:t>
            </w:r>
          </w:p>
        </w:tc>
        <w:tc>
          <w:tcPr>
            <w:tcW w:w="1483" w:type="dxa"/>
          </w:tcPr>
          <w:p>
            <w:pPr>
              <w:pStyle w:val="TableParagraph"/>
              <w:ind w:right="446"/>
              <w:jc w:val="right"/>
              <w:rPr>
                <w:sz w:val="17"/>
              </w:rPr>
            </w:pPr>
            <w:r>
              <w:rPr>
                <w:color w:val="231F20"/>
                <w:w w:val="115"/>
                <w:sz w:val="17"/>
              </w:rPr>
              <w:t>89136</w:t>
            </w:r>
          </w:p>
        </w:tc>
        <w:tc>
          <w:tcPr>
            <w:tcW w:w="1111" w:type="dxa"/>
            <w:tcBorders>
              <w:right w:val="nil"/>
            </w:tcBorders>
          </w:tcPr>
          <w:p>
            <w:pPr>
              <w:pStyle w:val="TableParagraph"/>
              <w:ind w:right="281"/>
              <w:jc w:val="right"/>
              <w:rPr>
                <w:sz w:val="17"/>
              </w:rPr>
            </w:pPr>
            <w:r>
              <w:rPr>
                <w:color w:val="231F20"/>
                <w:w w:val="115"/>
                <w:sz w:val="17"/>
              </w:rPr>
              <w:t>356 545</w:t>
            </w:r>
          </w:p>
        </w:tc>
      </w:tr>
      <w:tr>
        <w:trPr>
          <w:trHeight w:val="354" w:hRule="exact"/>
        </w:trPr>
        <w:tc>
          <w:tcPr>
            <w:tcW w:w="1228" w:type="dxa"/>
            <w:tcBorders>
              <w:left w:val="nil"/>
            </w:tcBorders>
          </w:tcPr>
          <w:p>
            <w:pPr>
              <w:pStyle w:val="TableParagraph"/>
              <w:ind w:left="113"/>
              <w:rPr>
                <w:sz w:val="17"/>
              </w:rPr>
            </w:pPr>
            <w:r>
              <w:rPr>
                <w:color w:val="231F20"/>
                <w:sz w:val="17"/>
              </w:rPr>
              <w:t>Tlatlaya</w:t>
            </w:r>
          </w:p>
        </w:tc>
        <w:tc>
          <w:tcPr>
            <w:tcW w:w="1281" w:type="dxa"/>
          </w:tcPr>
          <w:p>
            <w:pPr>
              <w:pStyle w:val="TableParagraph"/>
              <w:ind w:left="514" w:right="515"/>
              <w:jc w:val="center"/>
              <w:rPr>
                <w:sz w:val="17"/>
              </w:rPr>
            </w:pPr>
            <w:r>
              <w:rPr>
                <w:color w:val="231F20"/>
                <w:w w:val="115"/>
                <w:sz w:val="17"/>
              </w:rPr>
              <w:t>23</w:t>
            </w:r>
          </w:p>
        </w:tc>
        <w:tc>
          <w:tcPr>
            <w:tcW w:w="1345" w:type="dxa"/>
          </w:tcPr>
          <w:p>
            <w:pPr>
              <w:pStyle w:val="TableParagraph"/>
              <w:ind w:left="108" w:right="192"/>
              <w:rPr>
                <w:sz w:val="17"/>
              </w:rPr>
            </w:pPr>
            <w:r>
              <w:rPr>
                <w:color w:val="231F20"/>
                <w:sz w:val="17"/>
              </w:rPr>
              <w:t>Vientres</w:t>
            </w:r>
          </w:p>
        </w:tc>
        <w:tc>
          <w:tcPr>
            <w:tcW w:w="1015" w:type="dxa"/>
          </w:tcPr>
          <w:p>
            <w:pPr>
              <w:pStyle w:val="TableParagraph"/>
              <w:ind w:left="328" w:right="333"/>
              <w:jc w:val="center"/>
              <w:rPr>
                <w:sz w:val="17"/>
              </w:rPr>
            </w:pPr>
            <w:r>
              <w:rPr>
                <w:color w:val="231F20"/>
                <w:w w:val="115"/>
                <w:sz w:val="17"/>
              </w:rPr>
              <w:t>575</w:t>
            </w:r>
          </w:p>
        </w:tc>
        <w:tc>
          <w:tcPr>
            <w:tcW w:w="1305" w:type="dxa"/>
          </w:tcPr>
          <w:p>
            <w:pPr>
              <w:pStyle w:val="TableParagraph"/>
              <w:ind w:right="279"/>
              <w:jc w:val="right"/>
              <w:rPr>
                <w:sz w:val="17"/>
              </w:rPr>
            </w:pPr>
            <w:r>
              <w:rPr>
                <w:color w:val="231F20"/>
                <w:w w:val="115"/>
                <w:sz w:val="17"/>
              </w:rPr>
              <w:t>538 658</w:t>
            </w:r>
          </w:p>
        </w:tc>
        <w:tc>
          <w:tcPr>
            <w:tcW w:w="1483" w:type="dxa"/>
          </w:tcPr>
          <w:p>
            <w:pPr>
              <w:pStyle w:val="TableParagraph"/>
              <w:ind w:right="446"/>
              <w:jc w:val="right"/>
              <w:rPr>
                <w:sz w:val="17"/>
              </w:rPr>
            </w:pPr>
            <w:r>
              <w:rPr>
                <w:color w:val="231F20"/>
                <w:w w:val="115"/>
                <w:sz w:val="17"/>
              </w:rPr>
              <w:t>179 553</w:t>
            </w:r>
          </w:p>
        </w:tc>
        <w:tc>
          <w:tcPr>
            <w:tcW w:w="1111" w:type="dxa"/>
            <w:tcBorders>
              <w:right w:val="nil"/>
            </w:tcBorders>
          </w:tcPr>
          <w:p>
            <w:pPr>
              <w:pStyle w:val="TableParagraph"/>
              <w:ind w:right="288"/>
              <w:jc w:val="right"/>
              <w:rPr>
                <w:sz w:val="17"/>
              </w:rPr>
            </w:pPr>
            <w:r>
              <w:rPr>
                <w:color w:val="231F20"/>
                <w:w w:val="115"/>
                <w:sz w:val="17"/>
              </w:rPr>
              <w:t>718 211</w:t>
            </w:r>
          </w:p>
        </w:tc>
      </w:tr>
      <w:tr>
        <w:trPr>
          <w:trHeight w:val="362" w:hRule="exact"/>
        </w:trPr>
        <w:tc>
          <w:tcPr>
            <w:tcW w:w="8769" w:type="dxa"/>
            <w:gridSpan w:val="7"/>
            <w:tcBorders>
              <w:left w:val="nil"/>
              <w:right w:val="nil"/>
            </w:tcBorders>
          </w:tcPr>
          <w:p>
            <w:pPr>
              <w:pStyle w:val="TableParagraph"/>
              <w:spacing w:before="81"/>
              <w:ind w:left="4001" w:right="4001"/>
              <w:jc w:val="center"/>
              <w:rPr>
                <w:sz w:val="17"/>
              </w:rPr>
            </w:pPr>
            <w:r>
              <w:rPr>
                <w:color w:val="231F20"/>
                <w:w w:val="110"/>
                <w:sz w:val="17"/>
              </w:rPr>
              <w:t>Año 2010</w:t>
            </w:r>
          </w:p>
        </w:tc>
      </w:tr>
      <w:tr>
        <w:trPr>
          <w:trHeight w:val="354" w:hRule="exact"/>
        </w:trPr>
        <w:tc>
          <w:tcPr>
            <w:tcW w:w="1228" w:type="dxa"/>
            <w:tcBorders>
              <w:left w:val="nil"/>
            </w:tcBorders>
          </w:tcPr>
          <w:p>
            <w:pPr>
              <w:pStyle w:val="TableParagraph"/>
              <w:ind w:left="113"/>
              <w:rPr>
                <w:sz w:val="17"/>
              </w:rPr>
            </w:pPr>
            <w:r>
              <w:rPr>
                <w:color w:val="231F20"/>
                <w:sz w:val="17"/>
              </w:rPr>
              <w:t>Amatepec</w:t>
            </w:r>
          </w:p>
        </w:tc>
        <w:tc>
          <w:tcPr>
            <w:tcW w:w="1281" w:type="dxa"/>
          </w:tcPr>
          <w:p>
            <w:pPr>
              <w:pStyle w:val="TableParagraph"/>
              <w:ind w:left="512" w:right="517"/>
              <w:jc w:val="center"/>
              <w:rPr>
                <w:sz w:val="17"/>
              </w:rPr>
            </w:pPr>
            <w:r>
              <w:rPr>
                <w:color w:val="231F20"/>
                <w:w w:val="115"/>
                <w:sz w:val="17"/>
              </w:rPr>
              <w:t>14</w:t>
            </w:r>
          </w:p>
        </w:tc>
        <w:tc>
          <w:tcPr>
            <w:tcW w:w="1345" w:type="dxa"/>
          </w:tcPr>
          <w:p>
            <w:pPr>
              <w:pStyle w:val="TableParagraph"/>
              <w:ind w:left="108" w:right="192"/>
              <w:rPr>
                <w:sz w:val="17"/>
              </w:rPr>
            </w:pPr>
            <w:r>
              <w:rPr>
                <w:color w:val="231F20"/>
                <w:sz w:val="17"/>
              </w:rPr>
              <w:t>Vientres</w:t>
            </w:r>
          </w:p>
        </w:tc>
        <w:tc>
          <w:tcPr>
            <w:tcW w:w="1015" w:type="dxa"/>
          </w:tcPr>
          <w:p>
            <w:pPr>
              <w:pStyle w:val="TableParagraph"/>
              <w:ind w:left="331" w:right="331"/>
              <w:jc w:val="center"/>
              <w:rPr>
                <w:sz w:val="17"/>
              </w:rPr>
            </w:pPr>
            <w:r>
              <w:rPr>
                <w:color w:val="231F20"/>
                <w:w w:val="115"/>
                <w:sz w:val="17"/>
              </w:rPr>
              <w:t>490</w:t>
            </w:r>
          </w:p>
        </w:tc>
        <w:tc>
          <w:tcPr>
            <w:tcW w:w="1305" w:type="dxa"/>
          </w:tcPr>
          <w:p>
            <w:pPr>
              <w:pStyle w:val="TableParagraph"/>
              <w:ind w:right="276"/>
              <w:jc w:val="right"/>
              <w:rPr>
                <w:sz w:val="17"/>
              </w:rPr>
            </w:pPr>
            <w:r>
              <w:rPr>
                <w:color w:val="231F20"/>
                <w:w w:val="115"/>
                <w:sz w:val="17"/>
              </w:rPr>
              <w:t>544 388</w:t>
            </w:r>
          </w:p>
        </w:tc>
        <w:tc>
          <w:tcPr>
            <w:tcW w:w="1483" w:type="dxa"/>
          </w:tcPr>
          <w:p>
            <w:pPr>
              <w:pStyle w:val="TableParagraph"/>
              <w:ind w:right="446"/>
              <w:jc w:val="right"/>
              <w:rPr>
                <w:sz w:val="17"/>
              </w:rPr>
            </w:pPr>
            <w:r>
              <w:rPr>
                <w:color w:val="231F20"/>
                <w:w w:val="115"/>
                <w:sz w:val="17"/>
              </w:rPr>
              <w:t>181463</w:t>
            </w:r>
          </w:p>
        </w:tc>
        <w:tc>
          <w:tcPr>
            <w:tcW w:w="1111" w:type="dxa"/>
            <w:tcBorders>
              <w:right w:val="nil"/>
            </w:tcBorders>
          </w:tcPr>
          <w:p>
            <w:pPr>
              <w:pStyle w:val="TableParagraph"/>
              <w:ind w:right="284"/>
              <w:jc w:val="right"/>
              <w:rPr>
                <w:sz w:val="17"/>
              </w:rPr>
            </w:pPr>
            <w:r>
              <w:rPr>
                <w:color w:val="231F20"/>
                <w:w w:val="115"/>
                <w:sz w:val="17"/>
              </w:rPr>
              <w:t>725 851</w:t>
            </w:r>
          </w:p>
        </w:tc>
      </w:tr>
      <w:tr>
        <w:trPr>
          <w:trHeight w:val="354" w:hRule="exact"/>
        </w:trPr>
        <w:tc>
          <w:tcPr>
            <w:tcW w:w="1228" w:type="dxa"/>
            <w:tcBorders>
              <w:left w:val="nil"/>
            </w:tcBorders>
          </w:tcPr>
          <w:p>
            <w:pPr>
              <w:pStyle w:val="TableParagraph"/>
              <w:ind w:left="113"/>
              <w:rPr>
                <w:sz w:val="17"/>
              </w:rPr>
            </w:pPr>
            <w:r>
              <w:rPr>
                <w:color w:val="231F20"/>
                <w:sz w:val="17"/>
              </w:rPr>
              <w:t>Tejupilco</w:t>
            </w:r>
          </w:p>
        </w:tc>
        <w:tc>
          <w:tcPr>
            <w:tcW w:w="1281" w:type="dxa"/>
          </w:tcPr>
          <w:p>
            <w:pPr>
              <w:pStyle w:val="TableParagraph"/>
              <w:ind w:left="85"/>
              <w:jc w:val="center"/>
              <w:rPr>
                <w:sz w:val="17"/>
              </w:rPr>
            </w:pPr>
            <w:r>
              <w:rPr>
                <w:color w:val="231F20"/>
                <w:w w:val="115"/>
                <w:sz w:val="17"/>
              </w:rPr>
              <w:t>4</w:t>
            </w:r>
          </w:p>
        </w:tc>
        <w:tc>
          <w:tcPr>
            <w:tcW w:w="1345" w:type="dxa"/>
          </w:tcPr>
          <w:p>
            <w:pPr>
              <w:pStyle w:val="TableParagraph"/>
              <w:ind w:left="108" w:right="192"/>
              <w:rPr>
                <w:sz w:val="17"/>
              </w:rPr>
            </w:pPr>
            <w:r>
              <w:rPr>
                <w:color w:val="231F20"/>
                <w:sz w:val="17"/>
              </w:rPr>
              <w:t>Vientres</w:t>
            </w:r>
          </w:p>
        </w:tc>
        <w:tc>
          <w:tcPr>
            <w:tcW w:w="1015" w:type="dxa"/>
          </w:tcPr>
          <w:p>
            <w:pPr>
              <w:pStyle w:val="TableParagraph"/>
              <w:ind w:left="331" w:right="331"/>
              <w:jc w:val="center"/>
              <w:rPr>
                <w:sz w:val="17"/>
              </w:rPr>
            </w:pPr>
            <w:r>
              <w:rPr>
                <w:color w:val="231F20"/>
                <w:w w:val="115"/>
                <w:sz w:val="17"/>
              </w:rPr>
              <w:t>140</w:t>
            </w:r>
          </w:p>
        </w:tc>
        <w:tc>
          <w:tcPr>
            <w:tcW w:w="1305" w:type="dxa"/>
          </w:tcPr>
          <w:p>
            <w:pPr>
              <w:pStyle w:val="TableParagraph"/>
              <w:ind w:right="276"/>
              <w:jc w:val="right"/>
              <w:rPr>
                <w:sz w:val="17"/>
              </w:rPr>
            </w:pPr>
            <w:r>
              <w:rPr>
                <w:color w:val="231F20"/>
                <w:w w:val="115"/>
                <w:sz w:val="17"/>
              </w:rPr>
              <w:t>129900</w:t>
            </w:r>
          </w:p>
        </w:tc>
        <w:tc>
          <w:tcPr>
            <w:tcW w:w="1483" w:type="dxa"/>
          </w:tcPr>
          <w:p>
            <w:pPr>
              <w:pStyle w:val="TableParagraph"/>
              <w:ind w:right="446"/>
              <w:jc w:val="right"/>
              <w:rPr>
                <w:sz w:val="17"/>
              </w:rPr>
            </w:pPr>
            <w:r>
              <w:rPr>
                <w:color w:val="231F20"/>
                <w:w w:val="115"/>
                <w:sz w:val="17"/>
              </w:rPr>
              <w:t>43300</w:t>
            </w:r>
          </w:p>
        </w:tc>
        <w:tc>
          <w:tcPr>
            <w:tcW w:w="1111" w:type="dxa"/>
            <w:tcBorders>
              <w:right w:val="nil"/>
            </w:tcBorders>
          </w:tcPr>
          <w:p>
            <w:pPr>
              <w:pStyle w:val="TableParagraph"/>
              <w:ind w:right="281"/>
              <w:jc w:val="right"/>
              <w:rPr>
                <w:sz w:val="17"/>
              </w:rPr>
            </w:pPr>
            <w:r>
              <w:rPr>
                <w:color w:val="231F20"/>
                <w:w w:val="115"/>
                <w:sz w:val="17"/>
              </w:rPr>
              <w:t>173 200</w:t>
            </w:r>
          </w:p>
        </w:tc>
      </w:tr>
      <w:tr>
        <w:trPr>
          <w:trHeight w:val="356" w:hRule="exact"/>
        </w:trPr>
        <w:tc>
          <w:tcPr>
            <w:tcW w:w="1228" w:type="dxa"/>
            <w:tcBorders>
              <w:left w:val="nil"/>
            </w:tcBorders>
          </w:tcPr>
          <w:p>
            <w:pPr>
              <w:pStyle w:val="TableParagraph"/>
              <w:ind w:left="113"/>
              <w:rPr>
                <w:sz w:val="17"/>
              </w:rPr>
            </w:pPr>
            <w:r>
              <w:rPr>
                <w:color w:val="231F20"/>
                <w:sz w:val="17"/>
              </w:rPr>
              <w:t>Tlatlaya</w:t>
            </w:r>
          </w:p>
        </w:tc>
        <w:tc>
          <w:tcPr>
            <w:tcW w:w="1281" w:type="dxa"/>
          </w:tcPr>
          <w:p>
            <w:pPr>
              <w:pStyle w:val="TableParagraph"/>
              <w:ind w:left="512" w:right="517"/>
              <w:jc w:val="center"/>
              <w:rPr>
                <w:sz w:val="17"/>
              </w:rPr>
            </w:pPr>
            <w:r>
              <w:rPr>
                <w:color w:val="231F20"/>
                <w:w w:val="115"/>
                <w:sz w:val="17"/>
              </w:rPr>
              <w:t>14</w:t>
            </w:r>
          </w:p>
        </w:tc>
        <w:tc>
          <w:tcPr>
            <w:tcW w:w="1345" w:type="dxa"/>
          </w:tcPr>
          <w:p>
            <w:pPr>
              <w:pStyle w:val="TableParagraph"/>
              <w:ind w:left="108" w:right="192"/>
              <w:rPr>
                <w:sz w:val="17"/>
              </w:rPr>
            </w:pPr>
            <w:r>
              <w:rPr>
                <w:color w:val="231F20"/>
                <w:sz w:val="17"/>
              </w:rPr>
              <w:t>Vientres</w:t>
            </w:r>
          </w:p>
        </w:tc>
        <w:tc>
          <w:tcPr>
            <w:tcW w:w="1015" w:type="dxa"/>
          </w:tcPr>
          <w:p>
            <w:pPr>
              <w:pStyle w:val="TableParagraph"/>
              <w:ind w:left="328" w:right="333"/>
              <w:jc w:val="center"/>
              <w:rPr>
                <w:sz w:val="17"/>
              </w:rPr>
            </w:pPr>
            <w:r>
              <w:rPr>
                <w:color w:val="231F20"/>
                <w:w w:val="115"/>
                <w:sz w:val="17"/>
              </w:rPr>
              <w:t>410</w:t>
            </w:r>
          </w:p>
        </w:tc>
        <w:tc>
          <w:tcPr>
            <w:tcW w:w="1305" w:type="dxa"/>
          </w:tcPr>
          <w:p>
            <w:pPr>
              <w:pStyle w:val="TableParagraph"/>
              <w:ind w:right="276"/>
              <w:jc w:val="right"/>
              <w:rPr>
                <w:sz w:val="17"/>
              </w:rPr>
            </w:pPr>
            <w:r>
              <w:rPr>
                <w:color w:val="231F20"/>
                <w:w w:val="115"/>
                <w:sz w:val="17"/>
              </w:rPr>
              <w:t>404325</w:t>
            </w:r>
          </w:p>
        </w:tc>
        <w:tc>
          <w:tcPr>
            <w:tcW w:w="1483" w:type="dxa"/>
          </w:tcPr>
          <w:p>
            <w:pPr>
              <w:pStyle w:val="TableParagraph"/>
              <w:ind w:right="453"/>
              <w:jc w:val="right"/>
              <w:rPr>
                <w:sz w:val="17"/>
              </w:rPr>
            </w:pPr>
            <w:r>
              <w:rPr>
                <w:color w:val="231F20"/>
                <w:w w:val="115"/>
                <w:sz w:val="17"/>
              </w:rPr>
              <w:t>134 775</w:t>
            </w:r>
          </w:p>
        </w:tc>
        <w:tc>
          <w:tcPr>
            <w:tcW w:w="1111" w:type="dxa"/>
            <w:tcBorders>
              <w:right w:val="nil"/>
            </w:tcBorders>
          </w:tcPr>
          <w:p>
            <w:pPr>
              <w:pStyle w:val="TableParagraph"/>
              <w:ind w:right="281"/>
              <w:jc w:val="right"/>
              <w:rPr>
                <w:sz w:val="17"/>
              </w:rPr>
            </w:pPr>
            <w:r>
              <w:rPr>
                <w:color w:val="231F20"/>
                <w:w w:val="115"/>
                <w:sz w:val="17"/>
              </w:rPr>
              <w:t>539 100</w:t>
            </w:r>
          </w:p>
        </w:tc>
      </w:tr>
    </w:tbl>
    <w:p>
      <w:pPr>
        <w:spacing w:before="104"/>
        <w:ind w:left="1553" w:right="2503" w:firstLine="0"/>
        <w:jc w:val="left"/>
        <w:rPr>
          <w:sz w:val="15"/>
        </w:rPr>
      </w:pPr>
      <w:r>
        <w:rPr>
          <w:color w:val="231F20"/>
          <w:w w:val="105"/>
          <w:sz w:val="15"/>
        </w:rPr>
        <w:t>Fuente: SEDAGRO, 2012.</w:t>
      </w:r>
    </w:p>
    <w:p>
      <w:pPr>
        <w:pStyle w:val="BodyText"/>
      </w:pPr>
    </w:p>
    <w:p>
      <w:pPr>
        <w:pStyle w:val="BodyText"/>
        <w:spacing w:before="1"/>
        <w:rPr>
          <w:sz w:val="15"/>
        </w:rPr>
      </w:pPr>
    </w:p>
    <w:p>
      <w:pPr>
        <w:spacing w:after="0"/>
        <w:rPr>
          <w:sz w:val="15"/>
        </w:rPr>
        <w:sectPr>
          <w:pgSz w:w="11900" w:h="14450"/>
          <w:pgMar w:header="0" w:footer="222" w:top="420" w:bottom="420" w:left="0" w:right="0"/>
        </w:sectPr>
      </w:pPr>
    </w:p>
    <w:p>
      <w:pPr>
        <w:pStyle w:val="BodyText"/>
        <w:spacing w:line="268" w:lineRule="auto" w:before="67"/>
        <w:ind w:left="1553"/>
        <w:jc w:val="both"/>
      </w:pPr>
      <w:r>
        <w:rPr>
          <w:color w:val="231F20"/>
        </w:rPr>
        <w:t>Desde las reformas instituidas a  principios  de  1990 han proliferado los despachos de prestado- res de servicios profesionales, sobre todo para el Programa de Activos de la SAGARPA. Se  calcula que en la actualidad operan en todo el país al- rededor de seis mil prestadores que son contra- tados por diversas organizaciones, como  grupos  de campesinos, mediante el financiamiento por parte de programas de  apoyo  de  la  SAGARPA,  los programas públicos estatales y los Consejos Municipales de Desarrollo Rural (CMDR).  Algu-  nas iniciativas privadas, como los Grupos Gana- deros de Validación y Transferencia de Tecnología </w:t>
      </w:r>
      <w:r>
        <w:rPr>
          <w:color w:val="231F20"/>
          <w:spacing w:val="-3"/>
        </w:rPr>
        <w:t>(GGAVATT), </w:t>
      </w:r>
      <w:r>
        <w:rPr>
          <w:color w:val="231F20"/>
        </w:rPr>
        <w:t>también contratan a los  prestadores de  servicios</w:t>
      </w:r>
      <w:r>
        <w:rPr>
          <w:color w:val="231F20"/>
          <w:spacing w:val="10"/>
        </w:rPr>
        <w:t> </w:t>
      </w:r>
      <w:r>
        <w:rPr>
          <w:color w:val="231F20"/>
        </w:rPr>
        <w:t>profesionales.</w:t>
      </w:r>
    </w:p>
    <w:p>
      <w:pPr>
        <w:pStyle w:val="BodyText"/>
        <w:spacing w:line="268" w:lineRule="auto" w:before="67"/>
        <w:ind w:left="412" w:right="1551"/>
        <w:jc w:val="both"/>
      </w:pPr>
      <w:r>
        <w:rPr/>
        <w:br w:type="column"/>
      </w:r>
      <w:r>
        <w:rPr>
          <w:color w:val="231F20"/>
        </w:rPr>
        <w:t>Se ha observado que el sistema actual de asisten- cia</w:t>
      </w:r>
      <w:r>
        <w:rPr>
          <w:color w:val="231F20"/>
          <w:spacing w:val="-8"/>
        </w:rPr>
        <w:t> </w:t>
      </w:r>
      <w:r>
        <w:rPr>
          <w:color w:val="231F20"/>
        </w:rPr>
        <w:t>técnica</w:t>
      </w:r>
      <w:r>
        <w:rPr>
          <w:color w:val="231F20"/>
          <w:spacing w:val="-8"/>
        </w:rPr>
        <w:t> </w:t>
      </w:r>
      <w:r>
        <w:rPr>
          <w:color w:val="231F20"/>
        </w:rPr>
        <w:t>aplicado,</w:t>
      </w:r>
      <w:r>
        <w:rPr>
          <w:color w:val="231F20"/>
          <w:spacing w:val="-8"/>
        </w:rPr>
        <w:t> </w:t>
      </w:r>
      <w:r>
        <w:rPr>
          <w:color w:val="231F20"/>
        </w:rPr>
        <w:t>mediante</w:t>
      </w:r>
      <w:r>
        <w:rPr>
          <w:color w:val="231F20"/>
          <w:spacing w:val="-8"/>
        </w:rPr>
        <w:t> </w:t>
      </w:r>
      <w:r>
        <w:rPr>
          <w:color w:val="231F20"/>
        </w:rPr>
        <w:t>programas</w:t>
      </w:r>
      <w:r>
        <w:rPr>
          <w:color w:val="231F20"/>
          <w:spacing w:val="-8"/>
        </w:rPr>
        <w:t> </w:t>
      </w:r>
      <w:r>
        <w:rPr>
          <w:color w:val="231F20"/>
        </w:rPr>
        <w:t>de</w:t>
      </w:r>
      <w:r>
        <w:rPr>
          <w:color w:val="231F20"/>
          <w:spacing w:val="-8"/>
        </w:rPr>
        <w:t> </w:t>
      </w:r>
      <w:r>
        <w:rPr>
          <w:color w:val="231F20"/>
          <w:spacing w:val="-2"/>
        </w:rPr>
        <w:t>apoyo, </w:t>
      </w:r>
      <w:r>
        <w:rPr>
          <w:color w:val="231F20"/>
        </w:rPr>
        <w:t>está fragmentado y se basa en proyectos</w:t>
      </w:r>
      <w:r>
        <w:rPr>
          <w:color w:val="231F20"/>
          <w:spacing w:val="-7"/>
        </w:rPr>
        <w:t> </w:t>
      </w:r>
      <w:r>
        <w:rPr>
          <w:color w:val="231F20"/>
        </w:rPr>
        <w:t>individua- les. Como la mayor parte de la demanda de estos servicios se canaliza a través de programas de apo- yo de la </w:t>
      </w:r>
      <w:r>
        <w:rPr>
          <w:color w:val="231F20"/>
          <w:spacing w:val="-4"/>
        </w:rPr>
        <w:t>SAGARPA, </w:t>
      </w:r>
      <w:r>
        <w:rPr>
          <w:color w:val="231F20"/>
        </w:rPr>
        <w:t>hay una dispersión de esfuerzos y de recursos en proyectos menores y una falta de integración desde el punto de vista del desarrollo territorial</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objetivos</w:t>
      </w:r>
      <w:r>
        <w:rPr>
          <w:color w:val="231F20"/>
          <w:spacing w:val="-7"/>
        </w:rPr>
        <w:t> </w:t>
      </w:r>
      <w:r>
        <w:rPr>
          <w:color w:val="231F20"/>
        </w:rPr>
        <w:t>de</w:t>
      </w:r>
      <w:r>
        <w:rPr>
          <w:color w:val="231F20"/>
          <w:spacing w:val="-7"/>
        </w:rPr>
        <w:t> </w:t>
      </w:r>
      <w:r>
        <w:rPr>
          <w:color w:val="231F20"/>
        </w:rPr>
        <w:t>productividad.</w:t>
      </w:r>
      <w:r>
        <w:rPr>
          <w:color w:val="231F20"/>
          <w:spacing w:val="-7"/>
        </w:rPr>
        <w:t> </w:t>
      </w:r>
      <w:r>
        <w:rPr>
          <w:color w:val="231F20"/>
        </w:rPr>
        <w:t>Quizá debido a esa dispersión sea difícil evaluar el impac- to general del programa, pues los proyectos se dis- tribuyen en distintas regiones agroecológicas y en una amplia variedad de productos, entre los </w:t>
      </w:r>
      <w:r>
        <w:rPr>
          <w:color w:val="231F20"/>
          <w:spacing w:val="-2"/>
        </w:rPr>
        <w:t>que </w:t>
      </w:r>
      <w:r>
        <w:rPr>
          <w:color w:val="231F20"/>
          <w:spacing w:val="41"/>
        </w:rPr>
        <w:t> </w:t>
      </w:r>
      <w:r>
        <w:rPr>
          <w:color w:val="231F20"/>
        </w:rPr>
        <w:t>se encuentra el sistema caprino del sur del </w:t>
      </w:r>
      <w:r>
        <w:rPr>
          <w:color w:val="231F20"/>
          <w:spacing w:val="-2"/>
        </w:rPr>
        <w:t>Estado </w:t>
      </w:r>
      <w:r>
        <w:rPr>
          <w:color w:val="231F20"/>
        </w:rPr>
        <w:t>de</w:t>
      </w:r>
      <w:r>
        <w:rPr>
          <w:color w:val="231F20"/>
          <w:spacing w:val="28"/>
        </w:rPr>
        <w:t> </w:t>
      </w:r>
      <w:r>
        <w:rPr>
          <w:color w:val="231F20"/>
        </w:rPr>
        <w:t>México.</w:t>
      </w:r>
      <w:r>
        <w:rPr>
          <w:color w:val="231F20"/>
          <w:spacing w:val="28"/>
        </w:rPr>
        <w:t> </w:t>
      </w:r>
      <w:r>
        <w:rPr>
          <w:color w:val="231F20"/>
        </w:rPr>
        <w:t>La</w:t>
      </w:r>
      <w:r>
        <w:rPr>
          <w:color w:val="231F20"/>
          <w:spacing w:val="28"/>
        </w:rPr>
        <w:t> </w:t>
      </w:r>
      <w:r>
        <w:rPr>
          <w:color w:val="231F20"/>
        </w:rPr>
        <w:t>fuerza</w:t>
      </w:r>
      <w:r>
        <w:rPr>
          <w:color w:val="231F20"/>
          <w:spacing w:val="28"/>
        </w:rPr>
        <w:t> </w:t>
      </w:r>
      <w:r>
        <w:rPr>
          <w:color w:val="231F20"/>
        </w:rPr>
        <w:t>que</w:t>
      </w:r>
      <w:r>
        <w:rPr>
          <w:color w:val="231F20"/>
          <w:spacing w:val="28"/>
        </w:rPr>
        <w:t> </w:t>
      </w:r>
      <w:r>
        <w:rPr>
          <w:color w:val="231F20"/>
        </w:rPr>
        <w:t>impulsa</w:t>
      </w:r>
      <w:r>
        <w:rPr>
          <w:color w:val="231F20"/>
          <w:spacing w:val="28"/>
        </w:rPr>
        <w:t> </w:t>
      </w:r>
      <w:r>
        <w:rPr>
          <w:color w:val="231F20"/>
        </w:rPr>
        <w:t>la</w:t>
      </w:r>
      <w:r>
        <w:rPr>
          <w:color w:val="231F20"/>
          <w:spacing w:val="28"/>
        </w:rPr>
        <w:t> </w:t>
      </w:r>
      <w:r>
        <w:rPr>
          <w:color w:val="231F20"/>
        </w:rPr>
        <w:t>demanda</w:t>
      </w:r>
      <w:r>
        <w:rPr>
          <w:color w:val="231F20"/>
          <w:spacing w:val="28"/>
        </w:rPr>
        <w:t> </w:t>
      </w:r>
      <w:r>
        <w:rPr>
          <w:color w:val="231F20"/>
        </w:rPr>
        <w:t>es</w:t>
      </w:r>
    </w:p>
    <w:p>
      <w:pPr>
        <w:spacing w:after="0" w:line="268" w:lineRule="auto"/>
        <w:jc w:val="both"/>
        <w:sectPr>
          <w:type w:val="continuous"/>
          <w:pgSz w:w="11900" w:h="14450"/>
          <w:pgMar w:top="420" w:bottom="420" w:left="0" w:right="0"/>
          <w:cols w:num="2" w:equalWidth="0">
            <w:col w:w="5723" w:space="40"/>
            <w:col w:w="6137"/>
          </w:cols>
        </w:sectPr>
      </w:pPr>
    </w:p>
    <w:p>
      <w:pPr>
        <w:pStyle w:val="BodyText"/>
      </w:pPr>
    </w:p>
    <w:p>
      <w:pPr>
        <w:pStyle w:val="BodyText"/>
      </w:pPr>
    </w:p>
    <w:p>
      <w:pPr>
        <w:pStyle w:val="BodyText"/>
        <w:rPr>
          <w:sz w:val="17"/>
        </w:rPr>
      </w:pPr>
    </w:p>
    <w:p>
      <w:pPr>
        <w:tabs>
          <w:tab w:pos="6897" w:val="left" w:leader="none"/>
        </w:tabs>
        <w:spacing w:before="64"/>
        <w:ind w:left="1551" w:right="0" w:firstLine="0"/>
        <w:jc w:val="left"/>
        <w:rPr>
          <w:sz w:val="12"/>
        </w:rPr>
      </w:pPr>
      <w:r>
        <w:rPr>
          <w:color w:val="231F20"/>
          <w:w w:val="120"/>
          <w:sz w:val="22"/>
        </w:rPr>
        <w:t>206</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right="1"/>
        <w:jc w:val="both"/>
      </w:pPr>
      <w:r>
        <w:rPr>
          <w:color w:val="231F20"/>
        </w:rPr>
        <w:t>el acceso a programas de gobierno. </w:t>
      </w:r>
      <w:r>
        <w:rPr>
          <w:color w:val="231F20"/>
          <w:spacing w:val="-3"/>
        </w:rPr>
        <w:t>Por </w:t>
      </w:r>
      <w:r>
        <w:rPr>
          <w:color w:val="231F20"/>
        </w:rPr>
        <w:t>tal </w:t>
      </w:r>
      <w:r>
        <w:rPr>
          <w:color w:val="231F20"/>
          <w:spacing w:val="-2"/>
        </w:rPr>
        <w:t>razón, </w:t>
      </w:r>
      <w:r>
        <w:rPr>
          <w:color w:val="231F20"/>
        </w:rPr>
        <w:t>se considera a los prestadores de servicios profe- sionales como simples intermediarios (captadores de demanda) para programas de apoyo federal. En muchos casos, el prestador es el agente que </w:t>
      </w:r>
      <w:r>
        <w:rPr>
          <w:color w:val="231F20"/>
          <w:spacing w:val="-2"/>
        </w:rPr>
        <w:t>inicia </w:t>
      </w:r>
      <w:r>
        <w:rPr>
          <w:color w:val="231F20"/>
        </w:rPr>
        <w:t>la ejecución de los programas de apoyo, pues tiene el incentivo de que se le pagará. Esto es, los incen- tivos son para la captación de ingresos y no </w:t>
      </w:r>
      <w:r>
        <w:rPr>
          <w:color w:val="231F20"/>
          <w:spacing w:val="-2"/>
        </w:rPr>
        <w:t>hay </w:t>
      </w:r>
      <w:r>
        <w:rPr>
          <w:color w:val="231F20"/>
        </w:rPr>
        <w:t>incentivos para que el prestador de servicios profe- sionales</w:t>
      </w:r>
      <w:r>
        <w:rPr>
          <w:color w:val="231F20"/>
          <w:spacing w:val="-5"/>
        </w:rPr>
        <w:t> </w:t>
      </w:r>
      <w:r>
        <w:rPr>
          <w:color w:val="231F20"/>
        </w:rPr>
        <w:t>se</w:t>
      </w:r>
      <w:r>
        <w:rPr>
          <w:color w:val="231F20"/>
          <w:spacing w:val="-5"/>
        </w:rPr>
        <w:t> </w:t>
      </w:r>
      <w:r>
        <w:rPr>
          <w:color w:val="231F20"/>
        </w:rPr>
        <w:t>mantenga</w:t>
      </w:r>
      <w:r>
        <w:rPr>
          <w:color w:val="231F20"/>
          <w:spacing w:val="-5"/>
        </w:rPr>
        <w:t> </w:t>
      </w:r>
      <w:r>
        <w:rPr>
          <w:color w:val="231F20"/>
        </w:rPr>
        <w:t>al</w:t>
      </w:r>
      <w:r>
        <w:rPr>
          <w:color w:val="231F20"/>
          <w:spacing w:val="-5"/>
        </w:rPr>
        <w:t> </w:t>
      </w:r>
      <w:r>
        <w:rPr>
          <w:color w:val="231F20"/>
        </w:rPr>
        <w:t>tanto</w:t>
      </w:r>
      <w:r>
        <w:rPr>
          <w:color w:val="231F20"/>
          <w:spacing w:val="-5"/>
        </w:rPr>
        <w:t> </w:t>
      </w:r>
      <w:r>
        <w:rPr>
          <w:color w:val="231F20"/>
        </w:rPr>
        <w:t>del</w:t>
      </w:r>
      <w:r>
        <w:rPr>
          <w:color w:val="231F20"/>
          <w:spacing w:val="-5"/>
        </w:rPr>
        <w:t> </w:t>
      </w:r>
      <w:r>
        <w:rPr>
          <w:color w:val="231F20"/>
        </w:rPr>
        <w:t>proyecto</w:t>
      </w:r>
      <w:r>
        <w:rPr>
          <w:color w:val="231F20"/>
          <w:spacing w:val="-5"/>
        </w:rPr>
        <w:t> </w:t>
      </w:r>
      <w:r>
        <w:rPr>
          <w:color w:val="231F20"/>
        </w:rPr>
        <w:t>hasta</w:t>
      </w:r>
      <w:r>
        <w:rPr>
          <w:color w:val="231F20"/>
          <w:spacing w:val="-5"/>
        </w:rPr>
        <w:t> </w:t>
      </w:r>
      <w:r>
        <w:rPr>
          <w:color w:val="231F20"/>
        </w:rPr>
        <w:t>su finalización ni para que evalúe su</w:t>
      </w:r>
      <w:r>
        <w:rPr>
          <w:color w:val="231F20"/>
          <w:spacing w:val="-3"/>
        </w:rPr>
        <w:t> </w:t>
      </w:r>
      <w:r>
        <w:rPr>
          <w:color w:val="231F20"/>
        </w:rPr>
        <w:t>impacto.</w:t>
      </w:r>
    </w:p>
    <w:p>
      <w:pPr>
        <w:pStyle w:val="BodyText"/>
        <w:spacing w:line="259" w:lineRule="auto" w:before="113"/>
        <w:ind w:left="1553"/>
        <w:jc w:val="both"/>
      </w:pPr>
      <w:r>
        <w:rPr>
          <w:color w:val="231F20"/>
        </w:rPr>
        <w:t>Pese a la percepción general de que el sistema no ha producido resultados y de que hay un vacío en servicios de extensión y de asesoría técnica, la evi- dencia estadística demuestra que la  producción  de cabras en este DDR va en aumento. A lo ante- rior puede añadirse que el prestador de servicios profesionales, si quiere y puede, proporciona asis- tencia técnica sólo durante el primer año, pues únicamente interviene hasta el establecimiento  del proyecto de producción de animales, lo cual    se traduce en una falta de continuidad durante la vida del</w:t>
      </w:r>
      <w:r>
        <w:rPr>
          <w:color w:val="231F20"/>
          <w:spacing w:val="24"/>
        </w:rPr>
        <w:t> </w:t>
      </w:r>
      <w:r>
        <w:rPr>
          <w:color w:val="231F20"/>
        </w:rPr>
        <w:t>proyecto.</w:t>
      </w:r>
    </w:p>
    <w:p>
      <w:pPr>
        <w:pStyle w:val="BodyText"/>
      </w:pPr>
    </w:p>
    <w:p>
      <w:pPr>
        <w:pStyle w:val="BodyText"/>
        <w:spacing w:before="9"/>
        <w:rPr>
          <w:sz w:val="21"/>
        </w:rPr>
      </w:pPr>
    </w:p>
    <w:p>
      <w:pPr>
        <w:pStyle w:val="BodyText"/>
        <w:spacing w:line="259" w:lineRule="auto"/>
        <w:ind w:left="1553" w:right="475"/>
      </w:pPr>
      <w:r>
        <w:rPr>
          <w:color w:val="231F20"/>
          <w:w w:val="110"/>
        </w:rPr>
        <w:t>DESARROLLO DE LA CAPRINOCULTURA EN EL SUR DEL ESTADO DE  MÉXICO</w:t>
      </w:r>
    </w:p>
    <w:p>
      <w:pPr>
        <w:pStyle w:val="BodyText"/>
        <w:spacing w:line="259" w:lineRule="auto" w:before="113"/>
        <w:ind w:left="1553"/>
        <w:jc w:val="both"/>
      </w:pPr>
      <w:r>
        <w:rPr>
          <w:color w:val="231F20"/>
        </w:rPr>
        <w:t>En el sur del Estado de México  (Temascaltepec, San Simón de Guerrero, </w:t>
      </w:r>
      <w:r>
        <w:rPr>
          <w:color w:val="231F20"/>
          <w:spacing w:val="-3"/>
        </w:rPr>
        <w:t>Tejupilco, </w:t>
      </w:r>
      <w:r>
        <w:rPr>
          <w:color w:val="231F20"/>
        </w:rPr>
        <w:t>Luvianos, Ama- tepec y Tlatlaya), los caprinos (Criollos encastados con Nubios) se explotan o se crían bajo un siste- ma de producción extensivo con encierro noctur- no (Rebollar </w:t>
      </w:r>
      <w:r>
        <w:rPr>
          <w:i/>
          <w:color w:val="231F20"/>
        </w:rPr>
        <w:t>et al</w:t>
      </w:r>
      <w:r>
        <w:rPr>
          <w:color w:val="231F20"/>
        </w:rPr>
        <w:t>., </w:t>
      </w:r>
      <w:r>
        <w:rPr>
          <w:color w:val="231F20"/>
          <w:spacing w:val="-3"/>
        </w:rPr>
        <w:t>2007; </w:t>
      </w:r>
      <w:r>
        <w:rPr>
          <w:color w:val="231F20"/>
        </w:rPr>
        <w:t>Rebollar y Rojo, </w:t>
      </w:r>
      <w:r>
        <w:rPr>
          <w:color w:val="231F20"/>
          <w:spacing w:val="-5"/>
        </w:rPr>
        <w:t>2010; </w:t>
      </w:r>
      <w:r>
        <w:rPr>
          <w:color w:val="231F20"/>
        </w:rPr>
        <w:t>Rebollar </w:t>
      </w:r>
      <w:r>
        <w:rPr>
          <w:i/>
          <w:color w:val="231F20"/>
        </w:rPr>
        <w:t>et al</w:t>
      </w:r>
      <w:r>
        <w:rPr>
          <w:color w:val="231F20"/>
        </w:rPr>
        <w:t>., </w:t>
      </w:r>
      <w:r>
        <w:rPr>
          <w:color w:val="231F20"/>
          <w:spacing w:val="-4"/>
        </w:rPr>
        <w:t>2012).  </w:t>
      </w:r>
      <w:r>
        <w:rPr>
          <w:color w:val="231F20"/>
        </w:rPr>
        <w:t>El objetivo de este sistema  es la producción de animales jóvenes para abasto, comercialización, autoconsumo  y  reproducción; en concordancia con Jorge </w:t>
      </w:r>
      <w:r>
        <w:rPr>
          <w:i/>
          <w:color w:val="231F20"/>
        </w:rPr>
        <w:t>et al</w:t>
      </w:r>
      <w:r>
        <w:rPr>
          <w:color w:val="231F20"/>
        </w:rPr>
        <w:t>. </w:t>
      </w:r>
      <w:r>
        <w:rPr>
          <w:color w:val="231F20"/>
          <w:spacing w:val="-4"/>
        </w:rPr>
        <w:t>(2011),  </w:t>
      </w:r>
      <w:r>
        <w:rPr>
          <w:color w:val="231F20"/>
        </w:rPr>
        <w:t>sobre  todo para consumo de carne en forma del platillo típico regional denominado “birria” (Rebollar </w:t>
      </w:r>
      <w:r>
        <w:rPr>
          <w:i/>
          <w:color w:val="231F20"/>
        </w:rPr>
        <w:t>et al</w:t>
      </w:r>
      <w:r>
        <w:rPr>
          <w:color w:val="231F20"/>
        </w:rPr>
        <w:t>., 2008; Rebollar </w:t>
      </w:r>
      <w:r>
        <w:rPr>
          <w:i/>
          <w:color w:val="231F20"/>
        </w:rPr>
        <w:t>et al</w:t>
      </w:r>
      <w:r>
        <w:rPr>
          <w:color w:val="231F20"/>
        </w:rPr>
        <w:t>., </w:t>
      </w:r>
      <w:r>
        <w:rPr>
          <w:color w:val="231F20"/>
          <w:spacing w:val="-4"/>
        </w:rPr>
        <w:t>2012). </w:t>
      </w:r>
      <w:r>
        <w:rPr>
          <w:color w:val="231F20"/>
        </w:rPr>
        <w:t>Algunas de las carac- terísticas socio-técnicas propias de este sistema</w:t>
      </w:r>
      <w:r>
        <w:rPr>
          <w:color w:val="231F20"/>
          <w:spacing w:val="37"/>
        </w:rPr>
        <w:t> </w:t>
      </w:r>
      <w:r>
        <w:rPr>
          <w:color w:val="231F20"/>
        </w:rPr>
        <w:t>de</w:t>
      </w:r>
    </w:p>
    <w:p>
      <w:pPr>
        <w:pStyle w:val="BodyText"/>
        <w:spacing w:line="256" w:lineRule="auto" w:before="67"/>
        <w:ind w:left="412" w:right="1551"/>
        <w:jc w:val="both"/>
      </w:pPr>
      <w:r>
        <w:rPr/>
        <w:br w:type="column"/>
      </w:r>
      <w:r>
        <w:rPr>
          <w:color w:val="231F20"/>
        </w:rPr>
        <w:t>producción permiten afirmar que los productores adquieren sus animales en un alto porcentaje por compra directa, como indican Arias </w:t>
      </w:r>
      <w:r>
        <w:rPr>
          <w:i/>
          <w:color w:val="231F20"/>
        </w:rPr>
        <w:t>et al</w:t>
      </w:r>
      <w:r>
        <w:rPr>
          <w:color w:val="231F20"/>
        </w:rPr>
        <w:t>. </w:t>
      </w:r>
      <w:r>
        <w:rPr>
          <w:color w:val="231F20"/>
          <w:spacing w:val="-4"/>
        </w:rPr>
        <w:t>(2011),     </w:t>
      </w:r>
      <w:r>
        <w:rPr>
          <w:color w:val="231F20"/>
        </w:rPr>
        <w:t>y de ahí continúan con el proceso de producción, cuyo objetivo es principalmente para cría, creci- miento y engorda en el agostadero, y para venta por necesidades económicas de la misma unidad de producción. Por su parte, el cuidado de los re- baños lo realiza un pastor, generalmente de sexo masculino y con una edad promedio de 52 años,  en general con una escolaridad que no rebasa los cuatro años, y los integrantes de las familias de los criadores de este ganado superan los seis hijos. Resultados similares fueron encontrados por Arias </w:t>
      </w:r>
      <w:r>
        <w:rPr>
          <w:i/>
          <w:color w:val="231F20"/>
        </w:rPr>
        <w:t>et al</w:t>
      </w:r>
      <w:r>
        <w:rPr>
          <w:color w:val="231F20"/>
        </w:rPr>
        <w:t>. </w:t>
      </w:r>
      <w:r>
        <w:rPr>
          <w:color w:val="231F20"/>
          <w:spacing w:val="-4"/>
        </w:rPr>
        <w:t>(2011) </w:t>
      </w:r>
      <w:r>
        <w:rPr>
          <w:color w:val="231F20"/>
        </w:rPr>
        <w:t>en una zona de la Mixteca Baja oa- xaqueña y por Jorge </w:t>
      </w:r>
      <w:r>
        <w:rPr>
          <w:i/>
          <w:color w:val="231F20"/>
        </w:rPr>
        <w:t>et al</w:t>
      </w:r>
      <w:r>
        <w:rPr>
          <w:color w:val="231F20"/>
        </w:rPr>
        <w:t>. </w:t>
      </w:r>
      <w:r>
        <w:rPr>
          <w:color w:val="231F20"/>
          <w:spacing w:val="-4"/>
        </w:rPr>
        <w:t>(2011) </w:t>
      </w:r>
      <w:r>
        <w:rPr>
          <w:color w:val="231F20"/>
        </w:rPr>
        <w:t>para una región de Guanajuato,</w:t>
      </w:r>
      <w:r>
        <w:rPr>
          <w:color w:val="231F20"/>
          <w:spacing w:val="12"/>
        </w:rPr>
        <w:t> </w:t>
      </w:r>
      <w:r>
        <w:rPr>
          <w:color w:val="231F20"/>
        </w:rPr>
        <w:t>México.</w:t>
      </w:r>
    </w:p>
    <w:p>
      <w:pPr>
        <w:pStyle w:val="BodyText"/>
        <w:spacing w:line="256" w:lineRule="auto" w:before="112"/>
        <w:ind w:left="412" w:right="1551"/>
        <w:jc w:val="both"/>
      </w:pPr>
      <w:r>
        <w:rPr>
          <w:color w:val="231F20"/>
        </w:rPr>
        <w:t>En el momento del estudio, el ingreso percibido  por la actividad se acercaba a los </w:t>
      </w:r>
      <w:r>
        <w:rPr>
          <w:color w:val="231F20"/>
          <w:spacing w:val="-4"/>
        </w:rPr>
        <w:t>$1733, </w:t>
      </w:r>
      <w:r>
        <w:rPr>
          <w:color w:val="231F20"/>
        </w:rPr>
        <w:t>que se- gún la opinión de los productores alcanzaba para satisfacer las necesidades fundamentales de la unidad de producción, además de constituir una fuente de ahorro. Similares resultados encontra- ron </w:t>
      </w:r>
      <w:r>
        <w:rPr>
          <w:color w:val="231F20"/>
          <w:spacing w:val="-3"/>
        </w:rPr>
        <w:t>Val </w:t>
      </w:r>
      <w:r>
        <w:rPr>
          <w:i/>
          <w:color w:val="231F20"/>
        </w:rPr>
        <w:t>et al</w:t>
      </w:r>
      <w:r>
        <w:rPr>
          <w:color w:val="231F20"/>
        </w:rPr>
        <w:t>. </w:t>
      </w:r>
      <w:r>
        <w:rPr>
          <w:color w:val="231F20"/>
          <w:spacing w:val="-4"/>
        </w:rPr>
        <w:t>(2011) </w:t>
      </w:r>
      <w:r>
        <w:rPr>
          <w:color w:val="231F20"/>
        </w:rPr>
        <w:t>en una región  de  Michoa-  cán, donde el ingreso por animal fue de </w:t>
      </w:r>
      <w:r>
        <w:rPr>
          <w:color w:val="231F20"/>
          <w:spacing w:val="-9"/>
        </w:rPr>
        <w:t>$1797, </w:t>
      </w:r>
      <w:r>
        <w:rPr>
          <w:color w:val="231F20"/>
        </w:rPr>
        <w:t>así como Santos </w:t>
      </w:r>
      <w:r>
        <w:rPr>
          <w:i/>
          <w:color w:val="231F20"/>
        </w:rPr>
        <w:t>et al</w:t>
      </w:r>
      <w:r>
        <w:rPr>
          <w:color w:val="231F20"/>
        </w:rPr>
        <w:t>. </w:t>
      </w:r>
      <w:r>
        <w:rPr>
          <w:color w:val="231F20"/>
          <w:spacing w:val="-4"/>
        </w:rPr>
        <w:t>(2010), </w:t>
      </w:r>
      <w:r>
        <w:rPr>
          <w:color w:val="231F20"/>
          <w:spacing w:val="-3"/>
        </w:rPr>
        <w:t>Trujillo </w:t>
      </w:r>
      <w:r>
        <w:rPr>
          <w:i/>
          <w:color w:val="231F20"/>
        </w:rPr>
        <w:t>et al. </w:t>
      </w:r>
      <w:r>
        <w:rPr>
          <w:color w:val="231F20"/>
          <w:spacing w:val="-4"/>
        </w:rPr>
        <w:t>(2010), </w:t>
      </w:r>
      <w:r>
        <w:rPr>
          <w:color w:val="231F20"/>
        </w:rPr>
        <w:t>Hernández  </w:t>
      </w:r>
      <w:r>
        <w:rPr>
          <w:i/>
          <w:color w:val="231F20"/>
        </w:rPr>
        <w:t>et  al</w:t>
      </w:r>
      <w:r>
        <w:rPr>
          <w:color w:val="231F20"/>
        </w:rPr>
        <w:t>.  </w:t>
      </w:r>
      <w:r>
        <w:rPr>
          <w:color w:val="231F20"/>
          <w:spacing w:val="-4"/>
        </w:rPr>
        <w:t>(2011)  </w:t>
      </w:r>
      <w:r>
        <w:rPr>
          <w:color w:val="231F20"/>
        </w:rPr>
        <w:t>y  Jeannite </w:t>
      </w:r>
      <w:r>
        <w:rPr>
          <w:color w:val="231F20"/>
          <w:spacing w:val="18"/>
        </w:rPr>
        <w:t> </w:t>
      </w:r>
      <w:r>
        <w:rPr>
          <w:color w:val="231F20"/>
          <w:spacing w:val="-4"/>
        </w:rPr>
        <w:t>(2011).</w:t>
      </w:r>
    </w:p>
    <w:p>
      <w:pPr>
        <w:pStyle w:val="BodyText"/>
        <w:spacing w:line="256" w:lineRule="auto" w:before="112"/>
        <w:ind w:left="412" w:right="1551"/>
        <w:jc w:val="both"/>
      </w:pPr>
      <w:r>
        <w:rPr>
          <w:color w:val="231F20"/>
        </w:rPr>
        <w:t>Desde el punto de vista técnico-productivo, el nú- mero de cabezas por productor no pasaba de 20 (Cuadro 3), lo que concuerda con  lo  observado  por Santos </w:t>
      </w:r>
      <w:r>
        <w:rPr>
          <w:i/>
          <w:color w:val="231F20"/>
        </w:rPr>
        <w:t>et al</w:t>
      </w:r>
      <w:r>
        <w:rPr>
          <w:color w:val="231F20"/>
        </w:rPr>
        <w:t>. </w:t>
      </w:r>
      <w:r>
        <w:rPr>
          <w:color w:val="231F20"/>
          <w:spacing w:val="-4"/>
        </w:rPr>
        <w:t>(2010) </w:t>
      </w:r>
      <w:r>
        <w:rPr>
          <w:color w:val="231F20"/>
        </w:rPr>
        <w:t>y Arias </w:t>
      </w:r>
      <w:r>
        <w:rPr>
          <w:i/>
          <w:color w:val="231F20"/>
        </w:rPr>
        <w:t>et al</w:t>
      </w:r>
      <w:r>
        <w:rPr>
          <w:color w:val="231F20"/>
        </w:rPr>
        <w:t>. </w:t>
      </w:r>
      <w:r>
        <w:rPr>
          <w:color w:val="231F20"/>
          <w:spacing w:val="-4"/>
        </w:rPr>
        <w:t>(2011). </w:t>
      </w:r>
      <w:r>
        <w:rPr>
          <w:color w:val="231F20"/>
        </w:rPr>
        <w:t>La fertilidad y la muerte al destete eran del </w:t>
      </w:r>
      <w:r>
        <w:rPr>
          <w:color w:val="231F20"/>
          <w:spacing w:val="-4"/>
        </w:rPr>
        <w:t>74,1%  </w:t>
      </w:r>
      <w:r>
        <w:rPr>
          <w:color w:val="231F20"/>
        </w:rPr>
        <w:t>y   el 14,3%, respectivamente, similares a las repor- tadas por De Lucas y Arbiza </w:t>
      </w:r>
      <w:r>
        <w:rPr>
          <w:color w:val="231F20"/>
          <w:spacing w:val="-3"/>
        </w:rPr>
        <w:t>(2001)  </w:t>
      </w:r>
      <w:r>
        <w:rPr>
          <w:color w:val="231F20"/>
        </w:rPr>
        <w:t>y Hernández    </w:t>
      </w:r>
      <w:r>
        <w:rPr>
          <w:i/>
          <w:color w:val="231F20"/>
        </w:rPr>
        <w:t>et al</w:t>
      </w:r>
      <w:r>
        <w:rPr>
          <w:color w:val="231F20"/>
        </w:rPr>
        <w:t>. </w:t>
      </w:r>
      <w:r>
        <w:rPr>
          <w:color w:val="231F20"/>
          <w:spacing w:val="-4"/>
        </w:rPr>
        <w:t>(2011). </w:t>
      </w:r>
      <w:r>
        <w:rPr>
          <w:color w:val="231F20"/>
        </w:rPr>
        <w:t>El tiempo de pastoreo se ubicó en poco más de 8 horas (Cuadro 3), lo que concuer- da con los datos del </w:t>
      </w:r>
      <w:r>
        <w:rPr>
          <w:color w:val="231F20"/>
          <w:spacing w:val="3"/>
        </w:rPr>
        <w:t>FIRA </w:t>
      </w:r>
      <w:r>
        <w:rPr>
          <w:color w:val="231F20"/>
        </w:rPr>
        <w:t>(1999), de Castillo y García</w:t>
      </w:r>
      <w:r>
        <w:rPr>
          <w:color w:val="231F20"/>
          <w:spacing w:val="34"/>
        </w:rPr>
        <w:t> </w:t>
      </w:r>
      <w:r>
        <w:rPr>
          <w:color w:val="231F20"/>
        </w:rPr>
        <w:t>(2001),</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Arias</w:t>
      </w:r>
      <w:r>
        <w:rPr>
          <w:color w:val="231F20"/>
          <w:spacing w:val="34"/>
        </w:rPr>
        <w:t> </w:t>
      </w:r>
      <w:r>
        <w:rPr>
          <w:i/>
          <w:color w:val="231F20"/>
        </w:rPr>
        <w:t>et</w:t>
      </w:r>
      <w:r>
        <w:rPr>
          <w:i/>
          <w:color w:val="231F20"/>
          <w:spacing w:val="34"/>
        </w:rPr>
        <w:t> </w:t>
      </w:r>
      <w:r>
        <w:rPr>
          <w:i/>
          <w:color w:val="231F20"/>
        </w:rPr>
        <w:t>al</w:t>
      </w:r>
      <w:r>
        <w:rPr>
          <w:color w:val="231F20"/>
        </w:rPr>
        <w:t>.</w:t>
      </w:r>
      <w:r>
        <w:rPr>
          <w:color w:val="231F20"/>
          <w:spacing w:val="34"/>
        </w:rPr>
        <w:t> </w:t>
      </w:r>
      <w:r>
        <w:rPr>
          <w:color w:val="231F20"/>
          <w:spacing w:val="-4"/>
        </w:rPr>
        <w:t>(2011).</w:t>
      </w:r>
    </w:p>
    <w:p>
      <w:pPr>
        <w:pStyle w:val="BodyText"/>
        <w:spacing w:line="256" w:lineRule="auto" w:before="112"/>
        <w:ind w:left="412" w:right="1551"/>
        <w:jc w:val="both"/>
      </w:pPr>
      <w:r>
        <w:rPr>
          <w:color w:val="231F20"/>
        </w:rPr>
        <w:t>La comercialización de estos animales se realiza bajo un sistema que podría ser conceptualizado como  tradicional,  es  decir,  productor,  acopiador</w:t>
      </w:r>
    </w:p>
    <w:p>
      <w:pPr>
        <w:spacing w:after="0" w:line="256" w:lineRule="auto"/>
        <w:jc w:val="both"/>
        <w:sectPr>
          <w:type w:val="continuous"/>
          <w:pgSz w:w="11900" w:h="14450"/>
          <w:pgMar w:top="420" w:bottom="420" w:left="0" w:right="0"/>
          <w:cols w:num="2" w:equalWidth="0">
            <w:col w:w="5723" w:space="40"/>
            <w:col w:w="6137"/>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w w:val="105"/>
          <w:sz w:val="18"/>
        </w:rPr>
        <w:t>Capítulo </w:t>
      </w:r>
      <w:r>
        <w:rPr>
          <w:color w:val="231F20"/>
          <w:spacing w:val="-3"/>
          <w:w w:val="105"/>
          <w:sz w:val="18"/>
        </w:rPr>
        <w:t>13.  </w:t>
      </w:r>
      <w:r>
        <w:rPr>
          <w:color w:val="231F20"/>
          <w:w w:val="105"/>
          <w:sz w:val="18"/>
        </w:rPr>
        <w:t>Socioeconomía de la producción caprina en el sur del Estado </w:t>
      </w:r>
      <w:r>
        <w:rPr>
          <w:color w:val="231F20"/>
          <w:spacing w:val="29"/>
          <w:w w:val="105"/>
          <w:sz w:val="18"/>
        </w:rPr>
        <w:t> </w:t>
      </w:r>
      <w:r>
        <w:rPr>
          <w:color w:val="231F20"/>
          <w:w w:val="105"/>
          <w:sz w:val="18"/>
        </w:rPr>
        <w:t>de</w:t>
      </w:r>
      <w:r>
        <w:rPr>
          <w:color w:val="231F20"/>
          <w:spacing w:val="5"/>
          <w:w w:val="105"/>
          <w:sz w:val="18"/>
        </w:rPr>
        <w:t> </w:t>
      </w:r>
      <w:r>
        <w:rPr>
          <w:color w:val="231F20"/>
          <w:w w:val="105"/>
          <w:sz w:val="18"/>
        </w:rPr>
        <w:t>México...</w:t>
      </w:r>
      <w:r>
        <w:rPr>
          <w:color w:val="231F20"/>
          <w:w w:val="105"/>
          <w:sz w:val="22"/>
        </w:rPr>
        <w:tab/>
      </w:r>
      <w:r>
        <w:rPr>
          <w:color w:val="231F20"/>
          <w:spacing w:val="-8"/>
          <w:w w:val="105"/>
          <w:sz w:val="22"/>
        </w:rPr>
        <w:t>207</w:t>
      </w:r>
    </w:p>
    <w:p>
      <w:pPr>
        <w:spacing w:after="0"/>
        <w:jc w:val="left"/>
        <w:rPr>
          <w:sz w:val="22"/>
        </w:rPr>
        <w:sectPr>
          <w:pgSz w:w="11900" w:h="14450"/>
          <w:pgMar w:header="0" w:footer="222" w:top="420" w:bottom="420" w:left="0" w:right="0"/>
        </w:sectPr>
      </w:pPr>
    </w:p>
    <w:p>
      <w:pPr>
        <w:pStyle w:val="BodyText"/>
        <w:rPr>
          <w:sz w:val="18"/>
        </w:rPr>
      </w:pPr>
    </w:p>
    <w:p>
      <w:pPr>
        <w:spacing w:line="283" w:lineRule="auto" w:before="129"/>
        <w:ind w:left="1553" w:right="0" w:firstLine="0"/>
        <w:jc w:val="both"/>
        <w:rPr>
          <w:sz w:val="18"/>
        </w:rPr>
      </w:pPr>
      <w:r>
        <w:rPr/>
        <w:pict>
          <v:group style="position:absolute;margin-left:77.442902pt;margin-top:50.688633pt;width:208.35pt;height:20.65pt;mso-position-horizontal-relative:page;mso-position-vertical-relative:paragraph;z-index:6136;mso-wrap-distance-left:0;mso-wrap-distance-right:0" coordorigin="1549,1014" coordsize="4167,413">
            <v:line style="position:absolute" from="4256,1417" to="4256,1024" stroked="true" strokeweight=".5pt" strokecolor="#231f20"/>
            <v:line style="position:absolute" from="1554,1019" to="4256,1019" stroked="true" strokeweight=".5pt" strokecolor="#231f20"/>
            <v:line style="position:absolute" from="4256,1019" to="5711,1019" stroked="true" strokeweight=".5pt" strokecolor="#231f20"/>
            <v:line style="position:absolute" from="1554,1422" to="4256,1422" stroked="true" strokeweight=".5pt" strokecolor="#231f20"/>
            <v:line style="position:absolute" from="4256,1422" to="5711,1422" stroked="true" strokeweight=".5pt" strokecolor="#231f20"/>
            <v:shape style="position:absolute;left:2526;top:1149;width:758;height:180" type="#_x0000_t202" filled="false" stroked="false">
              <v:textbox inset="0,0,0,0">
                <w:txbxContent>
                  <w:p>
                    <w:pPr>
                      <w:spacing w:line="180" w:lineRule="exact" w:before="0"/>
                      <w:ind w:left="0" w:right="0" w:firstLine="0"/>
                      <w:jc w:val="left"/>
                      <w:rPr>
                        <w:rFonts w:ascii="Cambria"/>
                        <w:i/>
                        <w:sz w:val="18"/>
                      </w:rPr>
                    </w:pPr>
                    <w:r>
                      <w:rPr>
                        <w:rFonts w:ascii="Cambria"/>
                        <w:i/>
                        <w:color w:val="231F20"/>
                        <w:w w:val="105"/>
                        <w:sz w:val="18"/>
                      </w:rPr>
                      <w:t>Concepto</w:t>
                    </w:r>
                  </w:p>
                </w:txbxContent>
              </v:textbox>
              <w10:wrap type="none"/>
            </v:shape>
            <v:shape style="position:absolute;left:4779;top:1149;width:409;height:180" type="#_x0000_t202" filled="false" stroked="false">
              <v:textbox inset="0,0,0,0">
                <w:txbxContent>
                  <w:p>
                    <w:pPr>
                      <w:spacing w:line="180" w:lineRule="exact" w:before="0"/>
                      <w:ind w:left="0" w:right="-12" w:firstLine="0"/>
                      <w:jc w:val="left"/>
                      <w:rPr>
                        <w:rFonts w:ascii="Cambria"/>
                        <w:i/>
                        <w:sz w:val="18"/>
                      </w:rPr>
                    </w:pPr>
                    <w:r>
                      <w:rPr>
                        <w:rFonts w:ascii="Cambria"/>
                        <w:i/>
                        <w:color w:val="231F20"/>
                        <w:spacing w:val="-2"/>
                        <w:sz w:val="18"/>
                      </w:rPr>
                      <w:t>Valor</w:t>
                    </w:r>
                  </w:p>
                </w:txbxContent>
              </v:textbox>
              <w10:wrap type="none"/>
            </v:shape>
            <w10:wrap type="topAndBottom"/>
          </v:group>
        </w:pict>
      </w:r>
      <w:r>
        <w:rPr>
          <w:color w:val="231F20"/>
          <w:sz w:val="18"/>
        </w:rPr>
        <w:t>Cuadro 3. Características socio-técnicas de la produc- ción de caprinos en las zonas del sur del Estado de México estudiadas.</w:t>
      </w:r>
    </w:p>
    <w:p>
      <w:pPr>
        <w:spacing w:before="61"/>
        <w:ind w:left="1667" w:right="0" w:firstLine="0"/>
        <w:jc w:val="left"/>
        <w:rPr>
          <w:sz w:val="17"/>
        </w:rPr>
      </w:pPr>
      <w:r>
        <w:rPr>
          <w:color w:val="231F20"/>
          <w:sz w:val="17"/>
        </w:rPr>
        <w:t>Adquisición  de animales</w:t>
      </w:r>
    </w:p>
    <w:p>
      <w:pPr>
        <w:pStyle w:val="BodyText"/>
        <w:spacing w:before="6"/>
        <w:rPr>
          <w:sz w:val="6"/>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02"/>
        <w:gridCol w:w="1455"/>
      </w:tblGrid>
      <w:tr>
        <w:trPr>
          <w:trHeight w:val="388" w:hRule="exact"/>
        </w:trPr>
        <w:tc>
          <w:tcPr>
            <w:tcW w:w="2702" w:type="dxa"/>
            <w:tcBorders>
              <w:left w:val="nil"/>
            </w:tcBorders>
          </w:tcPr>
          <w:p>
            <w:pPr>
              <w:pStyle w:val="TableParagraph"/>
              <w:spacing w:before="90"/>
              <w:ind w:left="283"/>
              <w:rPr>
                <w:sz w:val="17"/>
              </w:rPr>
            </w:pPr>
            <w:r>
              <w:rPr>
                <w:color w:val="231F20"/>
                <w:sz w:val="17"/>
              </w:rPr>
              <w:t>Compra directa</w:t>
            </w:r>
          </w:p>
        </w:tc>
        <w:tc>
          <w:tcPr>
            <w:tcW w:w="1455" w:type="dxa"/>
            <w:tcBorders>
              <w:right w:val="nil"/>
            </w:tcBorders>
          </w:tcPr>
          <w:p>
            <w:pPr>
              <w:pStyle w:val="TableParagraph"/>
              <w:spacing w:before="90"/>
              <w:ind w:left="189" w:right="192"/>
              <w:jc w:val="center"/>
              <w:rPr>
                <w:sz w:val="17"/>
              </w:rPr>
            </w:pPr>
            <w:r>
              <w:rPr>
                <w:color w:val="231F20"/>
                <w:w w:val="120"/>
                <w:sz w:val="17"/>
              </w:rPr>
              <w:t>67%</w:t>
            </w:r>
          </w:p>
        </w:tc>
      </w:tr>
      <w:tr>
        <w:trPr>
          <w:trHeight w:val="388" w:hRule="exact"/>
        </w:trPr>
        <w:tc>
          <w:tcPr>
            <w:tcW w:w="2702" w:type="dxa"/>
            <w:tcBorders>
              <w:left w:val="nil"/>
            </w:tcBorders>
          </w:tcPr>
          <w:p>
            <w:pPr>
              <w:pStyle w:val="TableParagraph"/>
              <w:spacing w:before="90"/>
              <w:ind w:left="283"/>
              <w:rPr>
                <w:sz w:val="17"/>
              </w:rPr>
            </w:pPr>
            <w:r>
              <w:rPr>
                <w:color w:val="231F20"/>
                <w:sz w:val="17"/>
              </w:rPr>
              <w:t>Herencia</w:t>
            </w:r>
          </w:p>
        </w:tc>
        <w:tc>
          <w:tcPr>
            <w:tcW w:w="1455" w:type="dxa"/>
            <w:tcBorders>
              <w:right w:val="nil"/>
            </w:tcBorders>
          </w:tcPr>
          <w:p>
            <w:pPr>
              <w:pStyle w:val="TableParagraph"/>
              <w:spacing w:before="90"/>
              <w:ind w:left="189" w:right="192"/>
              <w:jc w:val="center"/>
              <w:rPr>
                <w:sz w:val="17"/>
              </w:rPr>
            </w:pPr>
            <w:r>
              <w:rPr>
                <w:color w:val="231F20"/>
                <w:w w:val="120"/>
                <w:sz w:val="17"/>
              </w:rPr>
              <w:t>28%</w:t>
            </w:r>
          </w:p>
        </w:tc>
      </w:tr>
      <w:tr>
        <w:trPr>
          <w:trHeight w:val="388" w:hRule="exact"/>
        </w:trPr>
        <w:tc>
          <w:tcPr>
            <w:tcW w:w="2702" w:type="dxa"/>
            <w:tcBorders>
              <w:left w:val="nil"/>
            </w:tcBorders>
          </w:tcPr>
          <w:p>
            <w:pPr>
              <w:pStyle w:val="TableParagraph"/>
              <w:spacing w:before="90"/>
              <w:ind w:left="283"/>
              <w:rPr>
                <w:sz w:val="17"/>
              </w:rPr>
            </w:pPr>
            <w:r>
              <w:rPr>
                <w:color w:val="231F20"/>
                <w:sz w:val="17"/>
              </w:rPr>
              <w:t>A medias</w:t>
            </w:r>
          </w:p>
        </w:tc>
        <w:tc>
          <w:tcPr>
            <w:tcW w:w="1455" w:type="dxa"/>
            <w:tcBorders>
              <w:right w:val="nil"/>
            </w:tcBorders>
          </w:tcPr>
          <w:p>
            <w:pPr>
              <w:pStyle w:val="TableParagraph"/>
              <w:spacing w:before="90"/>
              <w:ind w:left="189" w:right="109"/>
              <w:jc w:val="center"/>
              <w:rPr>
                <w:sz w:val="17"/>
              </w:rPr>
            </w:pPr>
            <w:r>
              <w:rPr>
                <w:color w:val="231F20"/>
                <w:w w:val="125"/>
                <w:sz w:val="17"/>
              </w:rPr>
              <w:t>4%</w:t>
            </w:r>
          </w:p>
        </w:tc>
      </w:tr>
      <w:tr>
        <w:trPr>
          <w:trHeight w:val="388" w:hRule="exact"/>
        </w:trPr>
        <w:tc>
          <w:tcPr>
            <w:tcW w:w="2702" w:type="dxa"/>
            <w:tcBorders>
              <w:left w:val="nil"/>
            </w:tcBorders>
          </w:tcPr>
          <w:p>
            <w:pPr>
              <w:pStyle w:val="TableParagraph"/>
              <w:spacing w:before="90"/>
              <w:ind w:left="283"/>
              <w:rPr>
                <w:sz w:val="17"/>
              </w:rPr>
            </w:pPr>
            <w:r>
              <w:rPr>
                <w:color w:val="231F20"/>
                <w:sz w:val="17"/>
              </w:rPr>
              <w:t>Otras formas</w:t>
            </w:r>
          </w:p>
        </w:tc>
        <w:tc>
          <w:tcPr>
            <w:tcW w:w="1455" w:type="dxa"/>
            <w:tcBorders>
              <w:right w:val="nil"/>
            </w:tcBorders>
          </w:tcPr>
          <w:p>
            <w:pPr>
              <w:pStyle w:val="TableParagraph"/>
              <w:spacing w:before="90"/>
              <w:ind w:left="189" w:right="116"/>
              <w:jc w:val="center"/>
              <w:rPr>
                <w:sz w:val="17"/>
              </w:rPr>
            </w:pPr>
            <w:r>
              <w:rPr>
                <w:color w:val="231F20"/>
                <w:w w:val="125"/>
                <w:sz w:val="17"/>
              </w:rPr>
              <w:t>1%</w:t>
            </w:r>
          </w:p>
        </w:tc>
      </w:tr>
    </w:tbl>
    <w:p>
      <w:pPr>
        <w:spacing w:before="91"/>
        <w:ind w:left="1667" w:right="0" w:firstLine="0"/>
        <w:jc w:val="left"/>
        <w:rPr>
          <w:sz w:val="17"/>
        </w:rPr>
      </w:pPr>
      <w:r>
        <w:rPr>
          <w:color w:val="231F20"/>
          <w:sz w:val="17"/>
        </w:rPr>
        <w:t>Objetivo de la explotación</w:t>
      </w:r>
    </w:p>
    <w:p>
      <w:pPr>
        <w:pStyle w:val="BodyText"/>
        <w:spacing w:before="6"/>
        <w:rPr>
          <w:sz w:val="6"/>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02"/>
        <w:gridCol w:w="1455"/>
      </w:tblGrid>
      <w:tr>
        <w:trPr>
          <w:trHeight w:val="388" w:hRule="exact"/>
        </w:trPr>
        <w:tc>
          <w:tcPr>
            <w:tcW w:w="2702" w:type="dxa"/>
            <w:tcBorders>
              <w:left w:val="nil"/>
            </w:tcBorders>
          </w:tcPr>
          <w:p>
            <w:pPr>
              <w:pStyle w:val="TableParagraph"/>
              <w:spacing w:before="90"/>
              <w:ind w:left="283"/>
              <w:rPr>
                <w:sz w:val="17"/>
              </w:rPr>
            </w:pPr>
            <w:r>
              <w:rPr>
                <w:color w:val="231F20"/>
                <w:sz w:val="17"/>
              </w:rPr>
              <w:t>Cría y engorda</w:t>
            </w:r>
          </w:p>
        </w:tc>
        <w:tc>
          <w:tcPr>
            <w:tcW w:w="1455" w:type="dxa"/>
            <w:tcBorders>
              <w:right w:val="nil"/>
            </w:tcBorders>
          </w:tcPr>
          <w:p>
            <w:pPr>
              <w:pStyle w:val="TableParagraph"/>
              <w:spacing w:before="90"/>
              <w:ind w:left="189" w:right="192"/>
              <w:jc w:val="center"/>
              <w:rPr>
                <w:sz w:val="17"/>
              </w:rPr>
            </w:pPr>
            <w:r>
              <w:rPr>
                <w:color w:val="231F20"/>
                <w:w w:val="120"/>
                <w:sz w:val="17"/>
              </w:rPr>
              <w:t>76%</w:t>
            </w:r>
          </w:p>
        </w:tc>
      </w:tr>
      <w:tr>
        <w:trPr>
          <w:trHeight w:val="388" w:hRule="exact"/>
        </w:trPr>
        <w:tc>
          <w:tcPr>
            <w:tcW w:w="2702" w:type="dxa"/>
            <w:tcBorders>
              <w:left w:val="nil"/>
            </w:tcBorders>
          </w:tcPr>
          <w:p>
            <w:pPr>
              <w:pStyle w:val="TableParagraph"/>
              <w:spacing w:before="90"/>
              <w:ind w:left="283"/>
              <w:rPr>
                <w:sz w:val="17"/>
              </w:rPr>
            </w:pPr>
            <w:r>
              <w:rPr>
                <w:color w:val="231F20"/>
                <w:sz w:val="17"/>
              </w:rPr>
              <w:t>Engorda</w:t>
            </w:r>
          </w:p>
        </w:tc>
        <w:tc>
          <w:tcPr>
            <w:tcW w:w="1455" w:type="dxa"/>
            <w:tcBorders>
              <w:right w:val="nil"/>
            </w:tcBorders>
          </w:tcPr>
          <w:p>
            <w:pPr>
              <w:pStyle w:val="TableParagraph"/>
              <w:spacing w:before="90"/>
              <w:ind w:left="189" w:right="192"/>
              <w:jc w:val="center"/>
              <w:rPr>
                <w:sz w:val="17"/>
              </w:rPr>
            </w:pPr>
            <w:r>
              <w:rPr>
                <w:color w:val="231F20"/>
                <w:w w:val="120"/>
                <w:sz w:val="17"/>
              </w:rPr>
              <w:t>10%</w:t>
            </w:r>
          </w:p>
        </w:tc>
      </w:tr>
      <w:tr>
        <w:trPr>
          <w:trHeight w:val="388" w:hRule="exact"/>
        </w:trPr>
        <w:tc>
          <w:tcPr>
            <w:tcW w:w="2702" w:type="dxa"/>
            <w:tcBorders>
              <w:left w:val="nil"/>
            </w:tcBorders>
          </w:tcPr>
          <w:p>
            <w:pPr>
              <w:pStyle w:val="TableParagraph"/>
              <w:spacing w:before="90"/>
              <w:ind w:left="283"/>
              <w:rPr>
                <w:sz w:val="17"/>
              </w:rPr>
            </w:pPr>
            <w:r>
              <w:rPr>
                <w:color w:val="231F20"/>
                <w:sz w:val="17"/>
              </w:rPr>
              <w:t>Venta al destete</w:t>
            </w:r>
          </w:p>
        </w:tc>
        <w:tc>
          <w:tcPr>
            <w:tcW w:w="1455" w:type="dxa"/>
            <w:tcBorders>
              <w:right w:val="nil"/>
            </w:tcBorders>
          </w:tcPr>
          <w:p>
            <w:pPr>
              <w:pStyle w:val="TableParagraph"/>
              <w:spacing w:before="90"/>
              <w:ind w:left="189" w:right="192"/>
              <w:jc w:val="center"/>
              <w:rPr>
                <w:sz w:val="17"/>
              </w:rPr>
            </w:pPr>
            <w:r>
              <w:rPr>
                <w:color w:val="231F20"/>
                <w:w w:val="120"/>
                <w:sz w:val="17"/>
              </w:rPr>
              <w:t>10%</w:t>
            </w:r>
          </w:p>
        </w:tc>
      </w:tr>
      <w:tr>
        <w:trPr>
          <w:trHeight w:val="388" w:hRule="exact"/>
        </w:trPr>
        <w:tc>
          <w:tcPr>
            <w:tcW w:w="2702" w:type="dxa"/>
            <w:tcBorders>
              <w:left w:val="nil"/>
            </w:tcBorders>
          </w:tcPr>
          <w:p>
            <w:pPr>
              <w:pStyle w:val="TableParagraph"/>
              <w:spacing w:before="90"/>
              <w:ind w:left="283"/>
              <w:rPr>
                <w:sz w:val="17"/>
              </w:rPr>
            </w:pPr>
            <w:r>
              <w:rPr>
                <w:color w:val="231F20"/>
                <w:sz w:val="17"/>
              </w:rPr>
              <w:t>Otros fines</w:t>
            </w:r>
          </w:p>
        </w:tc>
        <w:tc>
          <w:tcPr>
            <w:tcW w:w="1455" w:type="dxa"/>
            <w:tcBorders>
              <w:right w:val="nil"/>
            </w:tcBorders>
          </w:tcPr>
          <w:p>
            <w:pPr>
              <w:pStyle w:val="TableParagraph"/>
              <w:spacing w:before="90"/>
              <w:ind w:left="189" w:right="109"/>
              <w:jc w:val="center"/>
              <w:rPr>
                <w:sz w:val="17"/>
              </w:rPr>
            </w:pPr>
            <w:r>
              <w:rPr>
                <w:color w:val="231F20"/>
                <w:w w:val="125"/>
                <w:sz w:val="17"/>
              </w:rPr>
              <w:t>4%</w:t>
            </w:r>
          </w:p>
        </w:tc>
      </w:tr>
    </w:tbl>
    <w:p>
      <w:pPr>
        <w:spacing w:before="91"/>
        <w:ind w:left="1667" w:right="0" w:firstLine="0"/>
        <w:jc w:val="left"/>
        <w:rPr>
          <w:sz w:val="17"/>
        </w:rPr>
      </w:pPr>
      <w:r>
        <w:rPr>
          <w:color w:val="231F20"/>
          <w:w w:val="105"/>
          <w:sz w:val="17"/>
        </w:rPr>
        <w:t>Causas de venta de animales</w:t>
      </w:r>
    </w:p>
    <w:p>
      <w:pPr>
        <w:pStyle w:val="BodyText"/>
        <w:spacing w:before="6"/>
        <w:rPr>
          <w:sz w:val="6"/>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02"/>
        <w:gridCol w:w="1455"/>
      </w:tblGrid>
      <w:tr>
        <w:trPr>
          <w:trHeight w:val="388" w:hRule="exact"/>
        </w:trPr>
        <w:tc>
          <w:tcPr>
            <w:tcW w:w="2702" w:type="dxa"/>
            <w:tcBorders>
              <w:left w:val="nil"/>
            </w:tcBorders>
          </w:tcPr>
          <w:p>
            <w:pPr>
              <w:pStyle w:val="TableParagraph"/>
              <w:spacing w:before="90"/>
              <w:ind w:left="283"/>
              <w:rPr>
                <w:sz w:val="17"/>
              </w:rPr>
            </w:pPr>
            <w:r>
              <w:rPr>
                <w:color w:val="231F20"/>
                <w:sz w:val="17"/>
              </w:rPr>
              <w:t>Por necesidad</w:t>
            </w:r>
          </w:p>
        </w:tc>
        <w:tc>
          <w:tcPr>
            <w:tcW w:w="1455" w:type="dxa"/>
            <w:tcBorders>
              <w:right w:val="nil"/>
            </w:tcBorders>
          </w:tcPr>
          <w:p>
            <w:pPr>
              <w:pStyle w:val="TableParagraph"/>
              <w:spacing w:before="90"/>
              <w:ind w:left="189" w:right="193"/>
              <w:jc w:val="center"/>
              <w:rPr>
                <w:sz w:val="17"/>
              </w:rPr>
            </w:pPr>
            <w:r>
              <w:rPr>
                <w:color w:val="231F20"/>
                <w:w w:val="120"/>
                <w:sz w:val="17"/>
              </w:rPr>
              <w:t>85%</w:t>
            </w:r>
          </w:p>
        </w:tc>
      </w:tr>
      <w:tr>
        <w:trPr>
          <w:trHeight w:val="388" w:hRule="exact"/>
        </w:trPr>
        <w:tc>
          <w:tcPr>
            <w:tcW w:w="2702" w:type="dxa"/>
            <w:tcBorders>
              <w:left w:val="nil"/>
            </w:tcBorders>
          </w:tcPr>
          <w:p>
            <w:pPr>
              <w:pStyle w:val="TableParagraph"/>
              <w:spacing w:before="90"/>
              <w:ind w:left="283"/>
              <w:rPr>
                <w:sz w:val="17"/>
              </w:rPr>
            </w:pPr>
            <w:r>
              <w:rPr>
                <w:color w:val="231F20"/>
                <w:sz w:val="17"/>
              </w:rPr>
              <w:t>Por viejos</w:t>
            </w:r>
          </w:p>
        </w:tc>
        <w:tc>
          <w:tcPr>
            <w:tcW w:w="1455" w:type="dxa"/>
            <w:tcBorders>
              <w:right w:val="nil"/>
            </w:tcBorders>
          </w:tcPr>
          <w:p>
            <w:pPr>
              <w:pStyle w:val="TableParagraph"/>
              <w:spacing w:before="90"/>
              <w:ind w:left="189" w:right="109"/>
              <w:jc w:val="center"/>
              <w:rPr>
                <w:sz w:val="17"/>
              </w:rPr>
            </w:pPr>
            <w:r>
              <w:rPr>
                <w:color w:val="231F20"/>
                <w:w w:val="125"/>
                <w:sz w:val="17"/>
              </w:rPr>
              <w:t>5%</w:t>
            </w:r>
          </w:p>
        </w:tc>
      </w:tr>
      <w:tr>
        <w:trPr>
          <w:trHeight w:val="388" w:hRule="exact"/>
        </w:trPr>
        <w:tc>
          <w:tcPr>
            <w:tcW w:w="2702" w:type="dxa"/>
            <w:tcBorders>
              <w:left w:val="nil"/>
            </w:tcBorders>
          </w:tcPr>
          <w:p>
            <w:pPr>
              <w:pStyle w:val="TableParagraph"/>
              <w:spacing w:before="90"/>
              <w:ind w:left="283"/>
              <w:rPr>
                <w:sz w:val="17"/>
              </w:rPr>
            </w:pPr>
            <w:r>
              <w:rPr>
                <w:color w:val="231F20"/>
                <w:sz w:val="17"/>
              </w:rPr>
              <w:t>Trueque</w:t>
            </w:r>
          </w:p>
        </w:tc>
        <w:tc>
          <w:tcPr>
            <w:tcW w:w="1455" w:type="dxa"/>
            <w:tcBorders>
              <w:right w:val="nil"/>
            </w:tcBorders>
          </w:tcPr>
          <w:p>
            <w:pPr>
              <w:pStyle w:val="TableParagraph"/>
              <w:spacing w:before="90"/>
              <w:ind w:left="189" w:right="192"/>
              <w:jc w:val="center"/>
              <w:rPr>
                <w:sz w:val="17"/>
              </w:rPr>
            </w:pPr>
            <w:r>
              <w:rPr>
                <w:color w:val="231F20"/>
                <w:w w:val="120"/>
                <w:sz w:val="17"/>
              </w:rPr>
              <w:t>10%</w:t>
            </w:r>
          </w:p>
        </w:tc>
      </w:tr>
    </w:tbl>
    <w:p>
      <w:pPr>
        <w:spacing w:before="91"/>
        <w:ind w:left="1667" w:right="0" w:firstLine="0"/>
        <w:jc w:val="left"/>
        <w:rPr>
          <w:sz w:val="17"/>
        </w:rPr>
      </w:pPr>
      <w:r>
        <w:rPr>
          <w:color w:val="231F20"/>
          <w:sz w:val="17"/>
        </w:rPr>
        <w:t>Tenencia de la tierra</w:t>
      </w:r>
    </w:p>
    <w:p>
      <w:pPr>
        <w:pStyle w:val="BodyText"/>
        <w:spacing w:before="6"/>
        <w:rPr>
          <w:sz w:val="6"/>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702"/>
        <w:gridCol w:w="1455"/>
      </w:tblGrid>
      <w:tr>
        <w:trPr>
          <w:trHeight w:val="388" w:hRule="exact"/>
        </w:trPr>
        <w:tc>
          <w:tcPr>
            <w:tcW w:w="2702" w:type="dxa"/>
            <w:tcBorders>
              <w:left w:val="nil"/>
            </w:tcBorders>
          </w:tcPr>
          <w:p>
            <w:pPr>
              <w:pStyle w:val="TableParagraph"/>
              <w:spacing w:before="90"/>
              <w:ind w:left="283"/>
              <w:rPr>
                <w:sz w:val="17"/>
              </w:rPr>
            </w:pPr>
            <w:r>
              <w:rPr>
                <w:color w:val="231F20"/>
                <w:sz w:val="17"/>
              </w:rPr>
              <w:t>Propiedad privada</w:t>
            </w:r>
          </w:p>
        </w:tc>
        <w:tc>
          <w:tcPr>
            <w:tcW w:w="1455" w:type="dxa"/>
            <w:tcBorders>
              <w:right w:val="nil"/>
            </w:tcBorders>
          </w:tcPr>
          <w:p>
            <w:pPr>
              <w:pStyle w:val="TableParagraph"/>
              <w:spacing w:before="90"/>
              <w:ind w:left="189" w:right="193"/>
              <w:jc w:val="center"/>
              <w:rPr>
                <w:sz w:val="17"/>
              </w:rPr>
            </w:pPr>
            <w:r>
              <w:rPr>
                <w:color w:val="231F20"/>
                <w:w w:val="120"/>
                <w:sz w:val="17"/>
              </w:rPr>
              <w:t>100%</w:t>
            </w:r>
          </w:p>
        </w:tc>
      </w:tr>
      <w:tr>
        <w:trPr>
          <w:trHeight w:val="388" w:hRule="exact"/>
        </w:trPr>
        <w:tc>
          <w:tcPr>
            <w:tcW w:w="2702" w:type="dxa"/>
            <w:tcBorders>
              <w:left w:val="nil"/>
            </w:tcBorders>
          </w:tcPr>
          <w:p>
            <w:pPr>
              <w:pStyle w:val="TableParagraph"/>
              <w:spacing w:before="90"/>
              <w:ind w:left="113"/>
              <w:rPr>
                <w:sz w:val="17"/>
              </w:rPr>
            </w:pPr>
            <w:r>
              <w:rPr>
                <w:color w:val="231F20"/>
                <w:sz w:val="17"/>
              </w:rPr>
              <w:t>Integrantes de la familia  (hijos)</w:t>
            </w:r>
          </w:p>
        </w:tc>
        <w:tc>
          <w:tcPr>
            <w:tcW w:w="1455" w:type="dxa"/>
            <w:tcBorders>
              <w:right w:val="nil"/>
            </w:tcBorders>
          </w:tcPr>
          <w:p>
            <w:pPr>
              <w:pStyle w:val="TableParagraph"/>
              <w:spacing w:before="90"/>
              <w:ind w:left="189" w:right="193"/>
              <w:jc w:val="center"/>
              <w:rPr>
                <w:sz w:val="17"/>
              </w:rPr>
            </w:pPr>
            <w:r>
              <w:rPr>
                <w:color w:val="231F20"/>
                <w:w w:val="115"/>
                <w:sz w:val="17"/>
              </w:rPr>
              <w:t>6,2 ± 4,8</w:t>
            </w:r>
          </w:p>
        </w:tc>
      </w:tr>
      <w:tr>
        <w:trPr>
          <w:trHeight w:val="388" w:hRule="exact"/>
        </w:trPr>
        <w:tc>
          <w:tcPr>
            <w:tcW w:w="2702" w:type="dxa"/>
            <w:tcBorders>
              <w:left w:val="nil"/>
            </w:tcBorders>
          </w:tcPr>
          <w:p>
            <w:pPr>
              <w:pStyle w:val="TableParagraph"/>
              <w:spacing w:before="90"/>
              <w:ind w:left="113"/>
              <w:rPr>
                <w:sz w:val="17"/>
              </w:rPr>
            </w:pPr>
            <w:r>
              <w:rPr>
                <w:color w:val="231F20"/>
                <w:sz w:val="17"/>
              </w:rPr>
              <w:t>Edad del jefe de familia   (años)</w:t>
            </w:r>
          </w:p>
        </w:tc>
        <w:tc>
          <w:tcPr>
            <w:tcW w:w="1455" w:type="dxa"/>
            <w:tcBorders>
              <w:right w:val="nil"/>
            </w:tcBorders>
          </w:tcPr>
          <w:p>
            <w:pPr>
              <w:pStyle w:val="TableParagraph"/>
              <w:spacing w:before="90"/>
              <w:ind w:left="189" w:right="193"/>
              <w:jc w:val="center"/>
              <w:rPr>
                <w:sz w:val="17"/>
              </w:rPr>
            </w:pPr>
            <w:r>
              <w:rPr>
                <w:color w:val="231F20"/>
                <w:w w:val="120"/>
                <w:sz w:val="17"/>
              </w:rPr>
              <w:t>52 ± 14</w:t>
            </w:r>
          </w:p>
        </w:tc>
      </w:tr>
      <w:tr>
        <w:trPr>
          <w:trHeight w:val="388" w:hRule="exact"/>
        </w:trPr>
        <w:tc>
          <w:tcPr>
            <w:tcW w:w="2702" w:type="dxa"/>
            <w:tcBorders>
              <w:left w:val="nil"/>
            </w:tcBorders>
          </w:tcPr>
          <w:p>
            <w:pPr>
              <w:pStyle w:val="TableParagraph"/>
              <w:spacing w:before="90"/>
              <w:ind w:left="113"/>
              <w:rPr>
                <w:sz w:val="17"/>
              </w:rPr>
            </w:pPr>
            <w:r>
              <w:rPr>
                <w:color w:val="231F20"/>
                <w:sz w:val="17"/>
              </w:rPr>
              <w:t>Escolaridad  del  productor (años)</w:t>
            </w:r>
          </w:p>
        </w:tc>
        <w:tc>
          <w:tcPr>
            <w:tcW w:w="1455" w:type="dxa"/>
            <w:tcBorders>
              <w:right w:val="nil"/>
            </w:tcBorders>
          </w:tcPr>
          <w:p>
            <w:pPr>
              <w:pStyle w:val="TableParagraph"/>
              <w:spacing w:before="90"/>
              <w:ind w:left="189" w:right="193"/>
              <w:jc w:val="center"/>
              <w:rPr>
                <w:sz w:val="17"/>
              </w:rPr>
            </w:pPr>
            <w:r>
              <w:rPr>
                <w:color w:val="231F20"/>
                <w:w w:val="115"/>
                <w:sz w:val="17"/>
              </w:rPr>
              <w:t>3,2 ± 3,2</w:t>
            </w:r>
          </w:p>
        </w:tc>
      </w:tr>
      <w:tr>
        <w:trPr>
          <w:trHeight w:val="388" w:hRule="exact"/>
        </w:trPr>
        <w:tc>
          <w:tcPr>
            <w:tcW w:w="2702" w:type="dxa"/>
            <w:tcBorders>
              <w:left w:val="nil"/>
            </w:tcBorders>
          </w:tcPr>
          <w:p>
            <w:pPr>
              <w:pStyle w:val="TableParagraph"/>
              <w:spacing w:before="90"/>
              <w:ind w:left="113"/>
              <w:rPr>
                <w:sz w:val="17"/>
              </w:rPr>
            </w:pPr>
            <w:r>
              <w:rPr>
                <w:color w:val="231F20"/>
                <w:w w:val="105"/>
                <w:sz w:val="17"/>
              </w:rPr>
              <w:t>Ingreso mensual (pesos)</w:t>
            </w:r>
          </w:p>
        </w:tc>
        <w:tc>
          <w:tcPr>
            <w:tcW w:w="1455" w:type="dxa"/>
            <w:tcBorders>
              <w:right w:val="nil"/>
            </w:tcBorders>
          </w:tcPr>
          <w:p>
            <w:pPr>
              <w:pStyle w:val="TableParagraph"/>
              <w:spacing w:before="90"/>
              <w:ind w:left="189" w:right="199"/>
              <w:jc w:val="center"/>
              <w:rPr>
                <w:sz w:val="17"/>
              </w:rPr>
            </w:pPr>
            <w:r>
              <w:rPr>
                <w:color w:val="231F20"/>
                <w:w w:val="120"/>
                <w:sz w:val="17"/>
              </w:rPr>
              <w:t>1733 ± 1379</w:t>
            </w:r>
          </w:p>
        </w:tc>
      </w:tr>
      <w:tr>
        <w:trPr>
          <w:trHeight w:val="388" w:hRule="exact"/>
        </w:trPr>
        <w:tc>
          <w:tcPr>
            <w:tcW w:w="2702" w:type="dxa"/>
            <w:tcBorders>
              <w:left w:val="nil"/>
            </w:tcBorders>
          </w:tcPr>
          <w:p>
            <w:pPr>
              <w:pStyle w:val="TableParagraph"/>
              <w:spacing w:before="90"/>
              <w:ind w:left="113"/>
              <w:rPr>
                <w:sz w:val="17"/>
              </w:rPr>
            </w:pPr>
            <w:r>
              <w:rPr>
                <w:color w:val="231F20"/>
                <w:w w:val="105"/>
                <w:sz w:val="17"/>
              </w:rPr>
              <w:t>Tamaño del rebaño (cabezas)</w:t>
            </w:r>
          </w:p>
        </w:tc>
        <w:tc>
          <w:tcPr>
            <w:tcW w:w="1455" w:type="dxa"/>
            <w:tcBorders>
              <w:right w:val="nil"/>
            </w:tcBorders>
          </w:tcPr>
          <w:p>
            <w:pPr>
              <w:pStyle w:val="TableParagraph"/>
              <w:spacing w:before="90"/>
              <w:ind w:left="189" w:right="193"/>
              <w:jc w:val="center"/>
              <w:rPr>
                <w:sz w:val="17"/>
              </w:rPr>
            </w:pPr>
            <w:r>
              <w:rPr>
                <w:color w:val="231F20"/>
                <w:w w:val="120"/>
                <w:sz w:val="17"/>
              </w:rPr>
              <w:t>20 ± 14</w:t>
            </w:r>
          </w:p>
        </w:tc>
      </w:tr>
      <w:tr>
        <w:trPr>
          <w:trHeight w:val="388" w:hRule="exact"/>
        </w:trPr>
        <w:tc>
          <w:tcPr>
            <w:tcW w:w="2702" w:type="dxa"/>
            <w:tcBorders>
              <w:left w:val="nil"/>
            </w:tcBorders>
          </w:tcPr>
          <w:p>
            <w:pPr>
              <w:pStyle w:val="TableParagraph"/>
              <w:spacing w:before="90"/>
              <w:ind w:left="113"/>
              <w:rPr>
                <w:sz w:val="17"/>
              </w:rPr>
            </w:pPr>
            <w:r>
              <w:rPr>
                <w:color w:val="231F20"/>
                <w:w w:val="105"/>
                <w:sz w:val="17"/>
              </w:rPr>
              <w:t>Fertilidad de las hembras (%)</w:t>
            </w:r>
          </w:p>
        </w:tc>
        <w:tc>
          <w:tcPr>
            <w:tcW w:w="1455" w:type="dxa"/>
            <w:tcBorders>
              <w:right w:val="nil"/>
            </w:tcBorders>
          </w:tcPr>
          <w:p>
            <w:pPr>
              <w:pStyle w:val="TableParagraph"/>
              <w:spacing w:before="90"/>
              <w:ind w:left="189" w:right="193"/>
              <w:jc w:val="center"/>
              <w:rPr>
                <w:sz w:val="17"/>
              </w:rPr>
            </w:pPr>
            <w:r>
              <w:rPr>
                <w:color w:val="231F20"/>
                <w:w w:val="115"/>
                <w:sz w:val="17"/>
              </w:rPr>
              <w:t>74,1 ± 24,1</w:t>
            </w:r>
          </w:p>
        </w:tc>
      </w:tr>
      <w:tr>
        <w:trPr>
          <w:trHeight w:val="388" w:hRule="exact"/>
        </w:trPr>
        <w:tc>
          <w:tcPr>
            <w:tcW w:w="2702" w:type="dxa"/>
            <w:tcBorders>
              <w:left w:val="nil"/>
            </w:tcBorders>
          </w:tcPr>
          <w:p>
            <w:pPr>
              <w:pStyle w:val="TableParagraph"/>
              <w:spacing w:before="90"/>
              <w:ind w:left="113"/>
              <w:rPr>
                <w:sz w:val="17"/>
              </w:rPr>
            </w:pPr>
            <w:r>
              <w:rPr>
                <w:color w:val="231F20"/>
                <w:w w:val="105"/>
                <w:sz w:val="17"/>
              </w:rPr>
              <w:t>Mortalidad al destete (%)</w:t>
            </w:r>
          </w:p>
        </w:tc>
        <w:tc>
          <w:tcPr>
            <w:tcW w:w="1455" w:type="dxa"/>
            <w:tcBorders>
              <w:right w:val="nil"/>
            </w:tcBorders>
          </w:tcPr>
          <w:p>
            <w:pPr>
              <w:pStyle w:val="TableParagraph"/>
              <w:spacing w:before="90"/>
              <w:ind w:left="189" w:right="193"/>
              <w:jc w:val="center"/>
              <w:rPr>
                <w:sz w:val="17"/>
              </w:rPr>
            </w:pPr>
            <w:r>
              <w:rPr>
                <w:color w:val="231F20"/>
                <w:w w:val="115"/>
                <w:sz w:val="17"/>
              </w:rPr>
              <w:t>14,3 ± 15,1</w:t>
            </w:r>
          </w:p>
        </w:tc>
      </w:tr>
      <w:tr>
        <w:trPr>
          <w:trHeight w:val="388" w:hRule="exact"/>
        </w:trPr>
        <w:tc>
          <w:tcPr>
            <w:tcW w:w="2702" w:type="dxa"/>
            <w:tcBorders>
              <w:left w:val="nil"/>
            </w:tcBorders>
          </w:tcPr>
          <w:p>
            <w:pPr>
              <w:pStyle w:val="TableParagraph"/>
              <w:spacing w:before="90"/>
              <w:ind w:left="113"/>
              <w:rPr>
                <w:sz w:val="17"/>
              </w:rPr>
            </w:pPr>
            <w:r>
              <w:rPr>
                <w:color w:val="231F20"/>
                <w:w w:val="105"/>
                <w:sz w:val="17"/>
              </w:rPr>
              <w:t>Tiempo de pastoreo (horas)</w:t>
            </w:r>
          </w:p>
        </w:tc>
        <w:tc>
          <w:tcPr>
            <w:tcW w:w="1455" w:type="dxa"/>
            <w:tcBorders>
              <w:right w:val="nil"/>
            </w:tcBorders>
          </w:tcPr>
          <w:p>
            <w:pPr>
              <w:pStyle w:val="TableParagraph"/>
              <w:spacing w:before="90"/>
              <w:ind w:left="189" w:right="193"/>
              <w:jc w:val="center"/>
              <w:rPr>
                <w:sz w:val="17"/>
              </w:rPr>
            </w:pPr>
            <w:r>
              <w:rPr>
                <w:color w:val="231F20"/>
                <w:w w:val="115"/>
                <w:sz w:val="17"/>
              </w:rPr>
              <w:t>8,6 ± 7,2</w:t>
            </w:r>
          </w:p>
        </w:tc>
      </w:tr>
    </w:tbl>
    <w:p>
      <w:pPr>
        <w:spacing w:before="94"/>
        <w:ind w:left="1553" w:right="0" w:firstLine="0"/>
        <w:jc w:val="both"/>
        <w:rPr>
          <w:sz w:val="15"/>
        </w:rPr>
      </w:pPr>
      <w:r>
        <w:rPr>
          <w:color w:val="231F20"/>
          <w:sz w:val="15"/>
        </w:rPr>
        <w:t>Fuente: Rebollar et al.,  2004.</w:t>
      </w:r>
    </w:p>
    <w:p>
      <w:pPr>
        <w:pStyle w:val="BodyText"/>
        <w:spacing w:before="3"/>
        <w:rPr>
          <w:sz w:val="28"/>
        </w:rPr>
      </w:pPr>
      <w:r>
        <w:rPr/>
        <w:br w:type="column"/>
      </w:r>
      <w:r>
        <w:rPr>
          <w:sz w:val="28"/>
        </w:rPr>
      </w:r>
    </w:p>
    <w:p>
      <w:pPr>
        <w:pStyle w:val="BodyText"/>
        <w:spacing w:line="268" w:lineRule="auto"/>
        <w:ind w:left="413" w:right="1551"/>
        <w:jc w:val="both"/>
      </w:pPr>
      <w:r>
        <w:rPr>
          <w:color w:val="231F20"/>
        </w:rPr>
        <w:t>local, acopiador regional, plaza municipal o regio- nal (de </w:t>
      </w:r>
      <w:r>
        <w:rPr>
          <w:color w:val="231F20"/>
          <w:spacing w:val="-3"/>
        </w:rPr>
        <w:t>Tejupilco, </w:t>
      </w:r>
      <w:r>
        <w:rPr>
          <w:color w:val="231F20"/>
        </w:rPr>
        <w:t>Luvianos y Sultepec; todos ellos en el sur del Estado de México), comprador de animales in vivo, birriero y consumidor final del producto transformado, al cual usualmente se le conoce como “carne en cocción” o </w:t>
      </w:r>
      <w:r>
        <w:rPr>
          <w:color w:val="231F20"/>
          <w:spacing w:val="-3"/>
        </w:rPr>
        <w:t>“birria”. </w:t>
      </w:r>
      <w:r>
        <w:rPr>
          <w:color w:val="231F20"/>
        </w:rPr>
        <w:t>Sin em- bargo, también se observa el esquema de produc- </w:t>
      </w:r>
      <w:r>
        <w:rPr>
          <w:color w:val="231F20"/>
          <w:spacing w:val="-3"/>
        </w:rPr>
        <w:t>tor, </w:t>
      </w:r>
      <w:r>
        <w:rPr>
          <w:color w:val="231F20"/>
        </w:rPr>
        <w:t>acopiador regional, plaza municipal o regional, birriero y consumidor final del producto en cocción (Rebollar </w:t>
      </w:r>
      <w:r>
        <w:rPr>
          <w:i/>
          <w:color w:val="231F20"/>
        </w:rPr>
        <w:t>et al</w:t>
      </w:r>
      <w:r>
        <w:rPr>
          <w:color w:val="231F20"/>
        </w:rPr>
        <w:t>., </w:t>
      </w:r>
      <w:r>
        <w:rPr>
          <w:color w:val="231F20"/>
          <w:spacing w:val="-3"/>
        </w:rPr>
        <w:t>2007). </w:t>
      </w:r>
      <w:r>
        <w:rPr>
          <w:color w:val="231F20"/>
        </w:rPr>
        <w:t>En  la  cabecera  municipal de Amatepec se ha visto un agente de comerciali- zación previo al birriero, que realiza la matanza in situ. Este agente puede comprar animales vivos para sacrificarlos en su propia casa, o bien maqui- lar el servicio de sacrificio y vender al birriero el animal en canal con las vísceras por separado. Esta situación no es común encontrarla en el resto de los municipios de la </w:t>
      </w:r>
      <w:r>
        <w:rPr>
          <w:color w:val="231F20"/>
          <w:spacing w:val="25"/>
        </w:rPr>
        <w:t> </w:t>
      </w:r>
      <w:r>
        <w:rPr>
          <w:color w:val="231F20"/>
        </w:rPr>
        <w:t>región.</w:t>
      </w:r>
    </w:p>
    <w:p>
      <w:pPr>
        <w:pStyle w:val="BodyText"/>
        <w:spacing w:line="268" w:lineRule="auto" w:before="112"/>
        <w:ind w:left="413" w:right="1551"/>
        <w:jc w:val="both"/>
      </w:pPr>
      <w:r>
        <w:rPr>
          <w:color w:val="231F20"/>
        </w:rPr>
        <w:t>Así, la utilidad (en dinero) que un productor de ca- prinos obtiene de la venta de un animal depende de si la transacción se realiza in vivo, en cocción o en canal, y de si la venta ocurre entre un número determinado de intermediarios  (Mendoza,  </w:t>
      </w:r>
      <w:r>
        <w:rPr>
          <w:color w:val="231F20"/>
          <w:spacing w:val="-4"/>
        </w:rPr>
        <w:t>1991) </w:t>
      </w:r>
      <w:r>
        <w:rPr>
          <w:color w:val="231F20"/>
        </w:rPr>
        <w:t>o agentes de comercialización (Schwentesius y Gómez, 2004). Diversas investigaciones desa- rrolladas en el sur de la Entidad y publicadas por  los autores (Rebollar </w:t>
      </w:r>
      <w:r>
        <w:rPr>
          <w:i/>
          <w:color w:val="231F20"/>
        </w:rPr>
        <w:t>et al</w:t>
      </w:r>
      <w:r>
        <w:rPr>
          <w:color w:val="231F20"/>
        </w:rPr>
        <w:t>., </w:t>
      </w:r>
      <w:r>
        <w:rPr>
          <w:color w:val="231F20"/>
          <w:spacing w:val="-3"/>
        </w:rPr>
        <w:t>2007; </w:t>
      </w:r>
      <w:r>
        <w:rPr>
          <w:color w:val="231F20"/>
        </w:rPr>
        <w:t>Rebollar </w:t>
      </w:r>
      <w:r>
        <w:rPr>
          <w:i/>
          <w:color w:val="231F20"/>
        </w:rPr>
        <w:t>et al</w:t>
      </w:r>
      <w:r>
        <w:rPr>
          <w:color w:val="231F20"/>
        </w:rPr>
        <w:t>., 2008; Rebollar </w:t>
      </w:r>
      <w:r>
        <w:rPr>
          <w:i/>
          <w:color w:val="231F20"/>
        </w:rPr>
        <w:t>et al</w:t>
      </w:r>
      <w:r>
        <w:rPr>
          <w:color w:val="231F20"/>
        </w:rPr>
        <w:t>., </w:t>
      </w:r>
      <w:r>
        <w:rPr>
          <w:color w:val="231F20"/>
          <w:spacing w:val="-4"/>
        </w:rPr>
        <w:t>2012), </w:t>
      </w:r>
      <w:r>
        <w:rPr>
          <w:color w:val="231F20"/>
        </w:rPr>
        <w:t>dan muestra de las ganancias, en dinero, que se perciben por la venta tanto del producto caprino como de sus subpro- ductos. Por ejemplo, actualmente la comercializa- ción de estos animales se realiza a través de un canal tradicional y de un canal ideal (del productor al consumidor final de birria). El canal tradicional  es el predominante, aunque también se ha notado que el canal ideal cada vez opera más. Se decidió este nombre porque, en este canal de comerciali- zación, la totalidad de las utilidades monetarias del proceso las recibe el mismo productor, que a la   vez ejerce de birriero (Fig. </w:t>
      </w:r>
      <w:r>
        <w:rPr>
          <w:color w:val="231F20"/>
          <w:spacing w:val="29"/>
        </w:rPr>
        <w:t> </w:t>
      </w:r>
      <w:r>
        <w:rPr>
          <w:color w:val="231F20"/>
        </w:rPr>
        <w:t>1).</w:t>
      </w:r>
    </w:p>
    <w:p>
      <w:pPr>
        <w:spacing w:after="0" w:line="268" w:lineRule="auto"/>
        <w:jc w:val="both"/>
        <w:sectPr>
          <w:type w:val="continuous"/>
          <w:pgSz w:w="11900" w:h="14450"/>
          <w:pgMar w:top="420" w:bottom="420" w:left="0" w:right="0"/>
          <w:cols w:num="2" w:equalWidth="0">
            <w:col w:w="5721" w:space="40"/>
            <w:col w:w="6139"/>
          </w:cols>
        </w:sectPr>
      </w:pPr>
    </w:p>
    <w:p>
      <w:pPr>
        <w:pStyle w:val="BodyText"/>
      </w:pPr>
    </w:p>
    <w:p>
      <w:pPr>
        <w:pStyle w:val="BodyText"/>
      </w:pPr>
    </w:p>
    <w:p>
      <w:pPr>
        <w:pStyle w:val="BodyText"/>
        <w:rPr>
          <w:sz w:val="17"/>
        </w:rPr>
      </w:pPr>
    </w:p>
    <w:p>
      <w:pPr>
        <w:tabs>
          <w:tab w:pos="6897" w:val="left" w:leader="none"/>
        </w:tabs>
        <w:spacing w:before="64"/>
        <w:ind w:left="1551" w:right="0" w:firstLine="0"/>
        <w:jc w:val="left"/>
        <w:rPr>
          <w:sz w:val="12"/>
        </w:rPr>
      </w:pPr>
      <w:r>
        <w:rPr>
          <w:color w:val="231F20"/>
          <w:w w:val="120"/>
          <w:sz w:val="22"/>
        </w:rPr>
        <w:t>208</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pStyle w:val="BodyText"/>
        <w:spacing w:before="8"/>
        <w:rPr>
          <w:sz w:val="13"/>
        </w:rPr>
      </w:pPr>
      <w:r>
        <w:rPr/>
        <w:pict>
          <v:group style="position:absolute;margin-left:103.808167pt;margin-top:10.323603pt;width:355.05pt;height:168.75pt;mso-position-horizontal-relative:page;mso-position-vertical-relative:paragraph;z-index:6160;mso-wrap-distance-left:0;mso-wrap-distance-right:0" coordorigin="2076,206" coordsize="7101,3375">
            <v:rect style="position:absolute;left:5347;top:213;width:1754;height:345" filled="false" stroked="true" strokeweight=".610882pt" strokecolor="#000000"/>
            <v:shape style="position:absolute;left:5884;top:316;width:694;height:118" type="#_x0000_t75" stroked="false">
              <v:imagedata r:id="rId363" o:title=""/>
            </v:shape>
            <v:rect style="position:absolute;left:7345;top:461;width:1649;height:322" filled="false" stroked="true" strokeweight=".610882pt" strokecolor="#000000"/>
            <v:shape style="position:absolute;left:7473;top:555;width:63;height:95" coordorigin="7473,555" coordsize="63,95" path="m7529,565l7511,565,7515,567,7522,573,7523,577,7523,586,7522,590,7514,600,7507,607,7491,620,7486,625,7479,633,7476,637,7474,644,7473,647,7473,650,7535,650,7535,638,7489,638,7491,636,7492,634,7496,630,7501,626,7516,613,7522,608,7529,600,7531,596,7534,589,7535,586,7535,574,7533,568,7529,565xm7515,555l7497,555,7490,558,7479,567,7476,574,7475,583,7487,584,7487,578,7489,573,7496,567,7500,565,7529,565,7522,558,7515,555xe" filled="true" fillcolor="#000000" stroked="false">
              <v:path arrowok="t"/>
              <v:fill type="solid"/>
            </v:shape>
            <v:shape style="position:absolute;left:7543;top:556;width:65;height:94" coordorigin="7543,556" coordsize="65,94" path="m7596,627l7584,627,7584,650,7596,650,7596,627xm7596,556l7586,556,7543,617,7543,627,7608,627,7608,617,7555,617,7584,574,7596,574,7596,556xm7596,574l7584,574,7584,617,7596,617,7596,574xe" filled="true" fillcolor="#000000" stroked="false">
              <v:path arrowok="t"/>
              <v:fill type="solid"/>
            </v:shape>
            <v:shape style="position:absolute;left:7656;top:547;width:235;height:130" type="#_x0000_t75" stroked="false">
              <v:imagedata r:id="rId364" o:title=""/>
            </v:shape>
            <v:shape style="position:absolute;left:7939;top:580;width:63;height:71" coordorigin="7939,580" coordsize="63,71" path="m7980,580l7961,580,7954,583,7942,596,7939,604,7939,628,7942,636,7954,648,7961,651,7979,651,7986,649,7996,642,7966,642,7961,640,7953,632,7951,626,7951,619,8002,619,8002,609,7952,609,7952,603,7954,598,7961,591,7966,590,7993,590,7987,583,7980,580xm7989,628l7988,633,7985,636,7979,641,7976,642,7996,642,7996,641,7999,636,8001,629,7989,628xm7993,590l7977,590,7981,592,7987,599,7989,603,7989,609,8002,609,8002,604,7999,596,7993,590xe" filled="true" fillcolor="#000000" stroked="false">
              <v:path arrowok="t"/>
              <v:fill type="solid"/>
            </v:shape>
            <v:shape style="position:absolute;left:8015;top:580;width:56;height:70" coordorigin="8015,580" coordsize="56,70" path="m8025,582l8015,582,8015,650,8027,650,8027,604,8028,598,8036,592,8036,591,8025,591,8025,582xm8067,590l8048,590,8050,591,8055,594,8057,595,8058,600,8059,602,8059,650,8070,650,8070,600,8070,599,8069,593,8068,590,8067,590xm8051,580l8038,580,8030,584,8025,591,8036,591,8040,590,8067,590,8064,586,8062,584,8055,581,8051,580xe" filled="true" fillcolor="#000000" stroked="false">
              <v:path arrowok="t"/>
              <v:fill type="solid"/>
            </v:shape>
            <v:shape style="position:absolute;left:8124;top:556;width:160;height:120" type="#_x0000_t75" stroked="false">
              <v:imagedata r:id="rId365" o:title=""/>
            </v:shape>
            <v:shape style="position:absolute;left:7100;top:1426;width:1693;height:475" coordorigin="7100,1426" coordsize="1693,475" path="m7946,1426l7854,1427,7765,1431,7679,1438,7597,1447,7519,1458,7447,1471,7379,1487,7318,1504,7216,1543,7143,1588,7105,1637,7100,1663,7105,1689,7143,1738,7216,1782,7318,1822,7379,1839,7447,1854,7519,1867,7597,1879,7679,1888,7765,1894,7854,1898,7946,1900,8039,1898,8128,1894,8214,1888,8296,1879,8373,1867,8446,1854,8513,1839,8575,1822,8677,1782,8749,1738,8788,1689,8793,1663,8788,1637,8749,1588,8677,1543,8575,1504,8513,1487,8446,1471,8373,1458,8296,1447,8214,1438,8128,1431,8039,1427,7946,1426xe" filled="false" stroked="true" strokeweight=".610882pt" strokecolor="#000000">
              <v:path arrowok="t"/>
            </v:shape>
            <v:shape style="position:absolute;left:7696;top:1579;width:506;height:118" type="#_x0000_t75" stroked="false">
              <v:imagedata r:id="rId366" o:title=""/>
            </v:shape>
            <v:shape style="position:absolute;left:7091;top:560;width:852;height:866" coordorigin="7091,560" coordsize="852,866" path="m7869,1362l7840,1390,7943,1426,7927,1377,7888,1377,7883,1377,7880,1373,7869,1362xm7880,1350l7869,1362,7880,1373,7883,1377,7888,1377,7892,1373,7895,1370,7895,1365,7892,1362,7880,1350xm7909,1322l7880,1350,7892,1362,7895,1365,7895,1370,7892,1373,7888,1377,7927,1377,7909,1322xm7103,560l7098,560,7094,563,7091,566,7091,571,7094,575,7869,1362,7880,1350,7106,563,7103,560xe" filled="true" fillcolor="#000000" stroked="false">
              <v:path arrowok="t"/>
              <v:fill type="solid"/>
            </v:shape>
            <v:rect style="position:absolute;left:2785;top:592;width:1658;height:358" filled="false" stroked="true" strokeweight=".610882pt" strokecolor="#000000"/>
            <v:shape style="position:absolute;left:2914;top:684;width:63;height:95" coordorigin="2914,684" coordsize="63,95" path="m2970,694l2951,694,2956,696,2962,702,2964,706,2964,715,2962,719,2955,729,2948,736,2931,749,2926,754,2919,762,2917,766,2914,773,2914,776,2914,779,2976,779,2976,768,2930,768,2931,765,2933,763,2937,759,2941,755,2956,742,2962,737,2969,729,2972,725,2975,718,2976,715,2976,703,2973,697,2970,694xm2955,684l2938,684,2930,687,2920,696,2917,703,2916,712,2928,713,2928,707,2930,702,2936,696,2941,694,2970,694,2963,687,2955,684xe" filled="true" fillcolor="#000000" stroked="false">
              <v:path arrowok="t"/>
              <v:fill type="solid"/>
            </v:shape>
            <v:shape style="position:absolute;left:2986;top:684;width:63;height:95" coordorigin="2986,684" coordsize="63,95" path="m3042,694l3024,694,3028,696,3035,702,3036,706,3036,715,3034,719,3027,729,3020,736,3004,749,2999,754,2992,762,2989,766,2987,773,2986,776,2986,779,3048,779,3048,768,3002,768,3003,765,3005,763,3009,759,3013,755,3029,742,3035,737,3042,729,3044,725,3047,718,3048,715,3048,703,3045,697,3042,694xm3028,684l3010,684,3003,687,2992,696,2989,703,2988,712,3000,713,3000,707,3002,702,3009,696,3013,694,3042,694,3035,687,3028,684xe" filled="true" fillcolor="#000000" stroked="false">
              <v:path arrowok="t"/>
              <v:fill type="solid"/>
            </v:shape>
            <v:shape style="position:absolute;left:3096;top:676;width:235;height:130" type="#_x0000_t75" stroked="false">
              <v:imagedata r:id="rId367" o:title=""/>
            </v:shape>
            <v:shape style="position:absolute;left:3417;top:709;width:63;height:71" coordorigin="3417,709" coordsize="63,71" path="m3457,709l3439,709,3431,712,3420,725,3417,733,3417,757,3419,765,3431,777,3439,780,3457,780,3463,778,3473,771,3443,771,3439,769,3431,761,3429,755,3428,748,3479,748,3479,738,3429,738,3429,732,3431,727,3439,720,3443,719,3471,719,3465,712,3457,709xm3467,757l3465,762,3463,765,3457,770,3453,771,3473,771,3473,771,3477,765,3479,758,3467,757xm3471,719l3454,719,3459,721,3465,728,3467,732,3467,738,3479,738,3479,733,3476,725,3471,719xe" filled="true" fillcolor="#000000" stroked="false">
              <v:path arrowok="t"/>
              <v:fill type="solid"/>
            </v:shape>
            <v:shape style="position:absolute;left:3493;top:709;width:56;height:70" coordorigin="3493,709" coordsize="56,70" path="m3503,711l3493,711,3493,779,3504,779,3504,733,3506,727,3513,721,3514,720,3503,720,3503,711xm3545,719l3525,719,3528,720,3533,723,3534,724,3536,729,3536,731,3536,779,3548,779,3548,729,3548,728,3547,722,3545,719,3545,719xm3529,709l3515,709,3508,713,3503,720,3514,720,3517,719,3545,719,3542,715,3539,713,3533,710,3529,709xe" filled="true" fillcolor="#000000" stroked="false">
              <v:path arrowok="t"/>
              <v:fill type="solid"/>
            </v:shape>
            <v:shape style="position:absolute;left:3600;top:685;width:160;height:120" type="#_x0000_t75" stroked="false">
              <v:imagedata r:id="rId368" o:title=""/>
            </v:shape>
            <v:shape style="position:absolute;left:3866;top:373;width:1469;height:1051" coordorigin="3866,373" coordsize="1469,1051" path="m3917,1327l3866,1423,3974,1406,3959,1385,3933,1385,3928,1384,3925,1381,3923,1377,3923,1372,3927,1369,3940,1360,3917,1327xm3940,1360l3927,1369,3923,1372,3923,1377,3925,1381,3928,1384,3933,1385,3937,1383,3950,1373,3940,1360xm3950,1373l3937,1383,3933,1385,3959,1385,3950,1373xm5323,373l5320,376,3940,1360,3950,1373,5329,389,5333,386,5334,381,5331,378,5328,374,5323,373xe" filled="true" fillcolor="#000000" stroked="false">
              <v:path arrowok="t"/>
              <v:fill type="solid"/>
            </v:shape>
            <v:shape style="position:absolute;left:4732;top:1611;width:2296;height:98" coordorigin="4732,1611" coordsize="2296,98" path="m6930,1611l6930,1709,7011,1669,6951,1669,6954,1665,6954,1656,6951,1652,7011,1652,6930,1611xm6930,1652l4736,1652,4732,1656,4732,1665,4736,1669,6930,1669,6930,1652xm7011,1652l6951,1652,6954,1656,6954,1665,6951,1669,7011,1669,7028,1660,7011,1652xe" filled="true" fillcolor="#000000" stroked="false">
              <v:path arrowok="t"/>
              <v:fill type="solid"/>
            </v:shape>
            <v:shape style="position:absolute;left:3022;top:1423;width:1693;height:475" coordorigin="3022,1423" coordsize="1693,475" path="m3868,1423l3776,1425,3687,1429,3601,1435,3519,1444,3441,1456,3368,1469,3301,1484,3240,1502,3137,1541,3065,1585,3027,1635,3022,1660,3027,1686,3065,1735,3137,1780,3240,1819,3301,1836,3368,1852,3441,1865,3519,1876,3601,1885,3687,1892,3776,1896,3868,1897,3960,1896,4050,1892,4136,1885,4218,1876,4295,1865,4368,1852,4435,1836,4496,1819,4599,1780,4671,1735,4709,1686,4714,1660,4709,1635,4671,1585,4599,1541,4496,1502,4435,1484,4368,1469,4295,1456,4218,1444,4136,1435,4050,1429,3960,1425,3868,1423xe" filled="false" stroked="true" strokeweight=".610882pt" strokecolor="#000000">
              <v:path arrowok="t"/>
            </v:shape>
            <v:shape style="position:absolute;left:3357;top:1577;width:735;height:148" type="#_x0000_t75" stroked="false">
              <v:imagedata r:id="rId369" o:title=""/>
            </v:shape>
            <v:rect style="position:absolute;left:4883;top:1705;width:1618;height:346" filled="false" stroked="true" strokeweight=".610882pt" strokecolor="#000000"/>
            <v:shape style="position:absolute;left:5012;top:1799;width:63;height:95" coordorigin="5012,1799" coordsize="63,95" path="m5068,1808l5049,1808,5054,1810,5060,1816,5062,1820,5062,1829,5060,1833,5053,1843,5046,1850,5029,1864,5024,1868,5017,1876,5015,1881,5012,1887,5012,1890,5012,1893,5074,1893,5074,1882,5028,1882,5029,1880,5031,1878,5035,1873,5039,1870,5054,1857,5060,1851,5067,1843,5070,1839,5073,1832,5074,1829,5074,1817,5071,1811,5068,1808xm5053,1799l5036,1799,5028,1801,5018,1810,5015,1817,5014,1826,5026,1827,5026,1821,5028,1817,5034,1810,5039,1808,5068,1808,5061,1801,5053,1799xe" filled="true" fillcolor="#000000" stroked="false">
              <v:path arrowok="t"/>
              <v:fill type="solid"/>
            </v:shape>
            <v:shape style="position:absolute;left:5082;top:1799;width:65;height:94" coordorigin="5082,1799" coordsize="65,94" path="m5134,1870l5123,1870,5123,1893,5134,1893,5134,1870xm5134,1799l5125,1799,5082,1860,5082,1870,5147,1870,5147,1860,5093,1860,5123,1818,5134,1818,5134,1799xm5134,1818l5123,1818,5123,1860,5134,1860,5134,1818xe" filled="true" fillcolor="#000000" stroked="false">
              <v:path arrowok="t"/>
              <v:fill type="solid"/>
            </v:shape>
            <v:shape style="position:absolute;left:5194;top:1790;width:235;height:130" type="#_x0000_t75" stroked="false">
              <v:imagedata r:id="rId367" o:title=""/>
            </v:shape>
            <v:shape style="position:absolute;left:5515;top:1823;width:63;height:71" coordorigin="5515,1823" coordsize="63,71" path="m5555,1823l5537,1823,5529,1827,5518,1839,5515,1848,5515,1871,5517,1879,5529,1891,5537,1894,5555,1894,5561,1892,5571,1885,5541,1885,5537,1883,5529,1875,5527,1869,5526,1862,5577,1862,5577,1852,5527,1852,5528,1846,5529,1842,5537,1835,5541,1833,5569,1833,5563,1826,5555,1823xm5565,1871l5563,1876,5561,1879,5555,1884,5551,1885,5571,1885,5571,1885,5575,1879,5577,1872,5565,1871xm5569,1833l5552,1833,5557,1835,5563,1842,5565,1847,5565,1852,5577,1852,5577,1848,5574,1839,5569,1833xe" filled="true" fillcolor="#000000" stroked="false">
              <v:path arrowok="t"/>
              <v:fill type="solid"/>
            </v:shape>
            <v:shape style="position:absolute;left:5591;top:1823;width:56;height:70" coordorigin="5591,1823" coordsize="56,70" path="m5601,1825l5591,1825,5591,1893,5602,1893,5602,1847,5604,1841,5611,1835,5612,1835,5601,1835,5601,1825xm5643,1833l5623,1833,5626,1834,5631,1837,5632,1839,5634,1843,5634,1846,5634,1893,5646,1893,5646,1843,5646,1842,5645,1837,5643,1834,5643,1833xm5627,1823l5613,1823,5606,1827,5601,1835,5612,1835,5615,1833,5643,1833,5640,1829,5637,1827,5631,1824,5627,1823xe" filled="true" fillcolor="#000000" stroked="false">
              <v:path arrowok="t"/>
              <v:fill type="solid"/>
            </v:shape>
            <v:shape style="position:absolute;left:5698;top:1799;width:160;height:120" type="#_x0000_t75" stroked="false">
              <v:imagedata r:id="rId368" o:title=""/>
            </v:shape>
            <v:line style="position:absolute" from="9020,378" to="9041,3146" stroked="true" strokeweight="1.832647pt" strokecolor="#000000"/>
            <v:line style="position:absolute" from="7123,385" to="9026,382" stroked="true" strokeweight="1.832647pt" strokecolor="#000000"/>
            <v:rect style="position:absolute;left:4811;top:2995;width:2235;height:345" filled="false" stroked="true" strokeweight=".610882pt" strokecolor="#000000"/>
            <v:shape style="position:absolute;left:4943;top:3099;width:102;height:121" coordorigin="4943,3099" coordsize="102,121" path="m5012,3099l4998,3099,4986,3100,4976,3103,4966,3108,4958,3115,4952,3123,4947,3134,4944,3146,4943,3160,4944,3173,4947,3184,4952,3194,4958,3203,4966,3210,4975,3215,4985,3218,4996,3219,5009,3219,5019,3216,5035,3203,5038,3199,4987,3199,4981,3196,4970,3183,4967,3173,4967,3144,4970,3134,4981,3122,4988,3119,5039,3119,5038,3116,5023,3103,5012,3099xm5022,3174l5020,3183,5017,3189,5008,3197,5002,3199,5038,3199,5041,3194,5044,3181,5022,3174xm5039,3119l5003,3119,5008,3120,5017,3127,5020,3132,5021,3138,5044,3133,5041,3123,5039,3119xe" filled="true" fillcolor="#000000" stroked="false">
              <v:path arrowok="t"/>
              <v:fill type="solid"/>
            </v:shape>
            <v:shape style="position:absolute;left:5059;top:3131;width:87;height:88" coordorigin="5059,3131" coordsize="87,88" path="m5115,3131l5094,3131,5087,3133,5073,3140,5068,3145,5061,3159,5059,3166,5059,3183,5061,3191,5068,3205,5074,3210,5088,3217,5095,3219,5115,3219,5126,3214,5139,3200,5097,3200,5092,3198,5084,3189,5082,3183,5082,3166,5084,3160,5092,3151,5097,3149,5139,3149,5126,3135,5115,3131xm5139,3149l5108,3149,5113,3151,5121,3160,5123,3166,5123,3183,5121,3189,5113,3198,5108,3200,5139,3200,5142,3198,5146,3187,5146,3162,5142,3151,5139,3149xe" filled="true" fillcolor="#000000" stroked="false">
              <v:path arrowok="t"/>
              <v:fill type="solid"/>
            </v:shape>
            <v:shape style="position:absolute;left:5164;top:3131;width:77;height:87" coordorigin="5164,3131" coordsize="77,87" path="m5184,3133l5164,3133,5164,3217,5186,3217,5186,3169,5187,3163,5189,3156,5191,3153,5197,3149,5201,3148,5239,3148,5238,3146,5238,3145,5184,3145,5184,3133xm5239,3148l5207,3148,5210,3148,5214,3151,5216,3153,5218,3159,5218,3163,5218,3217,5241,3217,5241,3158,5240,3153,5239,3148xm5217,3131l5201,3131,5192,3135,5184,3145,5238,3145,5237,3143,5233,3137,5230,3135,5222,3132,5217,3131xe" filled="true" fillcolor="#000000" stroked="false">
              <v:path arrowok="t"/>
              <v:fill type="solid"/>
            </v:shape>
            <v:shape style="position:absolute;left:5256;top:3131;width:79;height:88" coordorigin="5256,3131" coordsize="79,88" path="m5278,3189l5256,3193,5258,3201,5262,3207,5275,3216,5284,3219,5309,3219,5318,3216,5331,3205,5332,3203,5291,3203,5287,3201,5281,3197,5279,3194,5278,3189xm5306,3131l5282,3131,5273,3133,5262,3143,5259,3149,5259,3165,5262,3171,5273,3179,5285,3182,5303,3186,5307,3187,5309,3188,5310,3189,5311,3190,5312,3192,5312,3196,5311,3198,5309,3199,5306,3201,5302,3203,5332,3203,5334,3198,5334,3183,5332,3178,5327,3174,5323,3170,5314,3167,5291,3161,5284,3159,5280,3157,5279,3155,5279,3152,5280,3150,5282,3149,5284,3148,5289,3147,5330,3147,5329,3146,5325,3140,5314,3133,5306,3131xm5330,3147l5299,3147,5303,3148,5308,3151,5309,3154,5310,3157,5331,3153,5330,3147xe" filled="true" fillcolor="#000000" stroked="false">
              <v:path arrowok="t"/>
              <v:fill type="solid"/>
            </v:shape>
            <v:shape style="position:absolute;left:5353;top:3133;width:77;height:87" coordorigin="5353,3133" coordsize="77,87" path="m5375,3133l5353,3133,5353,3194,5354,3200,5358,3209,5361,3212,5370,3217,5375,3219,5387,3219,5392,3217,5402,3212,5406,3209,5409,3204,5430,3204,5430,3202,5386,3202,5383,3201,5379,3198,5377,3196,5376,3190,5375,3183,5375,3133xm5430,3204l5409,3204,5409,3217,5430,3217,5430,3204xm5430,3133l5407,3133,5407,3180,5407,3188,5405,3194,5403,3196,5397,3201,5393,3202,5430,3202,5430,3133xe" filled="true" fillcolor="#000000" stroked="false">
              <v:path arrowok="t"/>
              <v:fill type="solid"/>
            </v:shape>
            <v:shape style="position:absolute;left:5451;top:3131;width:124;height:87" coordorigin="5451,3131" coordsize="124,87" path="m5472,3133l5451,3133,5451,3217,5473,3217,5473,3168,5474,3162,5476,3155,5478,3152,5484,3149,5487,3148,5574,3148,5572,3144,5472,3144,5472,3133xm5538,3148l5493,3148,5495,3148,5499,3151,5500,3152,5500,3152,5502,3157,5502,3160,5502,3217,5524,3217,5524,3168,5525,3163,5527,3155,5529,3152,5535,3149,5538,3148xm5574,3148l5545,3148,5548,3149,5550,3152,5552,3155,5553,3160,5553,3217,5575,3217,5575,3155,5574,3149,5574,3148xm5503,3131l5488,3131,5479,3135,5472,3144,5522,3144,5519,3140,5516,3136,5508,3132,5503,3131xm5553,3131l5542,3131,5538,3132,5529,3136,5525,3140,5522,3144,5572,3144,5570,3141,5567,3137,5559,3132,5553,3131xe" filled="true" fillcolor="#000000" stroked="false">
              <v:path arrowok="t"/>
              <v:fill type="solid"/>
            </v:shape>
            <v:shape style="position:absolute;left:5598;top:3101;width:23;height:117" coordorigin="5598,3101" coordsize="23,117" path="m5620,3101l5598,3101,5598,3121,5620,3121,5620,3101xm5620,3133l5598,3133,5598,3217,5620,3217,5620,3133xe" filled="true" fillcolor="#000000" stroked="false">
              <v:path arrowok="t"/>
              <v:fill type="solid"/>
            </v:shape>
            <v:shape style="position:absolute;left:5638;top:3101;width:83;height:119" coordorigin="5638,3101" coordsize="83,119" path="m5683,3131l5663,3131,5654,3134,5641,3149,5638,3160,5638,3188,5641,3199,5655,3215,5663,3219,5678,3219,5682,3217,5692,3213,5696,3209,5699,3204,5720,3204,5720,3201,5673,3201,5668,3198,5662,3188,5660,3182,5660,3164,5662,3158,5669,3150,5674,3148,5720,3148,5720,3142,5698,3142,5691,3135,5683,3131xm5720,3204l5699,3204,5699,3217,5720,3217,5720,3204xm5720,3148l5684,3148,5689,3150,5696,3158,5698,3165,5698,3184,5696,3190,5689,3199,5684,3201,5720,3201,5720,3148xm5720,3101l5698,3101,5698,3142,5720,3142,5720,3101xe" filled="true" fillcolor="#000000" stroked="false">
              <v:path arrowok="t"/>
              <v:fill type="solid"/>
            </v:shape>
            <v:shape style="position:absolute;left:5737;top:3131;width:87;height:88" coordorigin="5737,3131" coordsize="87,88" path="m5793,3131l5772,3131,5764,3133,5751,3140,5746,3145,5738,3159,5737,3166,5737,3183,5738,3191,5746,3205,5751,3210,5765,3217,5772,3219,5793,3219,5803,3214,5817,3200,5774,3200,5769,3198,5761,3189,5759,3183,5759,3166,5761,3160,5769,3151,5774,3149,5817,3149,5803,3135,5793,3131xm5817,3149l5786,3149,5791,3151,5799,3160,5800,3166,5800,3183,5799,3189,5791,3198,5786,3200,5817,3200,5819,3198,5823,3187,5823,3162,5819,3151,5817,3149xe" filled="true" fillcolor="#000000" stroked="false">
              <v:path arrowok="t"/>
              <v:fill type="solid"/>
            </v:shape>
            <v:shape style="position:absolute;left:5841;top:3089;width:420;height:138" type="#_x0000_t75" stroked="false">
              <v:imagedata r:id="rId370" o:title=""/>
            </v:shape>
            <v:shape style="position:absolute;left:7046;top:3091;width:2008;height:110" coordorigin="7046,3091" coordsize="2008,110" path="m7156,3091l7046,3146,7156,3201,7156,3164,7138,3164,7138,3128,7156,3128,7156,3091xm7156,3128l7138,3128,7138,3164,7156,3164,7156,3128xm9054,3128l7156,3128,7156,3164,9054,3164,9054,3128xe" filled="true" fillcolor="#000000" stroked="false">
              <v:path arrowok="t"/>
              <v:fill type="solid"/>
            </v:shape>
            <v:rect style="position:absolute;left:2954;top:2409;width:1549;height:738" filled="false" stroked="true" strokeweight=".610882pt" strokecolor="#000000"/>
            <v:shape style="position:absolute;left:3428;top:2510;width:605;height:118" type="#_x0000_t75" stroked="false">
              <v:imagedata r:id="rId371" o:title=""/>
            </v:shape>
            <v:shape style="position:absolute;left:3457;top:2792;width:121;height:116" type="#_x0000_t75" stroked="false">
              <v:imagedata r:id="rId372" o:title=""/>
            </v:shape>
            <v:shape style="position:absolute;left:3639;top:2790;width:141;height:120" type="#_x0000_t75" stroked="false">
              <v:imagedata r:id="rId373" o:title=""/>
            </v:shape>
            <v:shape style="position:absolute;left:3837;top:2792;width:169;height:118" type="#_x0000_t75" stroked="false">
              <v:imagedata r:id="rId374" o:title=""/>
            </v:shape>
            <v:shape style="position:absolute;left:3817;top:1892;width:98;height:517" coordorigin="3817,1892" coordsize="98,517" path="m3857,2310l3817,2310,3866,2408,3902,2335,3861,2335,3857,2331,3857,2310xm3870,1892l3861,1892,3857,1895,3857,2331,3861,2335,3870,2335,3874,2331,3874,1895,3870,1892xm3914,2310l3874,2310,3874,2331,3870,2335,3902,2335,3914,2310xe" filled="true" fillcolor="#000000" stroked="false">
              <v:path arrowok="t"/>
              <v:fill type="solid"/>
            </v:shape>
            <v:rect style="position:absolute;left:2083;top:1924;width:1618;height:346" filled="false" stroked="true" strokeweight=".610882pt" strokecolor="#000000"/>
            <v:shape style="position:absolute;left:2210;top:2018;width:63;height:95" coordorigin="2210,2018" coordsize="63,95" path="m2266,2027l2248,2027,2252,2029,2259,2035,2260,2039,2260,2048,2258,2052,2251,2062,2244,2069,2228,2082,2223,2087,2216,2095,2213,2100,2211,2106,2210,2109,2210,2112,2272,2112,2272,2101,2226,2101,2227,2099,2229,2097,2233,2092,2237,2088,2253,2076,2259,2070,2266,2062,2268,2058,2271,2051,2272,2048,2272,2036,2269,2030,2266,2027xm2252,2018l2234,2018,2227,2020,2216,2029,2213,2036,2212,2045,2224,2046,2224,2040,2226,2035,2233,2029,2237,2027,2266,2027,2259,2020,2252,2018xe" filled="true" fillcolor="#000000" stroked="false">
              <v:path arrowok="t"/>
              <v:fill type="solid"/>
            </v:shape>
            <v:shape style="position:absolute;left:2280;top:2018;width:65;height:94" coordorigin="2280,2018" coordsize="65,94" path="m2332,2089l2321,2089,2321,2112,2332,2112,2332,2089xm2332,2018l2323,2018,2280,2079,2280,2089,2345,2089,2345,2079,2292,2079,2321,2036,2332,2036,2332,2018xm2332,2036l2321,2036,2321,2079,2332,2079,2332,2036xe" filled="true" fillcolor="#000000" stroked="false">
              <v:path arrowok="t"/>
              <v:fill type="solid"/>
            </v:shape>
            <v:shape style="position:absolute;left:2393;top:2009;width:235;height:130" type="#_x0000_t75" stroked="false">
              <v:imagedata r:id="rId364" o:title=""/>
            </v:shape>
            <v:shape style="position:absolute;left:2713;top:2042;width:63;height:71" coordorigin="2713,2042" coordsize="63,71" path="m2754,2042l2735,2042,2728,2045,2716,2058,2713,2066,2713,2090,2716,2098,2727,2110,2735,2113,2753,2113,2760,2111,2770,2104,2740,2104,2735,2102,2727,2094,2725,2088,2725,2081,2775,2081,2775,2071,2725,2071,2726,2065,2728,2061,2735,2054,2739,2052,2767,2052,2761,2045,2754,2042xm2763,2090l2761,2095,2759,2098,2753,2103,2749,2104,2770,2104,2770,2104,2773,2098,2775,2091,2763,2090xm2767,2052l2751,2052,2755,2054,2761,2061,2763,2066,2763,2071,2775,2071,2775,2066,2773,2058,2767,2052xe" filled="true" fillcolor="#000000" stroked="false">
              <v:path arrowok="t"/>
              <v:fill type="solid"/>
            </v:shape>
            <v:shape style="position:absolute;left:2789;top:2042;width:56;height:70" coordorigin="2789,2042" coordsize="56,70" path="m2799,2044l2789,2044,2789,2112,2800,2112,2801,2066,2802,2060,2809,2054,2810,2053,2799,2053,2799,2044xm2841,2052l2822,2052,2824,2053,2829,2056,2830,2058,2832,2062,2833,2065,2833,2112,2844,2112,2844,2062,2844,2061,2843,2056,2842,2053,2841,2052xm2825,2042l2812,2042,2804,2046,2799,2053,2810,2053,2814,2052,2841,2052,2838,2048,2836,2046,2829,2043,2825,2042xe" filled="true" fillcolor="#000000" stroked="false">
              <v:path arrowok="t"/>
              <v:fill type="solid"/>
            </v:shape>
            <v:shape style="position:absolute;left:2896;top:2018;width:160;height:120" type="#_x0000_t75" stroked="false">
              <v:imagedata r:id="rId365" o:title=""/>
            </v:shape>
            <v:rect style="position:absolute;left:4993;top:2270;width:1864;height:343" filled="false" stroked="true" strokeweight=".610882pt" strokecolor="#000000"/>
            <v:shape style="position:absolute;left:5124;top:2365;width:61;height:93" coordorigin="5124,2365" coordsize="61,93" path="m5184,2365l5124,2365,5124,2376,5169,2376,5164,2383,5138,2441,5137,2458,5149,2458,5149,2448,5151,2440,5153,2432,5156,2421,5161,2410,5172,2389,5178,2381,5184,2374,5184,2365xe" filled="true" fillcolor="#000000" stroked="false">
              <v:path arrowok="t"/>
              <v:fill type="solid"/>
            </v:shape>
            <v:shape style="position:absolute;left:5195;top:2364;width:62;height:96" coordorigin="5195,2364" coordsize="62,96" path="m5231,2364l5219,2364,5213,2365,5204,2373,5201,2378,5196,2392,5195,2400,5195,2429,5198,2442,5210,2456,5217,2459,5233,2459,5238,2458,5247,2450,5247,2450,5220,2450,5216,2447,5209,2437,5207,2427,5207,2396,5209,2386,5213,2380,5216,2375,5220,2373,5247,2373,5246,2372,5243,2369,5235,2365,5231,2364xm5247,2373l5231,2373,5235,2376,5243,2386,5244,2396,5244,2427,5243,2437,5235,2447,5231,2450,5247,2450,5251,2445,5255,2431,5256,2423,5256,2402,5256,2395,5253,2384,5251,2379,5247,2373xe" filled="true" fillcolor="#000000" stroked="false">
              <v:path arrowok="t"/>
              <v:fill type="solid"/>
            </v:shape>
            <v:shape style="position:absolute;left:5304;top:2355;width:235;height:130" type="#_x0000_t75" stroked="false">
              <v:imagedata r:id="rId375" o:title=""/>
            </v:shape>
            <v:shape style="position:absolute;left:5625;top:2388;width:63;height:71" coordorigin="5625,2388" coordsize="63,71" path="m5665,2388l5647,2388,5639,2391,5627,2404,5625,2412,5625,2436,5627,2444,5639,2456,5647,2459,5665,2459,5671,2457,5681,2450,5651,2450,5647,2448,5639,2440,5637,2434,5636,2427,5687,2427,5687,2417,5637,2417,5637,2411,5639,2407,5647,2400,5651,2398,5679,2398,5673,2391,5665,2388xm5675,2436l5673,2441,5671,2444,5665,2449,5661,2450,5681,2450,5681,2450,5685,2444,5687,2437,5675,2436xm5679,2398l5662,2398,5667,2400,5673,2407,5674,2412,5675,2417,5687,2417,5687,2412,5684,2404,5679,2398xe" filled="true" fillcolor="#000000" stroked="false">
              <v:path arrowok="t"/>
              <v:fill type="solid"/>
            </v:shape>
            <v:shape style="position:absolute;left:5701;top:2388;width:56;height:70" coordorigin="5701,2388" coordsize="56,70" path="m5711,2390l5701,2390,5701,2458,5712,2458,5712,2412,5714,2406,5721,2400,5722,2400,5711,2400,5711,2390xm5753,2398l5733,2398,5736,2399,5741,2402,5742,2404,5744,2408,5744,2411,5744,2458,5756,2458,5756,2408,5756,2407,5755,2402,5753,2399,5753,2398xm5737,2388l5723,2388,5716,2392,5711,2400,5722,2400,5725,2398,5753,2398,5750,2394,5747,2392,5741,2389,5737,2388xe" filled="true" fillcolor="#000000" stroked="false">
              <v:path arrowok="t"/>
              <v:fill type="solid"/>
            </v:shape>
            <v:shape style="position:absolute;left:5805;top:2358;width:298;height:105" type="#_x0000_t75" stroked="false">
              <v:imagedata r:id="rId376" o:title=""/>
            </v:shape>
            <v:line style="position:absolute" from="4486,2793" to="4993,2573" stroked="true" strokeweight=".610882pt" strokecolor="#000000"/>
            <v:shape style="position:absolute;left:6448;top:1837;width:898;height:426" coordorigin="6448,1837" coordsize="898,426" path="m7253,1874l6454,2247,6450,2249,6448,2253,6450,2258,6452,2262,6457,2263,6461,2261,7260,1889,7253,1874xm7325,1865l7272,1865,7277,1867,7281,1875,7279,1880,7275,1882,7260,1889,7277,1926,7325,1865xm7272,1865l7268,1867,7253,1874,7260,1889,7275,1882,7279,1880,7281,1875,7277,1867,7272,1865xm7236,1837l7253,1874,7268,1867,7272,1865,7325,1865,7345,1840,7236,1837xe" filled="true" fillcolor="#000000" stroked="false">
              <v:path arrowok="t"/>
              <v:fill type="solid"/>
            </v:shape>
            <v:rect style="position:absolute;left:6949;top:2178;width:2070;height:346" filled="true" fillcolor="#ffffff" stroked="false">
              <v:fill type="solid"/>
            </v:rect>
            <v:rect style="position:absolute;left:6949;top:2178;width:2070;height:346" filled="false" stroked="true" strokeweight=".610882pt" strokecolor="#000000"/>
            <v:shape style="position:absolute;left:7078;top:2272;width:63;height:95" coordorigin="7078,2272" coordsize="63,95" path="m7135,2281l7116,2281,7120,2283,7127,2289,7128,2293,7128,2302,7127,2306,7119,2316,7113,2323,7096,2337,7091,2341,7084,2350,7081,2354,7079,2360,7078,2363,7078,2366,7140,2366,7140,2355,7094,2355,7096,2353,7097,2351,7101,2347,7106,2343,7121,2330,7127,2324,7134,2316,7136,2312,7140,2305,7140,2302,7140,2290,7138,2284,7135,2281xm7120,2272l7102,2272,7095,2274,7084,2283,7081,2290,7081,2299,7092,2300,7092,2294,7094,2290,7101,2283,7105,2281,7135,2281,7127,2274,7120,2272xe" filled="true" fillcolor="#000000" stroked="false">
              <v:path arrowok="t"/>
              <v:fill type="solid"/>
            </v:shape>
            <v:shape style="position:absolute;left:7148;top:2272;width:65;height:94" coordorigin="7148,2272" coordsize="65,94" path="m7201,2343l7189,2343,7189,2366,7201,2366,7201,2343xm7201,2272l7191,2272,7148,2333,7148,2343,7213,2343,7213,2333,7160,2333,7189,2291,7201,2291,7201,2272xm7201,2291l7189,2291,7189,2333,7201,2333,7201,2291xe" filled="true" fillcolor="#000000" stroked="false">
              <v:path arrowok="t"/>
              <v:fill type="solid"/>
            </v:shape>
            <v:shape style="position:absolute;left:7225;top:2272;width:62;height:96" coordorigin="7225,2272" coordsize="62,96" path="m7260,2272l7248,2272,7243,2274,7234,2281,7230,2286,7226,2300,7225,2309,7225,2337,7228,2350,7239,2364,7246,2367,7262,2367,7268,2366,7277,2358,7277,2358,7250,2358,7245,2355,7238,2345,7236,2335,7236,2304,7238,2294,7242,2288,7245,2284,7250,2281,7276,2281,7275,2280,7272,2277,7265,2273,7260,2272xm7276,2281l7260,2281,7265,2284,7272,2294,7274,2304,7274,2335,7272,2345,7265,2355,7260,2358,7277,2358,7280,2353,7285,2340,7286,2331,7286,2310,7285,2303,7282,2292,7280,2287,7276,2281xe" filled="true" fillcolor="#000000" stroked="false">
              <v:path arrowok="t"/>
              <v:fill type="solid"/>
            </v:shape>
            <v:shape style="position:absolute;left:7333;top:2263;width:235;height:130" type="#_x0000_t75" stroked="false">
              <v:imagedata r:id="rId367" o:title=""/>
            </v:shape>
            <v:shape style="position:absolute;left:7654;top:2296;width:63;height:71" coordorigin="7654,2296" coordsize="63,71" path="m7694,2296l7676,2296,7668,2300,7656,2312,7654,2321,7654,2344,7656,2352,7668,2364,7676,2367,7694,2367,7700,2366,7710,2358,7680,2358,7676,2356,7668,2348,7666,2342,7665,2335,7716,2335,7716,2325,7666,2325,7666,2319,7668,2315,7676,2308,7680,2306,7708,2306,7702,2300,7694,2296xm7704,2344l7702,2349,7700,2352,7694,2357,7690,2358,7710,2358,7710,2358,7714,2352,7716,2345,7704,2344xm7708,2306l7691,2306,7696,2308,7702,2315,7703,2320,7704,2325,7716,2325,7716,2321,7713,2312,7708,2306xe" filled="true" fillcolor="#000000" stroked="false">
              <v:path arrowok="t"/>
              <v:fill type="solid"/>
            </v:shape>
            <v:shape style="position:absolute;left:7730;top:2296;width:56;height:70" coordorigin="7730,2296" coordsize="56,70" path="m7740,2298l7730,2298,7730,2366,7741,2366,7741,2320,7743,2314,7750,2308,7751,2308,7740,2308,7740,2298xm7782,2306l7762,2306,7765,2307,7769,2310,7771,2312,7773,2316,7773,2319,7773,2366,7785,2366,7785,2316,7785,2315,7783,2310,7782,2307,7782,2306xm7766,2296l7752,2296,7745,2300,7740,2308,7751,2308,7754,2306,7782,2306,7779,2302,7776,2300,7769,2297,7766,2296xe" filled="true" fillcolor="#000000" stroked="false">
              <v:path arrowok="t"/>
              <v:fill type="solid"/>
            </v:shape>
            <v:shape style="position:absolute;left:7840;top:2272;width:59;height:96" coordorigin="7840,2272" coordsize="59,96" path="m7861,2357l7850,2357,7855,2364,7861,2367,7877,2367,7884,2364,7890,2358,7862,2358,7861,2357xm7851,2272l7840,2272,7840,2366,7850,2366,7850,2357,7861,2357,7857,2355,7851,2345,7850,2340,7850,2323,7852,2317,7859,2308,7864,2306,7891,2306,7890,2306,7851,2306,7851,2272xm7891,2306l7874,2306,7878,2308,7885,2316,7887,2323,7887,2341,7885,2347,7878,2356,7873,2358,7890,2358,7896,2352,7898,2343,7898,2326,7898,2321,7895,2313,7893,2309,7891,2306xm7874,2296l7862,2296,7856,2299,7851,2306,7890,2306,7888,2303,7885,2301,7878,2297,7874,2296xe" filled="true" fillcolor="#000000" stroked="false">
              <v:path arrowok="t"/>
              <v:fill type="solid"/>
            </v:shape>
            <v:shape style="position:absolute;left:7910;top:2272;width:12;height:94" coordorigin="7910,2272" coordsize="12,94" path="m7922,2272l7910,2272,7910,2285,7922,2285,7922,2272xm7922,2298l7910,2298,7910,2366,7922,2366,7922,2298xe" filled="true" fillcolor="#000000" stroked="false">
              <v:path arrowok="t"/>
              <v:fill type="solid"/>
            </v:shape>
            <v:shape style="position:absolute;left:7939;top:2296;width:37;height:70" coordorigin="7939,2296" coordsize="37,70" path="m7949,2298l7939,2298,7939,2366,7950,2366,7950,2325,7951,2321,7953,2314,7955,2312,7959,2309,7961,2308,7973,2308,7973,2308,7949,2308,7949,2298xm7973,2308l7966,2308,7969,2309,7972,2311,7973,2308xm7968,2296l7961,2296,7959,2297,7954,2300,7952,2303,7949,2308,7973,2308,7976,2300,7972,2298,7968,2296xe" filled="true" fillcolor="#000000" stroked="false">
              <v:path arrowok="t"/>
              <v:fill type="solid"/>
            </v:shape>
            <v:shape style="position:absolute;left:7983;top:2296;width:37;height:70" coordorigin="7983,2296" coordsize="37,70" path="m7993,2298l7983,2298,7983,2366,7994,2366,7994,2325,7995,2321,7997,2314,7998,2312,8002,2309,8004,2308,8016,2308,8016,2308,7993,2308,7993,2298xm8016,2308l8010,2308,8013,2309,8015,2311,8016,2308xm8011,2296l8005,2296,8002,2297,7998,2300,7996,2303,7993,2308,8016,2308,8019,2300,8015,2298,8011,2296xe" filled="true" fillcolor="#000000" stroked="false">
              <v:path arrowok="t"/>
              <v:fill type="solid"/>
            </v:shape>
            <v:shape style="position:absolute;left:8025;top:2272;width:12;height:94" coordorigin="8025,2272" coordsize="12,94" path="m8037,2272l8025,2272,8025,2285,8037,2285,8037,2272xm8037,2298l8025,2298,8025,2366,8037,2366,8037,2298xe" filled="true" fillcolor="#000000" stroked="false">
              <v:path arrowok="t"/>
              <v:fill type="solid"/>
            </v:shape>
            <v:shape style="position:absolute;left:8051;top:2296;width:63;height:71" coordorigin="8051,2296" coordsize="63,71" path="m8107,2306l8087,2306,8092,2307,8097,2312,8098,2315,8098,2323,8093,2324,8087,2326,8073,2327,8069,2328,8067,2328,8064,2329,8061,2331,8056,2334,8054,2336,8051,2342,8051,2345,8051,2354,8053,2358,8061,2366,8066,2367,8078,2367,8082,2367,8090,2364,8094,2361,8098,2358,8072,2358,8069,2357,8064,2353,8063,2351,8063,2346,8063,2344,8065,2341,8067,2339,8071,2338,8074,2337,8087,2335,8094,2334,8098,2332,8109,2332,8109,2314,8109,2313,8109,2311,8108,2308,8107,2306xm8110,2358l8099,2358,8099,2361,8099,2361,8100,2363,8100,2364,8101,2366,8113,2366,8112,2363,8111,2361,8110,2358xm8109,2332l8098,2332,8098,2342,8097,2345,8094,2351,8092,2354,8085,2357,8081,2358,8098,2358,8099,2358,8110,2358,8110,2355,8110,2351,8109,2332xm8089,2296l8077,2296,8072,2297,8063,2300,8060,2303,8055,2309,8054,2313,8052,2317,8064,2319,8065,2314,8067,2311,8072,2307,8076,2306,8107,2306,8107,2306,8104,2302,8101,2300,8094,2297,8089,2296xe" filled="true" fillcolor="#000000" stroked="false">
              <v:path arrowok="t"/>
              <v:fill type="solid"/>
            </v:shape>
            <v:shape style="position:absolute;left:7023;top:2514;width:738;height:447" coordorigin="7023,2514" coordsize="738,447" path="m7082,2869l7023,2961,7132,2953,7118,2929,7094,2929,7089,2927,7086,2923,7084,2920,7085,2915,7089,2912,7103,2904,7082,2869xm7103,2904l7089,2912,7085,2915,7084,2920,7086,2923,7089,2927,7094,2929,7097,2926,7111,2918,7103,2904xm7111,2918l7097,2926,7094,2929,7118,2929,7111,2918xm7751,2514l7747,2517,7103,2904,7111,2918,7760,2528,7761,2523,7759,2520,7756,2516,7751,2514xe" filled="true" fillcolor="#000000" stroked="false">
              <v:path arrowok="t"/>
              <v:fill type="solid"/>
            </v:shape>
            <v:rect style="position:absolute;left:7100;top:3228;width:2070;height:346" filled="false" stroked="true" strokeweight=".610882pt" strokecolor="#000000"/>
            <v:shape style="position:absolute;left:7229;top:3322;width:63;height:95" coordorigin="7229,3322" coordsize="63,95" path="m7285,3332l7267,3332,7271,3333,7277,3339,7279,3343,7279,3352,7277,3357,7270,3367,7263,3373,7246,3387,7241,3392,7234,3400,7232,3404,7229,3411,7229,3413,7229,3416,7291,3416,7291,3405,7245,3405,7246,3403,7248,3401,7252,3397,7256,3393,7271,3380,7277,3375,7284,3366,7287,3363,7290,3355,7291,3352,7291,3340,7288,3334,7285,3332xm7271,3322l7253,3322,7246,3324,7235,3334,7232,3340,7231,3349,7243,3350,7243,3344,7245,3340,7251,3333,7256,3332,7285,3332,7278,3324,7271,3322xe" filled="true" fillcolor="#000000" stroked="false">
              <v:path arrowok="t"/>
              <v:fill type="solid"/>
            </v:shape>
            <v:shape style="position:absolute;left:7299;top:3322;width:65;height:94" coordorigin="7299,3322" coordsize="65,94" path="m7351,3394l7340,3394,7340,3416,7351,3416,7351,3394xm7351,3322l7342,3322,7299,3383,7299,3394,7364,3394,7364,3383,7310,3383,7340,3341,7351,3341,7351,3322xm7351,3341l7340,3341,7340,3383,7351,3383,7351,3341xe" filled="true" fillcolor="#000000" stroked="false">
              <v:path arrowok="t"/>
              <v:fill type="solid"/>
            </v:shape>
            <v:shape style="position:absolute;left:7375;top:3322;width:62;height:96" coordorigin="7375,3322" coordsize="62,96" path="m7411,3322l7399,3322,7393,3324,7384,3331,7381,3336,7376,3350,7375,3359,7375,3387,7378,3400,7390,3414,7397,3418,7413,3418,7418,3416,7427,3408,7427,3408,7400,3408,7396,3406,7389,3396,7387,3385,7387,3354,7389,3344,7393,3338,7396,3334,7400,3332,7427,3332,7426,3330,7423,3327,7415,3323,7411,3322xm7427,3332l7411,3332,7415,3334,7423,3344,7424,3354,7424,3385,7423,3395,7415,3406,7411,3408,7427,3408,7431,3403,7435,3390,7436,3381,7436,3361,7436,3353,7433,3342,7431,3338,7427,3332xe" filled="true" fillcolor="#000000" stroked="false">
              <v:path arrowok="t"/>
              <v:fill type="solid"/>
            </v:shape>
            <v:shape style="position:absolute;left:7484;top:3314;width:235;height:130" type="#_x0000_t75" stroked="false">
              <v:imagedata r:id="rId364" o:title=""/>
            </v:shape>
            <v:shape style="position:absolute;left:7804;top:3347;width:63;height:71" coordorigin="7804,3347" coordsize="63,71" path="m7845,3347l7826,3347,7819,3350,7807,3362,7804,3371,7804,3394,7807,3402,7819,3415,7826,3418,7844,3418,7851,3416,7861,3408,7831,3408,7826,3406,7818,3398,7816,3393,7816,3385,7867,3385,7867,3376,7817,3376,7817,3370,7819,3365,7826,3358,7831,3356,7858,3356,7852,3350,7845,3347xm7854,3394l7853,3399,7850,3403,7844,3407,7841,3408,7861,3408,7861,3408,7864,3403,7866,3396,7854,3394xm7858,3356l7842,3356,7846,3358,7853,3366,7854,3370,7854,3376,7867,3376,7867,3371,7864,3362,7858,3356xe" filled="true" fillcolor="#000000" stroked="false">
              <v:path arrowok="t"/>
              <v:fill type="solid"/>
            </v:shape>
            <v:shape style="position:absolute;left:7880;top:3347;width:56;height:70" coordorigin="7880,3347" coordsize="56,70" path="m7891,3348l7880,3348,7880,3416,7892,3416,7892,3370,7893,3364,7901,3358,7901,3358,7891,3358,7891,3348xm7933,3357l7913,3357,7915,3357,7920,3360,7922,3362,7923,3367,7924,3369,7924,3416,7935,3416,7935,3367,7935,3365,7934,3360,7933,3357,7933,3357xm7916,3347l7903,3347,7895,3350,7891,3358,7901,3358,7905,3357,7933,3357,7929,3352,7927,3350,7920,3347,7916,3347xe" filled="true" fillcolor="#000000" stroked="false">
              <v:path arrowok="t"/>
              <v:fill type="solid"/>
            </v:shape>
            <v:shape style="position:absolute;left:7990;top:3322;width:59;height:96" coordorigin="7990,3322" coordsize="59,96" path="m8012,3408l8001,3408,8005,3414,8012,3418,8028,3418,8035,3414,8040,3408,8012,3408,8012,3408xm8002,3322l7990,3322,7990,3416,8001,3416,8001,3408,8012,3408,8008,3405,8002,3396,8001,3390,8001,3373,8002,3367,8010,3358,8014,3356,8041,3356,8041,3356,8002,3356,8002,3322xm8041,3356l8024,3356,8028,3358,8035,3367,8037,3373,8037,3391,8035,3397,8028,3406,8024,3408,8040,3408,8046,3402,8049,3393,8049,3376,8048,3372,8046,3363,8044,3359,8041,3356xm8024,3347l8013,3347,8006,3350,8002,3356,8041,3356,8039,3353,8036,3351,8028,3348,8024,3347xe" filled="true" fillcolor="#000000" stroked="false">
              <v:path arrowok="t"/>
              <v:fill type="solid"/>
            </v:shape>
            <v:shape style="position:absolute;left:8061;top:3322;width:12;height:94" coordorigin="8061,3322" coordsize="12,94" path="m8072,3322l8061,3322,8061,3336,8072,3336,8072,3322xm8072,3348l8061,3348,8061,3416,8072,3416,8072,3348xe" filled="true" fillcolor="#000000" stroked="false">
              <v:path arrowok="t"/>
              <v:fill type="solid"/>
            </v:shape>
            <v:shape style="position:absolute;left:8089;top:3347;width:37;height:70" coordorigin="8089,3347" coordsize="37,70" path="m8100,3348l8089,3348,8089,3416,8101,3416,8101,3376,8102,3371,8104,3364,8105,3362,8109,3359,8111,3359,8123,3359,8123,3358,8100,3358,8100,3348xm8123,3359l8117,3359,8120,3359,8122,3361,8123,3359xm8118,3347l8112,3347,8109,3347,8105,3350,8102,3354,8100,3358,8123,3358,8126,3350,8122,3348,8118,3347xe" filled="true" fillcolor="#000000" stroked="false">
              <v:path arrowok="t"/>
              <v:fill type="solid"/>
            </v:shape>
            <v:shape style="position:absolute;left:8133;top:3347;width:37;height:70" coordorigin="8133,3347" coordsize="37,70" path="m8143,3348l8133,3348,8133,3416,8145,3416,8145,3376,8145,3371,8147,3364,8149,3362,8153,3359,8155,3359,8167,3359,8167,3358,8143,3358,8143,3348xm8167,3359l8160,3359,8163,3359,8166,3361,8167,3359xm8162,3347l8155,3347,8153,3347,8148,3350,8146,3354,8143,3358,8167,3358,8170,3350,8166,3348,8162,3347xe" filled="true" fillcolor="#000000" stroked="false">
              <v:path arrowok="t"/>
              <v:fill type="solid"/>
            </v:shape>
            <v:shape style="position:absolute;left:8176;top:3322;width:12;height:94" coordorigin="8176,3322" coordsize="12,94" path="m8187,3322l8176,3322,8176,3336,8187,3336,8187,3322xm8187,3348l8176,3348,8176,3416,8187,3416,8187,3348xe" filled="true" fillcolor="#000000" stroked="false">
              <v:path arrowok="t"/>
              <v:fill type="solid"/>
            </v:shape>
            <v:shape style="position:absolute;left:8201;top:3347;width:63;height:71" coordorigin="8201,3347" coordsize="63,71" path="m8258,3356l8238,3356,8242,3357,8247,3362,8248,3365,8248,3373,8244,3375,8237,3376,8223,3378,8220,3378,8218,3379,8214,3380,8212,3381,8207,3384,8205,3386,8202,3392,8201,3395,8201,3404,8203,3409,8211,3416,8217,3418,8229,3418,8233,3417,8241,3414,8245,3411,8248,3409,8223,3409,8219,3408,8214,3404,8213,3401,8213,3396,8214,3394,8216,3391,8217,3390,8221,3388,8225,3387,8238,3385,8244,3384,8248,3382,8260,3382,8260,3364,8260,3364,8259,3362,8259,3359,8258,3356xm8261,3408l8249,3408,8250,3411,8250,3411,8250,3414,8250,3414,8252,3416,8264,3416,8262,3414,8261,3411,8261,3408xm8260,3382l8248,3382,8248,3392,8248,3395,8245,3401,8242,3404,8235,3408,8231,3409,8248,3409,8249,3408,8261,3408,8260,3405,8260,3401,8260,3382xm8239,3347l8228,3347,8223,3347,8214,3351,8210,3353,8206,3359,8204,3363,8203,3368,8214,3369,8216,3364,8217,3361,8223,3357,8227,3356,8258,3356,8257,3356,8254,3352,8251,3350,8244,3347,8239,3347xe" filled="true" fillcolor="#000000" stroked="false">
              <v:path arrowok="t"/>
              <v:fill type="solid"/>
            </v:shape>
            <v:line style="position:absolute" from="7890,1900" to="7890,2178" stroked="true" strokeweight=".610882pt" strokecolor="#000000"/>
            <w10:wrap type="topAndBottom"/>
          </v:group>
        </w:pict>
      </w:r>
    </w:p>
    <w:p>
      <w:pPr>
        <w:spacing w:before="57"/>
        <w:ind w:left="3946" w:right="3946" w:firstLine="0"/>
        <w:jc w:val="center"/>
        <w:rPr>
          <w:sz w:val="18"/>
        </w:rPr>
      </w:pPr>
      <w:r>
        <w:rPr>
          <w:color w:val="231F20"/>
          <w:w w:val="105"/>
          <w:sz w:val="18"/>
        </w:rPr>
        <w:t>Figura 1.  Canal de comercialización de los caprinos.</w:t>
      </w:r>
    </w:p>
    <w:p>
      <w:pPr>
        <w:pStyle w:val="BodyText"/>
      </w:pPr>
    </w:p>
    <w:p>
      <w:pPr>
        <w:pStyle w:val="BodyText"/>
      </w:pPr>
    </w:p>
    <w:p>
      <w:pPr>
        <w:spacing w:after="0"/>
        <w:sectPr>
          <w:pgSz w:w="11900" w:h="14450"/>
          <w:pgMar w:header="0" w:footer="222" w:top="420" w:bottom="420" w:left="0" w:right="0"/>
        </w:sectPr>
      </w:pPr>
    </w:p>
    <w:p>
      <w:pPr>
        <w:pStyle w:val="BodyText"/>
        <w:spacing w:before="1"/>
        <w:rPr>
          <w:sz w:val="18"/>
        </w:rPr>
      </w:pPr>
    </w:p>
    <w:p>
      <w:pPr>
        <w:pStyle w:val="BodyText"/>
        <w:spacing w:line="256" w:lineRule="auto" w:before="1"/>
        <w:ind w:left="1553"/>
        <w:jc w:val="both"/>
      </w:pPr>
      <w:r>
        <w:rPr>
          <w:color w:val="231F20"/>
        </w:rPr>
        <w:t>El anterior esquema de comercialización de capri- nos en la región también puede desagregarse en venta de birria al consumidor final en forma de taquitos y consomé. De hecho, ésta es la forma predominante de vender un animal de 40 kg en promedio in vivo o en birria. Estos resultados son similares a los encontrados por Val </w:t>
      </w:r>
      <w:r>
        <w:rPr>
          <w:i/>
          <w:color w:val="231F20"/>
        </w:rPr>
        <w:t>et al</w:t>
      </w:r>
      <w:r>
        <w:rPr>
          <w:color w:val="231F20"/>
        </w:rPr>
        <w:t>. (2011) en una región de Michoacán. Actualmente, el precio de un taco de birria para el consumidor habitual es de $10, y lo mismo para un vaso del subproducto líquido, que en la región se conoce como “conso- mé”. La ganancia monetaria total por animal, bajo esta forma, es mayor que la que se obtiene por la venta de kilos de birria.</w:t>
      </w:r>
    </w:p>
    <w:p>
      <w:pPr>
        <w:pStyle w:val="BodyText"/>
        <w:spacing w:line="256" w:lineRule="auto" w:before="113"/>
        <w:ind w:left="1553"/>
        <w:jc w:val="both"/>
      </w:pPr>
      <w:r>
        <w:rPr>
          <w:color w:val="231F20"/>
        </w:rPr>
        <w:t>Rebollar </w:t>
      </w:r>
      <w:r>
        <w:rPr>
          <w:i/>
          <w:color w:val="231F20"/>
        </w:rPr>
        <w:t>et al</w:t>
      </w:r>
      <w:r>
        <w:rPr>
          <w:color w:val="231F20"/>
        </w:rPr>
        <w:t>. </w:t>
      </w:r>
      <w:r>
        <w:rPr>
          <w:color w:val="231F20"/>
          <w:spacing w:val="-3"/>
        </w:rPr>
        <w:t>(2007) </w:t>
      </w:r>
      <w:r>
        <w:rPr>
          <w:color w:val="231F20"/>
        </w:rPr>
        <w:t>analizaron la producción, los costos, los ingresos y la comercialización de cabras en el sur del Estado de México. Entre otras cosas, concluyeron que si bien la producción de estos animales estaba en aumento, también el número de expendios de birria de chivo había aumentado. Por otro lado, los mismos autores (Rebollar </w:t>
      </w:r>
      <w:r>
        <w:rPr>
          <w:i/>
          <w:color w:val="231F20"/>
        </w:rPr>
        <w:t>et al</w:t>
      </w:r>
      <w:r>
        <w:rPr>
          <w:color w:val="231F20"/>
        </w:rPr>
        <w:t>., 2008) estimaron los costos y las ganancias de la elaboración de birria de chivo considerando todo el proceso de venta: tortillas para tacos, tiempo   de cocción, mano de obra, insumos para la coc- ción,  salsas,  etc.,  y  concluyeron  que  la </w:t>
      </w:r>
      <w:r>
        <w:rPr>
          <w:color w:val="231F20"/>
          <w:spacing w:val="3"/>
        </w:rPr>
        <w:t> </w:t>
      </w:r>
      <w:r>
        <w:rPr>
          <w:color w:val="231F20"/>
        </w:rPr>
        <w:t>ganancia</w:t>
      </w:r>
    </w:p>
    <w:p>
      <w:pPr>
        <w:pStyle w:val="BodyText"/>
        <w:spacing w:before="1"/>
        <w:rPr>
          <w:sz w:val="18"/>
        </w:rPr>
      </w:pPr>
      <w:r>
        <w:rPr/>
        <w:br w:type="column"/>
      </w:r>
      <w:r>
        <w:rPr>
          <w:sz w:val="18"/>
        </w:rPr>
      </w:r>
    </w:p>
    <w:p>
      <w:pPr>
        <w:pStyle w:val="BodyText"/>
        <w:spacing w:line="256" w:lineRule="auto" w:before="1"/>
        <w:ind w:left="412" w:right="1551"/>
        <w:jc w:val="both"/>
      </w:pPr>
      <w:r>
        <w:rPr>
          <w:color w:val="231F20"/>
          <w:w w:val="105"/>
        </w:rPr>
        <w:t>por</w:t>
      </w:r>
      <w:r>
        <w:rPr>
          <w:color w:val="231F20"/>
          <w:spacing w:val="-16"/>
          <w:w w:val="105"/>
        </w:rPr>
        <w:t> </w:t>
      </w:r>
      <w:r>
        <w:rPr>
          <w:color w:val="231F20"/>
          <w:w w:val="105"/>
        </w:rPr>
        <w:t>vender</w:t>
      </w:r>
      <w:r>
        <w:rPr>
          <w:color w:val="231F20"/>
          <w:spacing w:val="-16"/>
          <w:w w:val="105"/>
        </w:rPr>
        <w:t> </w:t>
      </w:r>
      <w:r>
        <w:rPr>
          <w:color w:val="231F20"/>
          <w:w w:val="105"/>
        </w:rPr>
        <w:t>un</w:t>
      </w:r>
      <w:r>
        <w:rPr>
          <w:color w:val="231F20"/>
          <w:spacing w:val="-16"/>
          <w:w w:val="105"/>
        </w:rPr>
        <w:t> </w:t>
      </w:r>
      <w:r>
        <w:rPr>
          <w:color w:val="231F20"/>
          <w:w w:val="105"/>
        </w:rPr>
        <w:t>animal</w:t>
      </w:r>
      <w:r>
        <w:rPr>
          <w:color w:val="231F20"/>
          <w:spacing w:val="-16"/>
          <w:w w:val="105"/>
        </w:rPr>
        <w:t> </w:t>
      </w:r>
      <w:r>
        <w:rPr>
          <w:color w:val="231F20"/>
          <w:w w:val="105"/>
        </w:rPr>
        <w:t>en</w:t>
      </w:r>
      <w:r>
        <w:rPr>
          <w:color w:val="231F20"/>
          <w:spacing w:val="-16"/>
          <w:w w:val="105"/>
        </w:rPr>
        <w:t> </w:t>
      </w:r>
      <w:r>
        <w:rPr>
          <w:color w:val="231F20"/>
          <w:w w:val="105"/>
        </w:rPr>
        <w:t>forma</w:t>
      </w:r>
      <w:r>
        <w:rPr>
          <w:color w:val="231F20"/>
          <w:spacing w:val="-16"/>
          <w:w w:val="105"/>
        </w:rPr>
        <w:t> </w:t>
      </w:r>
      <w:r>
        <w:rPr>
          <w:color w:val="231F20"/>
          <w:w w:val="105"/>
        </w:rPr>
        <w:t>de</w:t>
      </w:r>
      <w:r>
        <w:rPr>
          <w:color w:val="231F20"/>
          <w:spacing w:val="-16"/>
          <w:w w:val="105"/>
        </w:rPr>
        <w:t> </w:t>
      </w:r>
      <w:r>
        <w:rPr>
          <w:color w:val="231F20"/>
          <w:w w:val="105"/>
        </w:rPr>
        <w:t>birria</w:t>
      </w:r>
      <w:r>
        <w:rPr>
          <w:color w:val="231F20"/>
          <w:spacing w:val="-16"/>
          <w:w w:val="105"/>
        </w:rPr>
        <w:t> </w:t>
      </w:r>
      <w:r>
        <w:rPr>
          <w:color w:val="231F20"/>
          <w:w w:val="105"/>
        </w:rPr>
        <w:t>represen- tó 2,2 veces el costo de adquisición del animal in vivo.</w:t>
      </w:r>
      <w:r>
        <w:rPr>
          <w:color w:val="231F20"/>
          <w:spacing w:val="-8"/>
          <w:w w:val="105"/>
        </w:rPr>
        <w:t> </w:t>
      </w:r>
      <w:r>
        <w:rPr>
          <w:color w:val="231F20"/>
          <w:w w:val="105"/>
        </w:rPr>
        <w:t>Asimismo,</w:t>
      </w:r>
      <w:r>
        <w:rPr>
          <w:color w:val="231F20"/>
          <w:spacing w:val="-8"/>
          <w:w w:val="105"/>
        </w:rPr>
        <w:t> </w:t>
      </w:r>
      <w:r>
        <w:rPr>
          <w:color w:val="231F20"/>
          <w:w w:val="105"/>
        </w:rPr>
        <w:t>en</w:t>
      </w:r>
      <w:r>
        <w:rPr>
          <w:color w:val="231F20"/>
          <w:spacing w:val="-8"/>
          <w:w w:val="105"/>
        </w:rPr>
        <w:t> </w:t>
      </w:r>
      <w:r>
        <w:rPr>
          <w:color w:val="231F20"/>
          <w:w w:val="105"/>
        </w:rPr>
        <w:t>otro</w:t>
      </w:r>
      <w:r>
        <w:rPr>
          <w:color w:val="231F20"/>
          <w:spacing w:val="-8"/>
          <w:w w:val="105"/>
        </w:rPr>
        <w:t> </w:t>
      </w:r>
      <w:r>
        <w:rPr>
          <w:color w:val="231F20"/>
          <w:w w:val="105"/>
        </w:rPr>
        <w:t>estudio</w:t>
      </w:r>
      <w:r>
        <w:rPr>
          <w:color w:val="231F20"/>
          <w:spacing w:val="-8"/>
          <w:w w:val="105"/>
        </w:rPr>
        <w:t> </w:t>
      </w:r>
      <w:r>
        <w:rPr>
          <w:color w:val="231F20"/>
          <w:w w:val="105"/>
        </w:rPr>
        <w:t>sobre</w:t>
      </w:r>
      <w:r>
        <w:rPr>
          <w:color w:val="231F20"/>
          <w:spacing w:val="-8"/>
          <w:w w:val="105"/>
        </w:rPr>
        <w:t> </w:t>
      </w:r>
      <w:r>
        <w:rPr>
          <w:color w:val="231F20"/>
          <w:w w:val="105"/>
        </w:rPr>
        <w:t>gastos</w:t>
      </w:r>
      <w:r>
        <w:rPr>
          <w:color w:val="231F20"/>
          <w:spacing w:val="-8"/>
          <w:w w:val="105"/>
        </w:rPr>
        <w:t> </w:t>
      </w:r>
      <w:r>
        <w:rPr>
          <w:color w:val="231F20"/>
          <w:w w:val="105"/>
        </w:rPr>
        <w:t>e</w:t>
      </w:r>
      <w:r>
        <w:rPr>
          <w:color w:val="231F20"/>
          <w:spacing w:val="-8"/>
          <w:w w:val="105"/>
        </w:rPr>
        <w:t> </w:t>
      </w:r>
      <w:r>
        <w:rPr>
          <w:color w:val="231F20"/>
          <w:w w:val="105"/>
        </w:rPr>
        <w:t>in- gresos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actividad</w:t>
      </w:r>
      <w:r>
        <w:rPr>
          <w:color w:val="231F20"/>
          <w:spacing w:val="-12"/>
          <w:w w:val="105"/>
        </w:rPr>
        <w:t> </w:t>
      </w:r>
      <w:r>
        <w:rPr>
          <w:color w:val="231F20"/>
          <w:w w:val="105"/>
        </w:rPr>
        <w:t>caprina</w:t>
      </w:r>
      <w:r>
        <w:rPr>
          <w:color w:val="231F20"/>
          <w:spacing w:val="-12"/>
          <w:w w:val="105"/>
        </w:rPr>
        <w:t> </w:t>
      </w:r>
      <w:r>
        <w:rPr>
          <w:color w:val="231F20"/>
          <w:w w:val="105"/>
        </w:rPr>
        <w:t>en</w:t>
      </w:r>
      <w:r>
        <w:rPr>
          <w:color w:val="231F20"/>
          <w:spacing w:val="-12"/>
          <w:w w:val="105"/>
        </w:rPr>
        <w:t> </w:t>
      </w:r>
      <w:r>
        <w:rPr>
          <w:color w:val="231F20"/>
          <w:w w:val="105"/>
        </w:rPr>
        <w:t>México,</w:t>
      </w:r>
      <w:r>
        <w:rPr>
          <w:color w:val="231F20"/>
          <w:spacing w:val="-12"/>
          <w:w w:val="105"/>
        </w:rPr>
        <w:t> </w:t>
      </w:r>
      <w:r>
        <w:rPr>
          <w:color w:val="231F20"/>
          <w:w w:val="105"/>
        </w:rPr>
        <w:t>Rebollar </w:t>
      </w:r>
      <w:r>
        <w:rPr>
          <w:i/>
          <w:color w:val="231F20"/>
          <w:w w:val="105"/>
        </w:rPr>
        <w:t>et al</w:t>
      </w:r>
      <w:r>
        <w:rPr>
          <w:color w:val="231F20"/>
          <w:w w:val="105"/>
        </w:rPr>
        <w:t>. </w:t>
      </w:r>
      <w:r>
        <w:rPr>
          <w:color w:val="231F20"/>
          <w:spacing w:val="-4"/>
          <w:w w:val="105"/>
        </w:rPr>
        <w:t>(2012) </w:t>
      </w:r>
      <w:r>
        <w:rPr>
          <w:color w:val="231F20"/>
          <w:w w:val="105"/>
        </w:rPr>
        <w:t>estimaron una ganancia por animal en el momento de la venta de </w:t>
      </w:r>
      <w:r>
        <w:rPr>
          <w:color w:val="231F20"/>
          <w:spacing w:val="-6"/>
          <w:w w:val="105"/>
        </w:rPr>
        <w:t>$737,3, </w:t>
      </w:r>
      <w:r>
        <w:rPr>
          <w:color w:val="231F20"/>
          <w:w w:val="105"/>
        </w:rPr>
        <w:t>indicador que ha llevado a que cada vez más productores de la región se interesen por esta actividad, aun- que también se ha visto que algunas unidades</w:t>
      </w:r>
      <w:r>
        <w:rPr>
          <w:color w:val="231F20"/>
          <w:spacing w:val="-21"/>
          <w:w w:val="105"/>
        </w:rPr>
        <w:t> </w:t>
      </w:r>
      <w:r>
        <w:rPr>
          <w:color w:val="231F20"/>
          <w:w w:val="105"/>
        </w:rPr>
        <w:t>de producción han abandonado la ganadería de ca- prino debido a que quienes se dedicaban a ella ya no pertenecen a la familia o emigraron hacia otras</w:t>
      </w:r>
      <w:r>
        <w:rPr>
          <w:color w:val="231F20"/>
          <w:spacing w:val="-19"/>
          <w:w w:val="105"/>
        </w:rPr>
        <w:t> </w:t>
      </w:r>
      <w:r>
        <w:rPr>
          <w:color w:val="231F20"/>
          <w:w w:val="105"/>
        </w:rPr>
        <w:t>regiones,</w:t>
      </w:r>
      <w:r>
        <w:rPr>
          <w:color w:val="231F20"/>
          <w:spacing w:val="-19"/>
          <w:w w:val="105"/>
        </w:rPr>
        <w:t> </w:t>
      </w:r>
      <w:r>
        <w:rPr>
          <w:color w:val="231F20"/>
          <w:w w:val="105"/>
        </w:rPr>
        <w:t>y</w:t>
      </w:r>
      <w:r>
        <w:rPr>
          <w:color w:val="231F20"/>
          <w:spacing w:val="-19"/>
          <w:w w:val="105"/>
        </w:rPr>
        <w:t> </w:t>
      </w:r>
      <w:r>
        <w:rPr>
          <w:color w:val="231F20"/>
          <w:w w:val="105"/>
        </w:rPr>
        <w:t>los</w:t>
      </w:r>
      <w:r>
        <w:rPr>
          <w:color w:val="231F20"/>
          <w:spacing w:val="-19"/>
          <w:w w:val="105"/>
        </w:rPr>
        <w:t> </w:t>
      </w:r>
      <w:r>
        <w:rPr>
          <w:color w:val="231F20"/>
          <w:w w:val="105"/>
        </w:rPr>
        <w:t>jóvenes</w:t>
      </w:r>
      <w:r>
        <w:rPr>
          <w:color w:val="231F20"/>
          <w:spacing w:val="-19"/>
          <w:w w:val="105"/>
        </w:rPr>
        <w:t> </w:t>
      </w:r>
      <w:r>
        <w:rPr>
          <w:color w:val="231F20"/>
          <w:w w:val="105"/>
        </w:rPr>
        <w:t>se</w:t>
      </w:r>
      <w:r>
        <w:rPr>
          <w:color w:val="231F20"/>
          <w:spacing w:val="-19"/>
          <w:w w:val="105"/>
        </w:rPr>
        <w:t> </w:t>
      </w:r>
      <w:r>
        <w:rPr>
          <w:color w:val="231F20"/>
          <w:w w:val="105"/>
        </w:rPr>
        <w:t>van</w:t>
      </w:r>
      <w:r>
        <w:rPr>
          <w:color w:val="231F20"/>
          <w:spacing w:val="-19"/>
          <w:w w:val="105"/>
        </w:rPr>
        <w:t> </w:t>
      </w:r>
      <w:r>
        <w:rPr>
          <w:color w:val="231F20"/>
          <w:w w:val="105"/>
        </w:rPr>
        <w:t>a</w:t>
      </w:r>
      <w:r>
        <w:rPr>
          <w:color w:val="231F20"/>
          <w:spacing w:val="-19"/>
          <w:w w:val="105"/>
        </w:rPr>
        <w:t> </w:t>
      </w:r>
      <w:r>
        <w:rPr>
          <w:color w:val="231F20"/>
          <w:w w:val="105"/>
        </w:rPr>
        <w:t>estudiar.</w:t>
      </w:r>
      <w:r>
        <w:rPr>
          <w:color w:val="231F20"/>
          <w:spacing w:val="-19"/>
          <w:w w:val="105"/>
        </w:rPr>
        <w:t> </w:t>
      </w:r>
      <w:r>
        <w:rPr>
          <w:color w:val="231F20"/>
          <w:w w:val="105"/>
        </w:rPr>
        <w:t>Una vez</w:t>
      </w:r>
      <w:r>
        <w:rPr>
          <w:color w:val="231F20"/>
          <w:spacing w:val="-15"/>
          <w:w w:val="105"/>
        </w:rPr>
        <w:t> </w:t>
      </w:r>
      <w:r>
        <w:rPr>
          <w:color w:val="231F20"/>
          <w:w w:val="105"/>
        </w:rPr>
        <w:t>más,</w:t>
      </w:r>
      <w:r>
        <w:rPr>
          <w:color w:val="231F20"/>
          <w:spacing w:val="-15"/>
          <w:w w:val="105"/>
        </w:rPr>
        <w:t> </w:t>
      </w:r>
      <w:r>
        <w:rPr>
          <w:color w:val="231F20"/>
          <w:w w:val="105"/>
        </w:rPr>
        <w:t>las</w:t>
      </w:r>
      <w:r>
        <w:rPr>
          <w:color w:val="231F20"/>
          <w:spacing w:val="-15"/>
          <w:w w:val="105"/>
        </w:rPr>
        <w:t> </w:t>
      </w:r>
      <w:r>
        <w:rPr>
          <w:color w:val="231F20"/>
          <w:w w:val="105"/>
        </w:rPr>
        <w:t>cifras</w:t>
      </w:r>
      <w:r>
        <w:rPr>
          <w:color w:val="231F20"/>
          <w:spacing w:val="-15"/>
          <w:w w:val="105"/>
        </w:rPr>
        <w:t> </w:t>
      </w:r>
      <w:r>
        <w:rPr>
          <w:color w:val="231F20"/>
          <w:w w:val="105"/>
        </w:rPr>
        <w:t>oficiales</w:t>
      </w:r>
      <w:r>
        <w:rPr>
          <w:color w:val="231F20"/>
          <w:spacing w:val="-15"/>
          <w:w w:val="105"/>
        </w:rPr>
        <w:t> </w:t>
      </w:r>
      <w:r>
        <w:rPr>
          <w:color w:val="231F20"/>
          <w:w w:val="105"/>
        </w:rPr>
        <w:t>mencionadas</w:t>
      </w:r>
      <w:r>
        <w:rPr>
          <w:color w:val="231F20"/>
          <w:spacing w:val="-15"/>
          <w:w w:val="105"/>
        </w:rPr>
        <w:t> </w:t>
      </w:r>
      <w:r>
        <w:rPr>
          <w:color w:val="231F20"/>
          <w:w w:val="105"/>
        </w:rPr>
        <w:t>así</w:t>
      </w:r>
      <w:r>
        <w:rPr>
          <w:color w:val="231F20"/>
          <w:spacing w:val="-15"/>
          <w:w w:val="105"/>
        </w:rPr>
        <w:t> </w:t>
      </w:r>
      <w:r>
        <w:rPr>
          <w:color w:val="231F20"/>
          <w:w w:val="105"/>
        </w:rPr>
        <w:t>lo</w:t>
      </w:r>
      <w:r>
        <w:rPr>
          <w:color w:val="231F20"/>
          <w:spacing w:val="-15"/>
          <w:w w:val="105"/>
        </w:rPr>
        <w:t> </w:t>
      </w:r>
      <w:r>
        <w:rPr>
          <w:color w:val="231F20"/>
          <w:w w:val="105"/>
        </w:rPr>
        <w:t>evi- dencian.</w:t>
      </w:r>
    </w:p>
    <w:p>
      <w:pPr>
        <w:pStyle w:val="BodyText"/>
        <w:spacing w:line="256" w:lineRule="auto" w:before="113"/>
        <w:ind w:left="412" w:right="1551"/>
        <w:jc w:val="both"/>
      </w:pPr>
      <w:r>
        <w:rPr>
          <w:color w:val="231F20"/>
        </w:rPr>
        <w:t>En la actualidad, el hecho de que cada vez haya más productores de cabras en la  región  podría  ser algo relativo, pues existe evidencia de campo en cuanto  a  que  algunas  familias  han  emigrado a Estados Unidos de Norteamérica y hay algunos productores que desempeñan la función de aco- piadores regionales de cabras; esto es, al saber de personas que emigrarán se ofrecen a comprar, a  un precio muy bajo, sus rebaños o lo que resta de ellos. </w:t>
      </w:r>
      <w:r>
        <w:rPr>
          <w:color w:val="231F20"/>
          <w:spacing w:val="-7"/>
        </w:rPr>
        <w:t>Tal </w:t>
      </w:r>
      <w:r>
        <w:rPr>
          <w:color w:val="231F20"/>
        </w:rPr>
        <w:t>acción hace que el acopiador sea propie- tario de hasta más de 400  </w:t>
      </w:r>
      <w:r>
        <w:rPr>
          <w:color w:val="231F20"/>
          <w:spacing w:val="26"/>
        </w:rPr>
        <w:t> </w:t>
      </w:r>
      <w:r>
        <w:rPr>
          <w:color w:val="231F20"/>
        </w:rPr>
        <w:t>cabras.</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w w:val="105"/>
          <w:sz w:val="18"/>
        </w:rPr>
        <w:t>Capítulo </w:t>
      </w:r>
      <w:r>
        <w:rPr>
          <w:color w:val="231F20"/>
          <w:spacing w:val="-3"/>
          <w:w w:val="105"/>
          <w:sz w:val="18"/>
        </w:rPr>
        <w:t>13.  </w:t>
      </w:r>
      <w:r>
        <w:rPr>
          <w:color w:val="231F20"/>
          <w:w w:val="105"/>
          <w:sz w:val="18"/>
        </w:rPr>
        <w:t>Socioeconomía de la producción caprina en el sur del Estado </w:t>
      </w:r>
      <w:r>
        <w:rPr>
          <w:color w:val="231F20"/>
          <w:spacing w:val="27"/>
          <w:w w:val="105"/>
          <w:sz w:val="18"/>
        </w:rPr>
        <w:t> </w:t>
      </w:r>
      <w:r>
        <w:rPr>
          <w:color w:val="231F20"/>
          <w:w w:val="105"/>
          <w:sz w:val="18"/>
        </w:rPr>
        <w:t>de</w:t>
      </w:r>
      <w:r>
        <w:rPr>
          <w:color w:val="231F20"/>
          <w:spacing w:val="4"/>
          <w:w w:val="105"/>
          <w:sz w:val="18"/>
        </w:rPr>
        <w:t> </w:t>
      </w:r>
      <w:r>
        <w:rPr>
          <w:color w:val="231F20"/>
          <w:w w:val="105"/>
          <w:sz w:val="18"/>
        </w:rPr>
        <w:t>México...</w:t>
      </w:r>
      <w:r>
        <w:rPr>
          <w:color w:val="231F20"/>
          <w:w w:val="105"/>
          <w:sz w:val="22"/>
        </w:rPr>
        <w:tab/>
        <w:t>209</w:t>
      </w:r>
    </w:p>
    <w:p>
      <w:pPr>
        <w:spacing w:after="0"/>
        <w:jc w:val="left"/>
        <w:rPr>
          <w:sz w:val="22"/>
        </w:rPr>
        <w:sectPr>
          <w:pgSz w:w="11900" w:h="14450"/>
          <w:pgMar w:header="0" w:footer="222" w:top="420" w:bottom="420" w:left="0" w:right="0"/>
        </w:sectPr>
      </w:pPr>
    </w:p>
    <w:p>
      <w:pPr>
        <w:pStyle w:val="BodyText"/>
        <w:rPr>
          <w:sz w:val="29"/>
        </w:rPr>
      </w:pPr>
    </w:p>
    <w:p>
      <w:pPr>
        <w:pStyle w:val="BodyText"/>
        <w:ind w:left="1553"/>
        <w:jc w:val="both"/>
      </w:pPr>
      <w:r>
        <w:rPr>
          <w:color w:val="231F20"/>
          <w:w w:val="115"/>
        </w:rPr>
        <w:t>CONCLUSIONES</w:t>
      </w:r>
    </w:p>
    <w:p>
      <w:pPr>
        <w:pStyle w:val="BodyText"/>
        <w:spacing w:line="259" w:lineRule="auto" w:before="132"/>
        <w:ind w:left="1553"/>
        <w:jc w:val="both"/>
      </w:pPr>
      <w:r>
        <w:rPr>
          <w:color w:val="231F20"/>
        </w:rPr>
        <w:t>La producción de cabras en el sur de la Entidad mexiquense, a diferencia de otras regiones del Estado, ha aumentado en los últimos 8 años, posiblemente por la constante participación y el interés de los productores de esa especie en los programas estatales y federales de apoyo, lo que ha permitido un repoblamiento de los rebaños y una mejora de su calidad genética. A esto se aña- den unas condiciones agroecológicas adecuadas para desarrollar el sistema de producción y un co- nocimiento del arte por parte de los productores, lo cual ha supuesto una mayor dependencia eco- nómica hacia esta actividad por el aumento del precio del producto principal (la birria), relaciona- do sin lugar a dudas con unas mejores condicio- nes de comercialización de los animales. </w:t>
      </w:r>
      <w:r>
        <w:rPr>
          <w:color w:val="231F20"/>
          <w:spacing w:val="-6"/>
        </w:rPr>
        <w:t>Todo </w:t>
      </w:r>
      <w:r>
        <w:rPr>
          <w:color w:val="231F20"/>
        </w:rPr>
        <w:t>ello permite inferir que la actividad caprina del sur del Estado de México sí ha contribuido al desarrollo rural de la</w:t>
      </w:r>
      <w:r>
        <w:rPr>
          <w:color w:val="231F20"/>
          <w:spacing w:val="11"/>
        </w:rPr>
        <w:t> </w:t>
      </w:r>
      <w:r>
        <w:rPr>
          <w:color w:val="231F20"/>
        </w:rPr>
        <w:t>región.</w:t>
      </w:r>
    </w:p>
    <w:p>
      <w:pPr>
        <w:pStyle w:val="BodyText"/>
      </w:pPr>
    </w:p>
    <w:p>
      <w:pPr>
        <w:pStyle w:val="BodyText"/>
        <w:spacing w:before="151"/>
        <w:ind w:left="1553"/>
        <w:jc w:val="both"/>
      </w:pPr>
      <w:r>
        <w:rPr>
          <w:color w:val="231F20"/>
          <w:w w:val="110"/>
        </w:rPr>
        <w:t>BIBLIOGRAFÍA</w:t>
      </w:r>
    </w:p>
    <w:p>
      <w:pPr>
        <w:spacing w:line="264" w:lineRule="auto" w:before="131"/>
        <w:ind w:left="1837" w:right="0" w:hanging="284"/>
        <w:jc w:val="both"/>
        <w:rPr>
          <w:sz w:val="18"/>
        </w:rPr>
      </w:pPr>
      <w:r>
        <w:rPr>
          <w:color w:val="231F20"/>
          <w:sz w:val="18"/>
        </w:rPr>
        <w:t>Arias L., Soriano R., Sánchez E., González E.C., Rivera L. </w:t>
      </w:r>
      <w:r>
        <w:rPr>
          <w:color w:val="231F20"/>
          <w:spacing w:val="-3"/>
          <w:sz w:val="18"/>
        </w:rPr>
        <w:t>(2011). </w:t>
      </w:r>
      <w:r>
        <w:rPr>
          <w:color w:val="231F20"/>
          <w:sz w:val="18"/>
        </w:rPr>
        <w:t>Características técnicas y  socioeconómicas de los sistemas de producción caprina en un mu- nicipio de la Mixteca Baja oaxaqueña. En: Cavalloti </w:t>
      </w:r>
      <w:r>
        <w:rPr>
          <w:color w:val="231F20"/>
          <w:spacing w:val="-3"/>
          <w:sz w:val="18"/>
        </w:rPr>
        <w:t>V.B.A., </w:t>
      </w:r>
      <w:r>
        <w:rPr>
          <w:color w:val="231F20"/>
          <w:sz w:val="18"/>
        </w:rPr>
        <w:t>Ramírez </w:t>
      </w:r>
      <w:r>
        <w:rPr>
          <w:color w:val="231F20"/>
          <w:spacing w:val="-3"/>
          <w:sz w:val="18"/>
        </w:rPr>
        <w:t>V.B., </w:t>
      </w:r>
      <w:r>
        <w:rPr>
          <w:color w:val="231F20"/>
          <w:sz w:val="18"/>
        </w:rPr>
        <w:t>Martínez </w:t>
      </w:r>
      <w:r>
        <w:rPr>
          <w:color w:val="231F20"/>
          <w:spacing w:val="-3"/>
          <w:sz w:val="18"/>
        </w:rPr>
        <w:t>C.F.E., </w:t>
      </w:r>
      <w:r>
        <w:rPr>
          <w:color w:val="231F20"/>
          <w:sz w:val="18"/>
        </w:rPr>
        <w:t>Marcof </w:t>
      </w:r>
      <w:r>
        <w:rPr>
          <w:color w:val="231F20"/>
          <w:spacing w:val="-3"/>
          <w:sz w:val="18"/>
        </w:rPr>
        <w:t>A.C.F., </w:t>
      </w:r>
      <w:r>
        <w:rPr>
          <w:color w:val="231F20"/>
          <w:sz w:val="18"/>
        </w:rPr>
        <w:t>Cesín </w:t>
      </w:r>
      <w:r>
        <w:rPr>
          <w:color w:val="231F20"/>
          <w:spacing w:val="-3"/>
          <w:sz w:val="18"/>
        </w:rPr>
        <w:t>V.A., </w:t>
      </w:r>
      <w:r>
        <w:rPr>
          <w:color w:val="231F20"/>
          <w:sz w:val="18"/>
        </w:rPr>
        <w:t>coordinadores. La ganadería ante el ago- tamiento de los paradigmas dominantes. </w:t>
      </w:r>
      <w:r>
        <w:rPr>
          <w:color w:val="231F20"/>
          <w:spacing w:val="-3"/>
          <w:sz w:val="18"/>
        </w:rPr>
        <w:t>Vol. </w:t>
      </w:r>
      <w:r>
        <w:rPr>
          <w:color w:val="231F20"/>
          <w:sz w:val="18"/>
        </w:rPr>
        <w:t>2. Uni- versidad Autónoma de Chapingo. Chapingo, México. pp. </w:t>
      </w:r>
      <w:r>
        <w:rPr>
          <w:color w:val="231F20"/>
          <w:spacing w:val="28"/>
          <w:sz w:val="18"/>
        </w:rPr>
        <w:t> </w:t>
      </w:r>
      <w:r>
        <w:rPr>
          <w:color w:val="231F20"/>
          <w:sz w:val="18"/>
        </w:rPr>
        <w:t>335-345.</w:t>
      </w:r>
    </w:p>
    <w:p>
      <w:pPr>
        <w:spacing w:line="264" w:lineRule="auto" w:before="57"/>
        <w:ind w:left="1837" w:right="0" w:hanging="284"/>
        <w:jc w:val="both"/>
        <w:rPr>
          <w:sz w:val="18"/>
        </w:rPr>
      </w:pPr>
      <w:r>
        <w:rPr>
          <w:color w:val="231F20"/>
          <w:sz w:val="18"/>
        </w:rPr>
        <w:t>Castillo M.J., García V.O. (2001). Las zonas secas, los sistemas de producción y el mejoramiento genético en el contexto de la ganadería caprina y sus perspec- tivas en Venzuela. En: Memoria de la XVI Reunión Nacional sobre caprinocultura. Veracruz, México.</w:t>
      </w:r>
    </w:p>
    <w:p>
      <w:pPr>
        <w:spacing w:line="264" w:lineRule="auto" w:before="57"/>
        <w:ind w:left="1837" w:right="0" w:hanging="284"/>
        <w:jc w:val="both"/>
        <w:rPr>
          <w:sz w:val="18"/>
        </w:rPr>
      </w:pPr>
      <w:r>
        <w:rPr>
          <w:color w:val="231F20"/>
          <w:sz w:val="18"/>
        </w:rPr>
        <w:t>De Lucas T.J., Arbiza A.S. (2001). Producción caprina en México y su importancia en el trópico. En: Memoria de la XVI Reunión Nacional sobre caprinocultura. Ve- </w:t>
      </w:r>
      <w:r>
        <w:rPr>
          <w:color w:val="231F20"/>
          <w:w w:val="95"/>
          <w:sz w:val="18"/>
        </w:rPr>
        <w:t>racruz, México.</w:t>
      </w:r>
    </w:p>
    <w:p>
      <w:pPr>
        <w:spacing w:line="264" w:lineRule="auto" w:before="57"/>
        <w:ind w:left="1837" w:right="0" w:hanging="284"/>
        <w:jc w:val="both"/>
        <w:rPr>
          <w:sz w:val="18"/>
        </w:rPr>
      </w:pPr>
      <w:r>
        <w:rPr>
          <w:color w:val="231F20"/>
          <w:spacing w:val="-6"/>
          <w:sz w:val="18"/>
        </w:rPr>
        <w:t>FAO</w:t>
      </w:r>
      <w:r>
        <w:rPr>
          <w:color w:val="231F20"/>
          <w:spacing w:val="28"/>
          <w:sz w:val="18"/>
        </w:rPr>
        <w:t> </w:t>
      </w:r>
      <w:r>
        <w:rPr>
          <w:color w:val="231F20"/>
          <w:sz w:val="18"/>
        </w:rPr>
        <w:t>(Food  and   Agriculture   Organization)   </w:t>
      </w:r>
      <w:r>
        <w:rPr>
          <w:color w:val="231F20"/>
          <w:spacing w:val="-3"/>
          <w:sz w:val="18"/>
        </w:rPr>
        <w:t>(2011).  </w:t>
      </w:r>
      <w:r>
        <w:rPr>
          <w:color w:val="231F20"/>
          <w:sz w:val="18"/>
        </w:rPr>
        <w:t>Base</w:t>
      </w:r>
      <w:r>
        <w:rPr>
          <w:color w:val="231F20"/>
          <w:spacing w:val="30"/>
          <w:sz w:val="18"/>
        </w:rPr>
        <w:t> </w:t>
      </w:r>
      <w:r>
        <w:rPr>
          <w:color w:val="231F20"/>
          <w:sz w:val="18"/>
        </w:rPr>
        <w:t>de</w:t>
      </w:r>
      <w:r>
        <w:rPr>
          <w:color w:val="231F20"/>
          <w:spacing w:val="30"/>
          <w:sz w:val="18"/>
        </w:rPr>
        <w:t> </w:t>
      </w:r>
      <w:r>
        <w:rPr>
          <w:color w:val="231F20"/>
          <w:sz w:val="18"/>
        </w:rPr>
        <w:t>datos</w:t>
      </w:r>
      <w:r>
        <w:rPr>
          <w:color w:val="231F20"/>
          <w:spacing w:val="30"/>
          <w:sz w:val="18"/>
        </w:rPr>
        <w:t> </w:t>
      </w:r>
      <w:r>
        <w:rPr>
          <w:color w:val="231F20"/>
          <w:sz w:val="18"/>
        </w:rPr>
        <w:t>estadísticos.</w:t>
      </w:r>
      <w:r>
        <w:rPr>
          <w:color w:val="231F20"/>
          <w:spacing w:val="30"/>
          <w:sz w:val="18"/>
        </w:rPr>
        <w:t> </w:t>
      </w:r>
      <w:r>
        <w:rPr>
          <w:color w:val="231F20"/>
          <w:sz w:val="18"/>
        </w:rPr>
        <w:t>Disponible</w:t>
      </w:r>
      <w:r>
        <w:rPr>
          <w:color w:val="231F20"/>
          <w:spacing w:val="30"/>
          <w:sz w:val="18"/>
        </w:rPr>
        <w:t> </w:t>
      </w:r>
      <w:r>
        <w:rPr>
          <w:color w:val="231F20"/>
          <w:sz w:val="18"/>
        </w:rPr>
        <w:t>en</w:t>
      </w:r>
      <w:r>
        <w:rPr>
          <w:color w:val="231F20"/>
          <w:spacing w:val="30"/>
          <w:sz w:val="18"/>
        </w:rPr>
        <w:t> </w:t>
      </w:r>
      <w:r>
        <w:rPr>
          <w:color w:val="231F20"/>
          <w:sz w:val="18"/>
        </w:rPr>
        <w:t>línea</w:t>
      </w:r>
      <w:r>
        <w:rPr>
          <w:color w:val="231F20"/>
          <w:spacing w:val="30"/>
          <w:sz w:val="18"/>
        </w:rPr>
        <w:t> </w:t>
      </w:r>
      <w:r>
        <w:rPr>
          <w:color w:val="231F20"/>
          <w:sz w:val="18"/>
        </w:rPr>
        <w:t>en:</w:t>
      </w:r>
    </w:p>
    <w:p>
      <w:pPr>
        <w:pStyle w:val="BodyText"/>
        <w:rPr>
          <w:sz w:val="18"/>
        </w:rPr>
      </w:pPr>
      <w:r>
        <w:rPr/>
        <w:br w:type="column"/>
      </w:r>
      <w:r>
        <w:rPr>
          <w:sz w:val="18"/>
        </w:rPr>
      </w:r>
    </w:p>
    <w:p>
      <w:pPr>
        <w:spacing w:line="266" w:lineRule="auto" w:before="129"/>
        <w:ind w:left="696" w:right="1446" w:firstLine="0"/>
        <w:jc w:val="left"/>
        <w:rPr>
          <w:sz w:val="18"/>
        </w:rPr>
      </w:pPr>
      <w:hyperlink r:id="rId377">
        <w:r>
          <w:rPr>
            <w:color w:val="231F20"/>
            <w:sz w:val="18"/>
          </w:rPr>
          <w:t>http://faostat.fao.org/site/573/default.aspx#ancor</w:t>
        </w:r>
      </w:hyperlink>
      <w:r>
        <w:rPr>
          <w:color w:val="231F20"/>
          <w:sz w:val="18"/>
        </w:rPr>
        <w:t> (Consultado  el  17  de  enero  de 2011.)</w:t>
      </w:r>
    </w:p>
    <w:p>
      <w:pPr>
        <w:spacing w:line="266" w:lineRule="auto" w:before="56"/>
        <w:ind w:left="696" w:right="1551" w:hanging="284"/>
        <w:jc w:val="both"/>
        <w:rPr>
          <w:sz w:val="18"/>
        </w:rPr>
      </w:pPr>
      <w:r>
        <w:rPr>
          <w:color w:val="231F20"/>
          <w:sz w:val="18"/>
        </w:rPr>
        <w:t>FIRA (Fideicomisos Instituidos en Relación a la Agricul- tura) (1999). Oportunidades de desarrollo en la in- dustria de leche y carne de cabra en México. </w:t>
      </w:r>
      <w:r>
        <w:rPr>
          <w:i/>
          <w:color w:val="231F20"/>
          <w:sz w:val="18"/>
        </w:rPr>
        <w:t>Boletín </w:t>
      </w:r>
      <w:r>
        <w:rPr>
          <w:i/>
          <w:color w:val="231F20"/>
          <w:sz w:val="18"/>
        </w:rPr>
        <w:t>Informativo, </w:t>
      </w:r>
      <w:r>
        <w:rPr>
          <w:color w:val="231F20"/>
          <w:sz w:val="18"/>
        </w:rPr>
        <w:t>Vol. XXXII, No. 313. 99   p.</w:t>
      </w:r>
    </w:p>
    <w:p>
      <w:pPr>
        <w:spacing w:line="266" w:lineRule="auto" w:before="56"/>
        <w:ind w:left="696" w:right="1551" w:hanging="284"/>
        <w:jc w:val="both"/>
        <w:rPr>
          <w:sz w:val="18"/>
        </w:rPr>
      </w:pPr>
      <w:r>
        <w:rPr>
          <w:color w:val="231F20"/>
          <w:sz w:val="18"/>
        </w:rPr>
        <w:t>Hernández J.E., Franco F.J., Villarreal A., Camacho C., Pe- draza  M.   (2011).   Caracterización   socioeconómica y productiva de unidades caprinas familiares en la mixteca poblana. </w:t>
      </w:r>
      <w:r>
        <w:rPr>
          <w:i/>
          <w:color w:val="231F20"/>
          <w:sz w:val="18"/>
        </w:rPr>
        <w:t>Archivos de Zootecnia, </w:t>
      </w:r>
      <w:r>
        <w:rPr>
          <w:color w:val="231F20"/>
          <w:sz w:val="18"/>
        </w:rPr>
        <w:t>60 (230): 175-182.</w:t>
      </w:r>
    </w:p>
    <w:p>
      <w:pPr>
        <w:spacing w:line="266" w:lineRule="auto" w:before="56"/>
        <w:ind w:left="696" w:right="1548" w:hanging="284"/>
        <w:jc w:val="both"/>
        <w:rPr>
          <w:sz w:val="18"/>
        </w:rPr>
      </w:pPr>
      <w:r>
        <w:rPr>
          <w:color w:val="231F20"/>
          <w:sz w:val="18"/>
        </w:rPr>
        <w:t>Jeannite A. </w:t>
      </w:r>
      <w:r>
        <w:rPr>
          <w:color w:val="231F20"/>
          <w:spacing w:val="-3"/>
          <w:sz w:val="18"/>
        </w:rPr>
        <w:t>(2011). </w:t>
      </w:r>
      <w:r>
        <w:rPr>
          <w:color w:val="231F20"/>
          <w:sz w:val="18"/>
        </w:rPr>
        <w:t>Estudio de la viabilidad de la ga- nadería caprina en el noroeste de la República Dominicana. </w:t>
      </w:r>
      <w:r>
        <w:rPr>
          <w:color w:val="231F20"/>
          <w:spacing w:val="-3"/>
          <w:sz w:val="18"/>
        </w:rPr>
        <w:t>Trabajo </w:t>
      </w:r>
      <w:r>
        <w:rPr>
          <w:color w:val="231F20"/>
          <w:sz w:val="18"/>
        </w:rPr>
        <w:t>de fin de Máster. Universidad de Córdoba, España. 23 p. Disponible en línea en: </w:t>
      </w:r>
      <w:hyperlink r:id="rId378">
        <w:r>
          <w:rPr>
            <w:color w:val="231F20"/>
            <w:spacing w:val="-1"/>
            <w:sz w:val="18"/>
          </w:rPr>
          <w:t>http://www.uco.es/zootecniaygestion/img/pictorex/</w:t>
        </w:r>
      </w:hyperlink>
      <w:r>
        <w:rPr>
          <w:color w:val="231F20"/>
          <w:spacing w:val="-1"/>
          <w:sz w:val="18"/>
        </w:rPr>
        <w:t> </w:t>
      </w:r>
      <w:r>
        <w:rPr>
          <w:color w:val="231F20"/>
          <w:sz w:val="18"/>
        </w:rPr>
        <w:t>01_10_00_Jeannite_Amos.pdf  (Consultado  el  </w:t>
      </w:r>
      <w:r>
        <w:rPr>
          <w:color w:val="231F20"/>
          <w:spacing w:val="-4"/>
          <w:sz w:val="18"/>
        </w:rPr>
        <w:t>13  </w:t>
      </w:r>
      <w:r>
        <w:rPr>
          <w:color w:val="231F20"/>
          <w:sz w:val="18"/>
        </w:rPr>
        <w:t>de  marzo  de</w:t>
      </w:r>
      <w:r>
        <w:rPr>
          <w:color w:val="231F20"/>
          <w:spacing w:val="39"/>
          <w:sz w:val="18"/>
        </w:rPr>
        <w:t> </w:t>
      </w:r>
      <w:r>
        <w:rPr>
          <w:color w:val="231F20"/>
          <w:spacing w:val="-4"/>
          <w:sz w:val="18"/>
        </w:rPr>
        <w:t>2012.)</w:t>
      </w:r>
    </w:p>
    <w:p>
      <w:pPr>
        <w:spacing w:line="266" w:lineRule="auto" w:before="56"/>
        <w:ind w:left="696" w:right="1551" w:hanging="284"/>
        <w:jc w:val="both"/>
        <w:rPr>
          <w:sz w:val="18"/>
        </w:rPr>
      </w:pPr>
      <w:r>
        <w:rPr>
          <w:color w:val="231F20"/>
          <w:sz w:val="18"/>
        </w:rPr>
        <w:t>Jorge R.J.M., Guzmán C.C.C., López D.C.A., Santilán  </w:t>
      </w:r>
      <w:r>
        <w:rPr>
          <w:color w:val="231F20"/>
          <w:spacing w:val="-3"/>
          <w:sz w:val="18"/>
        </w:rPr>
        <w:t>F.M.A., </w:t>
      </w:r>
      <w:r>
        <w:rPr>
          <w:color w:val="231F20"/>
          <w:sz w:val="18"/>
        </w:rPr>
        <w:t>Valencia </w:t>
      </w:r>
      <w:r>
        <w:rPr>
          <w:color w:val="231F20"/>
          <w:spacing w:val="-3"/>
          <w:sz w:val="18"/>
        </w:rPr>
        <w:t>P.M., </w:t>
      </w:r>
      <w:r>
        <w:rPr>
          <w:color w:val="231F20"/>
          <w:sz w:val="18"/>
        </w:rPr>
        <w:t>Díaz A.E., </w:t>
      </w:r>
      <w:r>
        <w:rPr>
          <w:i/>
          <w:color w:val="231F20"/>
          <w:sz w:val="18"/>
        </w:rPr>
        <w:t>et al. </w:t>
      </w:r>
      <w:r>
        <w:rPr>
          <w:color w:val="231F20"/>
          <w:spacing w:val="-3"/>
          <w:sz w:val="18"/>
        </w:rPr>
        <w:t>(2011). </w:t>
      </w:r>
      <w:r>
        <w:rPr>
          <w:color w:val="231F20"/>
          <w:sz w:val="18"/>
        </w:rPr>
        <w:t>Impac- to económico de la paratuberculosis caprina en ex- plotaciones lecheras del Estado de Guanajuato. En: Cavalloti </w:t>
      </w:r>
      <w:r>
        <w:rPr>
          <w:color w:val="231F20"/>
          <w:spacing w:val="-3"/>
          <w:sz w:val="18"/>
        </w:rPr>
        <w:t>V.B.A., </w:t>
      </w:r>
      <w:r>
        <w:rPr>
          <w:color w:val="231F20"/>
          <w:sz w:val="18"/>
        </w:rPr>
        <w:t>Ramírez </w:t>
      </w:r>
      <w:r>
        <w:rPr>
          <w:color w:val="231F20"/>
          <w:spacing w:val="-3"/>
          <w:sz w:val="18"/>
        </w:rPr>
        <w:t>V.B., </w:t>
      </w:r>
      <w:r>
        <w:rPr>
          <w:color w:val="231F20"/>
          <w:sz w:val="18"/>
        </w:rPr>
        <w:t>Martínez </w:t>
      </w:r>
      <w:r>
        <w:rPr>
          <w:color w:val="231F20"/>
          <w:spacing w:val="-3"/>
          <w:sz w:val="18"/>
        </w:rPr>
        <w:t>C.F.E., </w:t>
      </w:r>
      <w:r>
        <w:rPr>
          <w:color w:val="231F20"/>
          <w:sz w:val="18"/>
        </w:rPr>
        <w:t>Marcof </w:t>
      </w:r>
      <w:r>
        <w:rPr>
          <w:color w:val="231F20"/>
          <w:spacing w:val="-3"/>
          <w:sz w:val="18"/>
        </w:rPr>
        <w:t>A.C.F., </w:t>
      </w:r>
      <w:r>
        <w:rPr>
          <w:color w:val="231F20"/>
          <w:sz w:val="18"/>
        </w:rPr>
        <w:t>Cesín </w:t>
      </w:r>
      <w:r>
        <w:rPr>
          <w:color w:val="231F20"/>
          <w:spacing w:val="-3"/>
          <w:sz w:val="18"/>
        </w:rPr>
        <w:t>V.A., </w:t>
      </w:r>
      <w:r>
        <w:rPr>
          <w:color w:val="231F20"/>
          <w:sz w:val="18"/>
        </w:rPr>
        <w:t>coordinadores. La ganadería ante  el agotamiento de los paradigmas dominantes.   </w:t>
      </w:r>
      <w:r>
        <w:rPr>
          <w:color w:val="231F20"/>
          <w:spacing w:val="17"/>
          <w:sz w:val="18"/>
        </w:rPr>
        <w:t> </w:t>
      </w:r>
      <w:r>
        <w:rPr>
          <w:color w:val="231F20"/>
          <w:spacing w:val="-3"/>
          <w:sz w:val="18"/>
        </w:rPr>
        <w:t>Vol.</w:t>
      </w:r>
    </w:p>
    <w:p>
      <w:pPr>
        <w:spacing w:line="266" w:lineRule="auto" w:before="0"/>
        <w:ind w:left="696" w:right="1446" w:firstLine="0"/>
        <w:jc w:val="left"/>
        <w:rPr>
          <w:sz w:val="18"/>
        </w:rPr>
      </w:pPr>
      <w:r>
        <w:rPr>
          <w:color w:val="231F20"/>
          <w:sz w:val="18"/>
        </w:rPr>
        <w:t>2. Universidad Autónoma de Chapingo. Chapingo, México.  pp. 347-358.</w:t>
      </w:r>
    </w:p>
    <w:p>
      <w:pPr>
        <w:spacing w:line="266" w:lineRule="auto" w:before="56"/>
        <w:ind w:left="696" w:right="1551" w:hanging="284"/>
        <w:jc w:val="both"/>
        <w:rPr>
          <w:sz w:val="18"/>
        </w:rPr>
      </w:pPr>
      <w:r>
        <w:rPr>
          <w:color w:val="231F20"/>
          <w:sz w:val="18"/>
        </w:rPr>
        <w:t>Mendoza G. </w:t>
      </w:r>
      <w:r>
        <w:rPr>
          <w:color w:val="231F20"/>
          <w:spacing w:val="-3"/>
          <w:sz w:val="18"/>
        </w:rPr>
        <w:t>(1991). </w:t>
      </w:r>
      <w:r>
        <w:rPr>
          <w:color w:val="231F20"/>
          <w:sz w:val="18"/>
        </w:rPr>
        <w:t>Compendio de mercadeo de pro- ductos agropecuarios. Primera reimpresión. IICA.  San José, Costa Rica. </w:t>
      </w:r>
      <w:r>
        <w:rPr>
          <w:color w:val="231F20"/>
          <w:spacing w:val="-3"/>
          <w:sz w:val="18"/>
        </w:rPr>
        <w:t>337   </w:t>
      </w:r>
      <w:r>
        <w:rPr>
          <w:color w:val="231F20"/>
          <w:spacing w:val="2"/>
          <w:sz w:val="18"/>
        </w:rPr>
        <w:t> </w:t>
      </w:r>
      <w:r>
        <w:rPr>
          <w:color w:val="231F20"/>
          <w:sz w:val="18"/>
        </w:rPr>
        <w:t>p.</w:t>
      </w:r>
    </w:p>
    <w:p>
      <w:pPr>
        <w:spacing w:line="266" w:lineRule="auto" w:before="56"/>
        <w:ind w:left="696" w:right="1551" w:hanging="284"/>
        <w:jc w:val="both"/>
        <w:rPr>
          <w:sz w:val="18"/>
        </w:rPr>
      </w:pPr>
      <w:r>
        <w:rPr>
          <w:color w:val="231F20"/>
          <w:sz w:val="18"/>
        </w:rPr>
        <w:t>Rebollar R.S., Bórquez G.J.L., Mejía H.P., Torres H.G. (2004). Situación actual de la caprinocultura en Te- jupilco y Amatepec, Estado de México. En: Memoria de la XIX Reunión Nacional sobre Caprinocultura. Asociación Mexicana de Caprinocultura A.C. Acapul- co Gro. México. pp.   411-414.</w:t>
      </w:r>
    </w:p>
    <w:p>
      <w:pPr>
        <w:spacing w:line="266" w:lineRule="auto" w:before="56"/>
        <w:ind w:left="696" w:right="1551" w:hanging="284"/>
        <w:jc w:val="both"/>
        <w:rPr>
          <w:sz w:val="18"/>
        </w:rPr>
      </w:pPr>
      <w:r>
        <w:rPr>
          <w:color w:val="231F20"/>
          <w:sz w:val="18"/>
        </w:rPr>
        <w:t>Rebollar R.S., Hernández M.J., García S.J.A., García M.R., Torres H.G., Bórquez G.J.L., </w:t>
      </w:r>
      <w:r>
        <w:rPr>
          <w:i/>
          <w:color w:val="231F20"/>
          <w:sz w:val="18"/>
        </w:rPr>
        <w:t>et al. </w:t>
      </w:r>
      <w:r>
        <w:rPr>
          <w:color w:val="231F20"/>
          <w:sz w:val="18"/>
        </w:rPr>
        <w:t>(2007). Canales y márgenes de comercialización de caprinos en Teju- pilco y Amatepec, Estado de México. </w:t>
      </w:r>
      <w:r>
        <w:rPr>
          <w:i/>
          <w:color w:val="231F20"/>
          <w:sz w:val="18"/>
        </w:rPr>
        <w:t>Agrociencia, </w:t>
      </w:r>
      <w:r>
        <w:rPr>
          <w:color w:val="231F20"/>
          <w:sz w:val="18"/>
        </w:rPr>
        <w:t>41 (3):   363-370.</w:t>
      </w:r>
    </w:p>
    <w:p>
      <w:pPr>
        <w:spacing w:line="266" w:lineRule="auto" w:before="56"/>
        <w:ind w:left="696" w:right="1551" w:hanging="284"/>
        <w:jc w:val="both"/>
        <w:rPr>
          <w:sz w:val="18"/>
        </w:rPr>
      </w:pPr>
      <w:r>
        <w:rPr>
          <w:color w:val="231F20"/>
          <w:sz w:val="18"/>
        </w:rPr>
        <w:t>Rebollar R.S., Hernández M.J., González </w:t>
      </w:r>
      <w:r>
        <w:rPr>
          <w:color w:val="231F20"/>
          <w:spacing w:val="-3"/>
          <w:sz w:val="18"/>
        </w:rPr>
        <w:t>R.F.J., </w:t>
      </w:r>
      <w:r>
        <w:rPr>
          <w:color w:val="231F20"/>
          <w:sz w:val="18"/>
        </w:rPr>
        <w:t>Rojo R.R., Cardoso J.D., Albarrán </w:t>
      </w:r>
      <w:r>
        <w:rPr>
          <w:color w:val="231F20"/>
          <w:spacing w:val="-3"/>
          <w:sz w:val="18"/>
        </w:rPr>
        <w:t>P.B., </w:t>
      </w:r>
      <w:r>
        <w:rPr>
          <w:i/>
          <w:color w:val="231F20"/>
          <w:sz w:val="18"/>
        </w:rPr>
        <w:t>et al. </w:t>
      </w:r>
      <w:r>
        <w:rPr>
          <w:color w:val="231F20"/>
          <w:sz w:val="18"/>
        </w:rPr>
        <w:t>(2008). Elabora- ción  y  costos  de  producción  de  la  birria  de </w:t>
      </w:r>
      <w:r>
        <w:rPr>
          <w:color w:val="231F20"/>
          <w:spacing w:val="10"/>
          <w:sz w:val="18"/>
        </w:rPr>
        <w:t> </w:t>
      </w:r>
      <w:r>
        <w:rPr>
          <w:color w:val="231F20"/>
          <w:sz w:val="18"/>
        </w:rPr>
        <w:t>chivo</w:t>
      </w:r>
    </w:p>
    <w:p>
      <w:pPr>
        <w:spacing w:after="0" w:line="26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897" w:val="left" w:leader="none"/>
        </w:tabs>
        <w:spacing w:before="64"/>
        <w:ind w:left="1551" w:right="0" w:firstLine="0"/>
        <w:jc w:val="left"/>
        <w:rPr>
          <w:sz w:val="12"/>
        </w:rPr>
      </w:pPr>
      <w:r>
        <w:rPr>
          <w:color w:val="231F20"/>
          <w:spacing w:val="-5"/>
          <w:w w:val="120"/>
          <w:sz w:val="22"/>
        </w:rPr>
        <w:t>210</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pStyle w:val="BodyText"/>
        <w:spacing w:before="10"/>
        <w:rPr>
          <w:sz w:val="22"/>
        </w:rPr>
      </w:pPr>
    </w:p>
    <w:p>
      <w:pPr>
        <w:spacing w:after="0"/>
        <w:rPr>
          <w:sz w:val="22"/>
        </w:rPr>
        <w:sectPr>
          <w:footerReference w:type="default" r:id="rId379"/>
          <w:pgSz w:w="11900" w:h="14450"/>
          <w:pgMar w:footer="222" w:header="0" w:top="420" w:bottom="420" w:left="0" w:right="0"/>
        </w:sectPr>
      </w:pPr>
    </w:p>
    <w:p>
      <w:pPr>
        <w:spacing w:line="264" w:lineRule="auto" w:before="70"/>
        <w:ind w:left="1837" w:right="0" w:firstLine="0"/>
        <w:jc w:val="both"/>
        <w:rPr>
          <w:sz w:val="18"/>
        </w:rPr>
      </w:pPr>
      <w:r>
        <w:rPr>
          <w:color w:val="231F20"/>
          <w:sz w:val="18"/>
        </w:rPr>
        <w:t>en el sur del Estado de México. En: Cavalloti </w:t>
      </w:r>
      <w:r>
        <w:rPr>
          <w:color w:val="231F20"/>
          <w:spacing w:val="-3"/>
          <w:sz w:val="18"/>
        </w:rPr>
        <w:t>V.B.A., </w:t>
      </w:r>
      <w:r>
        <w:rPr>
          <w:color w:val="231F20"/>
          <w:sz w:val="18"/>
        </w:rPr>
        <w:t>Ramírez </w:t>
      </w:r>
      <w:r>
        <w:rPr>
          <w:color w:val="231F20"/>
          <w:spacing w:val="-3"/>
          <w:sz w:val="18"/>
        </w:rPr>
        <w:t>V.B., </w:t>
      </w:r>
      <w:r>
        <w:rPr>
          <w:color w:val="231F20"/>
          <w:sz w:val="18"/>
        </w:rPr>
        <w:t>Marcof </w:t>
      </w:r>
      <w:r>
        <w:rPr>
          <w:color w:val="231F20"/>
          <w:spacing w:val="-3"/>
          <w:sz w:val="18"/>
        </w:rPr>
        <w:t>A.C.F., </w:t>
      </w:r>
      <w:r>
        <w:rPr>
          <w:color w:val="231F20"/>
          <w:sz w:val="18"/>
        </w:rPr>
        <w:t>coordinadores. Ganade- ría y desarrollo rural en tiempos de crisis. Univer- sidad Autónoma de Chapingo. Chapingo,  México.  pp. </w:t>
      </w:r>
      <w:r>
        <w:rPr>
          <w:color w:val="231F20"/>
          <w:spacing w:val="28"/>
          <w:sz w:val="18"/>
        </w:rPr>
        <w:t> </w:t>
      </w:r>
      <w:r>
        <w:rPr>
          <w:color w:val="231F20"/>
          <w:sz w:val="18"/>
        </w:rPr>
        <w:t>335-340.</w:t>
      </w:r>
    </w:p>
    <w:p>
      <w:pPr>
        <w:spacing w:line="264" w:lineRule="auto" w:before="56"/>
        <w:ind w:left="1837" w:right="0" w:hanging="284"/>
        <w:jc w:val="both"/>
        <w:rPr>
          <w:sz w:val="18"/>
        </w:rPr>
      </w:pPr>
      <w:r>
        <w:rPr>
          <w:color w:val="231F20"/>
          <w:sz w:val="18"/>
        </w:rPr>
        <w:t>Rebollar R.S., Rojo R.R. (2010). El estado del arte de la caprinocultura en el sur poniente del Estado de Mé- xico. 1ª ed. Universidad Autónoma del Estado de México. Toluca, México. 180  p.</w:t>
      </w:r>
    </w:p>
    <w:p>
      <w:pPr>
        <w:spacing w:line="264" w:lineRule="auto" w:before="56"/>
        <w:ind w:left="1837" w:right="0" w:hanging="284"/>
        <w:jc w:val="both"/>
        <w:rPr>
          <w:sz w:val="18"/>
        </w:rPr>
      </w:pPr>
      <w:r>
        <w:rPr>
          <w:color w:val="231F20"/>
          <w:w w:val="105"/>
          <w:sz w:val="18"/>
        </w:rPr>
        <w:t>Rebollar R.S., Hernández M.J., Guzmán S.E., Rojo R.R. </w:t>
      </w:r>
      <w:r>
        <w:rPr>
          <w:color w:val="231F20"/>
          <w:spacing w:val="-3"/>
          <w:w w:val="105"/>
          <w:sz w:val="18"/>
        </w:rPr>
        <w:t>(2012). </w:t>
      </w:r>
      <w:r>
        <w:rPr>
          <w:color w:val="231F20"/>
          <w:w w:val="105"/>
          <w:sz w:val="18"/>
        </w:rPr>
        <w:t>Gastos e ingresos en la actividad caprina extensiva</w:t>
      </w:r>
      <w:r>
        <w:rPr>
          <w:color w:val="231F20"/>
          <w:spacing w:val="-17"/>
          <w:w w:val="105"/>
          <w:sz w:val="18"/>
        </w:rPr>
        <w:t> </w:t>
      </w:r>
      <w:r>
        <w:rPr>
          <w:color w:val="231F20"/>
          <w:w w:val="105"/>
          <w:sz w:val="18"/>
        </w:rPr>
        <w:t>en</w:t>
      </w:r>
      <w:r>
        <w:rPr>
          <w:color w:val="231F20"/>
          <w:spacing w:val="-17"/>
          <w:w w:val="105"/>
          <w:sz w:val="18"/>
        </w:rPr>
        <w:t> </w:t>
      </w:r>
      <w:r>
        <w:rPr>
          <w:color w:val="231F20"/>
          <w:w w:val="105"/>
          <w:sz w:val="18"/>
        </w:rPr>
        <w:t>México.</w:t>
      </w:r>
      <w:r>
        <w:rPr>
          <w:color w:val="231F20"/>
          <w:spacing w:val="-17"/>
          <w:w w:val="105"/>
          <w:sz w:val="18"/>
        </w:rPr>
        <w:t> </w:t>
      </w:r>
      <w:r>
        <w:rPr>
          <w:i/>
          <w:color w:val="231F20"/>
          <w:w w:val="105"/>
          <w:sz w:val="18"/>
        </w:rPr>
        <w:t>Revista</w:t>
      </w:r>
      <w:r>
        <w:rPr>
          <w:i/>
          <w:color w:val="231F20"/>
          <w:spacing w:val="-17"/>
          <w:w w:val="105"/>
          <w:sz w:val="18"/>
        </w:rPr>
        <w:t> </w:t>
      </w:r>
      <w:r>
        <w:rPr>
          <w:i/>
          <w:color w:val="231F20"/>
          <w:w w:val="105"/>
          <w:sz w:val="18"/>
        </w:rPr>
        <w:t>Agronomía</w:t>
      </w:r>
      <w:r>
        <w:rPr>
          <w:i/>
          <w:color w:val="231F20"/>
          <w:spacing w:val="-17"/>
          <w:w w:val="105"/>
          <w:sz w:val="18"/>
        </w:rPr>
        <w:t> </w:t>
      </w:r>
      <w:r>
        <w:rPr>
          <w:i/>
          <w:color w:val="231F20"/>
          <w:w w:val="105"/>
          <w:sz w:val="18"/>
        </w:rPr>
        <w:t>Mesoame- </w:t>
      </w:r>
      <w:r>
        <w:rPr>
          <w:i/>
          <w:color w:val="231F20"/>
          <w:w w:val="105"/>
          <w:sz w:val="18"/>
        </w:rPr>
        <w:t>ricana,  </w:t>
      </w:r>
      <w:r>
        <w:rPr>
          <w:color w:val="231F20"/>
          <w:w w:val="105"/>
          <w:sz w:val="18"/>
        </w:rPr>
        <w:t>23  (1):</w:t>
      </w:r>
      <w:r>
        <w:rPr>
          <w:color w:val="231F20"/>
          <w:spacing w:val="7"/>
          <w:w w:val="105"/>
          <w:sz w:val="18"/>
        </w:rPr>
        <w:t> </w:t>
      </w:r>
      <w:r>
        <w:rPr>
          <w:color w:val="231F20"/>
          <w:spacing w:val="-3"/>
          <w:w w:val="105"/>
          <w:sz w:val="18"/>
        </w:rPr>
        <w:t>159-165.</w:t>
      </w:r>
    </w:p>
    <w:p>
      <w:pPr>
        <w:spacing w:line="264" w:lineRule="auto" w:before="56"/>
        <w:ind w:left="1837" w:right="0" w:hanging="284"/>
        <w:jc w:val="both"/>
        <w:rPr>
          <w:sz w:val="18"/>
        </w:rPr>
      </w:pPr>
      <w:r>
        <w:rPr>
          <w:color w:val="231F20"/>
          <w:sz w:val="18"/>
        </w:rPr>
        <w:t>Santos </w:t>
      </w:r>
      <w:r>
        <w:rPr>
          <w:color w:val="231F20"/>
          <w:spacing w:val="-3"/>
          <w:sz w:val="18"/>
        </w:rPr>
        <w:t>C.Y.A., </w:t>
      </w:r>
      <w:r>
        <w:rPr>
          <w:color w:val="231F20"/>
          <w:sz w:val="18"/>
        </w:rPr>
        <w:t>Vargas L.S., </w:t>
      </w:r>
      <w:r>
        <w:rPr>
          <w:color w:val="231F20"/>
          <w:spacing w:val="-4"/>
          <w:sz w:val="18"/>
        </w:rPr>
        <w:t>Torres </w:t>
      </w:r>
      <w:r>
        <w:rPr>
          <w:color w:val="231F20"/>
          <w:sz w:val="18"/>
        </w:rPr>
        <w:t>H.G., Bustamante G.A., Becerril </w:t>
      </w:r>
      <w:r>
        <w:rPr>
          <w:color w:val="231F20"/>
          <w:spacing w:val="-3"/>
          <w:sz w:val="18"/>
        </w:rPr>
        <w:t>P.C.M., </w:t>
      </w:r>
      <w:r>
        <w:rPr>
          <w:color w:val="231F20"/>
          <w:sz w:val="18"/>
        </w:rPr>
        <w:t>Guerrero R.J.D. </w:t>
      </w:r>
      <w:r>
        <w:rPr>
          <w:color w:val="231F20"/>
          <w:spacing w:val="-3"/>
          <w:sz w:val="18"/>
        </w:rPr>
        <w:t>(2010). </w:t>
      </w:r>
      <w:r>
        <w:rPr>
          <w:color w:val="231F20"/>
          <w:sz w:val="18"/>
        </w:rPr>
        <w:t>Estudio ex- ploratorio para la selección de cabras lecheras con campesinos del Valle de Libres, Puebla. En: Cavalloti </w:t>
      </w:r>
      <w:r>
        <w:rPr>
          <w:color w:val="231F20"/>
          <w:spacing w:val="-3"/>
          <w:sz w:val="18"/>
        </w:rPr>
        <w:t>V.B.A.,</w:t>
      </w:r>
      <w:r>
        <w:rPr>
          <w:color w:val="231F20"/>
          <w:spacing w:val="-10"/>
          <w:sz w:val="18"/>
        </w:rPr>
        <w:t> </w:t>
      </w:r>
      <w:r>
        <w:rPr>
          <w:color w:val="231F20"/>
          <w:sz w:val="18"/>
        </w:rPr>
        <w:t>Marcof</w:t>
      </w:r>
      <w:r>
        <w:rPr>
          <w:color w:val="231F20"/>
          <w:spacing w:val="-10"/>
          <w:sz w:val="18"/>
        </w:rPr>
        <w:t> </w:t>
      </w:r>
      <w:r>
        <w:rPr>
          <w:color w:val="231F20"/>
          <w:spacing w:val="-3"/>
          <w:sz w:val="18"/>
        </w:rPr>
        <w:t>A.C.F.,</w:t>
      </w:r>
      <w:r>
        <w:rPr>
          <w:color w:val="231F20"/>
          <w:spacing w:val="-10"/>
          <w:sz w:val="18"/>
        </w:rPr>
        <w:t> </w:t>
      </w:r>
      <w:r>
        <w:rPr>
          <w:color w:val="231F20"/>
          <w:sz w:val="18"/>
        </w:rPr>
        <w:t>Ramírez</w:t>
      </w:r>
      <w:r>
        <w:rPr>
          <w:color w:val="231F20"/>
          <w:spacing w:val="-10"/>
          <w:sz w:val="18"/>
        </w:rPr>
        <w:t> </w:t>
      </w:r>
      <w:r>
        <w:rPr>
          <w:color w:val="231F20"/>
          <w:spacing w:val="-3"/>
          <w:sz w:val="18"/>
        </w:rPr>
        <w:t>V.B.,</w:t>
      </w:r>
      <w:r>
        <w:rPr>
          <w:color w:val="231F20"/>
          <w:spacing w:val="-10"/>
          <w:sz w:val="18"/>
        </w:rPr>
        <w:t> </w:t>
      </w:r>
      <w:r>
        <w:rPr>
          <w:color w:val="231F20"/>
          <w:sz w:val="18"/>
        </w:rPr>
        <w:t>coordinadores.</w:t>
      </w:r>
      <w:r>
        <w:rPr>
          <w:color w:val="231F20"/>
          <w:spacing w:val="-10"/>
          <w:sz w:val="18"/>
        </w:rPr>
        <w:t> </w:t>
      </w:r>
      <w:r>
        <w:rPr>
          <w:color w:val="231F20"/>
          <w:sz w:val="18"/>
        </w:rPr>
        <w:t>Los grandes retos para la ganadería: hambre, pobreza y crisis ambiental. Universidad Autónoma de Chapin- go.  Chapingo,  México.  pp.</w:t>
      </w:r>
      <w:r>
        <w:rPr>
          <w:color w:val="231F20"/>
          <w:spacing w:val="-11"/>
          <w:sz w:val="18"/>
        </w:rPr>
        <w:t> </w:t>
      </w:r>
      <w:r>
        <w:rPr>
          <w:color w:val="231F20"/>
          <w:spacing w:val="-4"/>
          <w:sz w:val="18"/>
        </w:rPr>
        <w:t>417-424.</w:t>
      </w:r>
    </w:p>
    <w:p>
      <w:pPr>
        <w:spacing w:line="264" w:lineRule="auto" w:before="56"/>
        <w:ind w:left="1837" w:right="0" w:hanging="284"/>
        <w:jc w:val="both"/>
        <w:rPr>
          <w:sz w:val="18"/>
        </w:rPr>
      </w:pPr>
      <w:r>
        <w:rPr>
          <w:color w:val="231F20"/>
          <w:sz w:val="18"/>
        </w:rPr>
        <w:t>SEDAGRO (Secretaría de Desarrollo Agropecuario). Go- bierno del Estado de México (2012). Padrón de beneficiarios en el ejercicio 2008, 2009 y 2010. Disponible en línea en: </w:t>
      </w:r>
      <w:hyperlink r:id="rId380">
        <w:r>
          <w:rPr>
            <w:color w:val="231F20"/>
            <w:sz w:val="18"/>
          </w:rPr>
          <w:t>http//www.edomex.gob.mx/</w:t>
        </w:r>
      </w:hyperlink>
      <w:r>
        <w:rPr>
          <w:color w:val="231F20"/>
          <w:sz w:val="18"/>
        </w:rPr>
        <w:t> sedagro  (Consultado  el  17  de  enero  de 2012.)</w:t>
      </w:r>
    </w:p>
    <w:p>
      <w:pPr>
        <w:spacing w:line="266" w:lineRule="auto" w:before="70"/>
        <w:ind w:left="696" w:right="1549" w:hanging="284"/>
        <w:jc w:val="both"/>
        <w:rPr>
          <w:sz w:val="18"/>
        </w:rPr>
      </w:pPr>
      <w:r>
        <w:rPr/>
        <w:br w:type="column"/>
      </w:r>
      <w:r>
        <w:rPr>
          <w:color w:val="231F20"/>
          <w:sz w:val="18"/>
        </w:rPr>
        <w:t>SIAP (Servicio de Información Agroalimentaria y </w:t>
      </w:r>
      <w:r>
        <w:rPr>
          <w:color w:val="231F20"/>
          <w:spacing w:val="-3"/>
          <w:sz w:val="18"/>
        </w:rPr>
        <w:t>Pesque- </w:t>
      </w:r>
      <w:r>
        <w:rPr>
          <w:color w:val="231F20"/>
          <w:sz w:val="18"/>
        </w:rPr>
        <w:t>ra) </w:t>
      </w:r>
      <w:r>
        <w:rPr>
          <w:color w:val="231F20"/>
          <w:spacing w:val="-5"/>
          <w:sz w:val="18"/>
        </w:rPr>
        <w:t>(2011). </w:t>
      </w:r>
      <w:r>
        <w:rPr>
          <w:color w:val="231F20"/>
          <w:sz w:val="18"/>
        </w:rPr>
        <w:t>Ganadería. </w:t>
      </w:r>
      <w:r>
        <w:rPr>
          <w:color w:val="231F20"/>
          <w:spacing w:val="-3"/>
          <w:sz w:val="18"/>
        </w:rPr>
        <w:t>Población </w:t>
      </w:r>
      <w:r>
        <w:rPr>
          <w:color w:val="231F20"/>
          <w:sz w:val="18"/>
        </w:rPr>
        <w:t>ganadera. Disponi- ble en línea en: </w:t>
      </w:r>
      <w:hyperlink r:id="rId381">
        <w:r>
          <w:rPr>
            <w:color w:val="231F20"/>
            <w:spacing w:val="-3"/>
            <w:sz w:val="18"/>
          </w:rPr>
          <w:t>http://www.campomexicano.gob.mx/</w:t>
        </w:r>
      </w:hyperlink>
      <w:r>
        <w:rPr>
          <w:color w:val="231F20"/>
          <w:spacing w:val="-3"/>
          <w:sz w:val="18"/>
        </w:rPr>
        <w:t> </w:t>
      </w:r>
      <w:r>
        <w:rPr>
          <w:color w:val="231F20"/>
          <w:sz w:val="18"/>
        </w:rPr>
        <w:t>portal_siap/Integracion/EstadisticaBasica/Pecuario/ </w:t>
      </w:r>
      <w:r>
        <w:rPr>
          <w:color w:val="231F20"/>
          <w:spacing w:val="3"/>
          <w:sz w:val="18"/>
        </w:rPr>
        <w:t>PoblacionGanadera/ProductoEspecie/caprino.pdf </w:t>
      </w:r>
      <w:r>
        <w:rPr>
          <w:color w:val="231F20"/>
          <w:sz w:val="18"/>
        </w:rPr>
        <w:t>(Consultado el </w:t>
      </w:r>
      <w:r>
        <w:rPr>
          <w:color w:val="231F20"/>
          <w:spacing w:val="-5"/>
          <w:sz w:val="18"/>
        </w:rPr>
        <w:t>19  </w:t>
      </w:r>
      <w:r>
        <w:rPr>
          <w:color w:val="231F20"/>
          <w:sz w:val="18"/>
        </w:rPr>
        <w:t>de diciembre de    </w:t>
      </w:r>
      <w:r>
        <w:rPr>
          <w:color w:val="231F20"/>
          <w:spacing w:val="-6"/>
          <w:sz w:val="18"/>
        </w:rPr>
        <w:t>2011.)</w:t>
      </w:r>
    </w:p>
    <w:p>
      <w:pPr>
        <w:spacing w:line="266" w:lineRule="auto" w:before="56"/>
        <w:ind w:left="696" w:right="1551" w:hanging="284"/>
        <w:jc w:val="both"/>
        <w:rPr>
          <w:sz w:val="18"/>
        </w:rPr>
      </w:pPr>
      <w:r>
        <w:rPr>
          <w:color w:val="231F20"/>
          <w:sz w:val="18"/>
        </w:rPr>
        <w:t>Schwentesius R.R., Gómez CMA. (2004). Márgenes y costos de comercialización. Aspectos conceptuales. Reporte de Investigación 71. CIESTAAM-Universidad Autónoma de Chapingo. Chapingo, México. 21   p.</w:t>
      </w:r>
    </w:p>
    <w:p>
      <w:pPr>
        <w:spacing w:line="266" w:lineRule="auto" w:before="56"/>
        <w:ind w:left="696" w:right="1551" w:hanging="284"/>
        <w:jc w:val="both"/>
        <w:rPr>
          <w:sz w:val="18"/>
        </w:rPr>
      </w:pPr>
      <w:r>
        <w:rPr>
          <w:color w:val="231F20"/>
          <w:sz w:val="18"/>
        </w:rPr>
        <w:t>Trujillo O.X., Vargas L.S., Torres H.G., Bustamante G.A., Becerril P.C.M., Guerrero R.J.D. (2010). Análisis del proceso de introducción de cabras exóticas en los sistemas campesinos de la Mixteca poblana. En: Los grandes retos para la ganadería: hambre, pobreza y crisis ambiental. Universidad Autónoma de Chapin- go. Chapingo, México. pp.   425-433.</w:t>
      </w:r>
    </w:p>
    <w:p>
      <w:pPr>
        <w:spacing w:line="266" w:lineRule="auto" w:before="56"/>
        <w:ind w:left="696" w:right="1551" w:hanging="284"/>
        <w:jc w:val="both"/>
        <w:rPr>
          <w:sz w:val="18"/>
        </w:rPr>
      </w:pPr>
      <w:r>
        <w:rPr>
          <w:color w:val="231F20"/>
          <w:spacing w:val="-3"/>
          <w:sz w:val="18"/>
        </w:rPr>
        <w:t>Val </w:t>
      </w:r>
      <w:r>
        <w:rPr>
          <w:color w:val="231F20"/>
          <w:sz w:val="18"/>
        </w:rPr>
        <w:t>A.D., Alanís S.A., González R.R.A., Méndez C.M.D., Salas G.B., </w:t>
      </w:r>
      <w:r>
        <w:rPr>
          <w:color w:val="231F20"/>
          <w:spacing w:val="-5"/>
          <w:sz w:val="18"/>
        </w:rPr>
        <w:t>Tena </w:t>
      </w:r>
      <w:r>
        <w:rPr>
          <w:color w:val="231F20"/>
          <w:sz w:val="18"/>
        </w:rPr>
        <w:t>M.M.J., et al. </w:t>
      </w:r>
      <w:r>
        <w:rPr>
          <w:color w:val="231F20"/>
          <w:spacing w:val="-3"/>
          <w:sz w:val="18"/>
        </w:rPr>
        <w:t>(2011).  </w:t>
      </w:r>
      <w:r>
        <w:rPr>
          <w:color w:val="231F20"/>
          <w:sz w:val="18"/>
        </w:rPr>
        <w:t>Evaluación de  la ganadería caprina en la localidad  de  Las  Cañas del municipio de Arteaga, Michoacán. En: Cavallo-     ti </w:t>
      </w:r>
      <w:r>
        <w:rPr>
          <w:color w:val="231F20"/>
          <w:spacing w:val="-3"/>
          <w:sz w:val="18"/>
        </w:rPr>
        <w:t>V.B.A., </w:t>
      </w:r>
      <w:r>
        <w:rPr>
          <w:color w:val="231F20"/>
          <w:sz w:val="18"/>
        </w:rPr>
        <w:t>Ramírez </w:t>
      </w:r>
      <w:r>
        <w:rPr>
          <w:color w:val="231F20"/>
          <w:spacing w:val="-3"/>
          <w:sz w:val="18"/>
        </w:rPr>
        <w:t>V.B., </w:t>
      </w:r>
      <w:r>
        <w:rPr>
          <w:color w:val="231F20"/>
          <w:sz w:val="18"/>
        </w:rPr>
        <w:t>Martínez </w:t>
      </w:r>
      <w:r>
        <w:rPr>
          <w:color w:val="231F20"/>
          <w:spacing w:val="-3"/>
          <w:sz w:val="18"/>
        </w:rPr>
        <w:t>C.F.E., </w:t>
      </w:r>
      <w:r>
        <w:rPr>
          <w:color w:val="231F20"/>
          <w:sz w:val="18"/>
        </w:rPr>
        <w:t>Marcof </w:t>
      </w:r>
      <w:r>
        <w:rPr>
          <w:color w:val="231F20"/>
          <w:spacing w:val="-3"/>
          <w:sz w:val="18"/>
        </w:rPr>
        <w:t>A.C.F., </w:t>
      </w:r>
      <w:r>
        <w:rPr>
          <w:color w:val="231F20"/>
          <w:sz w:val="18"/>
        </w:rPr>
        <w:t>Cesín </w:t>
      </w:r>
      <w:r>
        <w:rPr>
          <w:color w:val="231F20"/>
          <w:spacing w:val="-3"/>
          <w:sz w:val="18"/>
        </w:rPr>
        <w:t>V.A., </w:t>
      </w:r>
      <w:r>
        <w:rPr>
          <w:color w:val="231F20"/>
          <w:sz w:val="18"/>
        </w:rPr>
        <w:t>coordinadores. La ganadería ante el ago- tamiento de los paradigmas dominantes. </w:t>
      </w:r>
      <w:r>
        <w:rPr>
          <w:color w:val="231F20"/>
          <w:spacing w:val="-3"/>
          <w:sz w:val="18"/>
        </w:rPr>
        <w:t>Vol. </w:t>
      </w:r>
      <w:r>
        <w:rPr>
          <w:color w:val="231F20"/>
          <w:sz w:val="18"/>
        </w:rPr>
        <w:t>2. Uni- versidad Autónoma de Chapingo. Chapingo, México. pp.  </w:t>
      </w:r>
      <w:r>
        <w:rPr>
          <w:color w:val="231F20"/>
          <w:spacing w:val="3"/>
          <w:sz w:val="18"/>
        </w:rPr>
        <w:t> </w:t>
      </w:r>
      <w:r>
        <w:rPr>
          <w:color w:val="231F20"/>
          <w:spacing w:val="-4"/>
          <w:sz w:val="18"/>
        </w:rPr>
        <w:t>137-148.</w:t>
      </w:r>
    </w:p>
    <w:p>
      <w:pPr>
        <w:spacing w:after="0" w:line="26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pPr>
    </w:p>
    <w:p>
      <w:pPr>
        <w:pStyle w:val="BodyText"/>
      </w:pPr>
    </w:p>
    <w:p>
      <w:pPr>
        <w:pStyle w:val="BodyText"/>
        <w:spacing w:before="11"/>
        <w:rPr>
          <w:sz w:val="25"/>
        </w:rPr>
      </w:pPr>
    </w:p>
    <w:p>
      <w:pPr>
        <w:spacing w:before="12"/>
        <w:ind w:left="1553" w:right="0" w:firstLine="0"/>
        <w:jc w:val="both"/>
        <w:rPr>
          <w:sz w:val="28"/>
        </w:rPr>
      </w:pPr>
      <w:r>
        <w:rPr>
          <w:color w:val="6D6E71"/>
          <w:w w:val="120"/>
          <w:sz w:val="54"/>
        </w:rPr>
        <w:t>B. </w:t>
      </w:r>
      <w:r>
        <w:rPr>
          <w:color w:val="6D6E71"/>
          <w:w w:val="120"/>
          <w:sz w:val="40"/>
        </w:rPr>
        <w:t>S</w:t>
      </w:r>
      <w:r>
        <w:rPr>
          <w:color w:val="6D6E71"/>
          <w:w w:val="120"/>
          <w:sz w:val="28"/>
        </w:rPr>
        <w:t>iStemaS  productoreS  de caprinoS</w:t>
      </w:r>
    </w:p>
    <w:p>
      <w:pPr>
        <w:spacing w:before="290"/>
        <w:ind w:left="1553" w:right="0" w:firstLine="0"/>
        <w:jc w:val="both"/>
        <w:rPr>
          <w:sz w:val="60"/>
        </w:rPr>
      </w:pPr>
      <w:r>
        <w:rPr>
          <w:color w:val="231F20"/>
          <w:w w:val="110"/>
          <w:sz w:val="36"/>
        </w:rPr>
        <w:t>CAPÍTULO </w:t>
      </w:r>
      <w:r>
        <w:rPr>
          <w:color w:val="231F20"/>
          <w:spacing w:val="-25"/>
          <w:w w:val="110"/>
          <w:sz w:val="60"/>
        </w:rPr>
        <w:t>14</w:t>
      </w:r>
    </w:p>
    <w:p>
      <w:pPr>
        <w:spacing w:before="219"/>
        <w:ind w:left="1553" w:right="1655" w:firstLine="0"/>
        <w:jc w:val="left"/>
        <w:rPr>
          <w:sz w:val="36"/>
        </w:rPr>
      </w:pPr>
      <w:r>
        <w:rPr>
          <w:color w:val="231F20"/>
          <w:spacing w:val="-6"/>
          <w:w w:val="105"/>
          <w:sz w:val="36"/>
        </w:rPr>
        <w:t>CONTRIBUCIÓN </w:t>
      </w:r>
      <w:r>
        <w:rPr>
          <w:color w:val="231F20"/>
          <w:spacing w:val="-4"/>
          <w:w w:val="105"/>
          <w:sz w:val="36"/>
        </w:rPr>
        <w:t>DE </w:t>
      </w:r>
      <w:r>
        <w:rPr>
          <w:color w:val="231F20"/>
          <w:w w:val="105"/>
          <w:sz w:val="36"/>
        </w:rPr>
        <w:t>LA </w:t>
      </w:r>
      <w:r>
        <w:rPr>
          <w:color w:val="231F20"/>
          <w:spacing w:val="-7"/>
          <w:w w:val="105"/>
          <w:sz w:val="36"/>
        </w:rPr>
        <w:t>CAPRINOCULTURA </w:t>
      </w:r>
      <w:r>
        <w:rPr>
          <w:color w:val="231F20"/>
          <w:spacing w:val="-4"/>
          <w:w w:val="105"/>
          <w:sz w:val="36"/>
        </w:rPr>
        <w:t>AL </w:t>
      </w:r>
      <w:r>
        <w:rPr>
          <w:color w:val="231F20"/>
          <w:spacing w:val="-8"/>
          <w:w w:val="105"/>
          <w:sz w:val="36"/>
        </w:rPr>
        <w:t>DESARROLLO </w:t>
      </w:r>
      <w:r>
        <w:rPr>
          <w:color w:val="231F20"/>
          <w:w w:val="105"/>
          <w:sz w:val="36"/>
        </w:rPr>
        <w:t>RURAL </w:t>
      </w:r>
      <w:r>
        <w:rPr>
          <w:color w:val="231F20"/>
          <w:spacing w:val="-4"/>
          <w:w w:val="105"/>
          <w:sz w:val="36"/>
        </w:rPr>
        <w:t>EN EL </w:t>
      </w:r>
      <w:r>
        <w:rPr>
          <w:color w:val="231F20"/>
          <w:spacing w:val="-7"/>
          <w:w w:val="105"/>
          <w:sz w:val="36"/>
        </w:rPr>
        <w:t>TRÓPICO </w:t>
      </w:r>
      <w:r>
        <w:rPr>
          <w:color w:val="231F20"/>
          <w:spacing w:val="-10"/>
          <w:w w:val="105"/>
          <w:sz w:val="36"/>
        </w:rPr>
        <w:t>SECO </w:t>
      </w:r>
      <w:r>
        <w:rPr>
          <w:color w:val="231F20"/>
          <w:spacing w:val="-6"/>
          <w:w w:val="105"/>
          <w:sz w:val="36"/>
        </w:rPr>
        <w:t>DEL </w:t>
      </w:r>
      <w:r>
        <w:rPr>
          <w:color w:val="231F20"/>
          <w:spacing w:val="-4"/>
          <w:w w:val="105"/>
          <w:sz w:val="36"/>
        </w:rPr>
        <w:t>BAJO </w:t>
      </w:r>
      <w:r>
        <w:rPr>
          <w:color w:val="231F20"/>
          <w:spacing w:val="72"/>
          <w:w w:val="105"/>
          <w:sz w:val="36"/>
        </w:rPr>
        <w:t> </w:t>
      </w:r>
      <w:r>
        <w:rPr>
          <w:color w:val="231F20"/>
          <w:spacing w:val="-8"/>
          <w:w w:val="105"/>
          <w:sz w:val="36"/>
        </w:rPr>
        <w:t>BALSAS</w:t>
      </w:r>
    </w:p>
    <w:p>
      <w:pPr>
        <w:pStyle w:val="Heading4"/>
        <w:spacing w:line="331" w:lineRule="exact" w:before="297"/>
        <w:rPr>
          <w:i/>
        </w:rPr>
      </w:pPr>
      <w:r>
        <w:rPr>
          <w:i/>
          <w:color w:val="231F20"/>
        </w:rPr>
        <w:t>Daniel Val-Arreola</w:t>
      </w:r>
      <w:r>
        <w:rPr>
          <w:i/>
          <w:color w:val="231F20"/>
          <w:position w:val="9"/>
          <w:sz w:val="16"/>
        </w:rPr>
        <w:t>a,</w:t>
      </w:r>
      <w:r>
        <w:rPr>
          <w:i/>
          <w:color w:val="231F20"/>
        </w:rPr>
        <w:t>*, Adelina Alanís-Solís</w:t>
      </w:r>
      <w:r>
        <w:rPr>
          <w:i/>
          <w:color w:val="231F20"/>
          <w:position w:val="9"/>
          <w:sz w:val="16"/>
        </w:rPr>
        <w:t>b</w:t>
      </w:r>
      <w:r>
        <w:rPr>
          <w:i/>
          <w:color w:val="231F20"/>
        </w:rPr>
        <w:t>, Rafael A.    González-Rodríguez</w:t>
      </w:r>
      <w:r>
        <w:rPr>
          <w:i/>
          <w:color w:val="231F20"/>
          <w:position w:val="9"/>
          <w:sz w:val="16"/>
        </w:rPr>
        <w:t>b</w:t>
      </w:r>
      <w:r>
        <w:rPr>
          <w:i/>
          <w:color w:val="231F20"/>
        </w:rPr>
        <w:t>,</w:t>
      </w:r>
    </w:p>
    <w:p>
      <w:pPr>
        <w:spacing w:line="320" w:lineRule="exact" w:before="0"/>
        <w:ind w:left="1553" w:right="0" w:firstLine="0"/>
        <w:jc w:val="both"/>
        <w:rPr>
          <w:i/>
          <w:sz w:val="28"/>
        </w:rPr>
      </w:pPr>
      <w:r>
        <w:rPr>
          <w:i/>
          <w:color w:val="231F20"/>
          <w:sz w:val="28"/>
        </w:rPr>
        <w:t>M. Dario Méndez-Cazarín</w:t>
      </w:r>
      <w:r>
        <w:rPr>
          <w:i/>
          <w:color w:val="231F20"/>
          <w:position w:val="9"/>
          <w:sz w:val="16"/>
        </w:rPr>
        <w:t>b</w:t>
      </w:r>
      <w:r>
        <w:rPr>
          <w:i/>
          <w:color w:val="231F20"/>
          <w:sz w:val="28"/>
        </w:rPr>
        <w:t>, Beatriz Salas-García</w:t>
      </w:r>
      <w:r>
        <w:rPr>
          <w:i/>
          <w:color w:val="231F20"/>
          <w:position w:val="9"/>
          <w:sz w:val="16"/>
        </w:rPr>
        <w:t>b</w:t>
      </w:r>
      <w:r>
        <w:rPr>
          <w:i/>
          <w:color w:val="231F20"/>
          <w:sz w:val="28"/>
        </w:rPr>
        <w:t>, M. Jaime     Tena-Martínez</w:t>
      </w:r>
      <w:r>
        <w:rPr>
          <w:i/>
          <w:color w:val="231F20"/>
          <w:position w:val="9"/>
          <w:sz w:val="16"/>
        </w:rPr>
        <w:t>b</w:t>
      </w:r>
      <w:r>
        <w:rPr>
          <w:i/>
          <w:color w:val="231F20"/>
          <w:sz w:val="28"/>
        </w:rPr>
        <w:t>,</w:t>
      </w:r>
    </w:p>
    <w:p>
      <w:pPr>
        <w:spacing w:line="331" w:lineRule="exact" w:before="0"/>
        <w:ind w:left="1553" w:right="0" w:firstLine="0"/>
        <w:jc w:val="both"/>
        <w:rPr>
          <w:i/>
          <w:sz w:val="16"/>
        </w:rPr>
      </w:pPr>
      <w:r>
        <w:rPr>
          <w:i/>
          <w:color w:val="231F20"/>
          <w:sz w:val="28"/>
        </w:rPr>
        <w:t>Isidoro Martínez-Beiza</w:t>
      </w:r>
      <w:r>
        <w:rPr>
          <w:i/>
          <w:color w:val="231F20"/>
          <w:position w:val="9"/>
          <w:sz w:val="16"/>
        </w:rPr>
        <w:t>b</w:t>
      </w:r>
      <w:r>
        <w:rPr>
          <w:i/>
          <w:color w:val="231F20"/>
          <w:sz w:val="28"/>
        </w:rPr>
        <w:t>, Jesús J. Conejo-Nava</w:t>
      </w:r>
      <w:r>
        <w:rPr>
          <w:i/>
          <w:color w:val="231F20"/>
          <w:position w:val="9"/>
          <w:sz w:val="16"/>
        </w:rPr>
        <w:t>b   </w:t>
      </w:r>
      <w:r>
        <w:rPr>
          <w:i/>
          <w:color w:val="231F20"/>
          <w:sz w:val="28"/>
        </w:rPr>
        <w:t>y Rafael     Tzintzun-Rascón</w:t>
      </w:r>
      <w:r>
        <w:rPr>
          <w:i/>
          <w:color w:val="231F20"/>
          <w:position w:val="9"/>
          <w:sz w:val="16"/>
        </w:rPr>
        <w:t>a</w:t>
      </w:r>
    </w:p>
    <w:p>
      <w:pPr>
        <w:pStyle w:val="BodyText"/>
        <w:spacing w:line="254" w:lineRule="auto" w:before="164"/>
        <w:ind w:left="1553" w:right="1655"/>
      </w:pPr>
      <w:r>
        <w:rPr>
          <w:color w:val="231F20"/>
          <w:position w:val="7"/>
          <w:sz w:val="11"/>
        </w:rPr>
        <w:t>a </w:t>
      </w:r>
      <w:r>
        <w:rPr>
          <w:color w:val="231F20"/>
        </w:rPr>
        <w:t>Instituto de Investigaciones Agropecuarias y Forestales. Universidad Michoacana de San Nicolas Hidalgo. Km. 9,5 Carretera Morelia-Zinapécuaro. Unidad de Posta   Zootécnica.</w:t>
      </w:r>
    </w:p>
    <w:p>
      <w:pPr>
        <w:pStyle w:val="BodyText"/>
        <w:spacing w:before="1"/>
        <w:ind w:left="1553"/>
        <w:jc w:val="both"/>
      </w:pPr>
      <w:r>
        <w:rPr>
          <w:color w:val="231F20"/>
        </w:rPr>
        <w:t>Tarímbaro,  Michoacán, México, C.P.  58800.</w:t>
      </w:r>
    </w:p>
    <w:p>
      <w:pPr>
        <w:pStyle w:val="BodyText"/>
        <w:spacing w:line="254" w:lineRule="auto" w:before="129"/>
        <w:ind w:left="1553" w:right="2503"/>
      </w:pPr>
      <w:r>
        <w:rPr>
          <w:color w:val="231F20"/>
          <w:position w:val="7"/>
          <w:sz w:val="11"/>
        </w:rPr>
        <w:t>b </w:t>
      </w:r>
      <w:r>
        <w:rPr>
          <w:color w:val="231F20"/>
        </w:rPr>
        <w:t>Facultad de Medicina Veterinaria y Zootecnia, Universidad Michoacana de San Nicolas Hidalgo. Km. 9,5 Carretera Morelia-Zinapécuaro. Tarímbaro, Michoacán, México, C.P.    58880.</w:t>
      </w:r>
    </w:p>
    <w:p>
      <w:pPr>
        <w:pStyle w:val="BodyText"/>
      </w:pPr>
    </w:p>
    <w:p>
      <w:pPr>
        <w:pStyle w:val="BodyText"/>
        <w:spacing w:before="9"/>
        <w:rPr>
          <w:sz w:val="18"/>
        </w:rPr>
      </w:pPr>
      <w:r>
        <w:rPr/>
        <w:pict>
          <v:line style="position:absolute;mso-position-horizontal-relative:page;mso-position-vertical-relative:paragraph;z-index:6184;mso-wrap-distance-left:0;mso-wrap-distance-right:0" from="77.692902pt,13.684902pt" to="517.062902pt,13.684902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1"/>
        <w:jc w:val="both"/>
      </w:pPr>
      <w:r>
        <w:rPr>
          <w:color w:val="231F20"/>
        </w:rPr>
        <w:t>La caprinocultura es una actividad que en México, tradicionalmente, se ha limitado a zonas semidesérticas   y marginadas. Sin embargo, son pocos los estudios que evalúan su contribución a la economía de las co- munidades rurales. </w:t>
      </w:r>
      <w:r>
        <w:rPr>
          <w:color w:val="231F20"/>
          <w:spacing w:val="-3"/>
        </w:rPr>
        <w:t>Por </w:t>
      </w:r>
      <w:r>
        <w:rPr>
          <w:color w:val="231F20"/>
        </w:rPr>
        <w:t>otra parte, hay poca información estadística y de desempeño productivo, quizás </w:t>
      </w:r>
      <w:r>
        <w:rPr>
          <w:color w:val="231F20"/>
          <w:spacing w:val="-2"/>
        </w:rPr>
        <w:t>por </w:t>
      </w:r>
      <w:r>
        <w:rPr>
          <w:color w:val="231F20"/>
        </w:rPr>
        <w:t>limitaciones metodológicas que debido a su rigor ven limitada su aplicación en las unidades de producción campesinas. El diagnóstico rural rápido es un enfoque de investigación desarrollado pensando en las condi- ciones de las unidades de producción que operan bajo la lógica campesina. En la localidad de Las Cañas, en el municipio de Arteaga, Michoacán, con alta marginación y con recursos naturales limitados, la explotación de cabras en agostaderos característicos de la selva baja caducifolia, en donde la agricultura comercial está limitada por las condiciones agroclimáticas propias del trópico seco, esta forma de explotación puede ofre- cer márgenes de ganancia de hasta 2,8 salarios mínimos. En Michoacán este tipo de ganadería no ha sido documentada y no hay trabajos que la estudien; sin embargo, por los resultados encontrados en el presente estudio,</w:t>
      </w:r>
      <w:r>
        <w:rPr>
          <w:color w:val="231F20"/>
          <w:spacing w:val="-11"/>
        </w:rPr>
        <w:t> </w:t>
      </w:r>
      <w:r>
        <w:rPr>
          <w:color w:val="231F20"/>
        </w:rPr>
        <w:t>la</w:t>
      </w:r>
      <w:r>
        <w:rPr>
          <w:color w:val="231F20"/>
          <w:spacing w:val="-11"/>
        </w:rPr>
        <w:t> </w:t>
      </w:r>
      <w:r>
        <w:rPr>
          <w:color w:val="231F20"/>
        </w:rPr>
        <w:t>caprinocultura</w:t>
      </w:r>
      <w:r>
        <w:rPr>
          <w:color w:val="231F20"/>
          <w:spacing w:val="-11"/>
        </w:rPr>
        <w:t> </w:t>
      </w:r>
      <w:r>
        <w:rPr>
          <w:color w:val="231F20"/>
        </w:rPr>
        <w:t>representa</w:t>
      </w:r>
      <w:r>
        <w:rPr>
          <w:color w:val="231F20"/>
          <w:spacing w:val="-11"/>
        </w:rPr>
        <w:t> </w:t>
      </w:r>
      <w:r>
        <w:rPr>
          <w:color w:val="231F20"/>
        </w:rPr>
        <w:t>una</w:t>
      </w:r>
      <w:r>
        <w:rPr>
          <w:color w:val="231F20"/>
          <w:spacing w:val="-11"/>
        </w:rPr>
        <w:t> </w:t>
      </w:r>
      <w:r>
        <w:rPr>
          <w:color w:val="231F20"/>
        </w:rPr>
        <w:t>alternativa</w:t>
      </w:r>
      <w:r>
        <w:rPr>
          <w:color w:val="231F20"/>
          <w:spacing w:val="-11"/>
        </w:rPr>
        <w:t> </w:t>
      </w:r>
      <w:r>
        <w:rPr>
          <w:color w:val="231F20"/>
        </w:rPr>
        <w:t>para</w:t>
      </w:r>
      <w:r>
        <w:rPr>
          <w:color w:val="231F20"/>
          <w:spacing w:val="-11"/>
        </w:rPr>
        <w:t> </w:t>
      </w:r>
      <w:r>
        <w:rPr>
          <w:color w:val="231F20"/>
        </w:rPr>
        <w:t>las</w:t>
      </w:r>
      <w:r>
        <w:rPr>
          <w:color w:val="231F20"/>
          <w:spacing w:val="-11"/>
        </w:rPr>
        <w:t> </w:t>
      </w:r>
      <w:r>
        <w:rPr>
          <w:color w:val="231F20"/>
        </w:rPr>
        <w:t>localidades</w:t>
      </w:r>
      <w:r>
        <w:rPr>
          <w:color w:val="231F20"/>
          <w:spacing w:val="-11"/>
        </w:rPr>
        <w:t> </w:t>
      </w:r>
      <w:r>
        <w:rPr>
          <w:color w:val="231F20"/>
        </w:rPr>
        <w:t>rurales</w:t>
      </w:r>
      <w:r>
        <w:rPr>
          <w:color w:val="231F20"/>
          <w:spacing w:val="-11"/>
        </w:rPr>
        <w:t> </w:t>
      </w:r>
      <w:r>
        <w:rPr>
          <w:color w:val="231F20"/>
        </w:rPr>
        <w:t>marginadas</w:t>
      </w:r>
      <w:r>
        <w:rPr>
          <w:color w:val="231F20"/>
          <w:spacing w:val="-11"/>
        </w:rPr>
        <w:t> </w:t>
      </w:r>
      <w:r>
        <w:rPr>
          <w:color w:val="231F20"/>
        </w:rPr>
        <w:t>del</w:t>
      </w:r>
      <w:r>
        <w:rPr>
          <w:color w:val="231F20"/>
          <w:spacing w:val="-11"/>
        </w:rPr>
        <w:t> </w:t>
      </w:r>
      <w:r>
        <w:rPr>
          <w:color w:val="231F20"/>
        </w:rPr>
        <w:t>país.</w:t>
      </w:r>
    </w:p>
    <w:p>
      <w:pPr>
        <w:pStyle w:val="BodyText"/>
        <w:spacing w:line="254" w:lineRule="auto" w:before="114"/>
        <w:ind w:left="1553" w:right="1655"/>
      </w:pPr>
      <w:r>
        <w:rPr>
          <w:color w:val="231F20"/>
        </w:rPr>
        <w:t>Palabras clave: Caprinocultura - Diagnóstico rural rápido - Presupuestación participativa - Marginación - Economía  campesina.</w:t>
      </w:r>
    </w:p>
    <w:p>
      <w:pPr>
        <w:pStyle w:val="BodyText"/>
        <w:rPr>
          <w:sz w:val="19"/>
        </w:rPr>
      </w:pPr>
      <w:r>
        <w:rPr/>
        <w:pict>
          <v:line style="position:absolute;mso-position-horizontal-relative:page;mso-position-vertical-relative:paragraph;z-index:6208;mso-wrap-distance-left:0;mso-wrap-distance-right:0" from="77.692902pt,13.839933pt" to="517.062902pt,13.839933pt" stroked="true" strokeweight=".5pt" strokecolor="#231f20">
            <w10:wrap type="topAndBottom"/>
          </v:line>
        </w:pict>
      </w:r>
      <w:r>
        <w:rPr/>
        <w:pict>
          <v:group style="position:absolute;margin-left:77.692902pt;margin-top:20.615534pt;width:70.9pt;height:.5pt;mso-position-horizontal-relative:page;mso-position-vertical-relative:paragraph;z-index:6232;mso-wrap-distance-left:0;mso-wrap-distance-right:0" coordorigin="1554,412" coordsize="1418,10">
            <v:line style="position:absolute" from="1589,417" to="2951,417" stroked="true" strokeweight=".5pt" strokecolor="#231f20">
              <v:stroke dashstyle="dash"/>
            </v:line>
            <v:line style="position:absolute" from="1559,417" to="1559,417" stroked="true" strokeweight=".5pt" strokecolor="#231f20"/>
            <v:line style="position:absolute" from="2966,417" to="2966,417" stroked="true" strokeweight=".5pt" strokecolor="#231f20"/>
            <w10:wrap type="topAndBottom"/>
          </v:group>
        </w:pict>
      </w:r>
    </w:p>
    <w:p>
      <w:pPr>
        <w:pStyle w:val="BodyText"/>
        <w:spacing w:before="1"/>
        <w:rPr>
          <w:sz w:val="5"/>
        </w:rPr>
      </w:pPr>
    </w:p>
    <w:p>
      <w:pPr>
        <w:spacing w:after="0"/>
        <w:rPr>
          <w:sz w:val="5"/>
        </w:rPr>
        <w:sectPr>
          <w:pgSz w:w="11900" w:h="14450"/>
          <w:pgMar w:header="0" w:footer="222" w:top="420" w:bottom="420" w:left="0" w:right="0"/>
        </w:sectPr>
      </w:pPr>
    </w:p>
    <w:p>
      <w:pPr>
        <w:spacing w:before="70"/>
        <w:ind w:left="1553" w:right="0" w:firstLine="0"/>
        <w:jc w:val="left"/>
        <w:rPr>
          <w:sz w:val="16"/>
        </w:rPr>
      </w:pPr>
      <w:r>
        <w:rPr>
          <w:color w:val="231F20"/>
          <w:sz w:val="16"/>
        </w:rPr>
        <w:t>* Para correspondencia: </w:t>
      </w:r>
      <w:hyperlink r:id="rId382">
        <w:r>
          <w:rPr>
            <w:color w:val="231F20"/>
            <w:sz w:val="16"/>
          </w:rPr>
          <w:t>dval_@hotmail.com</w:t>
        </w:r>
      </w:hyperlink>
    </w:p>
    <w:p>
      <w:pPr>
        <w:pStyle w:val="BodyText"/>
        <w:spacing w:before="8"/>
        <w:rPr>
          <w:sz w:val="27"/>
        </w:rPr>
      </w:pPr>
      <w:r>
        <w:rPr/>
        <w:br w:type="column"/>
      </w:r>
      <w:r>
        <w:rPr>
          <w:sz w:val="27"/>
        </w:rPr>
      </w:r>
    </w:p>
    <w:p>
      <w:pPr>
        <w:pStyle w:val="Heading5"/>
        <w:spacing w:before="1"/>
        <w:ind w:left="1522" w:right="1529"/>
        <w:jc w:val="center"/>
      </w:pPr>
      <w:r>
        <w:rPr>
          <w:color w:val="231F20"/>
          <w:w w:val="115"/>
        </w:rPr>
        <w:t>211</w:t>
      </w:r>
    </w:p>
    <w:p>
      <w:pPr>
        <w:spacing w:after="0"/>
        <w:jc w:val="center"/>
        <w:sectPr>
          <w:type w:val="continuous"/>
          <w:pgSz w:w="11900" w:h="14450"/>
          <w:pgMar w:top="420" w:bottom="420" w:left="0" w:right="0"/>
          <w:cols w:num="2" w:equalWidth="0">
            <w:col w:w="4499" w:space="3917"/>
            <w:col w:w="3484"/>
          </w:cols>
        </w:sectPr>
      </w:pPr>
    </w:p>
    <w:p>
      <w:pPr>
        <w:pStyle w:val="BodyText"/>
      </w:pPr>
    </w:p>
    <w:p>
      <w:pPr>
        <w:pStyle w:val="BodyText"/>
      </w:pPr>
    </w:p>
    <w:p>
      <w:pPr>
        <w:pStyle w:val="BodyText"/>
        <w:rPr>
          <w:sz w:val="17"/>
        </w:rPr>
      </w:pPr>
    </w:p>
    <w:p>
      <w:pPr>
        <w:tabs>
          <w:tab w:pos="6897" w:val="left" w:leader="none"/>
        </w:tabs>
        <w:spacing w:before="64"/>
        <w:ind w:left="1551" w:right="0" w:firstLine="0"/>
        <w:jc w:val="left"/>
        <w:rPr>
          <w:sz w:val="12"/>
        </w:rPr>
      </w:pPr>
      <w:r>
        <w:rPr>
          <w:color w:val="231F20"/>
          <w:spacing w:val="-5"/>
          <w:w w:val="120"/>
          <w:sz w:val="22"/>
        </w:rPr>
        <w:t>212</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6" w:lineRule="auto" w:before="130"/>
        <w:ind w:left="1553"/>
        <w:jc w:val="both"/>
      </w:pPr>
      <w:r>
        <w:rPr>
          <w:color w:val="231F20"/>
        </w:rPr>
        <w:t>La ganadería caprina representa una opción viable para las comunidades marginadas localizadas  en las regiones cálidas áridas y semiáridas de México. En medios oficiales (SAGARPA) se ha reportado un crecimiento de la actividad, pero las cifras no son concordantes entre las diversas entidades guber- namentales. Así mismo, existe poca información sobre la actividad ganadera caprina en regiones marginadas, y particularmente en Michoacán. La información generada es escasa, pero se mantie- ne la hipótesis de que representa una alternati-    va de sustento económico para las comunidades rurales marginadas de la entidad, sobre todo en  las regiones semiáridas del Estado. Los enfoques sistémicos desarrollados para las actividades agrí- colas a partir de la década de </w:t>
      </w:r>
      <w:r>
        <w:rPr>
          <w:color w:val="231F20"/>
          <w:spacing w:val="-7"/>
        </w:rPr>
        <w:t>1970 </w:t>
      </w:r>
      <w:r>
        <w:rPr>
          <w:color w:val="231F20"/>
        </w:rPr>
        <w:t>representaron un avance importante en la investigación, la com- prensión y la intervención de los sistemas agro- pecuarios. Este enfoque sistémico ha desarrollado una variedad de metodologías considerando las características esenciales, endógenas y con un or- den evolutivo. Entre ellas, el diagnóstico rural rápi- do es una alternativa de diagnóstico que consume poco tiempo al no involucrar un trabajo en profun- didad técnica; los sistemas son evaluados desde diferentes ángulos, es de naturaleza exploratoria   e iterativa, mejora la curva de aprendizaje del in- vestigador y permite un enfoque multidisciplinario. El objetivo del presente trabajo es la evaluación, con el enfoque de diagnóstico rural rápido, de la producción de cabras en la localidad de Las Cañas, municipio de Arteaga, Estado de Michoacán, consi- derando que esta región es de alta marginación y que está localizada en un agroecosistema árido de baja</w:t>
      </w:r>
      <w:r>
        <w:rPr>
          <w:color w:val="231F20"/>
          <w:spacing w:val="-12"/>
        </w:rPr>
        <w:t> </w:t>
      </w:r>
      <w:r>
        <w:rPr>
          <w:color w:val="231F20"/>
        </w:rPr>
        <w:t>productividad.</w:t>
      </w:r>
    </w:p>
    <w:p>
      <w:pPr>
        <w:pStyle w:val="BodyText"/>
        <w:spacing w:before="2"/>
        <w:rPr>
          <w:sz w:val="23"/>
        </w:rPr>
      </w:pPr>
    </w:p>
    <w:p>
      <w:pPr>
        <w:pStyle w:val="BodyText"/>
        <w:ind w:left="1553"/>
        <w:jc w:val="both"/>
      </w:pPr>
      <w:r>
        <w:rPr>
          <w:color w:val="231F20"/>
          <w:w w:val="110"/>
        </w:rPr>
        <w:t>ANTECEDENTES</w:t>
      </w:r>
    </w:p>
    <w:p>
      <w:pPr>
        <w:pStyle w:val="BodyText"/>
        <w:spacing w:line="256" w:lineRule="auto" w:before="130"/>
        <w:ind w:left="1553"/>
        <w:jc w:val="both"/>
      </w:pPr>
      <w:r>
        <w:rPr>
          <w:color w:val="231F20"/>
        </w:rPr>
        <w:t>La producción caprina en México ha sido una ac- tividad tradicional, ligada a su desarrollo cultural, desde  que  los  españoles  introdujeron  las  cabras</w:t>
      </w:r>
    </w:p>
    <w:p>
      <w:pPr>
        <w:pStyle w:val="BodyText"/>
        <w:spacing w:line="259" w:lineRule="auto" w:before="67"/>
        <w:ind w:left="412" w:right="1551"/>
        <w:jc w:val="both"/>
      </w:pPr>
      <w:r>
        <w:rPr/>
        <w:br w:type="column"/>
      </w:r>
      <w:r>
        <w:rPr>
          <w:color w:val="231F20"/>
        </w:rPr>
        <w:t>hace casi 500 años. La explotación de esta espe-  cie tiene una mayor importancia desde el punto  de vista social, ya que representa un medio de ingreso y una fuente de alimentos para numerosas familias campesinas, principalmente en las zonas áridas y semiáridas del norte del país y en la Sierra Madre del </w:t>
      </w:r>
      <w:r>
        <w:rPr>
          <w:color w:val="231F20"/>
          <w:spacing w:val="-3"/>
        </w:rPr>
        <w:t>Sur, </w:t>
      </w:r>
      <w:r>
        <w:rPr>
          <w:color w:val="231F20"/>
        </w:rPr>
        <w:t>entre Puebla, Oaxaca y Guerrero </w:t>
      </w:r>
      <w:r>
        <w:rPr>
          <w:color w:val="231F20"/>
          <w:spacing w:val="2"/>
        </w:rPr>
        <w:t>(FIRA, </w:t>
      </w:r>
      <w:r>
        <w:rPr>
          <w:color w:val="231F20"/>
        </w:rPr>
        <w:t>1999). La producción de  cabras  ha  sido  una estrategia tradicional de utilizar los agostade- ros de baja productividad de las regiones áridas y semiáridas del país (Aréchiga </w:t>
      </w:r>
      <w:r>
        <w:rPr>
          <w:i/>
          <w:color w:val="231F20"/>
        </w:rPr>
        <w:t>et  al</w:t>
      </w:r>
      <w:r>
        <w:rPr>
          <w:color w:val="231F20"/>
        </w:rPr>
        <w:t>.,  2008),  y  se ha estimado que la caprinocultura representa una fuente de ingreso para más de </w:t>
      </w:r>
      <w:r>
        <w:rPr>
          <w:color w:val="231F20"/>
          <w:spacing w:val="3"/>
        </w:rPr>
        <w:t>300000 </w:t>
      </w:r>
      <w:r>
        <w:rPr>
          <w:color w:val="231F20"/>
        </w:rPr>
        <w:t>familias (Guerrero-Cruz, </w:t>
      </w:r>
      <w:r>
        <w:rPr>
          <w:color w:val="231F20"/>
          <w:spacing w:val="-4"/>
        </w:rPr>
        <w:t>2010). </w:t>
      </w:r>
      <w:r>
        <w:rPr>
          <w:color w:val="231F20"/>
        </w:rPr>
        <w:t>Algunos trabajos han se- ñalado que la explotación de cabras es una activi- dad preponderantemente de tipo familiar, lo que significa que la mayoría de los rebaños son mane- jados por un pastor en sistemas extensivos, la fa- milia participa en todas las actividades de manejo, y las unidades de producción muestran una pobre infraestructura y  una  baja  eficiencia  (Pomadera  y Vargas, </w:t>
      </w:r>
      <w:r>
        <w:rPr>
          <w:color w:val="231F20"/>
          <w:spacing w:val="-4"/>
        </w:rPr>
        <w:t>1997; </w:t>
      </w:r>
      <w:r>
        <w:rPr>
          <w:color w:val="231F20"/>
          <w:spacing w:val="2"/>
        </w:rPr>
        <w:t>FIRA, </w:t>
      </w:r>
      <w:r>
        <w:rPr>
          <w:color w:val="231F20"/>
        </w:rPr>
        <w:t>1999). De acuerdo con el Servicio de Información y Estadística Agroalimen- taria y Pesquera (SIAP) de la SAGARPA, en </w:t>
      </w:r>
      <w:r>
        <w:rPr>
          <w:color w:val="231F20"/>
          <w:spacing w:val="-4"/>
        </w:rPr>
        <w:t>2007    </w:t>
      </w:r>
      <w:r>
        <w:rPr>
          <w:color w:val="231F20"/>
          <w:spacing w:val="37"/>
        </w:rPr>
        <w:t> </w:t>
      </w:r>
      <w:r>
        <w:rPr>
          <w:color w:val="231F20"/>
        </w:rPr>
        <w:t>la población de ganado caprino en el país era de 8,9 millones de cabezas, con una tasa de creci- miento del 0,06% con respecto a la población en    el año 2000 </w:t>
      </w:r>
      <w:r>
        <w:rPr>
          <w:color w:val="231F20"/>
          <w:spacing w:val="-3"/>
        </w:rPr>
        <w:t>(8,7 </w:t>
      </w:r>
      <w:r>
        <w:rPr>
          <w:color w:val="231F20"/>
        </w:rPr>
        <w:t>millones). Sin embargo, según el VIII Censo agrícola, ganadero y forestal, de </w:t>
      </w:r>
      <w:r>
        <w:rPr>
          <w:color w:val="231F20"/>
          <w:spacing w:val="-8"/>
        </w:rPr>
        <w:t>2007, </w:t>
      </w:r>
      <w:r>
        <w:rPr>
          <w:color w:val="231F20"/>
        </w:rPr>
        <w:t>la población caprina era de 4,1 millones de cabezas (INEGI,  2009),  con  una  tasa  de  crecimiento    del</w:t>
      </w:r>
    </w:p>
    <w:p>
      <w:pPr>
        <w:pStyle w:val="BodyText"/>
        <w:spacing w:line="259" w:lineRule="auto" w:before="1"/>
        <w:ind w:left="412" w:right="1551"/>
        <w:jc w:val="both"/>
      </w:pPr>
      <w:r>
        <w:rPr>
          <w:color w:val="231F20"/>
          <w:w w:val="105"/>
        </w:rPr>
        <w:t>–3,1% respecto al inventario del INEGI de </w:t>
      </w:r>
      <w:r>
        <w:rPr>
          <w:color w:val="231F20"/>
          <w:spacing w:val="-5"/>
          <w:w w:val="105"/>
        </w:rPr>
        <w:t>1991 </w:t>
      </w:r>
      <w:r>
        <w:rPr>
          <w:color w:val="231F20"/>
          <w:w w:val="105"/>
        </w:rPr>
        <w:t>(6,8 millones de animales). En el ámbito nacional la</w:t>
      </w:r>
      <w:r>
        <w:rPr>
          <w:color w:val="231F20"/>
          <w:spacing w:val="-23"/>
          <w:w w:val="105"/>
        </w:rPr>
        <w:t> </w:t>
      </w:r>
      <w:r>
        <w:rPr>
          <w:color w:val="231F20"/>
          <w:w w:val="105"/>
        </w:rPr>
        <w:t>producción</w:t>
      </w:r>
      <w:r>
        <w:rPr>
          <w:color w:val="231F20"/>
          <w:spacing w:val="-23"/>
          <w:w w:val="105"/>
        </w:rPr>
        <w:t> </w:t>
      </w:r>
      <w:r>
        <w:rPr>
          <w:color w:val="231F20"/>
          <w:w w:val="105"/>
        </w:rPr>
        <w:t>de</w:t>
      </w:r>
      <w:r>
        <w:rPr>
          <w:color w:val="231F20"/>
          <w:spacing w:val="-23"/>
          <w:w w:val="105"/>
        </w:rPr>
        <w:t> </w:t>
      </w:r>
      <w:r>
        <w:rPr>
          <w:color w:val="231F20"/>
          <w:w w:val="105"/>
        </w:rPr>
        <w:t>cabras</w:t>
      </w:r>
      <w:r>
        <w:rPr>
          <w:color w:val="231F20"/>
          <w:spacing w:val="-23"/>
          <w:w w:val="105"/>
        </w:rPr>
        <w:t> </w:t>
      </w:r>
      <w:r>
        <w:rPr>
          <w:color w:val="231F20"/>
          <w:w w:val="105"/>
        </w:rPr>
        <w:t>ha</w:t>
      </w:r>
      <w:r>
        <w:rPr>
          <w:color w:val="231F20"/>
          <w:spacing w:val="-23"/>
          <w:w w:val="105"/>
        </w:rPr>
        <w:t> </w:t>
      </w:r>
      <w:r>
        <w:rPr>
          <w:color w:val="231F20"/>
          <w:w w:val="105"/>
        </w:rPr>
        <w:t>recibido</w:t>
      </w:r>
      <w:r>
        <w:rPr>
          <w:color w:val="231F20"/>
          <w:spacing w:val="-23"/>
          <w:w w:val="105"/>
        </w:rPr>
        <w:t> </w:t>
      </w:r>
      <w:r>
        <w:rPr>
          <w:color w:val="231F20"/>
          <w:w w:val="105"/>
        </w:rPr>
        <w:t>poca</w:t>
      </w:r>
      <w:r>
        <w:rPr>
          <w:color w:val="231F20"/>
          <w:spacing w:val="-23"/>
          <w:w w:val="105"/>
        </w:rPr>
        <w:t> </w:t>
      </w:r>
      <w:r>
        <w:rPr>
          <w:color w:val="231F20"/>
          <w:w w:val="105"/>
        </w:rPr>
        <w:t>atención, pues</w:t>
      </w:r>
      <w:r>
        <w:rPr>
          <w:color w:val="231F20"/>
          <w:spacing w:val="-17"/>
          <w:w w:val="105"/>
        </w:rPr>
        <w:t> </w:t>
      </w:r>
      <w:r>
        <w:rPr>
          <w:color w:val="231F20"/>
          <w:w w:val="105"/>
        </w:rPr>
        <w:t>la</w:t>
      </w:r>
      <w:r>
        <w:rPr>
          <w:color w:val="231F20"/>
          <w:spacing w:val="-17"/>
          <w:w w:val="105"/>
        </w:rPr>
        <w:t> </w:t>
      </w:r>
      <w:r>
        <w:rPr>
          <w:color w:val="231F20"/>
          <w:w w:val="105"/>
        </w:rPr>
        <w:t>mayoría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publicaciones</w:t>
      </w:r>
      <w:r>
        <w:rPr>
          <w:color w:val="231F20"/>
          <w:spacing w:val="-17"/>
          <w:w w:val="105"/>
        </w:rPr>
        <w:t> </w:t>
      </w:r>
      <w:r>
        <w:rPr>
          <w:color w:val="231F20"/>
          <w:w w:val="105"/>
        </w:rPr>
        <w:t>se</w:t>
      </w:r>
      <w:r>
        <w:rPr>
          <w:color w:val="231F20"/>
          <w:spacing w:val="-17"/>
          <w:w w:val="105"/>
        </w:rPr>
        <w:t> </w:t>
      </w:r>
      <w:r>
        <w:rPr>
          <w:color w:val="231F20"/>
          <w:w w:val="105"/>
        </w:rPr>
        <w:t>centran</w:t>
      </w:r>
      <w:r>
        <w:rPr>
          <w:color w:val="231F20"/>
          <w:spacing w:val="-17"/>
          <w:w w:val="105"/>
        </w:rPr>
        <w:t> </w:t>
      </w:r>
      <w:r>
        <w:rPr>
          <w:color w:val="231F20"/>
          <w:w w:val="105"/>
        </w:rPr>
        <w:t>en aspectos técnicos inherentes al manejo</w:t>
      </w:r>
      <w:r>
        <w:rPr>
          <w:color w:val="231F20"/>
          <w:spacing w:val="-25"/>
          <w:w w:val="105"/>
        </w:rPr>
        <w:t> </w:t>
      </w:r>
      <w:r>
        <w:rPr>
          <w:color w:val="231F20"/>
          <w:w w:val="105"/>
        </w:rPr>
        <w:t>zootécni- co y hay poca información sobre las condiciones socioeconómicas</w:t>
      </w:r>
      <w:r>
        <w:rPr>
          <w:color w:val="231F20"/>
          <w:spacing w:val="-20"/>
          <w:w w:val="105"/>
        </w:rPr>
        <w:t> </w:t>
      </w:r>
      <w:r>
        <w:rPr>
          <w:color w:val="231F20"/>
          <w:w w:val="105"/>
        </w:rPr>
        <w:t>en</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ha</w:t>
      </w:r>
      <w:r>
        <w:rPr>
          <w:color w:val="231F20"/>
          <w:spacing w:val="-20"/>
          <w:w w:val="105"/>
        </w:rPr>
        <w:t> </w:t>
      </w:r>
      <w:r>
        <w:rPr>
          <w:color w:val="231F20"/>
          <w:w w:val="105"/>
        </w:rPr>
        <w:t>venido</w:t>
      </w:r>
      <w:r>
        <w:rPr>
          <w:color w:val="231F20"/>
          <w:spacing w:val="-20"/>
          <w:w w:val="105"/>
        </w:rPr>
        <w:t> </w:t>
      </w:r>
      <w:r>
        <w:rPr>
          <w:color w:val="231F20"/>
          <w:w w:val="105"/>
        </w:rPr>
        <w:t>desarrollan- </w:t>
      </w:r>
      <w:r>
        <w:rPr>
          <w:color w:val="231F20"/>
        </w:rPr>
        <w:t>do esta</w:t>
      </w:r>
      <w:r>
        <w:rPr>
          <w:color w:val="231F20"/>
          <w:spacing w:val="5"/>
        </w:rPr>
        <w:t> </w:t>
      </w:r>
      <w:r>
        <w:rPr>
          <w:color w:val="231F20"/>
        </w:rPr>
        <w:t>actividad.</w:t>
      </w:r>
    </w:p>
    <w:p>
      <w:pPr>
        <w:pStyle w:val="BodyText"/>
        <w:spacing w:line="259" w:lineRule="auto" w:before="114"/>
        <w:ind w:left="412" w:right="1551"/>
        <w:jc w:val="both"/>
      </w:pPr>
      <w:r>
        <w:rPr>
          <w:color w:val="231F20"/>
          <w:w w:val="105"/>
        </w:rPr>
        <w:t>Michoacán, según el SIAP, en 2007 aportaba un 5,4%  (478886  cabezas)  al  inventario  nacional,</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14.      </w:t>
      </w:r>
      <w:r>
        <w:rPr>
          <w:color w:val="231F20"/>
          <w:spacing w:val="1"/>
          <w:sz w:val="18"/>
        </w:rPr>
        <w:t> </w:t>
      </w:r>
      <w:r>
        <w:rPr>
          <w:color w:val="231F20"/>
          <w:sz w:val="18"/>
        </w:rPr>
        <w:t>Contribución de la caprinocultura al desarrollo rural en el trópico seco del Bajo</w:t>
      </w:r>
      <w:r>
        <w:rPr>
          <w:color w:val="231F20"/>
          <w:spacing w:val="12"/>
          <w:sz w:val="18"/>
        </w:rPr>
        <w:t> </w:t>
      </w:r>
      <w:r>
        <w:rPr>
          <w:color w:val="231F20"/>
          <w:sz w:val="18"/>
        </w:rPr>
        <w:t>Balsas</w:t>
      </w:r>
      <w:r>
        <w:rPr>
          <w:color w:val="231F20"/>
          <w:sz w:val="22"/>
        </w:rPr>
        <w:tab/>
      </w:r>
      <w:r>
        <w:rPr>
          <w:color w:val="231F20"/>
          <w:spacing w:val="-8"/>
          <w:sz w:val="22"/>
        </w:rPr>
        <w:t>213</w:t>
      </w:r>
    </w:p>
    <w:p>
      <w:pPr>
        <w:spacing w:after="0"/>
        <w:jc w:val="left"/>
        <w:rPr>
          <w:sz w:val="22"/>
        </w:rPr>
        <w:sectPr>
          <w:pgSz w:w="11900" w:h="14450"/>
          <w:pgMar w:header="0" w:footer="222" w:top="420" w:bottom="420" w:left="0" w:right="0"/>
        </w:sectPr>
      </w:pPr>
    </w:p>
    <w:p>
      <w:pPr>
        <w:pStyle w:val="BodyText"/>
        <w:spacing w:line="259" w:lineRule="auto" w:before="345"/>
        <w:ind w:left="1553"/>
        <w:jc w:val="both"/>
      </w:pPr>
      <w:r>
        <w:rPr>
          <w:color w:val="231F20"/>
        </w:rPr>
        <w:t>pero también estas cifras contrastan con lo señala- do por el INEGI en el VIII Censo agrícola, ganadero  y forestal de </w:t>
      </w:r>
      <w:r>
        <w:rPr>
          <w:color w:val="231F20"/>
          <w:spacing w:val="-8"/>
        </w:rPr>
        <w:t>2007, </w:t>
      </w:r>
      <w:r>
        <w:rPr>
          <w:color w:val="231F20"/>
        </w:rPr>
        <w:t>que indica que la población to- tal de cabras era de 4,1 millones de cabezas</w:t>
      </w:r>
      <w:r>
        <w:rPr>
          <w:color w:val="231F20"/>
          <w:spacing w:val="19"/>
        </w:rPr>
        <w:t> </w:t>
      </w:r>
      <w:r>
        <w:rPr>
          <w:color w:val="231F20"/>
        </w:rPr>
        <w:t>y</w:t>
      </w:r>
      <w:r>
        <w:rPr>
          <w:color w:val="231F20"/>
          <w:spacing w:val="12"/>
        </w:rPr>
        <w:t> </w:t>
      </w:r>
      <w:r>
        <w:rPr>
          <w:color w:val="231F20"/>
        </w:rPr>
        <w:t>que</w:t>
      </w:r>
      <w:r>
        <w:rPr>
          <w:color w:val="231F20"/>
          <w:w w:val="103"/>
        </w:rPr>
        <w:t> </w:t>
      </w:r>
      <w:r>
        <w:rPr>
          <w:color w:val="231F20"/>
        </w:rPr>
        <w:t>Michoacán participaba con un 3,4% (139597 ca- bezas)  en  el  inventario  nacional,  posicionando   al Estado en séptimo lugar. De acuerdo con el Sistema Estatal y Municipal de Bases de Datos (SIMBAD) del INEGI, en </w:t>
      </w:r>
      <w:r>
        <w:rPr>
          <w:color w:val="231F20"/>
          <w:spacing w:val="-4"/>
        </w:rPr>
        <w:t>2007 </w:t>
      </w:r>
      <w:r>
        <w:rPr>
          <w:color w:val="231F20"/>
        </w:rPr>
        <w:t>había en Michoacán 11281 unidades de producción dedicadas a la cría de cabras. Al considerar la población de animales en ese tiempo puede estimarse que el tamaño promedio de un rebaño era de </w:t>
      </w:r>
      <w:r>
        <w:rPr>
          <w:color w:val="231F20"/>
          <w:spacing w:val="-5"/>
        </w:rPr>
        <w:t>11 </w:t>
      </w:r>
      <w:r>
        <w:rPr>
          <w:color w:val="231F20"/>
        </w:rPr>
        <w:t>cabezas. Esa población de animales producía 2439  toneladas  de  carne  y  </w:t>
      </w:r>
      <w:r>
        <w:rPr>
          <w:color w:val="231F20"/>
          <w:spacing w:val="5"/>
        </w:rPr>
        <w:t>3760000 </w:t>
      </w:r>
      <w:r>
        <w:rPr>
          <w:color w:val="231F20"/>
        </w:rPr>
        <w:t>litros  de</w:t>
      </w:r>
      <w:r>
        <w:rPr>
          <w:color w:val="231F20"/>
          <w:spacing w:val="-6"/>
        </w:rPr>
        <w:t> </w:t>
      </w:r>
      <w:r>
        <w:rPr>
          <w:color w:val="231F20"/>
        </w:rPr>
        <w:t>leche.</w:t>
      </w:r>
    </w:p>
    <w:p>
      <w:pPr>
        <w:pStyle w:val="BodyText"/>
        <w:spacing w:line="259" w:lineRule="auto" w:before="114"/>
        <w:ind w:left="1553"/>
        <w:jc w:val="both"/>
      </w:pPr>
      <w:r>
        <w:rPr>
          <w:color w:val="231F20"/>
        </w:rPr>
        <w:t>En el Cuadro 1 puede observarse que las regio-  nes donde la producción de cabras reviste mayor importancia son principalmente Bajío, Oriente, Sierra-Costa, Lerma-Chapala y Tierra Caliente, con- siderando el número de unidades de producción     y las existencias totales. Las regiones de Bajío, Lerma-Chapala y Oriente se especializan más en    la producción de leche, mientras que para la pro- ducción de carne las zonas con mayor peso son Bajío, Oriente, Sierra-Costa y Tierra Caliente. En el caso de la región Sierra-Costa es necesario con- siderar los antecedentes socioeconómicos para visualizar la importancia de la explotación caprina, aunque dentro del Estado no se encuentra en los primeros lugares en términos de unidades produc- tivas e inventario de animales (Cuadro 1). Según  las estimaciones del INEGI, aproximadamente el 55% de la población de la región Sierra-Costa se encuentra en zonas rurales y más del 50% de la población económicamente activa de la región se encuentra inmersa en el sector primario; el sector terciario ocupa el segundo lugar en importancia. Las actividades económicas predominantes son la agricultura (maíz, caña de azúcar, hortalizas, frijol   y arroz), la acuacultura, la recreación y el turismo, con   numerosos   centros   vacacionales   y</w:t>
      </w:r>
      <w:r>
        <w:rPr>
          <w:color w:val="231F20"/>
          <w:spacing w:val="39"/>
        </w:rPr>
        <w:t> </w:t>
      </w:r>
      <w:r>
        <w:rPr>
          <w:color w:val="231F20"/>
        </w:rPr>
        <w:t>balnea-</w:t>
      </w:r>
    </w:p>
    <w:p>
      <w:pPr>
        <w:pStyle w:val="BodyText"/>
        <w:spacing w:line="273" w:lineRule="auto" w:before="345"/>
        <w:ind w:left="413" w:right="1551"/>
        <w:jc w:val="both"/>
      </w:pPr>
      <w:r>
        <w:rPr/>
        <w:br w:type="column"/>
      </w:r>
      <w:r>
        <w:rPr>
          <w:color w:val="231F20"/>
        </w:rPr>
        <w:t>rios. De  acuerdo  con  Romero  </w:t>
      </w:r>
      <w:r>
        <w:rPr>
          <w:i/>
          <w:color w:val="231F20"/>
        </w:rPr>
        <w:t>et  al</w:t>
      </w:r>
      <w:r>
        <w:rPr>
          <w:color w:val="231F20"/>
        </w:rPr>
        <w:t>.  (2001),  en  la zona predominan las actividades agropecuarias capitalistas extensivas, con productividades media y baja de maíz, frijol y ajonjolí, así como las ac- tividades agropecuarias transicionales extensivas con productividad baja. Estos autores  tipifican  a los productores de esta región como campesinos jornaleros y campesinos de subsistencia. En lo re- ferente al grado de marginación, el 48% se consi- dera, según el índice establecido por la CONAPO </w:t>
      </w:r>
      <w:r>
        <w:rPr>
          <w:color w:val="231F20"/>
          <w:spacing w:val="-4"/>
        </w:rPr>
        <w:t>(2010), </w:t>
      </w:r>
      <w:r>
        <w:rPr>
          <w:color w:val="231F20"/>
        </w:rPr>
        <w:t>como de mediana marginación, el 29% como de alta marginación, el </w:t>
      </w:r>
      <w:r>
        <w:rPr>
          <w:color w:val="231F20"/>
          <w:spacing w:val="-3"/>
        </w:rPr>
        <w:t>15% </w:t>
      </w:r>
      <w:r>
        <w:rPr>
          <w:color w:val="231F20"/>
        </w:rPr>
        <w:t>como de baja marginación y el 4% como de muy alta margina- ción. La población económicamente activa en la región es del </w:t>
      </w:r>
      <w:r>
        <w:rPr>
          <w:color w:val="231F20"/>
          <w:spacing w:val="-3"/>
        </w:rPr>
        <w:t>26,7%, </w:t>
      </w:r>
      <w:r>
        <w:rPr>
          <w:color w:val="231F20"/>
        </w:rPr>
        <w:t>porcentaje inferior al estatal para el mismo  periodo  (31,3%,  año  2003).  Casi  la mitad de la población de estos municipios se encuentra en el sector primario, a excepción de Múgica. Estos datos de población económicamen- te activa pueden explicar las tasas de crecimiento negativas, así como las tasas de migración, que en promedio fueron del 4,2%, en comparación con el 2,2%</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observó</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Entidad</w:t>
      </w:r>
      <w:r>
        <w:rPr>
          <w:color w:val="231F20"/>
          <w:spacing w:val="24"/>
        </w:rPr>
        <w:t> </w:t>
      </w:r>
      <w:r>
        <w:rPr>
          <w:color w:val="231F20"/>
        </w:rPr>
        <w:t>durante</w:t>
      </w:r>
      <w:r>
        <w:rPr>
          <w:color w:val="231F20"/>
          <w:spacing w:val="24"/>
        </w:rPr>
        <w:t> </w:t>
      </w:r>
      <w:r>
        <w:rPr>
          <w:color w:val="231F20"/>
        </w:rPr>
        <w:t>2003.</w:t>
      </w:r>
    </w:p>
    <w:p>
      <w:pPr>
        <w:pStyle w:val="BodyText"/>
        <w:spacing w:line="273" w:lineRule="auto" w:before="114"/>
        <w:ind w:left="413" w:right="1551"/>
        <w:jc w:val="both"/>
      </w:pPr>
      <w:r>
        <w:rPr>
          <w:color w:val="231F20"/>
        </w:rPr>
        <w:t>En el caso particular del municipio de Arteaga, en </w:t>
      </w:r>
      <w:r>
        <w:rPr>
          <w:color w:val="231F20"/>
          <w:spacing w:val="-4"/>
        </w:rPr>
        <w:t>2007 </w:t>
      </w:r>
      <w:r>
        <w:rPr>
          <w:color w:val="231F20"/>
        </w:rPr>
        <w:t>el INEGI reportó una población de 5068 cabezas repartidas en </w:t>
      </w:r>
      <w:r>
        <w:rPr>
          <w:color w:val="231F20"/>
          <w:spacing w:val="-5"/>
        </w:rPr>
        <w:t>275 </w:t>
      </w:r>
      <w:r>
        <w:rPr>
          <w:color w:val="231F20"/>
        </w:rPr>
        <w:t>unidades de produc-  ción (Cuadro 2), lo que representaría un tamaño aproximado de rebaño de </w:t>
      </w:r>
      <w:r>
        <w:rPr>
          <w:color w:val="231F20"/>
          <w:spacing w:val="-5"/>
        </w:rPr>
        <w:t>18 </w:t>
      </w:r>
      <w:r>
        <w:rPr>
          <w:color w:val="231F20"/>
        </w:rPr>
        <w:t>cabezas en prome- dio. Arteaga aporta un 2,63% al inventario estatal, que ubica a este municipio en el cuarto lugar; sin embargo, en términos de productividad el muni- cipio se ubica en el lugar número 24 del Estado, aportando únicamente el 1,3% de  la  producción de carne. De la región Sierra-Costa de Michoacán, Arteaga tiene las mayores existencias de cabezas, pero en términos de productividad sólo aporta el </w:t>
      </w:r>
      <w:r>
        <w:rPr>
          <w:color w:val="231F20"/>
          <w:spacing w:val="-5"/>
        </w:rPr>
        <w:t>11%, </w:t>
      </w:r>
      <w:r>
        <w:rPr>
          <w:color w:val="231F20"/>
        </w:rPr>
        <w:t>mientras que Tumbiscatío aporta  el  35,8%  de la carne de la región y tiene una quinta parte de la población de Arteaga (Cuadro  </w:t>
      </w:r>
      <w:r>
        <w:rPr>
          <w:color w:val="231F20"/>
          <w:spacing w:val="27"/>
        </w:rPr>
        <w:t> </w:t>
      </w:r>
      <w:r>
        <w:rPr>
          <w:color w:val="231F20"/>
        </w:rPr>
        <w:t>2).</w:t>
      </w:r>
    </w:p>
    <w:p>
      <w:pPr>
        <w:spacing w:after="0" w:line="273" w:lineRule="auto"/>
        <w:jc w:val="both"/>
        <w:sectPr>
          <w:type w:val="continuous"/>
          <w:pgSz w:w="11900" w:h="14450"/>
          <w:pgMar w:top="420" w:bottom="420" w:left="0" w:right="0"/>
          <w:cols w:num="2" w:equalWidth="0">
            <w:col w:w="5722" w:space="40"/>
            <w:col w:w="6138"/>
          </w:cols>
        </w:sectPr>
      </w:pPr>
    </w:p>
    <w:p>
      <w:pPr>
        <w:tabs>
          <w:tab w:pos="6897" w:val="left" w:leader="none"/>
        </w:tabs>
        <w:spacing w:before="760"/>
        <w:ind w:left="1551" w:right="0" w:firstLine="0"/>
        <w:jc w:val="left"/>
        <w:rPr>
          <w:sz w:val="12"/>
        </w:rPr>
      </w:pPr>
      <w:r>
        <w:rPr>
          <w:color w:val="231F20"/>
          <w:spacing w:val="-5"/>
          <w:w w:val="120"/>
          <w:sz w:val="22"/>
        </w:rPr>
        <w:t>214</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spacing w:line="321" w:lineRule="auto" w:before="349"/>
        <w:ind w:left="1553" w:right="1816" w:firstLine="0"/>
        <w:jc w:val="left"/>
        <w:rPr>
          <w:sz w:val="18"/>
        </w:rPr>
      </w:pPr>
      <w:r>
        <w:rPr>
          <w:color w:val="231F20"/>
          <w:sz w:val="18"/>
        </w:rPr>
        <w:t>Cuadro 1.   Existencias de unidades de producción, número de cabezas y volumen de la producción de ganado capri-    no en Michoacán por región (INEGI,    </w:t>
      </w:r>
      <w:r>
        <w:rPr>
          <w:color w:val="231F20"/>
          <w:spacing w:val="4"/>
          <w:sz w:val="18"/>
        </w:rPr>
        <w:t> </w:t>
      </w:r>
      <w:r>
        <w:rPr>
          <w:color w:val="231F20"/>
          <w:spacing w:val="-2"/>
          <w:sz w:val="18"/>
        </w:rPr>
        <w:t>2007).</w:t>
      </w:r>
    </w:p>
    <w:p>
      <w:pPr>
        <w:pStyle w:val="BodyText"/>
        <w:spacing w:before="8"/>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82"/>
        <w:gridCol w:w="1049"/>
        <w:gridCol w:w="751"/>
        <w:gridCol w:w="978"/>
        <w:gridCol w:w="723"/>
        <w:gridCol w:w="1020"/>
        <w:gridCol w:w="709"/>
        <w:gridCol w:w="1247"/>
        <w:gridCol w:w="704"/>
      </w:tblGrid>
      <w:tr>
        <w:trPr>
          <w:trHeight w:val="1149" w:hRule="exact"/>
        </w:trPr>
        <w:tc>
          <w:tcPr>
            <w:tcW w:w="1582" w:type="dxa"/>
            <w:tcBorders>
              <w:left w:val="nil"/>
            </w:tcBorders>
          </w:tcPr>
          <w:p>
            <w:pPr>
              <w:pStyle w:val="TableParagraph"/>
              <w:spacing w:before="469"/>
              <w:ind w:left="510"/>
              <w:rPr>
                <w:rFonts w:ascii="Cambria" w:hAnsi="Cambria"/>
                <w:i/>
                <w:sz w:val="18"/>
              </w:rPr>
            </w:pPr>
            <w:r>
              <w:rPr>
                <w:rFonts w:ascii="Cambria" w:hAnsi="Cambria"/>
                <w:i/>
                <w:color w:val="231F20"/>
                <w:w w:val="110"/>
                <w:sz w:val="18"/>
              </w:rPr>
              <w:t>Región</w:t>
            </w:r>
          </w:p>
        </w:tc>
        <w:tc>
          <w:tcPr>
            <w:tcW w:w="1049" w:type="dxa"/>
          </w:tcPr>
          <w:p>
            <w:pPr>
              <w:pStyle w:val="TableParagraph"/>
              <w:spacing w:before="2"/>
              <w:rPr>
                <w:sz w:val="17"/>
              </w:rPr>
            </w:pPr>
          </w:p>
          <w:p>
            <w:pPr>
              <w:pStyle w:val="TableParagraph"/>
              <w:spacing w:line="295" w:lineRule="auto" w:before="0"/>
              <w:ind w:left="71" w:right="69"/>
              <w:jc w:val="center"/>
              <w:rPr>
                <w:rFonts w:ascii="Cambria" w:hAnsi="Cambria"/>
                <w:i/>
                <w:sz w:val="18"/>
              </w:rPr>
            </w:pPr>
            <w:r>
              <w:rPr>
                <w:rFonts w:ascii="Cambria" w:hAnsi="Cambria"/>
                <w:i/>
                <w:color w:val="231F20"/>
                <w:w w:val="110"/>
                <w:sz w:val="18"/>
              </w:rPr>
              <w:t>Unidades </w:t>
            </w:r>
            <w:r>
              <w:rPr>
                <w:rFonts w:ascii="Cambria" w:hAnsi="Cambria"/>
                <w:i/>
                <w:color w:val="231F20"/>
                <w:w w:val="110"/>
                <w:sz w:val="18"/>
              </w:rPr>
              <w:t>de    </w:t>
            </w:r>
            <w:r>
              <w:rPr>
                <w:rFonts w:ascii="Cambria" w:hAnsi="Cambria"/>
                <w:i/>
                <w:color w:val="231F20"/>
                <w:w w:val="105"/>
                <w:sz w:val="18"/>
              </w:rPr>
              <w:t>producción</w:t>
            </w:r>
          </w:p>
        </w:tc>
        <w:tc>
          <w:tcPr>
            <w:tcW w:w="751" w:type="dxa"/>
          </w:tcPr>
          <w:p>
            <w:pPr>
              <w:pStyle w:val="TableParagraph"/>
              <w:spacing w:before="0"/>
              <w:rPr>
                <w:sz w:val="18"/>
              </w:rPr>
            </w:pPr>
          </w:p>
          <w:p>
            <w:pPr>
              <w:pStyle w:val="TableParagraph"/>
              <w:spacing w:before="5"/>
              <w:rPr>
                <w:sz w:val="20"/>
              </w:rPr>
            </w:pPr>
          </w:p>
          <w:p>
            <w:pPr>
              <w:pStyle w:val="TableParagraph"/>
              <w:spacing w:before="0"/>
              <w:ind w:left="93" w:right="93"/>
              <w:jc w:val="center"/>
              <w:rPr>
                <w:rFonts w:ascii="Cambria"/>
                <w:i/>
                <w:sz w:val="18"/>
              </w:rPr>
            </w:pPr>
            <w:r>
              <w:rPr>
                <w:rFonts w:ascii="Cambria"/>
                <w:i/>
                <w:color w:val="231F20"/>
                <w:w w:val="105"/>
                <w:sz w:val="18"/>
              </w:rPr>
              <w:t>(%)</w:t>
            </w:r>
          </w:p>
        </w:tc>
        <w:tc>
          <w:tcPr>
            <w:tcW w:w="978" w:type="dxa"/>
          </w:tcPr>
          <w:p>
            <w:pPr>
              <w:pStyle w:val="TableParagraph"/>
              <w:spacing w:before="2"/>
              <w:rPr>
                <w:sz w:val="17"/>
              </w:rPr>
            </w:pPr>
          </w:p>
          <w:p>
            <w:pPr>
              <w:pStyle w:val="TableParagraph"/>
              <w:spacing w:line="295" w:lineRule="auto" w:before="0"/>
              <w:ind w:left="51" w:right="50"/>
              <w:jc w:val="center"/>
              <w:rPr>
                <w:rFonts w:ascii="Cambria"/>
                <w:i/>
                <w:sz w:val="18"/>
              </w:rPr>
            </w:pPr>
            <w:r>
              <w:rPr>
                <w:rFonts w:ascii="Cambria"/>
                <w:i/>
                <w:color w:val="231F20"/>
                <w:sz w:val="18"/>
              </w:rPr>
              <w:t>Existencias </w:t>
            </w:r>
            <w:r>
              <w:rPr>
                <w:rFonts w:ascii="Cambria"/>
                <w:i/>
                <w:color w:val="231F20"/>
                <w:w w:val="105"/>
                <w:sz w:val="18"/>
              </w:rPr>
              <w:t>totales Cabezas</w:t>
            </w:r>
          </w:p>
        </w:tc>
        <w:tc>
          <w:tcPr>
            <w:tcW w:w="723" w:type="dxa"/>
          </w:tcPr>
          <w:p>
            <w:pPr>
              <w:pStyle w:val="TableParagraph"/>
              <w:spacing w:before="0"/>
              <w:rPr>
                <w:sz w:val="18"/>
              </w:rPr>
            </w:pPr>
          </w:p>
          <w:p>
            <w:pPr>
              <w:pStyle w:val="TableParagraph"/>
              <w:spacing w:before="5"/>
              <w:rPr>
                <w:sz w:val="20"/>
              </w:rPr>
            </w:pPr>
          </w:p>
          <w:p>
            <w:pPr>
              <w:pStyle w:val="TableParagraph"/>
              <w:spacing w:before="0"/>
              <w:ind w:left="206"/>
              <w:rPr>
                <w:rFonts w:ascii="Cambria"/>
                <w:i/>
                <w:sz w:val="18"/>
              </w:rPr>
            </w:pPr>
            <w:r>
              <w:rPr>
                <w:rFonts w:ascii="Cambria"/>
                <w:i/>
                <w:color w:val="231F20"/>
                <w:w w:val="105"/>
                <w:sz w:val="18"/>
              </w:rPr>
              <w:t>(%)</w:t>
            </w:r>
          </w:p>
        </w:tc>
        <w:tc>
          <w:tcPr>
            <w:tcW w:w="1020" w:type="dxa"/>
          </w:tcPr>
          <w:p>
            <w:pPr>
              <w:pStyle w:val="TableParagraph"/>
              <w:spacing w:line="295" w:lineRule="auto" w:before="79"/>
              <w:ind w:left="57" w:right="55"/>
              <w:jc w:val="center"/>
              <w:rPr>
                <w:rFonts w:ascii="Cambria" w:hAnsi="Cambria"/>
                <w:i/>
                <w:sz w:val="18"/>
              </w:rPr>
            </w:pPr>
            <w:r>
              <w:rPr>
                <w:rFonts w:ascii="Cambria" w:hAnsi="Cambria"/>
                <w:i/>
                <w:color w:val="231F20"/>
                <w:w w:val="105"/>
                <w:sz w:val="18"/>
              </w:rPr>
              <w:t>Volumen </w:t>
            </w:r>
            <w:r>
              <w:rPr>
                <w:rFonts w:ascii="Cambria" w:hAnsi="Cambria"/>
                <w:i/>
                <w:color w:val="231F20"/>
                <w:w w:val="105"/>
                <w:sz w:val="18"/>
              </w:rPr>
              <w:t>producción carne Toneladas</w:t>
            </w:r>
          </w:p>
        </w:tc>
        <w:tc>
          <w:tcPr>
            <w:tcW w:w="709" w:type="dxa"/>
          </w:tcPr>
          <w:p>
            <w:pPr>
              <w:pStyle w:val="TableParagraph"/>
              <w:spacing w:before="0"/>
              <w:rPr>
                <w:sz w:val="18"/>
              </w:rPr>
            </w:pPr>
          </w:p>
          <w:p>
            <w:pPr>
              <w:pStyle w:val="TableParagraph"/>
              <w:spacing w:before="5"/>
              <w:rPr>
                <w:sz w:val="20"/>
              </w:rPr>
            </w:pPr>
          </w:p>
          <w:p>
            <w:pPr>
              <w:pStyle w:val="TableParagraph"/>
              <w:spacing w:before="0"/>
              <w:ind w:left="199"/>
              <w:rPr>
                <w:rFonts w:ascii="Cambria"/>
                <w:i/>
                <w:sz w:val="18"/>
              </w:rPr>
            </w:pPr>
            <w:r>
              <w:rPr>
                <w:rFonts w:ascii="Cambria"/>
                <w:i/>
                <w:color w:val="231F20"/>
                <w:w w:val="105"/>
                <w:sz w:val="18"/>
              </w:rPr>
              <w:t>(%)</w:t>
            </w:r>
          </w:p>
        </w:tc>
        <w:tc>
          <w:tcPr>
            <w:tcW w:w="1247" w:type="dxa"/>
          </w:tcPr>
          <w:p>
            <w:pPr>
              <w:pStyle w:val="TableParagraph"/>
              <w:spacing w:line="295" w:lineRule="auto" w:before="79"/>
              <w:ind w:left="55" w:right="53"/>
              <w:jc w:val="center"/>
              <w:rPr>
                <w:rFonts w:ascii="Cambria" w:hAnsi="Cambria"/>
                <w:i/>
                <w:sz w:val="18"/>
              </w:rPr>
            </w:pPr>
            <w:r>
              <w:rPr>
                <w:rFonts w:ascii="Cambria" w:hAnsi="Cambria"/>
                <w:i/>
                <w:color w:val="231F20"/>
                <w:w w:val="110"/>
                <w:sz w:val="18"/>
              </w:rPr>
              <w:t>Volumen </w:t>
            </w:r>
            <w:r>
              <w:rPr>
                <w:rFonts w:ascii="Cambria" w:hAnsi="Cambria"/>
                <w:i/>
                <w:color w:val="231F20"/>
                <w:w w:val="105"/>
                <w:sz w:val="18"/>
              </w:rPr>
              <w:t>producción </w:t>
            </w:r>
            <w:r>
              <w:rPr>
                <w:rFonts w:ascii="Cambria" w:hAnsi="Cambria"/>
                <w:i/>
                <w:color w:val="231F20"/>
                <w:w w:val="110"/>
                <w:sz w:val="18"/>
              </w:rPr>
              <w:t>leche</w:t>
            </w:r>
          </w:p>
          <w:p>
            <w:pPr>
              <w:pStyle w:val="TableParagraph"/>
              <w:spacing w:before="0"/>
              <w:ind w:left="53" w:right="53"/>
              <w:jc w:val="center"/>
              <w:rPr>
                <w:rFonts w:ascii="Cambria"/>
                <w:i/>
                <w:sz w:val="18"/>
              </w:rPr>
            </w:pPr>
            <w:r>
              <w:rPr>
                <w:rFonts w:ascii="Cambria"/>
                <w:i/>
                <w:color w:val="231F20"/>
                <w:w w:val="105"/>
                <w:sz w:val="18"/>
              </w:rPr>
              <w:t>Miles de litros</w:t>
            </w:r>
          </w:p>
        </w:tc>
        <w:tc>
          <w:tcPr>
            <w:tcW w:w="704" w:type="dxa"/>
            <w:tcBorders>
              <w:right w:val="nil"/>
            </w:tcBorders>
          </w:tcPr>
          <w:p>
            <w:pPr>
              <w:pStyle w:val="TableParagraph"/>
              <w:spacing w:before="0"/>
              <w:rPr>
                <w:sz w:val="18"/>
              </w:rPr>
            </w:pPr>
          </w:p>
          <w:p>
            <w:pPr>
              <w:pStyle w:val="TableParagraph"/>
              <w:spacing w:before="5"/>
              <w:rPr>
                <w:sz w:val="20"/>
              </w:rPr>
            </w:pPr>
          </w:p>
          <w:p>
            <w:pPr>
              <w:pStyle w:val="TableParagraph"/>
              <w:spacing w:before="0"/>
              <w:ind w:left="196"/>
              <w:rPr>
                <w:rFonts w:ascii="Cambria"/>
                <w:i/>
                <w:sz w:val="18"/>
              </w:rPr>
            </w:pPr>
            <w:r>
              <w:rPr>
                <w:rFonts w:ascii="Cambria"/>
                <w:i/>
                <w:color w:val="231F20"/>
                <w:w w:val="105"/>
                <w:sz w:val="18"/>
              </w:rPr>
              <w:t>(%)</w:t>
            </w:r>
          </w:p>
        </w:tc>
      </w:tr>
      <w:tr>
        <w:trPr>
          <w:trHeight w:val="362" w:hRule="exact"/>
        </w:trPr>
        <w:tc>
          <w:tcPr>
            <w:tcW w:w="1582" w:type="dxa"/>
            <w:tcBorders>
              <w:left w:val="nil"/>
            </w:tcBorders>
          </w:tcPr>
          <w:p>
            <w:pPr>
              <w:pStyle w:val="TableParagraph"/>
              <w:ind w:left="113"/>
              <w:rPr>
                <w:sz w:val="17"/>
              </w:rPr>
            </w:pPr>
            <w:r>
              <w:rPr>
                <w:color w:val="231F20"/>
                <w:sz w:val="17"/>
              </w:rPr>
              <w:t>Bajío</w:t>
            </w:r>
          </w:p>
        </w:tc>
        <w:tc>
          <w:tcPr>
            <w:tcW w:w="1049" w:type="dxa"/>
          </w:tcPr>
          <w:p>
            <w:pPr>
              <w:pStyle w:val="TableParagraph"/>
              <w:ind w:right="283"/>
              <w:jc w:val="right"/>
              <w:rPr>
                <w:sz w:val="17"/>
              </w:rPr>
            </w:pPr>
            <w:r>
              <w:rPr>
                <w:color w:val="231F20"/>
                <w:w w:val="115"/>
                <w:sz w:val="17"/>
              </w:rPr>
              <w:t>2711</w:t>
            </w:r>
          </w:p>
        </w:tc>
        <w:tc>
          <w:tcPr>
            <w:tcW w:w="751" w:type="dxa"/>
          </w:tcPr>
          <w:p>
            <w:pPr>
              <w:pStyle w:val="TableParagraph"/>
              <w:ind w:left="86" w:right="136"/>
              <w:jc w:val="center"/>
              <w:rPr>
                <w:sz w:val="17"/>
              </w:rPr>
            </w:pPr>
            <w:r>
              <w:rPr>
                <w:color w:val="231F20"/>
                <w:w w:val="115"/>
                <w:sz w:val="17"/>
              </w:rPr>
              <w:t>(24,0)</w:t>
            </w:r>
          </w:p>
        </w:tc>
        <w:tc>
          <w:tcPr>
            <w:tcW w:w="978" w:type="dxa"/>
          </w:tcPr>
          <w:p>
            <w:pPr>
              <w:pStyle w:val="TableParagraph"/>
              <w:spacing w:before="81"/>
              <w:ind w:right="219"/>
              <w:jc w:val="right"/>
              <w:rPr>
                <w:sz w:val="17"/>
              </w:rPr>
            </w:pPr>
            <w:r>
              <w:rPr>
                <w:color w:val="231F20"/>
                <w:w w:val="115"/>
                <w:sz w:val="17"/>
              </w:rPr>
              <w:t>38 560</w:t>
            </w:r>
          </w:p>
        </w:tc>
        <w:tc>
          <w:tcPr>
            <w:tcW w:w="723" w:type="dxa"/>
          </w:tcPr>
          <w:p>
            <w:pPr>
              <w:pStyle w:val="TableParagraph"/>
              <w:ind w:left="161"/>
              <w:rPr>
                <w:sz w:val="17"/>
              </w:rPr>
            </w:pPr>
            <w:r>
              <w:rPr>
                <w:color w:val="231F20"/>
                <w:w w:val="115"/>
                <w:sz w:val="17"/>
              </w:rPr>
              <w:t>(27,6)</w:t>
            </w:r>
          </w:p>
        </w:tc>
        <w:tc>
          <w:tcPr>
            <w:tcW w:w="1020" w:type="dxa"/>
          </w:tcPr>
          <w:p>
            <w:pPr>
              <w:pStyle w:val="TableParagraph"/>
              <w:ind w:right="219"/>
              <w:jc w:val="right"/>
              <w:rPr>
                <w:sz w:val="17"/>
              </w:rPr>
            </w:pPr>
            <w:r>
              <w:rPr>
                <w:color w:val="231F20"/>
                <w:w w:val="115"/>
                <w:sz w:val="17"/>
              </w:rPr>
              <w:t>732</w:t>
            </w:r>
          </w:p>
        </w:tc>
        <w:tc>
          <w:tcPr>
            <w:tcW w:w="709" w:type="dxa"/>
          </w:tcPr>
          <w:p>
            <w:pPr>
              <w:pStyle w:val="TableParagraph"/>
              <w:ind w:right="106"/>
              <w:jc w:val="right"/>
              <w:rPr>
                <w:sz w:val="17"/>
              </w:rPr>
            </w:pPr>
            <w:r>
              <w:rPr>
                <w:color w:val="231F20"/>
                <w:w w:val="115"/>
                <w:sz w:val="17"/>
              </w:rPr>
              <w:t>(30,0)</w:t>
            </w:r>
          </w:p>
        </w:tc>
        <w:tc>
          <w:tcPr>
            <w:tcW w:w="1247" w:type="dxa"/>
          </w:tcPr>
          <w:p>
            <w:pPr>
              <w:pStyle w:val="TableParagraph"/>
              <w:ind w:right="396"/>
              <w:jc w:val="right"/>
              <w:rPr>
                <w:sz w:val="17"/>
              </w:rPr>
            </w:pPr>
            <w:r>
              <w:rPr>
                <w:color w:val="231F20"/>
                <w:w w:val="115"/>
                <w:sz w:val="17"/>
              </w:rPr>
              <w:t>1073</w:t>
            </w:r>
          </w:p>
        </w:tc>
        <w:tc>
          <w:tcPr>
            <w:tcW w:w="704" w:type="dxa"/>
            <w:tcBorders>
              <w:right w:val="nil"/>
            </w:tcBorders>
          </w:tcPr>
          <w:p>
            <w:pPr>
              <w:pStyle w:val="TableParagraph"/>
              <w:ind w:right="111"/>
              <w:jc w:val="right"/>
              <w:rPr>
                <w:sz w:val="17"/>
              </w:rPr>
            </w:pPr>
            <w:r>
              <w:rPr>
                <w:color w:val="231F20"/>
                <w:w w:val="115"/>
                <w:sz w:val="17"/>
              </w:rPr>
              <w:t>(28,5)</w:t>
            </w:r>
          </w:p>
        </w:tc>
      </w:tr>
      <w:tr>
        <w:trPr>
          <w:trHeight w:val="354" w:hRule="exact"/>
        </w:trPr>
        <w:tc>
          <w:tcPr>
            <w:tcW w:w="1582" w:type="dxa"/>
            <w:tcBorders>
              <w:left w:val="nil"/>
            </w:tcBorders>
          </w:tcPr>
          <w:p>
            <w:pPr>
              <w:pStyle w:val="TableParagraph"/>
              <w:ind w:left="113"/>
              <w:rPr>
                <w:sz w:val="17"/>
              </w:rPr>
            </w:pPr>
            <w:r>
              <w:rPr>
                <w:color w:val="231F20"/>
                <w:sz w:val="17"/>
              </w:rPr>
              <w:t>Cuitzeo</w:t>
            </w:r>
          </w:p>
        </w:tc>
        <w:tc>
          <w:tcPr>
            <w:tcW w:w="1049" w:type="dxa"/>
          </w:tcPr>
          <w:p>
            <w:pPr>
              <w:pStyle w:val="TableParagraph"/>
              <w:ind w:right="276"/>
              <w:jc w:val="right"/>
              <w:rPr>
                <w:sz w:val="17"/>
              </w:rPr>
            </w:pPr>
            <w:r>
              <w:rPr>
                <w:color w:val="231F20"/>
                <w:w w:val="115"/>
                <w:sz w:val="17"/>
              </w:rPr>
              <w:t>1103</w:t>
            </w:r>
          </w:p>
        </w:tc>
        <w:tc>
          <w:tcPr>
            <w:tcW w:w="751" w:type="dxa"/>
          </w:tcPr>
          <w:p>
            <w:pPr>
              <w:pStyle w:val="TableParagraph"/>
              <w:ind w:left="93" w:right="51"/>
              <w:jc w:val="center"/>
              <w:rPr>
                <w:sz w:val="17"/>
              </w:rPr>
            </w:pPr>
            <w:r>
              <w:rPr>
                <w:color w:val="231F20"/>
                <w:w w:val="115"/>
                <w:sz w:val="17"/>
              </w:rPr>
              <w:t>(9,8)</w:t>
            </w:r>
          </w:p>
        </w:tc>
        <w:tc>
          <w:tcPr>
            <w:tcW w:w="978" w:type="dxa"/>
          </w:tcPr>
          <w:p>
            <w:pPr>
              <w:pStyle w:val="TableParagraph"/>
              <w:ind w:right="226"/>
              <w:jc w:val="right"/>
              <w:rPr>
                <w:sz w:val="17"/>
              </w:rPr>
            </w:pPr>
            <w:r>
              <w:rPr>
                <w:color w:val="231F20"/>
                <w:w w:val="115"/>
                <w:sz w:val="17"/>
              </w:rPr>
              <w:t>7677</w:t>
            </w:r>
          </w:p>
        </w:tc>
        <w:tc>
          <w:tcPr>
            <w:tcW w:w="723" w:type="dxa"/>
          </w:tcPr>
          <w:p>
            <w:pPr>
              <w:pStyle w:val="TableParagraph"/>
              <w:ind w:left="236"/>
              <w:rPr>
                <w:sz w:val="17"/>
              </w:rPr>
            </w:pPr>
            <w:r>
              <w:rPr>
                <w:color w:val="231F20"/>
                <w:w w:val="115"/>
                <w:sz w:val="17"/>
              </w:rPr>
              <w:t>(5,5)</w:t>
            </w:r>
          </w:p>
        </w:tc>
        <w:tc>
          <w:tcPr>
            <w:tcW w:w="1020" w:type="dxa"/>
          </w:tcPr>
          <w:p>
            <w:pPr>
              <w:pStyle w:val="TableParagraph"/>
              <w:ind w:right="219"/>
              <w:jc w:val="right"/>
              <w:rPr>
                <w:sz w:val="17"/>
              </w:rPr>
            </w:pPr>
            <w:r>
              <w:rPr>
                <w:color w:val="231F20"/>
                <w:w w:val="115"/>
                <w:sz w:val="17"/>
              </w:rPr>
              <w:t>198</w:t>
            </w:r>
          </w:p>
        </w:tc>
        <w:tc>
          <w:tcPr>
            <w:tcW w:w="709" w:type="dxa"/>
          </w:tcPr>
          <w:p>
            <w:pPr>
              <w:pStyle w:val="TableParagraph"/>
              <w:ind w:right="106"/>
              <w:jc w:val="right"/>
              <w:rPr>
                <w:sz w:val="17"/>
              </w:rPr>
            </w:pPr>
            <w:r>
              <w:rPr>
                <w:color w:val="231F20"/>
                <w:w w:val="115"/>
                <w:sz w:val="17"/>
              </w:rPr>
              <w:t>(8,1)</w:t>
            </w:r>
          </w:p>
        </w:tc>
        <w:tc>
          <w:tcPr>
            <w:tcW w:w="1247" w:type="dxa"/>
          </w:tcPr>
          <w:p>
            <w:pPr>
              <w:pStyle w:val="TableParagraph"/>
              <w:ind w:right="389"/>
              <w:jc w:val="right"/>
              <w:rPr>
                <w:sz w:val="17"/>
              </w:rPr>
            </w:pPr>
            <w:r>
              <w:rPr>
                <w:color w:val="231F20"/>
                <w:w w:val="115"/>
                <w:sz w:val="17"/>
              </w:rPr>
              <w:t>298</w:t>
            </w:r>
          </w:p>
        </w:tc>
        <w:tc>
          <w:tcPr>
            <w:tcW w:w="704" w:type="dxa"/>
            <w:tcBorders>
              <w:right w:val="nil"/>
            </w:tcBorders>
          </w:tcPr>
          <w:p>
            <w:pPr>
              <w:pStyle w:val="TableParagraph"/>
              <w:ind w:right="111"/>
              <w:jc w:val="right"/>
              <w:rPr>
                <w:sz w:val="17"/>
              </w:rPr>
            </w:pPr>
            <w:r>
              <w:rPr>
                <w:color w:val="231F20"/>
                <w:w w:val="115"/>
                <w:sz w:val="17"/>
              </w:rPr>
              <w:t>(7,9)</w:t>
            </w:r>
          </w:p>
        </w:tc>
      </w:tr>
      <w:tr>
        <w:trPr>
          <w:trHeight w:val="354" w:hRule="exact"/>
        </w:trPr>
        <w:tc>
          <w:tcPr>
            <w:tcW w:w="1582" w:type="dxa"/>
            <w:tcBorders>
              <w:left w:val="nil"/>
            </w:tcBorders>
          </w:tcPr>
          <w:p>
            <w:pPr>
              <w:pStyle w:val="TableParagraph"/>
              <w:ind w:left="113"/>
              <w:rPr>
                <w:sz w:val="17"/>
              </w:rPr>
            </w:pPr>
            <w:r>
              <w:rPr>
                <w:color w:val="231F20"/>
                <w:sz w:val="17"/>
              </w:rPr>
              <w:t>Infiernillo</w:t>
            </w:r>
          </w:p>
        </w:tc>
        <w:tc>
          <w:tcPr>
            <w:tcW w:w="1049" w:type="dxa"/>
          </w:tcPr>
          <w:p>
            <w:pPr>
              <w:pStyle w:val="TableParagraph"/>
              <w:ind w:right="276"/>
              <w:jc w:val="right"/>
              <w:rPr>
                <w:sz w:val="17"/>
              </w:rPr>
            </w:pPr>
            <w:r>
              <w:rPr>
                <w:color w:val="231F20"/>
                <w:w w:val="115"/>
                <w:sz w:val="17"/>
              </w:rPr>
              <w:t>733</w:t>
            </w:r>
          </w:p>
        </w:tc>
        <w:tc>
          <w:tcPr>
            <w:tcW w:w="751" w:type="dxa"/>
          </w:tcPr>
          <w:p>
            <w:pPr>
              <w:pStyle w:val="TableParagraph"/>
              <w:ind w:left="93" w:right="51"/>
              <w:jc w:val="center"/>
              <w:rPr>
                <w:sz w:val="17"/>
              </w:rPr>
            </w:pPr>
            <w:r>
              <w:rPr>
                <w:color w:val="231F20"/>
                <w:w w:val="115"/>
                <w:sz w:val="17"/>
              </w:rPr>
              <w:t>(6,5)</w:t>
            </w:r>
          </w:p>
        </w:tc>
        <w:tc>
          <w:tcPr>
            <w:tcW w:w="978" w:type="dxa"/>
          </w:tcPr>
          <w:p>
            <w:pPr>
              <w:pStyle w:val="TableParagraph"/>
              <w:ind w:right="219"/>
              <w:jc w:val="right"/>
              <w:rPr>
                <w:sz w:val="17"/>
              </w:rPr>
            </w:pPr>
            <w:r>
              <w:rPr>
                <w:color w:val="231F20"/>
                <w:w w:val="115"/>
                <w:sz w:val="17"/>
              </w:rPr>
              <w:t>8691</w:t>
            </w:r>
          </w:p>
        </w:tc>
        <w:tc>
          <w:tcPr>
            <w:tcW w:w="723" w:type="dxa"/>
          </w:tcPr>
          <w:p>
            <w:pPr>
              <w:pStyle w:val="TableParagraph"/>
              <w:ind w:left="236"/>
              <w:rPr>
                <w:sz w:val="17"/>
              </w:rPr>
            </w:pPr>
            <w:r>
              <w:rPr>
                <w:color w:val="231F20"/>
                <w:w w:val="115"/>
                <w:sz w:val="17"/>
              </w:rPr>
              <w:t>(6,2)</w:t>
            </w:r>
          </w:p>
        </w:tc>
        <w:tc>
          <w:tcPr>
            <w:tcW w:w="1020" w:type="dxa"/>
          </w:tcPr>
          <w:p>
            <w:pPr>
              <w:pStyle w:val="TableParagraph"/>
              <w:ind w:right="219"/>
              <w:jc w:val="right"/>
              <w:rPr>
                <w:sz w:val="17"/>
              </w:rPr>
            </w:pPr>
            <w:r>
              <w:rPr>
                <w:color w:val="231F20"/>
                <w:w w:val="115"/>
                <w:sz w:val="17"/>
              </w:rPr>
              <w:t>205</w:t>
            </w:r>
          </w:p>
        </w:tc>
        <w:tc>
          <w:tcPr>
            <w:tcW w:w="709" w:type="dxa"/>
          </w:tcPr>
          <w:p>
            <w:pPr>
              <w:pStyle w:val="TableParagraph"/>
              <w:ind w:right="106"/>
              <w:jc w:val="right"/>
              <w:rPr>
                <w:sz w:val="17"/>
              </w:rPr>
            </w:pPr>
            <w:r>
              <w:rPr>
                <w:color w:val="231F20"/>
                <w:w w:val="115"/>
                <w:sz w:val="17"/>
              </w:rPr>
              <w:t>(8,4)</w:t>
            </w:r>
          </w:p>
        </w:tc>
        <w:tc>
          <w:tcPr>
            <w:tcW w:w="1247" w:type="dxa"/>
          </w:tcPr>
          <w:p>
            <w:pPr>
              <w:pStyle w:val="TableParagraph"/>
              <w:ind w:right="393"/>
              <w:jc w:val="right"/>
              <w:rPr>
                <w:sz w:val="17"/>
              </w:rPr>
            </w:pPr>
            <w:r>
              <w:rPr>
                <w:color w:val="231F20"/>
                <w:w w:val="115"/>
                <w:sz w:val="17"/>
              </w:rPr>
              <w:t>221</w:t>
            </w:r>
          </w:p>
        </w:tc>
        <w:tc>
          <w:tcPr>
            <w:tcW w:w="704" w:type="dxa"/>
            <w:tcBorders>
              <w:right w:val="nil"/>
            </w:tcBorders>
          </w:tcPr>
          <w:p>
            <w:pPr>
              <w:pStyle w:val="TableParagraph"/>
              <w:ind w:right="111"/>
              <w:jc w:val="right"/>
              <w:rPr>
                <w:sz w:val="17"/>
              </w:rPr>
            </w:pPr>
            <w:r>
              <w:rPr>
                <w:color w:val="231F20"/>
                <w:w w:val="115"/>
                <w:sz w:val="17"/>
              </w:rPr>
              <w:t>(5,9)</w:t>
            </w:r>
          </w:p>
        </w:tc>
      </w:tr>
      <w:tr>
        <w:trPr>
          <w:trHeight w:val="362" w:hRule="exact"/>
        </w:trPr>
        <w:tc>
          <w:tcPr>
            <w:tcW w:w="1582" w:type="dxa"/>
            <w:tcBorders>
              <w:left w:val="nil"/>
            </w:tcBorders>
          </w:tcPr>
          <w:p>
            <w:pPr>
              <w:pStyle w:val="TableParagraph"/>
              <w:ind w:left="113"/>
              <w:rPr>
                <w:sz w:val="17"/>
              </w:rPr>
            </w:pPr>
            <w:r>
              <w:rPr>
                <w:color w:val="231F20"/>
                <w:sz w:val="17"/>
              </w:rPr>
              <w:t>Lerma-Chapala</w:t>
            </w:r>
          </w:p>
        </w:tc>
        <w:tc>
          <w:tcPr>
            <w:tcW w:w="1049" w:type="dxa"/>
          </w:tcPr>
          <w:p>
            <w:pPr>
              <w:pStyle w:val="TableParagraph"/>
              <w:ind w:right="276"/>
              <w:jc w:val="right"/>
              <w:rPr>
                <w:sz w:val="17"/>
              </w:rPr>
            </w:pPr>
            <w:r>
              <w:rPr>
                <w:color w:val="231F20"/>
                <w:w w:val="115"/>
                <w:sz w:val="17"/>
              </w:rPr>
              <w:t>904</w:t>
            </w:r>
          </w:p>
        </w:tc>
        <w:tc>
          <w:tcPr>
            <w:tcW w:w="751" w:type="dxa"/>
          </w:tcPr>
          <w:p>
            <w:pPr>
              <w:pStyle w:val="TableParagraph"/>
              <w:ind w:left="93" w:right="51"/>
              <w:jc w:val="center"/>
              <w:rPr>
                <w:sz w:val="17"/>
              </w:rPr>
            </w:pPr>
            <w:r>
              <w:rPr>
                <w:color w:val="231F20"/>
                <w:w w:val="115"/>
                <w:sz w:val="17"/>
              </w:rPr>
              <w:t>(8,0)</w:t>
            </w:r>
          </w:p>
        </w:tc>
        <w:tc>
          <w:tcPr>
            <w:tcW w:w="978" w:type="dxa"/>
          </w:tcPr>
          <w:p>
            <w:pPr>
              <w:pStyle w:val="TableParagraph"/>
              <w:spacing w:before="81"/>
              <w:ind w:right="219"/>
              <w:jc w:val="right"/>
              <w:rPr>
                <w:sz w:val="17"/>
              </w:rPr>
            </w:pPr>
            <w:r>
              <w:rPr>
                <w:color w:val="231F20"/>
                <w:w w:val="115"/>
                <w:sz w:val="17"/>
              </w:rPr>
              <w:t>18 464</w:t>
            </w:r>
          </w:p>
        </w:tc>
        <w:tc>
          <w:tcPr>
            <w:tcW w:w="723" w:type="dxa"/>
          </w:tcPr>
          <w:p>
            <w:pPr>
              <w:pStyle w:val="TableParagraph"/>
              <w:ind w:left="144"/>
              <w:rPr>
                <w:sz w:val="17"/>
              </w:rPr>
            </w:pPr>
            <w:r>
              <w:rPr>
                <w:color w:val="231F20"/>
                <w:w w:val="115"/>
                <w:sz w:val="17"/>
              </w:rPr>
              <w:t>(13,2)</w:t>
            </w:r>
          </w:p>
        </w:tc>
        <w:tc>
          <w:tcPr>
            <w:tcW w:w="1020" w:type="dxa"/>
          </w:tcPr>
          <w:p>
            <w:pPr>
              <w:pStyle w:val="TableParagraph"/>
              <w:ind w:right="219"/>
              <w:jc w:val="right"/>
              <w:rPr>
                <w:sz w:val="17"/>
              </w:rPr>
            </w:pPr>
            <w:r>
              <w:rPr>
                <w:color w:val="231F20"/>
                <w:w w:val="115"/>
                <w:sz w:val="17"/>
              </w:rPr>
              <w:t>264</w:t>
            </w:r>
          </w:p>
        </w:tc>
        <w:tc>
          <w:tcPr>
            <w:tcW w:w="709" w:type="dxa"/>
          </w:tcPr>
          <w:p>
            <w:pPr>
              <w:pStyle w:val="TableParagraph"/>
              <w:ind w:right="106"/>
              <w:jc w:val="right"/>
              <w:rPr>
                <w:sz w:val="17"/>
              </w:rPr>
            </w:pPr>
            <w:r>
              <w:rPr>
                <w:color w:val="231F20"/>
                <w:w w:val="115"/>
                <w:sz w:val="17"/>
              </w:rPr>
              <w:t>(10,8)</w:t>
            </w:r>
          </w:p>
        </w:tc>
        <w:tc>
          <w:tcPr>
            <w:tcW w:w="1247" w:type="dxa"/>
          </w:tcPr>
          <w:p>
            <w:pPr>
              <w:pStyle w:val="TableParagraph"/>
              <w:ind w:right="396"/>
              <w:jc w:val="right"/>
              <w:rPr>
                <w:sz w:val="17"/>
              </w:rPr>
            </w:pPr>
            <w:r>
              <w:rPr>
                <w:color w:val="231F20"/>
                <w:w w:val="115"/>
                <w:sz w:val="17"/>
              </w:rPr>
              <w:t>987</w:t>
            </w:r>
          </w:p>
        </w:tc>
        <w:tc>
          <w:tcPr>
            <w:tcW w:w="704" w:type="dxa"/>
            <w:tcBorders>
              <w:right w:val="nil"/>
            </w:tcBorders>
          </w:tcPr>
          <w:p>
            <w:pPr>
              <w:pStyle w:val="TableParagraph"/>
              <w:ind w:right="111"/>
              <w:jc w:val="right"/>
              <w:rPr>
                <w:sz w:val="17"/>
              </w:rPr>
            </w:pPr>
            <w:r>
              <w:rPr>
                <w:color w:val="231F20"/>
                <w:w w:val="115"/>
                <w:sz w:val="17"/>
              </w:rPr>
              <w:t>(26,3)</w:t>
            </w:r>
          </w:p>
        </w:tc>
      </w:tr>
      <w:tr>
        <w:trPr>
          <w:trHeight w:val="362" w:hRule="exact"/>
        </w:trPr>
        <w:tc>
          <w:tcPr>
            <w:tcW w:w="1582" w:type="dxa"/>
            <w:tcBorders>
              <w:left w:val="nil"/>
            </w:tcBorders>
          </w:tcPr>
          <w:p>
            <w:pPr>
              <w:pStyle w:val="TableParagraph"/>
              <w:ind w:left="113"/>
              <w:rPr>
                <w:sz w:val="17"/>
              </w:rPr>
            </w:pPr>
            <w:r>
              <w:rPr>
                <w:color w:val="231F20"/>
                <w:sz w:val="17"/>
              </w:rPr>
              <w:t>Oriente</w:t>
            </w:r>
          </w:p>
        </w:tc>
        <w:tc>
          <w:tcPr>
            <w:tcW w:w="1049" w:type="dxa"/>
          </w:tcPr>
          <w:p>
            <w:pPr>
              <w:pStyle w:val="TableParagraph"/>
              <w:ind w:right="279"/>
              <w:jc w:val="right"/>
              <w:rPr>
                <w:sz w:val="17"/>
              </w:rPr>
            </w:pPr>
            <w:r>
              <w:rPr>
                <w:color w:val="231F20"/>
                <w:w w:val="115"/>
                <w:sz w:val="17"/>
              </w:rPr>
              <w:t>2130</w:t>
            </w:r>
          </w:p>
        </w:tc>
        <w:tc>
          <w:tcPr>
            <w:tcW w:w="751" w:type="dxa"/>
          </w:tcPr>
          <w:p>
            <w:pPr>
              <w:pStyle w:val="TableParagraph"/>
              <w:ind w:left="89" w:right="136"/>
              <w:jc w:val="center"/>
              <w:rPr>
                <w:sz w:val="17"/>
              </w:rPr>
            </w:pPr>
            <w:r>
              <w:rPr>
                <w:color w:val="231F20"/>
                <w:w w:val="115"/>
                <w:sz w:val="17"/>
              </w:rPr>
              <w:t>(18,9)</w:t>
            </w:r>
          </w:p>
        </w:tc>
        <w:tc>
          <w:tcPr>
            <w:tcW w:w="978" w:type="dxa"/>
          </w:tcPr>
          <w:p>
            <w:pPr>
              <w:pStyle w:val="TableParagraph"/>
              <w:spacing w:before="81"/>
              <w:ind w:right="226"/>
              <w:jc w:val="right"/>
              <w:rPr>
                <w:sz w:val="17"/>
              </w:rPr>
            </w:pPr>
            <w:r>
              <w:rPr>
                <w:color w:val="231F20"/>
                <w:w w:val="115"/>
                <w:sz w:val="17"/>
              </w:rPr>
              <w:t>21 179</w:t>
            </w:r>
          </w:p>
        </w:tc>
        <w:tc>
          <w:tcPr>
            <w:tcW w:w="723" w:type="dxa"/>
          </w:tcPr>
          <w:p>
            <w:pPr>
              <w:pStyle w:val="TableParagraph"/>
              <w:ind w:left="144"/>
              <w:rPr>
                <w:sz w:val="17"/>
              </w:rPr>
            </w:pPr>
            <w:r>
              <w:rPr>
                <w:color w:val="231F20"/>
                <w:w w:val="115"/>
                <w:sz w:val="17"/>
              </w:rPr>
              <w:t>(15,2)</w:t>
            </w:r>
          </w:p>
        </w:tc>
        <w:tc>
          <w:tcPr>
            <w:tcW w:w="1020" w:type="dxa"/>
          </w:tcPr>
          <w:p>
            <w:pPr>
              <w:pStyle w:val="TableParagraph"/>
              <w:ind w:right="223"/>
              <w:jc w:val="right"/>
              <w:rPr>
                <w:sz w:val="17"/>
              </w:rPr>
            </w:pPr>
            <w:r>
              <w:rPr>
                <w:color w:val="231F20"/>
                <w:w w:val="115"/>
                <w:sz w:val="17"/>
              </w:rPr>
              <w:t>337</w:t>
            </w:r>
          </w:p>
        </w:tc>
        <w:tc>
          <w:tcPr>
            <w:tcW w:w="709" w:type="dxa"/>
          </w:tcPr>
          <w:p>
            <w:pPr>
              <w:pStyle w:val="TableParagraph"/>
              <w:ind w:right="106"/>
              <w:jc w:val="right"/>
              <w:rPr>
                <w:sz w:val="17"/>
              </w:rPr>
            </w:pPr>
            <w:r>
              <w:rPr>
                <w:color w:val="231F20"/>
                <w:w w:val="115"/>
                <w:sz w:val="17"/>
              </w:rPr>
              <w:t>(13,8)</w:t>
            </w:r>
          </w:p>
        </w:tc>
        <w:tc>
          <w:tcPr>
            <w:tcW w:w="1247" w:type="dxa"/>
          </w:tcPr>
          <w:p>
            <w:pPr>
              <w:pStyle w:val="TableParagraph"/>
              <w:ind w:right="396"/>
              <w:jc w:val="right"/>
              <w:rPr>
                <w:sz w:val="17"/>
              </w:rPr>
            </w:pPr>
            <w:r>
              <w:rPr>
                <w:color w:val="231F20"/>
                <w:w w:val="115"/>
                <w:sz w:val="17"/>
              </w:rPr>
              <w:t>647</w:t>
            </w:r>
          </w:p>
        </w:tc>
        <w:tc>
          <w:tcPr>
            <w:tcW w:w="704" w:type="dxa"/>
            <w:tcBorders>
              <w:right w:val="nil"/>
            </w:tcBorders>
          </w:tcPr>
          <w:p>
            <w:pPr>
              <w:pStyle w:val="TableParagraph"/>
              <w:ind w:right="111"/>
              <w:jc w:val="right"/>
              <w:rPr>
                <w:sz w:val="17"/>
              </w:rPr>
            </w:pPr>
            <w:r>
              <w:rPr>
                <w:color w:val="231F20"/>
                <w:w w:val="115"/>
                <w:sz w:val="17"/>
              </w:rPr>
              <w:t>(17,2)</w:t>
            </w:r>
          </w:p>
        </w:tc>
      </w:tr>
      <w:tr>
        <w:trPr>
          <w:trHeight w:val="354" w:hRule="exact"/>
        </w:trPr>
        <w:tc>
          <w:tcPr>
            <w:tcW w:w="1582" w:type="dxa"/>
            <w:tcBorders>
              <w:left w:val="nil"/>
            </w:tcBorders>
          </w:tcPr>
          <w:p>
            <w:pPr>
              <w:pStyle w:val="TableParagraph"/>
              <w:ind w:left="113"/>
              <w:rPr>
                <w:sz w:val="17"/>
              </w:rPr>
            </w:pPr>
            <w:r>
              <w:rPr>
                <w:color w:val="231F20"/>
                <w:sz w:val="17"/>
              </w:rPr>
              <w:t>Patzcuaro-Zirahuen</w:t>
            </w:r>
          </w:p>
        </w:tc>
        <w:tc>
          <w:tcPr>
            <w:tcW w:w="1049" w:type="dxa"/>
          </w:tcPr>
          <w:p>
            <w:pPr>
              <w:pStyle w:val="TableParagraph"/>
              <w:ind w:right="276"/>
              <w:jc w:val="right"/>
              <w:rPr>
                <w:sz w:val="17"/>
              </w:rPr>
            </w:pPr>
            <w:r>
              <w:rPr>
                <w:color w:val="231F20"/>
                <w:w w:val="115"/>
                <w:sz w:val="17"/>
              </w:rPr>
              <w:t>62</w:t>
            </w:r>
          </w:p>
        </w:tc>
        <w:tc>
          <w:tcPr>
            <w:tcW w:w="751" w:type="dxa"/>
          </w:tcPr>
          <w:p>
            <w:pPr>
              <w:pStyle w:val="TableParagraph"/>
              <w:ind w:left="93" w:right="51"/>
              <w:jc w:val="center"/>
              <w:rPr>
                <w:sz w:val="17"/>
              </w:rPr>
            </w:pPr>
            <w:r>
              <w:rPr>
                <w:color w:val="231F20"/>
                <w:w w:val="115"/>
                <w:sz w:val="17"/>
              </w:rPr>
              <w:t>(0,5)</w:t>
            </w:r>
          </w:p>
        </w:tc>
        <w:tc>
          <w:tcPr>
            <w:tcW w:w="978" w:type="dxa"/>
          </w:tcPr>
          <w:p>
            <w:pPr>
              <w:pStyle w:val="TableParagraph"/>
              <w:ind w:right="219"/>
              <w:jc w:val="right"/>
              <w:rPr>
                <w:sz w:val="17"/>
              </w:rPr>
            </w:pPr>
            <w:r>
              <w:rPr>
                <w:color w:val="231F20"/>
                <w:w w:val="115"/>
                <w:sz w:val="17"/>
              </w:rPr>
              <w:t>302</w:t>
            </w:r>
          </w:p>
        </w:tc>
        <w:tc>
          <w:tcPr>
            <w:tcW w:w="723" w:type="dxa"/>
          </w:tcPr>
          <w:p>
            <w:pPr>
              <w:pStyle w:val="TableParagraph"/>
              <w:ind w:left="236"/>
              <w:rPr>
                <w:sz w:val="17"/>
              </w:rPr>
            </w:pPr>
            <w:r>
              <w:rPr>
                <w:color w:val="231F20"/>
                <w:w w:val="115"/>
                <w:sz w:val="17"/>
              </w:rPr>
              <w:t>(0,2)</w:t>
            </w:r>
          </w:p>
        </w:tc>
        <w:tc>
          <w:tcPr>
            <w:tcW w:w="1020" w:type="dxa"/>
          </w:tcPr>
          <w:p>
            <w:pPr>
              <w:pStyle w:val="TableParagraph"/>
              <w:ind w:right="226"/>
              <w:jc w:val="right"/>
              <w:rPr>
                <w:sz w:val="17"/>
              </w:rPr>
            </w:pPr>
            <w:r>
              <w:rPr>
                <w:color w:val="231F20"/>
                <w:w w:val="115"/>
                <w:sz w:val="17"/>
              </w:rPr>
              <w:t>18</w:t>
            </w:r>
          </w:p>
        </w:tc>
        <w:tc>
          <w:tcPr>
            <w:tcW w:w="709" w:type="dxa"/>
          </w:tcPr>
          <w:p>
            <w:pPr>
              <w:pStyle w:val="TableParagraph"/>
              <w:ind w:right="106"/>
              <w:jc w:val="right"/>
              <w:rPr>
                <w:sz w:val="17"/>
              </w:rPr>
            </w:pPr>
            <w:r>
              <w:rPr>
                <w:color w:val="231F20"/>
                <w:w w:val="115"/>
                <w:sz w:val="17"/>
              </w:rPr>
              <w:t>(0,7)</w:t>
            </w:r>
          </w:p>
        </w:tc>
        <w:tc>
          <w:tcPr>
            <w:tcW w:w="1247" w:type="dxa"/>
          </w:tcPr>
          <w:p>
            <w:pPr>
              <w:pStyle w:val="TableParagraph"/>
              <w:ind w:right="389"/>
              <w:jc w:val="right"/>
              <w:rPr>
                <w:sz w:val="17"/>
              </w:rPr>
            </w:pPr>
            <w:r>
              <w:rPr>
                <w:color w:val="231F20"/>
                <w:w w:val="115"/>
                <w:sz w:val="17"/>
              </w:rPr>
              <w:t>0</w:t>
            </w:r>
          </w:p>
        </w:tc>
        <w:tc>
          <w:tcPr>
            <w:tcW w:w="704" w:type="dxa"/>
            <w:tcBorders>
              <w:right w:val="nil"/>
            </w:tcBorders>
          </w:tcPr>
          <w:p>
            <w:pPr>
              <w:pStyle w:val="TableParagraph"/>
              <w:ind w:right="111"/>
              <w:jc w:val="right"/>
              <w:rPr>
                <w:sz w:val="17"/>
              </w:rPr>
            </w:pPr>
            <w:r>
              <w:rPr>
                <w:color w:val="231F20"/>
                <w:w w:val="115"/>
                <w:sz w:val="17"/>
              </w:rPr>
              <w:t>(0,0)</w:t>
            </w:r>
          </w:p>
        </w:tc>
      </w:tr>
      <w:tr>
        <w:trPr>
          <w:trHeight w:val="354" w:hRule="exact"/>
        </w:trPr>
        <w:tc>
          <w:tcPr>
            <w:tcW w:w="1582" w:type="dxa"/>
            <w:tcBorders>
              <w:left w:val="nil"/>
            </w:tcBorders>
          </w:tcPr>
          <w:p>
            <w:pPr>
              <w:pStyle w:val="TableParagraph"/>
              <w:ind w:left="113"/>
              <w:rPr>
                <w:sz w:val="17"/>
              </w:rPr>
            </w:pPr>
            <w:r>
              <w:rPr>
                <w:color w:val="231F20"/>
                <w:sz w:val="17"/>
              </w:rPr>
              <w:t>Purepecha</w:t>
            </w:r>
          </w:p>
        </w:tc>
        <w:tc>
          <w:tcPr>
            <w:tcW w:w="1049" w:type="dxa"/>
          </w:tcPr>
          <w:p>
            <w:pPr>
              <w:pStyle w:val="TableParagraph"/>
              <w:ind w:right="279"/>
              <w:jc w:val="right"/>
              <w:rPr>
                <w:sz w:val="17"/>
              </w:rPr>
            </w:pPr>
            <w:r>
              <w:rPr>
                <w:color w:val="231F20"/>
                <w:w w:val="115"/>
                <w:sz w:val="17"/>
              </w:rPr>
              <w:t>259</w:t>
            </w:r>
          </w:p>
        </w:tc>
        <w:tc>
          <w:tcPr>
            <w:tcW w:w="751" w:type="dxa"/>
          </w:tcPr>
          <w:p>
            <w:pPr>
              <w:pStyle w:val="TableParagraph"/>
              <w:ind w:left="93" w:right="51"/>
              <w:jc w:val="center"/>
              <w:rPr>
                <w:sz w:val="17"/>
              </w:rPr>
            </w:pPr>
            <w:r>
              <w:rPr>
                <w:color w:val="231F20"/>
                <w:w w:val="115"/>
                <w:sz w:val="17"/>
              </w:rPr>
              <w:t>(2,3)</w:t>
            </w:r>
          </w:p>
        </w:tc>
        <w:tc>
          <w:tcPr>
            <w:tcW w:w="978" w:type="dxa"/>
          </w:tcPr>
          <w:p>
            <w:pPr>
              <w:pStyle w:val="TableParagraph"/>
              <w:ind w:right="226"/>
              <w:jc w:val="right"/>
              <w:rPr>
                <w:sz w:val="17"/>
              </w:rPr>
            </w:pPr>
            <w:r>
              <w:rPr>
                <w:color w:val="231F20"/>
                <w:w w:val="115"/>
                <w:sz w:val="17"/>
              </w:rPr>
              <w:t>1 918</w:t>
            </w:r>
          </w:p>
        </w:tc>
        <w:tc>
          <w:tcPr>
            <w:tcW w:w="723" w:type="dxa"/>
          </w:tcPr>
          <w:p>
            <w:pPr>
              <w:pStyle w:val="TableParagraph"/>
              <w:ind w:left="236"/>
              <w:rPr>
                <w:sz w:val="17"/>
              </w:rPr>
            </w:pPr>
            <w:r>
              <w:rPr>
                <w:color w:val="231F20"/>
                <w:w w:val="115"/>
                <w:sz w:val="17"/>
              </w:rPr>
              <w:t>(1,4)</w:t>
            </w:r>
          </w:p>
        </w:tc>
        <w:tc>
          <w:tcPr>
            <w:tcW w:w="1020" w:type="dxa"/>
          </w:tcPr>
          <w:p>
            <w:pPr>
              <w:pStyle w:val="TableParagraph"/>
              <w:ind w:right="223"/>
              <w:jc w:val="right"/>
              <w:rPr>
                <w:sz w:val="17"/>
              </w:rPr>
            </w:pPr>
            <w:r>
              <w:rPr>
                <w:color w:val="231F20"/>
                <w:w w:val="115"/>
                <w:sz w:val="17"/>
              </w:rPr>
              <w:t>51</w:t>
            </w:r>
          </w:p>
        </w:tc>
        <w:tc>
          <w:tcPr>
            <w:tcW w:w="709" w:type="dxa"/>
          </w:tcPr>
          <w:p>
            <w:pPr>
              <w:pStyle w:val="TableParagraph"/>
              <w:ind w:right="106"/>
              <w:jc w:val="right"/>
              <w:rPr>
                <w:sz w:val="17"/>
              </w:rPr>
            </w:pPr>
            <w:r>
              <w:rPr>
                <w:color w:val="231F20"/>
                <w:w w:val="115"/>
                <w:sz w:val="17"/>
              </w:rPr>
              <w:t>(2,1)</w:t>
            </w:r>
          </w:p>
        </w:tc>
        <w:tc>
          <w:tcPr>
            <w:tcW w:w="1247" w:type="dxa"/>
          </w:tcPr>
          <w:p>
            <w:pPr>
              <w:pStyle w:val="TableParagraph"/>
              <w:ind w:right="389"/>
              <w:jc w:val="right"/>
              <w:rPr>
                <w:sz w:val="17"/>
              </w:rPr>
            </w:pPr>
            <w:r>
              <w:rPr>
                <w:color w:val="231F20"/>
                <w:w w:val="115"/>
                <w:sz w:val="17"/>
              </w:rPr>
              <w:t>94</w:t>
            </w:r>
          </w:p>
        </w:tc>
        <w:tc>
          <w:tcPr>
            <w:tcW w:w="704" w:type="dxa"/>
            <w:tcBorders>
              <w:right w:val="nil"/>
            </w:tcBorders>
          </w:tcPr>
          <w:p>
            <w:pPr>
              <w:pStyle w:val="TableParagraph"/>
              <w:ind w:right="111"/>
              <w:jc w:val="right"/>
              <w:rPr>
                <w:sz w:val="17"/>
              </w:rPr>
            </w:pPr>
            <w:r>
              <w:rPr>
                <w:color w:val="231F20"/>
                <w:w w:val="115"/>
                <w:sz w:val="17"/>
              </w:rPr>
              <w:t>(2,5)</w:t>
            </w:r>
          </w:p>
        </w:tc>
      </w:tr>
      <w:tr>
        <w:trPr>
          <w:trHeight w:val="362" w:hRule="exact"/>
        </w:trPr>
        <w:tc>
          <w:tcPr>
            <w:tcW w:w="1582" w:type="dxa"/>
            <w:tcBorders>
              <w:left w:val="nil"/>
            </w:tcBorders>
          </w:tcPr>
          <w:p>
            <w:pPr>
              <w:pStyle w:val="TableParagraph"/>
              <w:ind w:left="113"/>
              <w:rPr>
                <w:sz w:val="17"/>
              </w:rPr>
            </w:pPr>
            <w:r>
              <w:rPr>
                <w:color w:val="231F20"/>
                <w:sz w:val="17"/>
              </w:rPr>
              <w:t>Sierra-Costa</w:t>
            </w:r>
          </w:p>
        </w:tc>
        <w:tc>
          <w:tcPr>
            <w:tcW w:w="1049" w:type="dxa"/>
          </w:tcPr>
          <w:p>
            <w:pPr>
              <w:pStyle w:val="TableParagraph"/>
              <w:ind w:right="279"/>
              <w:jc w:val="right"/>
              <w:rPr>
                <w:sz w:val="17"/>
              </w:rPr>
            </w:pPr>
            <w:r>
              <w:rPr>
                <w:color w:val="231F20"/>
                <w:w w:val="115"/>
                <w:sz w:val="17"/>
              </w:rPr>
              <w:t>1227</w:t>
            </w:r>
          </w:p>
        </w:tc>
        <w:tc>
          <w:tcPr>
            <w:tcW w:w="751" w:type="dxa"/>
          </w:tcPr>
          <w:p>
            <w:pPr>
              <w:pStyle w:val="TableParagraph"/>
              <w:ind w:left="89" w:right="136"/>
              <w:jc w:val="center"/>
              <w:rPr>
                <w:sz w:val="17"/>
              </w:rPr>
            </w:pPr>
            <w:r>
              <w:rPr>
                <w:color w:val="231F20"/>
                <w:w w:val="115"/>
                <w:sz w:val="17"/>
              </w:rPr>
              <w:t>(10,9)</w:t>
            </w:r>
          </w:p>
        </w:tc>
        <w:tc>
          <w:tcPr>
            <w:tcW w:w="978" w:type="dxa"/>
          </w:tcPr>
          <w:p>
            <w:pPr>
              <w:pStyle w:val="TableParagraph"/>
              <w:spacing w:before="81"/>
              <w:ind w:right="223"/>
              <w:jc w:val="right"/>
              <w:rPr>
                <w:sz w:val="17"/>
              </w:rPr>
            </w:pPr>
            <w:r>
              <w:rPr>
                <w:color w:val="231F20"/>
                <w:w w:val="115"/>
                <w:sz w:val="17"/>
              </w:rPr>
              <w:t>16 659</w:t>
            </w:r>
          </w:p>
        </w:tc>
        <w:tc>
          <w:tcPr>
            <w:tcW w:w="723" w:type="dxa"/>
          </w:tcPr>
          <w:p>
            <w:pPr>
              <w:pStyle w:val="TableParagraph"/>
              <w:ind w:left="144"/>
              <w:rPr>
                <w:sz w:val="17"/>
              </w:rPr>
            </w:pPr>
            <w:r>
              <w:rPr>
                <w:color w:val="231F20"/>
                <w:w w:val="115"/>
                <w:sz w:val="17"/>
              </w:rPr>
              <w:t>(11,9)</w:t>
            </w:r>
          </w:p>
        </w:tc>
        <w:tc>
          <w:tcPr>
            <w:tcW w:w="1020" w:type="dxa"/>
          </w:tcPr>
          <w:p>
            <w:pPr>
              <w:pStyle w:val="TableParagraph"/>
              <w:ind w:right="219"/>
              <w:jc w:val="right"/>
              <w:rPr>
                <w:sz w:val="17"/>
              </w:rPr>
            </w:pPr>
            <w:r>
              <w:rPr>
                <w:color w:val="231F20"/>
                <w:w w:val="115"/>
                <w:sz w:val="17"/>
              </w:rPr>
              <w:t>288</w:t>
            </w:r>
          </w:p>
        </w:tc>
        <w:tc>
          <w:tcPr>
            <w:tcW w:w="709" w:type="dxa"/>
          </w:tcPr>
          <w:p>
            <w:pPr>
              <w:pStyle w:val="TableParagraph"/>
              <w:ind w:right="106"/>
              <w:jc w:val="right"/>
              <w:rPr>
                <w:sz w:val="17"/>
              </w:rPr>
            </w:pPr>
            <w:r>
              <w:rPr>
                <w:color w:val="231F20"/>
                <w:w w:val="115"/>
                <w:sz w:val="17"/>
              </w:rPr>
              <w:t>(11,8)</w:t>
            </w:r>
          </w:p>
        </w:tc>
        <w:tc>
          <w:tcPr>
            <w:tcW w:w="1247" w:type="dxa"/>
          </w:tcPr>
          <w:p>
            <w:pPr>
              <w:pStyle w:val="TableParagraph"/>
              <w:ind w:right="393"/>
              <w:jc w:val="right"/>
              <w:rPr>
                <w:sz w:val="17"/>
              </w:rPr>
            </w:pPr>
            <w:r>
              <w:rPr>
                <w:color w:val="231F20"/>
                <w:w w:val="115"/>
                <w:sz w:val="17"/>
              </w:rPr>
              <w:t>254</w:t>
            </w:r>
          </w:p>
        </w:tc>
        <w:tc>
          <w:tcPr>
            <w:tcW w:w="704" w:type="dxa"/>
            <w:tcBorders>
              <w:right w:val="nil"/>
            </w:tcBorders>
          </w:tcPr>
          <w:p>
            <w:pPr>
              <w:pStyle w:val="TableParagraph"/>
              <w:ind w:right="111"/>
              <w:jc w:val="right"/>
              <w:rPr>
                <w:sz w:val="17"/>
              </w:rPr>
            </w:pPr>
            <w:r>
              <w:rPr>
                <w:color w:val="231F20"/>
                <w:w w:val="115"/>
                <w:sz w:val="17"/>
              </w:rPr>
              <w:t>(6,8)</w:t>
            </w:r>
          </w:p>
        </w:tc>
      </w:tr>
      <w:tr>
        <w:trPr>
          <w:trHeight w:val="354" w:hRule="exact"/>
        </w:trPr>
        <w:tc>
          <w:tcPr>
            <w:tcW w:w="1582" w:type="dxa"/>
            <w:tcBorders>
              <w:left w:val="nil"/>
            </w:tcBorders>
          </w:tcPr>
          <w:p>
            <w:pPr>
              <w:pStyle w:val="TableParagraph"/>
              <w:ind w:left="113"/>
              <w:rPr>
                <w:sz w:val="17"/>
              </w:rPr>
            </w:pPr>
            <w:r>
              <w:rPr>
                <w:color w:val="231F20"/>
                <w:sz w:val="17"/>
              </w:rPr>
              <w:t>Tepalcatepec</w:t>
            </w:r>
          </w:p>
        </w:tc>
        <w:tc>
          <w:tcPr>
            <w:tcW w:w="1049" w:type="dxa"/>
          </w:tcPr>
          <w:p>
            <w:pPr>
              <w:pStyle w:val="TableParagraph"/>
              <w:ind w:right="276"/>
              <w:jc w:val="right"/>
              <w:rPr>
                <w:sz w:val="17"/>
              </w:rPr>
            </w:pPr>
            <w:r>
              <w:rPr>
                <w:color w:val="231F20"/>
                <w:w w:val="115"/>
                <w:sz w:val="17"/>
              </w:rPr>
              <w:t>800</w:t>
            </w:r>
          </w:p>
        </w:tc>
        <w:tc>
          <w:tcPr>
            <w:tcW w:w="751" w:type="dxa"/>
          </w:tcPr>
          <w:p>
            <w:pPr>
              <w:pStyle w:val="TableParagraph"/>
              <w:ind w:left="93" w:right="30"/>
              <w:jc w:val="center"/>
              <w:rPr>
                <w:sz w:val="17"/>
              </w:rPr>
            </w:pPr>
            <w:r>
              <w:rPr>
                <w:color w:val="231F20"/>
                <w:w w:val="115"/>
                <w:sz w:val="17"/>
              </w:rPr>
              <w:t>(7,1)</w:t>
            </w:r>
          </w:p>
        </w:tc>
        <w:tc>
          <w:tcPr>
            <w:tcW w:w="978" w:type="dxa"/>
          </w:tcPr>
          <w:p>
            <w:pPr>
              <w:pStyle w:val="TableParagraph"/>
              <w:ind w:right="226"/>
              <w:jc w:val="right"/>
              <w:rPr>
                <w:sz w:val="17"/>
              </w:rPr>
            </w:pPr>
            <w:r>
              <w:rPr>
                <w:color w:val="231F20"/>
                <w:w w:val="115"/>
                <w:sz w:val="17"/>
              </w:rPr>
              <w:t>8616</w:t>
            </w:r>
          </w:p>
        </w:tc>
        <w:tc>
          <w:tcPr>
            <w:tcW w:w="723" w:type="dxa"/>
          </w:tcPr>
          <w:p>
            <w:pPr>
              <w:pStyle w:val="TableParagraph"/>
              <w:ind w:left="236"/>
              <w:rPr>
                <w:sz w:val="17"/>
              </w:rPr>
            </w:pPr>
            <w:r>
              <w:rPr>
                <w:color w:val="231F20"/>
                <w:w w:val="115"/>
                <w:sz w:val="17"/>
              </w:rPr>
              <w:t>(6,2)</w:t>
            </w:r>
          </w:p>
        </w:tc>
        <w:tc>
          <w:tcPr>
            <w:tcW w:w="1020" w:type="dxa"/>
          </w:tcPr>
          <w:p>
            <w:pPr>
              <w:pStyle w:val="TableParagraph"/>
              <w:ind w:right="219"/>
              <w:jc w:val="right"/>
              <w:rPr>
                <w:sz w:val="17"/>
              </w:rPr>
            </w:pPr>
            <w:r>
              <w:rPr>
                <w:color w:val="231F20"/>
                <w:w w:val="115"/>
                <w:sz w:val="17"/>
              </w:rPr>
              <w:t>68</w:t>
            </w:r>
          </w:p>
        </w:tc>
        <w:tc>
          <w:tcPr>
            <w:tcW w:w="709" w:type="dxa"/>
          </w:tcPr>
          <w:p>
            <w:pPr>
              <w:pStyle w:val="TableParagraph"/>
              <w:ind w:right="106"/>
              <w:jc w:val="right"/>
              <w:rPr>
                <w:sz w:val="17"/>
              </w:rPr>
            </w:pPr>
            <w:r>
              <w:rPr>
                <w:color w:val="231F20"/>
                <w:w w:val="115"/>
                <w:sz w:val="17"/>
              </w:rPr>
              <w:t>(2,8)</w:t>
            </w:r>
          </w:p>
        </w:tc>
        <w:tc>
          <w:tcPr>
            <w:tcW w:w="1247" w:type="dxa"/>
          </w:tcPr>
          <w:p>
            <w:pPr>
              <w:pStyle w:val="TableParagraph"/>
              <w:ind w:right="389"/>
              <w:jc w:val="right"/>
              <w:rPr>
                <w:sz w:val="17"/>
              </w:rPr>
            </w:pPr>
            <w:r>
              <w:rPr>
                <w:color w:val="231F20"/>
                <w:w w:val="115"/>
                <w:sz w:val="17"/>
              </w:rPr>
              <w:t>151</w:t>
            </w:r>
          </w:p>
        </w:tc>
        <w:tc>
          <w:tcPr>
            <w:tcW w:w="704" w:type="dxa"/>
            <w:tcBorders>
              <w:right w:val="nil"/>
            </w:tcBorders>
          </w:tcPr>
          <w:p>
            <w:pPr>
              <w:pStyle w:val="TableParagraph"/>
              <w:ind w:right="111"/>
              <w:jc w:val="right"/>
              <w:rPr>
                <w:sz w:val="17"/>
              </w:rPr>
            </w:pPr>
            <w:r>
              <w:rPr>
                <w:color w:val="231F20"/>
                <w:w w:val="115"/>
                <w:sz w:val="17"/>
              </w:rPr>
              <w:t>(4,0)</w:t>
            </w:r>
          </w:p>
        </w:tc>
      </w:tr>
      <w:tr>
        <w:trPr>
          <w:trHeight w:val="362" w:hRule="exact"/>
        </w:trPr>
        <w:tc>
          <w:tcPr>
            <w:tcW w:w="1582" w:type="dxa"/>
            <w:tcBorders>
              <w:left w:val="nil"/>
            </w:tcBorders>
          </w:tcPr>
          <w:p>
            <w:pPr>
              <w:pStyle w:val="TableParagraph"/>
              <w:ind w:left="113"/>
              <w:rPr>
                <w:sz w:val="17"/>
              </w:rPr>
            </w:pPr>
            <w:r>
              <w:rPr>
                <w:color w:val="231F20"/>
                <w:sz w:val="17"/>
              </w:rPr>
              <w:t>Tierra Caliente</w:t>
            </w:r>
          </w:p>
        </w:tc>
        <w:tc>
          <w:tcPr>
            <w:tcW w:w="1049" w:type="dxa"/>
          </w:tcPr>
          <w:p>
            <w:pPr>
              <w:pStyle w:val="TableParagraph"/>
              <w:ind w:right="279"/>
              <w:jc w:val="right"/>
              <w:rPr>
                <w:sz w:val="17"/>
              </w:rPr>
            </w:pPr>
            <w:r>
              <w:rPr>
                <w:color w:val="231F20"/>
                <w:w w:val="115"/>
                <w:sz w:val="17"/>
              </w:rPr>
              <w:t>1352</w:t>
            </w:r>
          </w:p>
        </w:tc>
        <w:tc>
          <w:tcPr>
            <w:tcW w:w="751" w:type="dxa"/>
          </w:tcPr>
          <w:p>
            <w:pPr>
              <w:pStyle w:val="TableParagraph"/>
              <w:ind w:left="89" w:right="136"/>
              <w:jc w:val="center"/>
              <w:rPr>
                <w:sz w:val="17"/>
              </w:rPr>
            </w:pPr>
            <w:r>
              <w:rPr>
                <w:color w:val="231F20"/>
                <w:w w:val="115"/>
                <w:sz w:val="17"/>
              </w:rPr>
              <w:t>(12,0)</w:t>
            </w:r>
          </w:p>
        </w:tc>
        <w:tc>
          <w:tcPr>
            <w:tcW w:w="978" w:type="dxa"/>
          </w:tcPr>
          <w:p>
            <w:pPr>
              <w:pStyle w:val="TableParagraph"/>
              <w:spacing w:before="81"/>
              <w:ind w:right="223"/>
              <w:jc w:val="right"/>
              <w:rPr>
                <w:sz w:val="17"/>
              </w:rPr>
            </w:pPr>
            <w:r>
              <w:rPr>
                <w:color w:val="231F20"/>
                <w:w w:val="115"/>
                <w:sz w:val="17"/>
              </w:rPr>
              <w:t>17 531</w:t>
            </w:r>
          </w:p>
        </w:tc>
        <w:tc>
          <w:tcPr>
            <w:tcW w:w="723" w:type="dxa"/>
          </w:tcPr>
          <w:p>
            <w:pPr>
              <w:pStyle w:val="TableParagraph"/>
              <w:ind w:left="144"/>
              <w:rPr>
                <w:sz w:val="17"/>
              </w:rPr>
            </w:pPr>
            <w:r>
              <w:rPr>
                <w:color w:val="231F20"/>
                <w:w w:val="115"/>
                <w:sz w:val="17"/>
              </w:rPr>
              <w:t>(12,6)</w:t>
            </w:r>
          </w:p>
        </w:tc>
        <w:tc>
          <w:tcPr>
            <w:tcW w:w="1020" w:type="dxa"/>
          </w:tcPr>
          <w:p>
            <w:pPr>
              <w:pStyle w:val="TableParagraph"/>
              <w:ind w:right="226"/>
              <w:jc w:val="right"/>
              <w:rPr>
                <w:sz w:val="17"/>
              </w:rPr>
            </w:pPr>
            <w:r>
              <w:rPr>
                <w:color w:val="231F20"/>
                <w:w w:val="115"/>
                <w:sz w:val="17"/>
              </w:rPr>
              <w:t>278</w:t>
            </w:r>
          </w:p>
        </w:tc>
        <w:tc>
          <w:tcPr>
            <w:tcW w:w="709" w:type="dxa"/>
          </w:tcPr>
          <w:p>
            <w:pPr>
              <w:pStyle w:val="TableParagraph"/>
              <w:ind w:right="106"/>
              <w:jc w:val="right"/>
              <w:rPr>
                <w:sz w:val="17"/>
              </w:rPr>
            </w:pPr>
            <w:r>
              <w:rPr>
                <w:color w:val="231F20"/>
                <w:w w:val="115"/>
                <w:sz w:val="17"/>
              </w:rPr>
              <w:t>(11,4)</w:t>
            </w:r>
          </w:p>
        </w:tc>
        <w:tc>
          <w:tcPr>
            <w:tcW w:w="1247" w:type="dxa"/>
          </w:tcPr>
          <w:p>
            <w:pPr>
              <w:pStyle w:val="TableParagraph"/>
              <w:ind w:right="393"/>
              <w:jc w:val="right"/>
              <w:rPr>
                <w:sz w:val="17"/>
              </w:rPr>
            </w:pPr>
            <w:r>
              <w:rPr>
                <w:color w:val="231F20"/>
                <w:w w:val="115"/>
                <w:sz w:val="17"/>
              </w:rPr>
              <w:t>35</w:t>
            </w:r>
          </w:p>
        </w:tc>
        <w:tc>
          <w:tcPr>
            <w:tcW w:w="704" w:type="dxa"/>
            <w:tcBorders>
              <w:right w:val="nil"/>
            </w:tcBorders>
          </w:tcPr>
          <w:p>
            <w:pPr>
              <w:pStyle w:val="TableParagraph"/>
              <w:ind w:right="111"/>
              <w:jc w:val="right"/>
              <w:rPr>
                <w:sz w:val="17"/>
              </w:rPr>
            </w:pPr>
            <w:r>
              <w:rPr>
                <w:color w:val="231F20"/>
                <w:w w:val="115"/>
                <w:sz w:val="17"/>
              </w:rPr>
              <w:t>(0,9)</w:t>
            </w:r>
          </w:p>
        </w:tc>
      </w:tr>
      <w:tr>
        <w:trPr>
          <w:trHeight w:val="362" w:hRule="exact"/>
        </w:trPr>
        <w:tc>
          <w:tcPr>
            <w:tcW w:w="1582" w:type="dxa"/>
            <w:tcBorders>
              <w:left w:val="nil"/>
            </w:tcBorders>
          </w:tcPr>
          <w:p>
            <w:pPr>
              <w:pStyle w:val="TableParagraph"/>
              <w:spacing w:before="81"/>
              <w:ind w:left="113"/>
              <w:rPr>
                <w:sz w:val="17"/>
              </w:rPr>
            </w:pPr>
            <w:r>
              <w:rPr>
                <w:color w:val="231F20"/>
                <w:w w:val="105"/>
                <w:sz w:val="17"/>
              </w:rPr>
              <w:t>Total</w:t>
            </w:r>
          </w:p>
        </w:tc>
        <w:tc>
          <w:tcPr>
            <w:tcW w:w="1049" w:type="dxa"/>
          </w:tcPr>
          <w:p>
            <w:pPr>
              <w:pStyle w:val="TableParagraph"/>
              <w:spacing w:before="81"/>
              <w:ind w:right="283"/>
              <w:jc w:val="right"/>
              <w:rPr>
                <w:sz w:val="17"/>
              </w:rPr>
            </w:pPr>
            <w:r>
              <w:rPr>
                <w:color w:val="231F20"/>
                <w:w w:val="115"/>
                <w:sz w:val="17"/>
              </w:rPr>
              <w:t>11 281</w:t>
            </w:r>
          </w:p>
        </w:tc>
        <w:tc>
          <w:tcPr>
            <w:tcW w:w="751" w:type="dxa"/>
          </w:tcPr>
          <w:p>
            <w:pPr/>
          </w:p>
        </w:tc>
        <w:tc>
          <w:tcPr>
            <w:tcW w:w="978" w:type="dxa"/>
          </w:tcPr>
          <w:p>
            <w:pPr>
              <w:pStyle w:val="TableParagraph"/>
              <w:spacing w:before="81"/>
              <w:ind w:right="226"/>
              <w:jc w:val="right"/>
              <w:rPr>
                <w:sz w:val="17"/>
              </w:rPr>
            </w:pPr>
            <w:r>
              <w:rPr>
                <w:color w:val="231F20"/>
                <w:w w:val="115"/>
                <w:sz w:val="17"/>
              </w:rPr>
              <w:t>139 597</w:t>
            </w:r>
          </w:p>
        </w:tc>
        <w:tc>
          <w:tcPr>
            <w:tcW w:w="723" w:type="dxa"/>
          </w:tcPr>
          <w:p>
            <w:pPr/>
          </w:p>
        </w:tc>
        <w:tc>
          <w:tcPr>
            <w:tcW w:w="1020" w:type="dxa"/>
          </w:tcPr>
          <w:p>
            <w:pPr>
              <w:pStyle w:val="TableParagraph"/>
              <w:spacing w:before="81"/>
              <w:ind w:right="223"/>
              <w:jc w:val="right"/>
              <w:rPr>
                <w:sz w:val="17"/>
              </w:rPr>
            </w:pPr>
            <w:r>
              <w:rPr>
                <w:color w:val="231F20"/>
                <w:w w:val="115"/>
                <w:sz w:val="17"/>
              </w:rPr>
              <w:t>2439</w:t>
            </w:r>
          </w:p>
        </w:tc>
        <w:tc>
          <w:tcPr>
            <w:tcW w:w="709" w:type="dxa"/>
          </w:tcPr>
          <w:p>
            <w:pPr/>
          </w:p>
        </w:tc>
        <w:tc>
          <w:tcPr>
            <w:tcW w:w="1247" w:type="dxa"/>
          </w:tcPr>
          <w:p>
            <w:pPr>
              <w:pStyle w:val="TableParagraph"/>
              <w:spacing w:before="81"/>
              <w:ind w:right="389"/>
              <w:jc w:val="right"/>
              <w:rPr>
                <w:sz w:val="17"/>
              </w:rPr>
            </w:pPr>
            <w:r>
              <w:rPr>
                <w:color w:val="231F20"/>
                <w:w w:val="115"/>
                <w:sz w:val="17"/>
              </w:rPr>
              <w:t>3760</w:t>
            </w:r>
          </w:p>
        </w:tc>
        <w:tc>
          <w:tcPr>
            <w:tcW w:w="704" w:type="dxa"/>
            <w:tcBorders>
              <w:right w:val="nil"/>
            </w:tcBorders>
          </w:tcPr>
          <w:p>
            <w:pPr/>
          </w:p>
        </w:tc>
      </w:tr>
    </w:tbl>
    <w:p>
      <w:pPr>
        <w:pStyle w:val="BodyText"/>
        <w:rPr>
          <w:sz w:val="18"/>
        </w:rPr>
      </w:pPr>
    </w:p>
    <w:p>
      <w:pPr>
        <w:pStyle w:val="BodyText"/>
        <w:spacing w:before="5"/>
        <w:rPr>
          <w:sz w:val="13"/>
        </w:rPr>
      </w:pPr>
    </w:p>
    <w:p>
      <w:pPr>
        <w:spacing w:line="321" w:lineRule="auto" w:before="0"/>
        <w:ind w:left="1553" w:right="1885" w:firstLine="0"/>
        <w:jc w:val="left"/>
        <w:rPr>
          <w:sz w:val="18"/>
        </w:rPr>
      </w:pPr>
      <w:r>
        <w:rPr>
          <w:color w:val="231F20"/>
          <w:sz w:val="18"/>
        </w:rPr>
        <w:t>Cuadro 2.   Existencias de las unidades de producción, población y volúmenes de producción del ganado caprino en        la región Sierra-Costa de Michoacán (INEGI,   </w:t>
      </w:r>
      <w:r>
        <w:rPr>
          <w:color w:val="231F20"/>
          <w:spacing w:val="40"/>
          <w:sz w:val="18"/>
        </w:rPr>
        <w:t> </w:t>
      </w:r>
      <w:r>
        <w:rPr>
          <w:color w:val="231F20"/>
          <w:sz w:val="18"/>
        </w:rPr>
        <w:t>2009).</w:t>
      </w:r>
    </w:p>
    <w:p>
      <w:pPr>
        <w:pStyle w:val="BodyText"/>
        <w:spacing w:before="8"/>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99"/>
        <w:gridCol w:w="1006"/>
        <w:gridCol w:w="595"/>
        <w:gridCol w:w="1020"/>
        <w:gridCol w:w="581"/>
        <w:gridCol w:w="893"/>
        <w:gridCol w:w="1346"/>
        <w:gridCol w:w="581"/>
        <w:gridCol w:w="1233"/>
        <w:gridCol w:w="675"/>
      </w:tblGrid>
      <w:tr>
        <w:trPr>
          <w:trHeight w:val="1149" w:hRule="exact"/>
        </w:trPr>
        <w:tc>
          <w:tcPr>
            <w:tcW w:w="1299" w:type="dxa"/>
            <w:tcBorders>
              <w:left w:val="nil"/>
            </w:tcBorders>
          </w:tcPr>
          <w:p>
            <w:pPr>
              <w:pStyle w:val="TableParagraph"/>
              <w:spacing w:before="0"/>
              <w:rPr>
                <w:sz w:val="18"/>
              </w:rPr>
            </w:pPr>
          </w:p>
          <w:p>
            <w:pPr>
              <w:pStyle w:val="TableParagraph"/>
              <w:spacing w:before="5"/>
              <w:rPr>
                <w:sz w:val="20"/>
              </w:rPr>
            </w:pPr>
          </w:p>
          <w:p>
            <w:pPr>
              <w:pStyle w:val="TableParagraph"/>
              <w:spacing w:before="0"/>
              <w:ind w:left="255" w:right="65"/>
              <w:rPr>
                <w:rFonts w:ascii="Cambria"/>
                <w:i/>
                <w:sz w:val="18"/>
              </w:rPr>
            </w:pPr>
            <w:r>
              <w:rPr>
                <w:rFonts w:ascii="Cambria"/>
                <w:i/>
                <w:color w:val="231F20"/>
                <w:w w:val="105"/>
                <w:sz w:val="18"/>
              </w:rPr>
              <w:t>Municipio</w:t>
            </w:r>
          </w:p>
        </w:tc>
        <w:tc>
          <w:tcPr>
            <w:tcW w:w="1006" w:type="dxa"/>
          </w:tcPr>
          <w:p>
            <w:pPr>
              <w:pStyle w:val="TableParagraph"/>
              <w:spacing w:before="2"/>
              <w:rPr>
                <w:sz w:val="17"/>
              </w:rPr>
            </w:pPr>
          </w:p>
          <w:p>
            <w:pPr>
              <w:pStyle w:val="TableParagraph"/>
              <w:spacing w:line="295" w:lineRule="auto" w:before="0"/>
              <w:ind w:left="51" w:right="50"/>
              <w:jc w:val="center"/>
              <w:rPr>
                <w:rFonts w:ascii="Cambria" w:hAnsi="Cambria"/>
                <w:i/>
                <w:sz w:val="18"/>
              </w:rPr>
            </w:pPr>
            <w:r>
              <w:rPr>
                <w:rFonts w:ascii="Cambria" w:hAnsi="Cambria"/>
                <w:i/>
                <w:color w:val="231F20"/>
                <w:w w:val="110"/>
                <w:sz w:val="18"/>
              </w:rPr>
              <w:t>Unidades </w:t>
            </w:r>
            <w:r>
              <w:rPr>
                <w:rFonts w:ascii="Cambria" w:hAnsi="Cambria"/>
                <w:i/>
                <w:color w:val="231F20"/>
                <w:w w:val="110"/>
                <w:sz w:val="18"/>
              </w:rPr>
              <w:t>de    </w:t>
            </w:r>
            <w:r>
              <w:rPr>
                <w:rFonts w:ascii="Cambria" w:hAnsi="Cambria"/>
                <w:i/>
                <w:color w:val="231F20"/>
                <w:w w:val="105"/>
                <w:sz w:val="18"/>
              </w:rPr>
              <w:t>producción</w:t>
            </w:r>
          </w:p>
        </w:tc>
        <w:tc>
          <w:tcPr>
            <w:tcW w:w="595" w:type="dxa"/>
          </w:tcPr>
          <w:p>
            <w:pPr>
              <w:pStyle w:val="TableParagraph"/>
              <w:spacing w:before="0"/>
              <w:rPr>
                <w:sz w:val="18"/>
              </w:rPr>
            </w:pPr>
          </w:p>
          <w:p>
            <w:pPr>
              <w:pStyle w:val="TableParagraph"/>
              <w:spacing w:before="5"/>
              <w:rPr>
                <w:sz w:val="20"/>
              </w:rPr>
            </w:pPr>
          </w:p>
          <w:p>
            <w:pPr>
              <w:pStyle w:val="TableParagraph"/>
              <w:spacing w:before="0"/>
              <w:ind w:left="26" w:right="26"/>
              <w:jc w:val="center"/>
              <w:rPr>
                <w:rFonts w:ascii="Cambria"/>
                <w:i/>
                <w:sz w:val="18"/>
              </w:rPr>
            </w:pPr>
            <w:r>
              <w:rPr>
                <w:rFonts w:ascii="Cambria"/>
                <w:i/>
                <w:color w:val="231F20"/>
                <w:w w:val="105"/>
                <w:sz w:val="18"/>
              </w:rPr>
              <w:t>(%)</w:t>
            </w:r>
          </w:p>
        </w:tc>
        <w:tc>
          <w:tcPr>
            <w:tcW w:w="1020" w:type="dxa"/>
          </w:tcPr>
          <w:p>
            <w:pPr>
              <w:pStyle w:val="TableParagraph"/>
              <w:spacing w:before="2"/>
              <w:rPr>
                <w:sz w:val="17"/>
              </w:rPr>
            </w:pPr>
          </w:p>
          <w:p>
            <w:pPr>
              <w:pStyle w:val="TableParagraph"/>
              <w:spacing w:line="295" w:lineRule="auto" w:before="0"/>
              <w:ind w:left="57" w:right="55"/>
              <w:jc w:val="center"/>
              <w:rPr>
                <w:rFonts w:ascii="Cambria"/>
                <w:i/>
                <w:sz w:val="18"/>
              </w:rPr>
            </w:pPr>
            <w:r>
              <w:rPr>
                <w:rFonts w:ascii="Cambria"/>
                <w:i/>
                <w:color w:val="231F20"/>
                <w:sz w:val="18"/>
              </w:rPr>
              <w:t>Existencias </w:t>
            </w:r>
            <w:r>
              <w:rPr>
                <w:rFonts w:ascii="Cambria"/>
                <w:i/>
                <w:color w:val="231F20"/>
                <w:w w:val="105"/>
                <w:sz w:val="18"/>
              </w:rPr>
              <w:t>totales Cabezas</w:t>
            </w:r>
          </w:p>
        </w:tc>
        <w:tc>
          <w:tcPr>
            <w:tcW w:w="581" w:type="dxa"/>
          </w:tcPr>
          <w:p>
            <w:pPr>
              <w:pStyle w:val="TableParagraph"/>
              <w:spacing w:before="0"/>
              <w:rPr>
                <w:sz w:val="18"/>
              </w:rPr>
            </w:pPr>
          </w:p>
          <w:p>
            <w:pPr>
              <w:pStyle w:val="TableParagraph"/>
              <w:spacing w:before="5"/>
              <w:rPr>
                <w:sz w:val="20"/>
              </w:rPr>
            </w:pPr>
          </w:p>
          <w:p>
            <w:pPr>
              <w:pStyle w:val="TableParagraph"/>
              <w:spacing w:before="0"/>
              <w:ind w:left="29" w:right="29"/>
              <w:jc w:val="center"/>
              <w:rPr>
                <w:rFonts w:ascii="Cambria"/>
                <w:i/>
                <w:sz w:val="18"/>
              </w:rPr>
            </w:pPr>
            <w:r>
              <w:rPr>
                <w:rFonts w:ascii="Cambria"/>
                <w:i/>
                <w:color w:val="231F20"/>
                <w:w w:val="105"/>
                <w:sz w:val="18"/>
              </w:rPr>
              <w:t>(%)</w:t>
            </w:r>
          </w:p>
        </w:tc>
        <w:tc>
          <w:tcPr>
            <w:tcW w:w="893" w:type="dxa"/>
          </w:tcPr>
          <w:p>
            <w:pPr>
              <w:pStyle w:val="TableParagraph"/>
              <w:spacing w:line="295" w:lineRule="auto" w:before="79"/>
              <w:ind w:left="53" w:right="51"/>
              <w:jc w:val="center"/>
              <w:rPr>
                <w:rFonts w:ascii="Cambria" w:hAnsi="Cambria"/>
                <w:i/>
                <w:sz w:val="18"/>
              </w:rPr>
            </w:pPr>
            <w:r>
              <w:rPr>
                <w:rFonts w:ascii="Cambria" w:hAnsi="Cambria"/>
                <w:i/>
                <w:color w:val="231F20"/>
                <w:w w:val="110"/>
                <w:sz w:val="18"/>
              </w:rPr>
              <w:t>Tamaño </w:t>
            </w:r>
            <w:r>
              <w:rPr>
                <w:rFonts w:ascii="Cambria" w:hAnsi="Cambria"/>
                <w:i/>
                <w:color w:val="231F20"/>
                <w:w w:val="105"/>
                <w:sz w:val="18"/>
              </w:rPr>
              <w:t>promedio </w:t>
            </w:r>
            <w:r>
              <w:rPr>
                <w:rFonts w:ascii="Cambria" w:hAnsi="Cambria"/>
                <w:i/>
                <w:color w:val="231F20"/>
                <w:w w:val="110"/>
                <w:sz w:val="18"/>
              </w:rPr>
              <w:t>rebaño Cabezas</w:t>
            </w:r>
          </w:p>
        </w:tc>
        <w:tc>
          <w:tcPr>
            <w:tcW w:w="1346" w:type="dxa"/>
          </w:tcPr>
          <w:p>
            <w:pPr>
              <w:pStyle w:val="TableParagraph"/>
              <w:spacing w:line="295" w:lineRule="auto" w:before="79"/>
              <w:ind w:left="66" w:right="64"/>
              <w:jc w:val="center"/>
              <w:rPr>
                <w:rFonts w:ascii="Cambria" w:hAnsi="Cambria"/>
                <w:i/>
                <w:sz w:val="18"/>
              </w:rPr>
            </w:pPr>
            <w:r>
              <w:rPr>
                <w:rFonts w:ascii="Cambria" w:hAnsi="Cambria"/>
                <w:i/>
                <w:color w:val="231F20"/>
                <w:w w:val="110"/>
                <w:sz w:val="18"/>
              </w:rPr>
              <w:t>Volumen de </w:t>
            </w:r>
            <w:r>
              <w:rPr>
                <w:rFonts w:ascii="Cambria" w:hAnsi="Cambria"/>
                <w:i/>
                <w:color w:val="231F20"/>
                <w:w w:val="110"/>
                <w:sz w:val="18"/>
              </w:rPr>
              <w:t>producción de carne en canal Toneladas</w:t>
            </w:r>
          </w:p>
        </w:tc>
        <w:tc>
          <w:tcPr>
            <w:tcW w:w="581" w:type="dxa"/>
          </w:tcPr>
          <w:p>
            <w:pPr>
              <w:pStyle w:val="TableParagraph"/>
              <w:spacing w:before="0"/>
              <w:rPr>
                <w:sz w:val="18"/>
              </w:rPr>
            </w:pPr>
          </w:p>
          <w:p>
            <w:pPr>
              <w:pStyle w:val="TableParagraph"/>
              <w:spacing w:before="5"/>
              <w:rPr>
                <w:sz w:val="20"/>
              </w:rPr>
            </w:pPr>
          </w:p>
          <w:p>
            <w:pPr>
              <w:pStyle w:val="TableParagraph"/>
              <w:spacing w:before="0"/>
              <w:ind w:left="135"/>
              <w:rPr>
                <w:rFonts w:ascii="Cambria"/>
                <w:i/>
                <w:sz w:val="18"/>
              </w:rPr>
            </w:pPr>
            <w:r>
              <w:rPr>
                <w:rFonts w:ascii="Cambria"/>
                <w:i/>
                <w:color w:val="231F20"/>
                <w:w w:val="105"/>
                <w:sz w:val="18"/>
              </w:rPr>
              <w:t>(%)</w:t>
            </w:r>
          </w:p>
        </w:tc>
        <w:tc>
          <w:tcPr>
            <w:tcW w:w="1233" w:type="dxa"/>
          </w:tcPr>
          <w:p>
            <w:pPr>
              <w:pStyle w:val="TableParagraph"/>
              <w:spacing w:line="295" w:lineRule="auto" w:before="79"/>
              <w:ind w:left="54" w:right="52"/>
              <w:jc w:val="center"/>
              <w:rPr>
                <w:rFonts w:ascii="Cambria" w:hAnsi="Cambria"/>
                <w:i/>
                <w:sz w:val="18"/>
              </w:rPr>
            </w:pPr>
            <w:r>
              <w:rPr>
                <w:rFonts w:ascii="Cambria" w:hAnsi="Cambria"/>
                <w:i/>
                <w:color w:val="231F20"/>
                <w:w w:val="105"/>
                <w:sz w:val="18"/>
              </w:rPr>
              <w:t>Volumen de </w:t>
            </w:r>
            <w:r>
              <w:rPr>
                <w:rFonts w:ascii="Cambria" w:hAnsi="Cambria"/>
                <w:i/>
                <w:color w:val="231F20"/>
                <w:w w:val="105"/>
                <w:sz w:val="18"/>
              </w:rPr>
              <w:t>producción  de leche  Miles de</w:t>
            </w:r>
            <w:r>
              <w:rPr>
                <w:rFonts w:ascii="Cambria" w:hAnsi="Cambria"/>
                <w:i/>
                <w:color w:val="231F20"/>
                <w:spacing w:val="21"/>
                <w:w w:val="105"/>
                <w:sz w:val="18"/>
              </w:rPr>
              <w:t> </w:t>
            </w:r>
            <w:r>
              <w:rPr>
                <w:rFonts w:ascii="Cambria" w:hAnsi="Cambria"/>
                <w:i/>
                <w:color w:val="231F20"/>
                <w:w w:val="105"/>
                <w:sz w:val="18"/>
              </w:rPr>
              <w:t>litros</w:t>
            </w:r>
          </w:p>
        </w:tc>
        <w:tc>
          <w:tcPr>
            <w:tcW w:w="675" w:type="dxa"/>
            <w:tcBorders>
              <w:right w:val="nil"/>
            </w:tcBorders>
          </w:tcPr>
          <w:p>
            <w:pPr>
              <w:pStyle w:val="TableParagraph"/>
              <w:spacing w:before="0"/>
              <w:rPr>
                <w:sz w:val="18"/>
              </w:rPr>
            </w:pPr>
          </w:p>
          <w:p>
            <w:pPr>
              <w:pStyle w:val="TableParagraph"/>
              <w:spacing w:before="5"/>
              <w:rPr>
                <w:sz w:val="20"/>
              </w:rPr>
            </w:pPr>
          </w:p>
          <w:p>
            <w:pPr>
              <w:pStyle w:val="TableParagraph"/>
              <w:spacing w:before="0"/>
              <w:ind w:left="19" w:right="22"/>
              <w:jc w:val="center"/>
              <w:rPr>
                <w:rFonts w:ascii="Cambria"/>
                <w:i/>
                <w:sz w:val="18"/>
              </w:rPr>
            </w:pPr>
            <w:r>
              <w:rPr>
                <w:rFonts w:ascii="Cambria"/>
                <w:i/>
                <w:color w:val="231F20"/>
                <w:w w:val="105"/>
                <w:sz w:val="18"/>
              </w:rPr>
              <w:t>(%)</w:t>
            </w:r>
          </w:p>
        </w:tc>
      </w:tr>
      <w:tr>
        <w:trPr>
          <w:trHeight w:val="354" w:hRule="exact"/>
        </w:trPr>
        <w:tc>
          <w:tcPr>
            <w:tcW w:w="1299" w:type="dxa"/>
            <w:tcBorders>
              <w:left w:val="nil"/>
            </w:tcBorders>
          </w:tcPr>
          <w:p>
            <w:pPr>
              <w:pStyle w:val="TableParagraph"/>
              <w:ind w:left="56" w:right="65"/>
              <w:rPr>
                <w:sz w:val="17"/>
              </w:rPr>
            </w:pPr>
            <w:r>
              <w:rPr>
                <w:color w:val="231F20"/>
                <w:sz w:val="17"/>
              </w:rPr>
              <w:t>Arteaga</w:t>
            </w:r>
          </w:p>
        </w:tc>
        <w:tc>
          <w:tcPr>
            <w:tcW w:w="1006" w:type="dxa"/>
          </w:tcPr>
          <w:p>
            <w:pPr>
              <w:pStyle w:val="TableParagraph"/>
              <w:ind w:right="283"/>
              <w:jc w:val="right"/>
              <w:rPr>
                <w:sz w:val="17"/>
              </w:rPr>
            </w:pPr>
            <w:r>
              <w:rPr>
                <w:color w:val="231F20"/>
                <w:w w:val="115"/>
                <w:sz w:val="17"/>
              </w:rPr>
              <w:t>275</w:t>
            </w:r>
          </w:p>
        </w:tc>
        <w:tc>
          <w:tcPr>
            <w:tcW w:w="595" w:type="dxa"/>
          </w:tcPr>
          <w:p>
            <w:pPr>
              <w:pStyle w:val="TableParagraph"/>
              <w:ind w:left="43" w:right="26"/>
              <w:jc w:val="center"/>
              <w:rPr>
                <w:sz w:val="17"/>
              </w:rPr>
            </w:pPr>
            <w:r>
              <w:rPr>
                <w:color w:val="231F20"/>
                <w:w w:val="115"/>
                <w:sz w:val="17"/>
              </w:rPr>
              <w:t>(22,4)</w:t>
            </w:r>
          </w:p>
        </w:tc>
        <w:tc>
          <w:tcPr>
            <w:tcW w:w="1020" w:type="dxa"/>
          </w:tcPr>
          <w:p>
            <w:pPr>
              <w:pStyle w:val="TableParagraph"/>
              <w:ind w:right="219"/>
              <w:jc w:val="right"/>
              <w:rPr>
                <w:sz w:val="17"/>
              </w:rPr>
            </w:pPr>
            <w:r>
              <w:rPr>
                <w:color w:val="231F20"/>
                <w:w w:val="115"/>
                <w:sz w:val="17"/>
              </w:rPr>
              <w:t>5068</w:t>
            </w:r>
          </w:p>
        </w:tc>
        <w:tc>
          <w:tcPr>
            <w:tcW w:w="581" w:type="dxa"/>
          </w:tcPr>
          <w:p>
            <w:pPr>
              <w:pStyle w:val="TableParagraph"/>
              <w:ind w:left="32" w:right="29"/>
              <w:jc w:val="center"/>
              <w:rPr>
                <w:sz w:val="17"/>
              </w:rPr>
            </w:pPr>
            <w:r>
              <w:rPr>
                <w:color w:val="231F20"/>
                <w:w w:val="115"/>
                <w:sz w:val="17"/>
              </w:rPr>
              <w:t>(30,4)</w:t>
            </w:r>
          </w:p>
        </w:tc>
        <w:tc>
          <w:tcPr>
            <w:tcW w:w="893" w:type="dxa"/>
          </w:tcPr>
          <w:p>
            <w:pPr>
              <w:pStyle w:val="TableParagraph"/>
              <w:ind w:left="53" w:right="39"/>
              <w:jc w:val="center"/>
              <w:rPr>
                <w:sz w:val="17"/>
              </w:rPr>
            </w:pPr>
            <w:r>
              <w:rPr>
                <w:color w:val="231F20"/>
                <w:w w:val="110"/>
                <w:sz w:val="17"/>
              </w:rPr>
              <w:t>18,43</w:t>
            </w:r>
          </w:p>
        </w:tc>
        <w:tc>
          <w:tcPr>
            <w:tcW w:w="1346" w:type="dxa"/>
          </w:tcPr>
          <w:p>
            <w:pPr>
              <w:pStyle w:val="TableParagraph"/>
              <w:ind w:right="449"/>
              <w:jc w:val="right"/>
              <w:rPr>
                <w:sz w:val="17"/>
              </w:rPr>
            </w:pPr>
            <w:r>
              <w:rPr>
                <w:color w:val="231F20"/>
                <w:w w:val="115"/>
                <w:sz w:val="17"/>
              </w:rPr>
              <w:t>32</w:t>
            </w:r>
          </w:p>
        </w:tc>
        <w:tc>
          <w:tcPr>
            <w:tcW w:w="581" w:type="dxa"/>
          </w:tcPr>
          <w:p>
            <w:pPr>
              <w:pStyle w:val="TableParagraph"/>
              <w:ind w:right="49"/>
              <w:jc w:val="right"/>
              <w:rPr>
                <w:sz w:val="17"/>
              </w:rPr>
            </w:pPr>
            <w:r>
              <w:rPr>
                <w:color w:val="231F20"/>
                <w:w w:val="115"/>
                <w:sz w:val="17"/>
              </w:rPr>
              <w:t>(11,1)</w:t>
            </w:r>
          </w:p>
        </w:tc>
        <w:tc>
          <w:tcPr>
            <w:tcW w:w="1233" w:type="dxa"/>
          </w:tcPr>
          <w:p>
            <w:pPr>
              <w:pStyle w:val="TableParagraph"/>
              <w:ind w:right="453"/>
              <w:jc w:val="right"/>
              <w:rPr>
                <w:sz w:val="17"/>
              </w:rPr>
            </w:pPr>
            <w:r>
              <w:rPr>
                <w:color w:val="231F20"/>
                <w:w w:val="115"/>
                <w:sz w:val="17"/>
              </w:rPr>
              <w:t>19</w:t>
            </w:r>
          </w:p>
        </w:tc>
        <w:tc>
          <w:tcPr>
            <w:tcW w:w="675" w:type="dxa"/>
            <w:tcBorders>
              <w:right w:val="nil"/>
            </w:tcBorders>
          </w:tcPr>
          <w:p>
            <w:pPr>
              <w:pStyle w:val="TableParagraph"/>
              <w:ind w:left="127" w:right="17"/>
              <w:jc w:val="center"/>
              <w:rPr>
                <w:sz w:val="17"/>
              </w:rPr>
            </w:pPr>
            <w:r>
              <w:rPr>
                <w:color w:val="231F20"/>
                <w:w w:val="115"/>
                <w:sz w:val="17"/>
              </w:rPr>
              <w:t>(7,48)</w:t>
            </w:r>
          </w:p>
        </w:tc>
      </w:tr>
      <w:tr>
        <w:trPr>
          <w:trHeight w:val="354" w:hRule="exact"/>
        </w:trPr>
        <w:tc>
          <w:tcPr>
            <w:tcW w:w="1299" w:type="dxa"/>
            <w:tcBorders>
              <w:left w:val="nil"/>
            </w:tcBorders>
          </w:tcPr>
          <w:p>
            <w:pPr>
              <w:pStyle w:val="TableParagraph"/>
              <w:ind w:left="56" w:right="65"/>
              <w:rPr>
                <w:sz w:val="17"/>
              </w:rPr>
            </w:pPr>
            <w:r>
              <w:rPr>
                <w:color w:val="231F20"/>
                <w:sz w:val="17"/>
              </w:rPr>
              <w:t>Aquila</w:t>
            </w:r>
          </w:p>
        </w:tc>
        <w:tc>
          <w:tcPr>
            <w:tcW w:w="1006" w:type="dxa"/>
          </w:tcPr>
          <w:p>
            <w:pPr>
              <w:pStyle w:val="TableParagraph"/>
              <w:ind w:right="276"/>
              <w:jc w:val="right"/>
              <w:rPr>
                <w:sz w:val="17"/>
              </w:rPr>
            </w:pPr>
            <w:r>
              <w:rPr>
                <w:color w:val="231F20"/>
                <w:w w:val="115"/>
                <w:sz w:val="17"/>
              </w:rPr>
              <w:t>269</w:t>
            </w:r>
          </w:p>
        </w:tc>
        <w:tc>
          <w:tcPr>
            <w:tcW w:w="595" w:type="dxa"/>
          </w:tcPr>
          <w:p>
            <w:pPr>
              <w:pStyle w:val="TableParagraph"/>
              <w:ind w:left="43" w:right="26"/>
              <w:jc w:val="center"/>
              <w:rPr>
                <w:sz w:val="17"/>
              </w:rPr>
            </w:pPr>
            <w:r>
              <w:rPr>
                <w:color w:val="231F20"/>
                <w:w w:val="115"/>
                <w:sz w:val="17"/>
              </w:rPr>
              <w:t>(21,9)</w:t>
            </w:r>
          </w:p>
        </w:tc>
        <w:tc>
          <w:tcPr>
            <w:tcW w:w="1020" w:type="dxa"/>
          </w:tcPr>
          <w:p>
            <w:pPr>
              <w:pStyle w:val="TableParagraph"/>
              <w:ind w:right="223"/>
              <w:jc w:val="right"/>
              <w:rPr>
                <w:sz w:val="17"/>
              </w:rPr>
            </w:pPr>
            <w:r>
              <w:rPr>
                <w:color w:val="231F20"/>
                <w:w w:val="115"/>
                <w:sz w:val="17"/>
              </w:rPr>
              <w:t>3729</w:t>
            </w:r>
          </w:p>
        </w:tc>
        <w:tc>
          <w:tcPr>
            <w:tcW w:w="581" w:type="dxa"/>
          </w:tcPr>
          <w:p>
            <w:pPr>
              <w:pStyle w:val="TableParagraph"/>
              <w:ind w:left="32" w:right="29"/>
              <w:jc w:val="center"/>
              <w:rPr>
                <w:sz w:val="17"/>
              </w:rPr>
            </w:pPr>
            <w:r>
              <w:rPr>
                <w:color w:val="231F20"/>
                <w:w w:val="115"/>
                <w:sz w:val="17"/>
              </w:rPr>
              <w:t>(22,4)</w:t>
            </w:r>
          </w:p>
        </w:tc>
        <w:tc>
          <w:tcPr>
            <w:tcW w:w="893" w:type="dxa"/>
          </w:tcPr>
          <w:p>
            <w:pPr>
              <w:pStyle w:val="TableParagraph"/>
              <w:ind w:left="53" w:right="39"/>
              <w:jc w:val="center"/>
              <w:rPr>
                <w:sz w:val="17"/>
              </w:rPr>
            </w:pPr>
            <w:r>
              <w:rPr>
                <w:color w:val="231F20"/>
                <w:w w:val="110"/>
                <w:sz w:val="17"/>
              </w:rPr>
              <w:t>13,86</w:t>
            </w:r>
          </w:p>
        </w:tc>
        <w:tc>
          <w:tcPr>
            <w:tcW w:w="1346" w:type="dxa"/>
          </w:tcPr>
          <w:p>
            <w:pPr>
              <w:pStyle w:val="TableParagraph"/>
              <w:ind w:right="449"/>
              <w:jc w:val="right"/>
              <w:rPr>
                <w:sz w:val="17"/>
              </w:rPr>
            </w:pPr>
            <w:r>
              <w:rPr>
                <w:color w:val="231F20"/>
                <w:w w:val="115"/>
                <w:sz w:val="17"/>
              </w:rPr>
              <w:t>52</w:t>
            </w:r>
          </w:p>
        </w:tc>
        <w:tc>
          <w:tcPr>
            <w:tcW w:w="581" w:type="dxa"/>
          </w:tcPr>
          <w:p>
            <w:pPr>
              <w:pStyle w:val="TableParagraph"/>
              <w:ind w:right="49"/>
              <w:jc w:val="right"/>
              <w:rPr>
                <w:sz w:val="17"/>
              </w:rPr>
            </w:pPr>
            <w:r>
              <w:rPr>
                <w:color w:val="231F20"/>
                <w:w w:val="115"/>
                <w:sz w:val="17"/>
              </w:rPr>
              <w:t>(18,1)</w:t>
            </w:r>
          </w:p>
        </w:tc>
        <w:tc>
          <w:tcPr>
            <w:tcW w:w="1233" w:type="dxa"/>
          </w:tcPr>
          <w:p>
            <w:pPr>
              <w:pStyle w:val="TableParagraph"/>
              <w:ind w:right="446"/>
              <w:jc w:val="right"/>
              <w:rPr>
                <w:sz w:val="17"/>
              </w:rPr>
            </w:pPr>
            <w:r>
              <w:rPr>
                <w:color w:val="231F20"/>
                <w:w w:val="115"/>
                <w:sz w:val="17"/>
              </w:rPr>
              <w:t>44</w:t>
            </w:r>
          </w:p>
        </w:tc>
        <w:tc>
          <w:tcPr>
            <w:tcW w:w="675" w:type="dxa"/>
            <w:tcBorders>
              <w:right w:val="nil"/>
            </w:tcBorders>
          </w:tcPr>
          <w:p>
            <w:pPr>
              <w:pStyle w:val="TableParagraph"/>
              <w:ind w:left="33" w:right="12"/>
              <w:jc w:val="center"/>
              <w:rPr>
                <w:sz w:val="17"/>
              </w:rPr>
            </w:pPr>
            <w:r>
              <w:rPr>
                <w:color w:val="231F20"/>
                <w:w w:val="115"/>
                <w:sz w:val="17"/>
              </w:rPr>
              <w:t>(17,32)</w:t>
            </w:r>
          </w:p>
        </w:tc>
      </w:tr>
      <w:tr>
        <w:trPr>
          <w:trHeight w:val="354" w:hRule="exact"/>
        </w:trPr>
        <w:tc>
          <w:tcPr>
            <w:tcW w:w="1299" w:type="dxa"/>
            <w:tcBorders>
              <w:left w:val="nil"/>
            </w:tcBorders>
          </w:tcPr>
          <w:p>
            <w:pPr>
              <w:pStyle w:val="TableParagraph"/>
              <w:ind w:left="56" w:right="65"/>
              <w:rPr>
                <w:sz w:val="17"/>
              </w:rPr>
            </w:pPr>
            <w:r>
              <w:rPr>
                <w:color w:val="231F20"/>
                <w:sz w:val="17"/>
              </w:rPr>
              <w:t>Lázaro Cárdenas</w:t>
            </w:r>
          </w:p>
        </w:tc>
        <w:tc>
          <w:tcPr>
            <w:tcW w:w="1006" w:type="dxa"/>
          </w:tcPr>
          <w:p>
            <w:pPr>
              <w:pStyle w:val="TableParagraph"/>
              <w:ind w:right="276"/>
              <w:jc w:val="right"/>
              <w:rPr>
                <w:sz w:val="17"/>
              </w:rPr>
            </w:pPr>
            <w:r>
              <w:rPr>
                <w:color w:val="231F20"/>
                <w:w w:val="115"/>
                <w:sz w:val="17"/>
              </w:rPr>
              <w:t>138</w:t>
            </w:r>
          </w:p>
        </w:tc>
        <w:tc>
          <w:tcPr>
            <w:tcW w:w="595" w:type="dxa"/>
          </w:tcPr>
          <w:p>
            <w:pPr>
              <w:pStyle w:val="TableParagraph"/>
              <w:ind w:left="47" w:right="26"/>
              <w:jc w:val="center"/>
              <w:rPr>
                <w:sz w:val="17"/>
              </w:rPr>
            </w:pPr>
            <w:r>
              <w:rPr>
                <w:color w:val="231F20"/>
                <w:w w:val="115"/>
                <w:sz w:val="17"/>
              </w:rPr>
              <w:t>(11,2)</w:t>
            </w:r>
          </w:p>
        </w:tc>
        <w:tc>
          <w:tcPr>
            <w:tcW w:w="1020" w:type="dxa"/>
          </w:tcPr>
          <w:p>
            <w:pPr>
              <w:pStyle w:val="TableParagraph"/>
              <w:ind w:right="219"/>
              <w:jc w:val="right"/>
              <w:rPr>
                <w:sz w:val="17"/>
              </w:rPr>
            </w:pPr>
            <w:r>
              <w:rPr>
                <w:color w:val="231F20"/>
                <w:w w:val="115"/>
                <w:sz w:val="17"/>
              </w:rPr>
              <w:t>2398</w:t>
            </w:r>
          </w:p>
        </w:tc>
        <w:tc>
          <w:tcPr>
            <w:tcW w:w="581" w:type="dxa"/>
          </w:tcPr>
          <w:p>
            <w:pPr>
              <w:pStyle w:val="TableParagraph"/>
              <w:ind w:left="34" w:right="27"/>
              <w:jc w:val="center"/>
              <w:rPr>
                <w:sz w:val="17"/>
              </w:rPr>
            </w:pPr>
            <w:r>
              <w:rPr>
                <w:color w:val="231F20"/>
                <w:w w:val="115"/>
                <w:sz w:val="17"/>
              </w:rPr>
              <w:t>(14,4)</w:t>
            </w:r>
          </w:p>
        </w:tc>
        <w:tc>
          <w:tcPr>
            <w:tcW w:w="893" w:type="dxa"/>
          </w:tcPr>
          <w:p>
            <w:pPr>
              <w:pStyle w:val="TableParagraph"/>
              <w:ind w:left="53" w:right="15"/>
              <w:jc w:val="center"/>
              <w:rPr>
                <w:sz w:val="17"/>
              </w:rPr>
            </w:pPr>
            <w:r>
              <w:rPr>
                <w:color w:val="231F20"/>
                <w:w w:val="110"/>
                <w:sz w:val="17"/>
              </w:rPr>
              <w:t>17,38</w:t>
            </w:r>
          </w:p>
        </w:tc>
        <w:tc>
          <w:tcPr>
            <w:tcW w:w="1346" w:type="dxa"/>
          </w:tcPr>
          <w:p>
            <w:pPr>
              <w:pStyle w:val="TableParagraph"/>
              <w:ind w:right="449"/>
              <w:jc w:val="right"/>
              <w:rPr>
                <w:sz w:val="17"/>
              </w:rPr>
            </w:pPr>
            <w:r>
              <w:rPr>
                <w:color w:val="231F20"/>
                <w:w w:val="115"/>
                <w:sz w:val="17"/>
              </w:rPr>
              <w:t>23</w:t>
            </w:r>
          </w:p>
        </w:tc>
        <w:tc>
          <w:tcPr>
            <w:tcW w:w="581" w:type="dxa"/>
          </w:tcPr>
          <w:p>
            <w:pPr>
              <w:pStyle w:val="TableParagraph"/>
              <w:ind w:right="49"/>
              <w:jc w:val="right"/>
              <w:rPr>
                <w:sz w:val="17"/>
              </w:rPr>
            </w:pPr>
            <w:r>
              <w:rPr>
                <w:color w:val="231F20"/>
                <w:w w:val="115"/>
                <w:sz w:val="17"/>
              </w:rPr>
              <w:t>(8,0)</w:t>
            </w:r>
          </w:p>
        </w:tc>
        <w:tc>
          <w:tcPr>
            <w:tcW w:w="1233" w:type="dxa"/>
          </w:tcPr>
          <w:p>
            <w:pPr>
              <w:pStyle w:val="TableParagraph"/>
              <w:ind w:right="453"/>
              <w:jc w:val="right"/>
              <w:rPr>
                <w:sz w:val="17"/>
              </w:rPr>
            </w:pPr>
            <w:r>
              <w:rPr>
                <w:color w:val="231F20"/>
                <w:w w:val="115"/>
                <w:sz w:val="17"/>
              </w:rPr>
              <w:t>11</w:t>
            </w:r>
          </w:p>
        </w:tc>
        <w:tc>
          <w:tcPr>
            <w:tcW w:w="675" w:type="dxa"/>
            <w:tcBorders>
              <w:right w:val="nil"/>
            </w:tcBorders>
          </w:tcPr>
          <w:p>
            <w:pPr>
              <w:pStyle w:val="TableParagraph"/>
              <w:ind w:left="114" w:right="22"/>
              <w:jc w:val="center"/>
              <w:rPr>
                <w:sz w:val="17"/>
              </w:rPr>
            </w:pPr>
            <w:r>
              <w:rPr>
                <w:color w:val="231F20"/>
                <w:w w:val="115"/>
                <w:sz w:val="17"/>
              </w:rPr>
              <w:t>(4,33)</w:t>
            </w:r>
          </w:p>
        </w:tc>
      </w:tr>
      <w:tr>
        <w:trPr>
          <w:trHeight w:val="574" w:hRule="exact"/>
        </w:trPr>
        <w:tc>
          <w:tcPr>
            <w:tcW w:w="1299" w:type="dxa"/>
            <w:tcBorders>
              <w:left w:val="nil"/>
            </w:tcBorders>
          </w:tcPr>
          <w:p>
            <w:pPr>
              <w:pStyle w:val="TableParagraph"/>
              <w:spacing w:line="254" w:lineRule="auto"/>
              <w:ind w:left="56" w:right="65"/>
              <w:rPr>
                <w:sz w:val="17"/>
              </w:rPr>
            </w:pPr>
            <w:r>
              <w:rPr>
                <w:color w:val="231F20"/>
                <w:sz w:val="17"/>
              </w:rPr>
              <w:t>Coalcomán de Vázquez Pallares</w:t>
            </w:r>
          </w:p>
        </w:tc>
        <w:tc>
          <w:tcPr>
            <w:tcW w:w="1006" w:type="dxa"/>
          </w:tcPr>
          <w:p>
            <w:pPr>
              <w:pStyle w:val="TableParagraph"/>
              <w:ind w:right="276"/>
              <w:jc w:val="right"/>
              <w:rPr>
                <w:sz w:val="17"/>
              </w:rPr>
            </w:pPr>
            <w:r>
              <w:rPr>
                <w:color w:val="231F20"/>
                <w:w w:val="115"/>
                <w:sz w:val="17"/>
              </w:rPr>
              <w:t>206</w:t>
            </w:r>
          </w:p>
        </w:tc>
        <w:tc>
          <w:tcPr>
            <w:tcW w:w="595" w:type="dxa"/>
          </w:tcPr>
          <w:p>
            <w:pPr>
              <w:pStyle w:val="TableParagraph"/>
              <w:ind w:left="47" w:right="26"/>
              <w:jc w:val="center"/>
              <w:rPr>
                <w:sz w:val="17"/>
              </w:rPr>
            </w:pPr>
            <w:r>
              <w:rPr>
                <w:color w:val="231F20"/>
                <w:w w:val="115"/>
                <w:sz w:val="17"/>
              </w:rPr>
              <w:t>(16,8)</w:t>
            </w:r>
          </w:p>
        </w:tc>
        <w:tc>
          <w:tcPr>
            <w:tcW w:w="1020" w:type="dxa"/>
          </w:tcPr>
          <w:p>
            <w:pPr>
              <w:pStyle w:val="TableParagraph"/>
              <w:ind w:right="226"/>
              <w:jc w:val="right"/>
              <w:rPr>
                <w:sz w:val="17"/>
              </w:rPr>
            </w:pPr>
            <w:r>
              <w:rPr>
                <w:color w:val="231F20"/>
                <w:w w:val="115"/>
                <w:sz w:val="17"/>
              </w:rPr>
              <w:t>2018</w:t>
            </w:r>
          </w:p>
        </w:tc>
        <w:tc>
          <w:tcPr>
            <w:tcW w:w="581" w:type="dxa"/>
          </w:tcPr>
          <w:p>
            <w:pPr>
              <w:pStyle w:val="TableParagraph"/>
              <w:ind w:left="34" w:right="27"/>
              <w:jc w:val="center"/>
              <w:rPr>
                <w:sz w:val="17"/>
              </w:rPr>
            </w:pPr>
            <w:r>
              <w:rPr>
                <w:color w:val="231F20"/>
                <w:w w:val="115"/>
                <w:sz w:val="17"/>
              </w:rPr>
              <w:t>(12,1)</w:t>
            </w:r>
          </w:p>
        </w:tc>
        <w:tc>
          <w:tcPr>
            <w:tcW w:w="893" w:type="dxa"/>
          </w:tcPr>
          <w:p>
            <w:pPr>
              <w:pStyle w:val="TableParagraph"/>
              <w:ind w:left="157" w:right="51"/>
              <w:jc w:val="center"/>
              <w:rPr>
                <w:sz w:val="17"/>
              </w:rPr>
            </w:pPr>
            <w:r>
              <w:rPr>
                <w:color w:val="231F20"/>
                <w:w w:val="110"/>
                <w:sz w:val="17"/>
              </w:rPr>
              <w:t>9,80</w:t>
            </w:r>
          </w:p>
        </w:tc>
        <w:tc>
          <w:tcPr>
            <w:tcW w:w="1346" w:type="dxa"/>
          </w:tcPr>
          <w:p>
            <w:pPr>
              <w:pStyle w:val="TableParagraph"/>
              <w:ind w:right="453"/>
              <w:jc w:val="right"/>
              <w:rPr>
                <w:sz w:val="17"/>
              </w:rPr>
            </w:pPr>
            <w:r>
              <w:rPr>
                <w:color w:val="231F20"/>
                <w:w w:val="115"/>
                <w:sz w:val="17"/>
              </w:rPr>
              <w:t>15</w:t>
            </w:r>
          </w:p>
        </w:tc>
        <w:tc>
          <w:tcPr>
            <w:tcW w:w="581" w:type="dxa"/>
          </w:tcPr>
          <w:p>
            <w:pPr>
              <w:pStyle w:val="TableParagraph"/>
              <w:ind w:right="49"/>
              <w:jc w:val="right"/>
              <w:rPr>
                <w:sz w:val="17"/>
              </w:rPr>
            </w:pPr>
            <w:r>
              <w:rPr>
                <w:color w:val="231F20"/>
                <w:w w:val="115"/>
                <w:sz w:val="17"/>
              </w:rPr>
              <w:t>(5,2)</w:t>
            </w:r>
          </w:p>
        </w:tc>
        <w:tc>
          <w:tcPr>
            <w:tcW w:w="1233" w:type="dxa"/>
          </w:tcPr>
          <w:p>
            <w:pPr>
              <w:pStyle w:val="TableParagraph"/>
              <w:ind w:right="446"/>
              <w:jc w:val="right"/>
              <w:rPr>
                <w:sz w:val="17"/>
              </w:rPr>
            </w:pPr>
            <w:r>
              <w:rPr>
                <w:color w:val="231F20"/>
                <w:w w:val="115"/>
                <w:sz w:val="17"/>
              </w:rPr>
              <w:t>0</w:t>
            </w:r>
          </w:p>
        </w:tc>
        <w:tc>
          <w:tcPr>
            <w:tcW w:w="675" w:type="dxa"/>
            <w:tcBorders>
              <w:right w:val="nil"/>
            </w:tcBorders>
          </w:tcPr>
          <w:p>
            <w:pPr>
              <w:pStyle w:val="TableParagraph"/>
              <w:ind w:left="111" w:right="22"/>
              <w:jc w:val="center"/>
              <w:rPr>
                <w:sz w:val="17"/>
              </w:rPr>
            </w:pPr>
            <w:r>
              <w:rPr>
                <w:color w:val="231F20"/>
                <w:w w:val="115"/>
                <w:sz w:val="17"/>
              </w:rPr>
              <w:t>(0,00)</w:t>
            </w:r>
          </w:p>
        </w:tc>
      </w:tr>
      <w:tr>
        <w:trPr>
          <w:trHeight w:val="354" w:hRule="exact"/>
        </w:trPr>
        <w:tc>
          <w:tcPr>
            <w:tcW w:w="1299" w:type="dxa"/>
            <w:tcBorders>
              <w:left w:val="nil"/>
            </w:tcBorders>
          </w:tcPr>
          <w:p>
            <w:pPr>
              <w:pStyle w:val="TableParagraph"/>
              <w:ind w:left="56" w:right="65"/>
              <w:rPr>
                <w:sz w:val="17"/>
              </w:rPr>
            </w:pPr>
            <w:r>
              <w:rPr>
                <w:color w:val="231F20"/>
                <w:sz w:val="17"/>
              </w:rPr>
              <w:t>Tumbiscatío</w:t>
            </w:r>
          </w:p>
        </w:tc>
        <w:tc>
          <w:tcPr>
            <w:tcW w:w="1006" w:type="dxa"/>
          </w:tcPr>
          <w:p>
            <w:pPr>
              <w:pStyle w:val="TableParagraph"/>
              <w:ind w:right="276"/>
              <w:jc w:val="right"/>
              <w:rPr>
                <w:sz w:val="17"/>
              </w:rPr>
            </w:pPr>
            <w:r>
              <w:rPr>
                <w:color w:val="231F20"/>
                <w:w w:val="115"/>
                <w:sz w:val="17"/>
              </w:rPr>
              <w:t>180</w:t>
            </w:r>
          </w:p>
        </w:tc>
        <w:tc>
          <w:tcPr>
            <w:tcW w:w="595" w:type="dxa"/>
          </w:tcPr>
          <w:p>
            <w:pPr>
              <w:pStyle w:val="TableParagraph"/>
              <w:ind w:left="48" w:right="20"/>
              <w:jc w:val="center"/>
              <w:rPr>
                <w:sz w:val="17"/>
              </w:rPr>
            </w:pPr>
            <w:r>
              <w:rPr>
                <w:color w:val="231F20"/>
                <w:w w:val="115"/>
                <w:sz w:val="17"/>
              </w:rPr>
              <w:t>(14,7)</w:t>
            </w:r>
          </w:p>
        </w:tc>
        <w:tc>
          <w:tcPr>
            <w:tcW w:w="1020" w:type="dxa"/>
          </w:tcPr>
          <w:p>
            <w:pPr>
              <w:pStyle w:val="TableParagraph"/>
              <w:ind w:right="219"/>
              <w:jc w:val="right"/>
              <w:rPr>
                <w:sz w:val="17"/>
              </w:rPr>
            </w:pPr>
            <w:r>
              <w:rPr>
                <w:color w:val="231F20"/>
                <w:w w:val="115"/>
                <w:sz w:val="17"/>
              </w:rPr>
              <w:t>1899</w:t>
            </w:r>
          </w:p>
        </w:tc>
        <w:tc>
          <w:tcPr>
            <w:tcW w:w="581" w:type="dxa"/>
          </w:tcPr>
          <w:p>
            <w:pPr>
              <w:pStyle w:val="TableParagraph"/>
              <w:ind w:left="34" w:right="27"/>
              <w:jc w:val="center"/>
              <w:rPr>
                <w:sz w:val="17"/>
              </w:rPr>
            </w:pPr>
            <w:r>
              <w:rPr>
                <w:color w:val="231F20"/>
                <w:w w:val="115"/>
                <w:sz w:val="17"/>
              </w:rPr>
              <w:t>(11,4)</w:t>
            </w:r>
          </w:p>
        </w:tc>
        <w:tc>
          <w:tcPr>
            <w:tcW w:w="893" w:type="dxa"/>
          </w:tcPr>
          <w:p>
            <w:pPr>
              <w:pStyle w:val="TableParagraph"/>
              <w:ind w:left="53" w:right="36"/>
              <w:jc w:val="center"/>
              <w:rPr>
                <w:sz w:val="17"/>
              </w:rPr>
            </w:pPr>
            <w:r>
              <w:rPr>
                <w:color w:val="231F20"/>
                <w:w w:val="110"/>
                <w:sz w:val="17"/>
              </w:rPr>
              <w:t>10,55</w:t>
            </w:r>
          </w:p>
        </w:tc>
        <w:tc>
          <w:tcPr>
            <w:tcW w:w="1346" w:type="dxa"/>
          </w:tcPr>
          <w:p>
            <w:pPr>
              <w:pStyle w:val="TableParagraph"/>
              <w:ind w:right="446"/>
              <w:jc w:val="right"/>
              <w:rPr>
                <w:sz w:val="17"/>
              </w:rPr>
            </w:pPr>
            <w:r>
              <w:rPr>
                <w:color w:val="231F20"/>
                <w:w w:val="115"/>
                <w:sz w:val="17"/>
              </w:rPr>
              <w:t>103</w:t>
            </w:r>
          </w:p>
        </w:tc>
        <w:tc>
          <w:tcPr>
            <w:tcW w:w="581" w:type="dxa"/>
          </w:tcPr>
          <w:p>
            <w:pPr>
              <w:pStyle w:val="TableParagraph"/>
              <w:ind w:right="49"/>
              <w:jc w:val="right"/>
              <w:rPr>
                <w:sz w:val="17"/>
              </w:rPr>
            </w:pPr>
            <w:r>
              <w:rPr>
                <w:color w:val="231F20"/>
                <w:w w:val="115"/>
                <w:sz w:val="17"/>
              </w:rPr>
              <w:t>(35,8)</w:t>
            </w:r>
          </w:p>
        </w:tc>
        <w:tc>
          <w:tcPr>
            <w:tcW w:w="1233" w:type="dxa"/>
          </w:tcPr>
          <w:p>
            <w:pPr>
              <w:pStyle w:val="TableParagraph"/>
              <w:ind w:right="446"/>
              <w:jc w:val="right"/>
              <w:rPr>
                <w:sz w:val="17"/>
              </w:rPr>
            </w:pPr>
            <w:r>
              <w:rPr>
                <w:color w:val="231F20"/>
                <w:w w:val="115"/>
                <w:sz w:val="17"/>
              </w:rPr>
              <w:t>129</w:t>
            </w:r>
          </w:p>
        </w:tc>
        <w:tc>
          <w:tcPr>
            <w:tcW w:w="675" w:type="dxa"/>
            <w:tcBorders>
              <w:right w:val="nil"/>
            </w:tcBorders>
          </w:tcPr>
          <w:p>
            <w:pPr>
              <w:pStyle w:val="TableParagraph"/>
              <w:ind w:left="29" w:right="22"/>
              <w:jc w:val="center"/>
              <w:rPr>
                <w:sz w:val="17"/>
              </w:rPr>
            </w:pPr>
            <w:r>
              <w:rPr>
                <w:color w:val="231F20"/>
                <w:w w:val="115"/>
                <w:sz w:val="17"/>
              </w:rPr>
              <w:t>(50,79)</w:t>
            </w:r>
          </w:p>
        </w:tc>
      </w:tr>
      <w:tr>
        <w:trPr>
          <w:trHeight w:val="354" w:hRule="exact"/>
        </w:trPr>
        <w:tc>
          <w:tcPr>
            <w:tcW w:w="1299" w:type="dxa"/>
            <w:tcBorders>
              <w:left w:val="nil"/>
            </w:tcBorders>
          </w:tcPr>
          <w:p>
            <w:pPr>
              <w:pStyle w:val="TableParagraph"/>
              <w:ind w:left="56" w:right="65"/>
              <w:rPr>
                <w:sz w:val="17"/>
              </w:rPr>
            </w:pPr>
            <w:r>
              <w:rPr>
                <w:color w:val="231F20"/>
                <w:sz w:val="17"/>
              </w:rPr>
              <w:t>Chinicuila</w:t>
            </w:r>
          </w:p>
        </w:tc>
        <w:tc>
          <w:tcPr>
            <w:tcW w:w="1006" w:type="dxa"/>
          </w:tcPr>
          <w:p>
            <w:pPr>
              <w:pStyle w:val="TableParagraph"/>
              <w:ind w:right="276"/>
              <w:jc w:val="right"/>
              <w:rPr>
                <w:sz w:val="17"/>
              </w:rPr>
            </w:pPr>
            <w:r>
              <w:rPr>
                <w:color w:val="231F20"/>
                <w:w w:val="115"/>
                <w:sz w:val="17"/>
              </w:rPr>
              <w:t>127</w:t>
            </w:r>
          </w:p>
        </w:tc>
        <w:tc>
          <w:tcPr>
            <w:tcW w:w="595" w:type="dxa"/>
          </w:tcPr>
          <w:p>
            <w:pPr>
              <w:pStyle w:val="TableParagraph"/>
              <w:ind w:left="47" w:right="26"/>
              <w:jc w:val="center"/>
              <w:rPr>
                <w:sz w:val="17"/>
              </w:rPr>
            </w:pPr>
            <w:r>
              <w:rPr>
                <w:color w:val="231F20"/>
                <w:w w:val="115"/>
                <w:sz w:val="17"/>
              </w:rPr>
              <w:t>(10,4)</w:t>
            </w:r>
          </w:p>
        </w:tc>
        <w:tc>
          <w:tcPr>
            <w:tcW w:w="1020" w:type="dxa"/>
          </w:tcPr>
          <w:p>
            <w:pPr>
              <w:pStyle w:val="TableParagraph"/>
              <w:ind w:right="219"/>
              <w:jc w:val="right"/>
              <w:rPr>
                <w:sz w:val="17"/>
              </w:rPr>
            </w:pPr>
            <w:r>
              <w:rPr>
                <w:color w:val="231F20"/>
                <w:w w:val="115"/>
                <w:sz w:val="17"/>
              </w:rPr>
              <w:t>1098</w:t>
            </w:r>
          </w:p>
        </w:tc>
        <w:tc>
          <w:tcPr>
            <w:tcW w:w="581" w:type="dxa"/>
          </w:tcPr>
          <w:p>
            <w:pPr>
              <w:pStyle w:val="TableParagraph"/>
              <w:ind w:left="128" w:right="29"/>
              <w:jc w:val="center"/>
              <w:rPr>
                <w:sz w:val="17"/>
              </w:rPr>
            </w:pPr>
            <w:r>
              <w:rPr>
                <w:color w:val="231F20"/>
                <w:w w:val="115"/>
                <w:sz w:val="17"/>
              </w:rPr>
              <w:t>(6,6)</w:t>
            </w:r>
          </w:p>
        </w:tc>
        <w:tc>
          <w:tcPr>
            <w:tcW w:w="893" w:type="dxa"/>
          </w:tcPr>
          <w:p>
            <w:pPr>
              <w:pStyle w:val="TableParagraph"/>
              <w:ind w:left="157" w:right="51"/>
              <w:jc w:val="center"/>
              <w:rPr>
                <w:sz w:val="17"/>
              </w:rPr>
            </w:pPr>
            <w:r>
              <w:rPr>
                <w:color w:val="231F20"/>
                <w:w w:val="110"/>
                <w:sz w:val="17"/>
              </w:rPr>
              <w:t>8,65</w:t>
            </w:r>
          </w:p>
        </w:tc>
        <w:tc>
          <w:tcPr>
            <w:tcW w:w="1346" w:type="dxa"/>
          </w:tcPr>
          <w:p>
            <w:pPr>
              <w:pStyle w:val="TableParagraph"/>
              <w:ind w:right="446"/>
              <w:jc w:val="right"/>
              <w:rPr>
                <w:sz w:val="17"/>
              </w:rPr>
            </w:pPr>
            <w:r>
              <w:rPr>
                <w:color w:val="231F20"/>
                <w:w w:val="115"/>
                <w:sz w:val="17"/>
              </w:rPr>
              <w:t>48</w:t>
            </w:r>
          </w:p>
        </w:tc>
        <w:tc>
          <w:tcPr>
            <w:tcW w:w="581" w:type="dxa"/>
          </w:tcPr>
          <w:p>
            <w:pPr>
              <w:pStyle w:val="TableParagraph"/>
              <w:ind w:right="49"/>
              <w:jc w:val="right"/>
              <w:rPr>
                <w:sz w:val="17"/>
              </w:rPr>
            </w:pPr>
            <w:r>
              <w:rPr>
                <w:color w:val="231F20"/>
                <w:w w:val="115"/>
                <w:sz w:val="17"/>
              </w:rPr>
              <w:t>(16,7)</w:t>
            </w:r>
          </w:p>
        </w:tc>
        <w:tc>
          <w:tcPr>
            <w:tcW w:w="1233" w:type="dxa"/>
          </w:tcPr>
          <w:p>
            <w:pPr>
              <w:pStyle w:val="TableParagraph"/>
              <w:ind w:right="449"/>
              <w:jc w:val="right"/>
              <w:rPr>
                <w:sz w:val="17"/>
              </w:rPr>
            </w:pPr>
            <w:r>
              <w:rPr>
                <w:color w:val="231F20"/>
                <w:w w:val="115"/>
                <w:sz w:val="17"/>
              </w:rPr>
              <w:t>39</w:t>
            </w:r>
          </w:p>
        </w:tc>
        <w:tc>
          <w:tcPr>
            <w:tcW w:w="675" w:type="dxa"/>
            <w:tcBorders>
              <w:right w:val="nil"/>
            </w:tcBorders>
          </w:tcPr>
          <w:p>
            <w:pPr>
              <w:pStyle w:val="TableParagraph"/>
              <w:ind w:left="22" w:right="22"/>
              <w:jc w:val="center"/>
              <w:rPr>
                <w:sz w:val="17"/>
              </w:rPr>
            </w:pPr>
            <w:r>
              <w:rPr>
                <w:color w:val="231F20"/>
                <w:w w:val="115"/>
                <w:sz w:val="17"/>
              </w:rPr>
              <w:t>(15,35)</w:t>
            </w:r>
          </w:p>
        </w:tc>
      </w:tr>
      <w:tr>
        <w:trPr>
          <w:trHeight w:val="354" w:hRule="exact"/>
        </w:trPr>
        <w:tc>
          <w:tcPr>
            <w:tcW w:w="1299" w:type="dxa"/>
            <w:tcBorders>
              <w:left w:val="nil"/>
            </w:tcBorders>
          </w:tcPr>
          <w:p>
            <w:pPr>
              <w:pStyle w:val="TableParagraph"/>
              <w:ind w:left="56" w:right="65"/>
              <w:rPr>
                <w:sz w:val="17"/>
              </w:rPr>
            </w:pPr>
            <w:r>
              <w:rPr>
                <w:color w:val="231F20"/>
                <w:sz w:val="17"/>
              </w:rPr>
              <w:t>Coahuayana</w:t>
            </w:r>
          </w:p>
        </w:tc>
        <w:tc>
          <w:tcPr>
            <w:tcW w:w="1006" w:type="dxa"/>
          </w:tcPr>
          <w:p>
            <w:pPr>
              <w:pStyle w:val="TableParagraph"/>
              <w:ind w:right="279"/>
              <w:jc w:val="right"/>
              <w:rPr>
                <w:sz w:val="17"/>
              </w:rPr>
            </w:pPr>
            <w:r>
              <w:rPr>
                <w:color w:val="231F20"/>
                <w:w w:val="115"/>
                <w:sz w:val="17"/>
              </w:rPr>
              <w:t>32</w:t>
            </w:r>
          </w:p>
        </w:tc>
        <w:tc>
          <w:tcPr>
            <w:tcW w:w="595" w:type="dxa"/>
          </w:tcPr>
          <w:p>
            <w:pPr>
              <w:pStyle w:val="TableParagraph"/>
              <w:ind w:left="139" w:right="26"/>
              <w:jc w:val="center"/>
              <w:rPr>
                <w:sz w:val="17"/>
              </w:rPr>
            </w:pPr>
            <w:r>
              <w:rPr>
                <w:color w:val="231F20"/>
                <w:w w:val="115"/>
                <w:sz w:val="17"/>
              </w:rPr>
              <w:t>(2,6)</w:t>
            </w:r>
          </w:p>
        </w:tc>
        <w:tc>
          <w:tcPr>
            <w:tcW w:w="1020" w:type="dxa"/>
          </w:tcPr>
          <w:p>
            <w:pPr>
              <w:pStyle w:val="TableParagraph"/>
              <w:ind w:right="219"/>
              <w:jc w:val="right"/>
              <w:rPr>
                <w:sz w:val="17"/>
              </w:rPr>
            </w:pPr>
            <w:r>
              <w:rPr>
                <w:color w:val="231F20"/>
                <w:w w:val="115"/>
                <w:sz w:val="17"/>
              </w:rPr>
              <w:t>449</w:t>
            </w:r>
          </w:p>
        </w:tc>
        <w:tc>
          <w:tcPr>
            <w:tcW w:w="581" w:type="dxa"/>
          </w:tcPr>
          <w:p>
            <w:pPr>
              <w:pStyle w:val="TableParagraph"/>
              <w:ind w:left="132" w:right="26"/>
              <w:jc w:val="center"/>
              <w:rPr>
                <w:sz w:val="17"/>
              </w:rPr>
            </w:pPr>
            <w:r>
              <w:rPr>
                <w:color w:val="231F20"/>
                <w:w w:val="115"/>
                <w:sz w:val="17"/>
              </w:rPr>
              <w:t>(2,7)</w:t>
            </w:r>
          </w:p>
        </w:tc>
        <w:tc>
          <w:tcPr>
            <w:tcW w:w="893" w:type="dxa"/>
          </w:tcPr>
          <w:p>
            <w:pPr>
              <w:pStyle w:val="TableParagraph"/>
              <w:ind w:left="53" w:right="39"/>
              <w:jc w:val="center"/>
              <w:rPr>
                <w:sz w:val="17"/>
              </w:rPr>
            </w:pPr>
            <w:r>
              <w:rPr>
                <w:color w:val="231F20"/>
                <w:w w:val="110"/>
                <w:sz w:val="17"/>
              </w:rPr>
              <w:t>14,03</w:t>
            </w:r>
          </w:p>
        </w:tc>
        <w:tc>
          <w:tcPr>
            <w:tcW w:w="1346" w:type="dxa"/>
          </w:tcPr>
          <w:p>
            <w:pPr>
              <w:pStyle w:val="TableParagraph"/>
              <w:ind w:right="453"/>
              <w:jc w:val="right"/>
              <w:rPr>
                <w:sz w:val="17"/>
              </w:rPr>
            </w:pPr>
            <w:r>
              <w:rPr>
                <w:color w:val="231F20"/>
                <w:w w:val="115"/>
                <w:sz w:val="17"/>
              </w:rPr>
              <w:t>15</w:t>
            </w:r>
          </w:p>
        </w:tc>
        <w:tc>
          <w:tcPr>
            <w:tcW w:w="581" w:type="dxa"/>
          </w:tcPr>
          <w:p>
            <w:pPr>
              <w:pStyle w:val="TableParagraph"/>
              <w:ind w:right="49"/>
              <w:jc w:val="right"/>
              <w:rPr>
                <w:sz w:val="17"/>
              </w:rPr>
            </w:pPr>
            <w:r>
              <w:rPr>
                <w:color w:val="231F20"/>
                <w:w w:val="115"/>
                <w:sz w:val="17"/>
              </w:rPr>
              <w:t>(5,2)</w:t>
            </w:r>
          </w:p>
        </w:tc>
        <w:tc>
          <w:tcPr>
            <w:tcW w:w="1233" w:type="dxa"/>
          </w:tcPr>
          <w:p>
            <w:pPr>
              <w:pStyle w:val="TableParagraph"/>
              <w:ind w:right="453"/>
              <w:jc w:val="right"/>
              <w:rPr>
                <w:sz w:val="17"/>
              </w:rPr>
            </w:pPr>
            <w:r>
              <w:rPr>
                <w:color w:val="231F20"/>
                <w:w w:val="115"/>
                <w:sz w:val="17"/>
              </w:rPr>
              <w:t>12</w:t>
            </w:r>
          </w:p>
        </w:tc>
        <w:tc>
          <w:tcPr>
            <w:tcW w:w="675" w:type="dxa"/>
            <w:tcBorders>
              <w:right w:val="nil"/>
            </w:tcBorders>
          </w:tcPr>
          <w:p>
            <w:pPr>
              <w:pStyle w:val="TableParagraph"/>
              <w:ind w:left="125" w:right="22"/>
              <w:jc w:val="center"/>
              <w:rPr>
                <w:sz w:val="17"/>
              </w:rPr>
            </w:pPr>
            <w:r>
              <w:rPr>
                <w:color w:val="231F20"/>
                <w:w w:val="115"/>
                <w:sz w:val="17"/>
              </w:rPr>
              <w:t>(4,72)</w:t>
            </w:r>
          </w:p>
        </w:tc>
      </w:tr>
      <w:tr>
        <w:trPr>
          <w:trHeight w:val="362" w:hRule="exact"/>
        </w:trPr>
        <w:tc>
          <w:tcPr>
            <w:tcW w:w="1299" w:type="dxa"/>
            <w:tcBorders>
              <w:left w:val="nil"/>
            </w:tcBorders>
          </w:tcPr>
          <w:p>
            <w:pPr>
              <w:pStyle w:val="TableParagraph"/>
              <w:spacing w:before="81"/>
              <w:ind w:left="56" w:right="65"/>
              <w:rPr>
                <w:sz w:val="17"/>
              </w:rPr>
            </w:pPr>
            <w:r>
              <w:rPr>
                <w:color w:val="231F20"/>
                <w:w w:val="105"/>
                <w:sz w:val="17"/>
              </w:rPr>
              <w:t>Total</w:t>
            </w:r>
          </w:p>
        </w:tc>
        <w:tc>
          <w:tcPr>
            <w:tcW w:w="1006" w:type="dxa"/>
          </w:tcPr>
          <w:p>
            <w:pPr>
              <w:pStyle w:val="TableParagraph"/>
              <w:spacing w:before="81"/>
              <w:ind w:right="279"/>
              <w:jc w:val="right"/>
              <w:rPr>
                <w:sz w:val="17"/>
              </w:rPr>
            </w:pPr>
            <w:r>
              <w:rPr>
                <w:color w:val="231F20"/>
                <w:w w:val="115"/>
                <w:sz w:val="17"/>
              </w:rPr>
              <w:t>1227</w:t>
            </w:r>
          </w:p>
        </w:tc>
        <w:tc>
          <w:tcPr>
            <w:tcW w:w="595" w:type="dxa"/>
          </w:tcPr>
          <w:p>
            <w:pPr/>
          </w:p>
        </w:tc>
        <w:tc>
          <w:tcPr>
            <w:tcW w:w="1020" w:type="dxa"/>
          </w:tcPr>
          <w:p>
            <w:pPr>
              <w:pStyle w:val="TableParagraph"/>
              <w:spacing w:before="81"/>
              <w:ind w:right="219"/>
              <w:jc w:val="right"/>
              <w:rPr>
                <w:sz w:val="17"/>
              </w:rPr>
            </w:pPr>
            <w:r>
              <w:rPr>
                <w:color w:val="231F20"/>
                <w:w w:val="115"/>
                <w:sz w:val="17"/>
              </w:rPr>
              <w:t>16659</w:t>
            </w:r>
          </w:p>
        </w:tc>
        <w:tc>
          <w:tcPr>
            <w:tcW w:w="581" w:type="dxa"/>
          </w:tcPr>
          <w:p>
            <w:pPr/>
          </w:p>
        </w:tc>
        <w:tc>
          <w:tcPr>
            <w:tcW w:w="893" w:type="dxa"/>
          </w:tcPr>
          <w:p>
            <w:pPr>
              <w:pStyle w:val="TableParagraph"/>
              <w:spacing w:before="81"/>
              <w:ind w:left="53" w:right="39"/>
              <w:jc w:val="center"/>
              <w:rPr>
                <w:sz w:val="17"/>
              </w:rPr>
            </w:pPr>
            <w:r>
              <w:rPr>
                <w:color w:val="231F20"/>
                <w:w w:val="110"/>
                <w:sz w:val="17"/>
              </w:rPr>
              <w:t>13,58</w:t>
            </w:r>
          </w:p>
        </w:tc>
        <w:tc>
          <w:tcPr>
            <w:tcW w:w="1346" w:type="dxa"/>
          </w:tcPr>
          <w:p>
            <w:pPr>
              <w:pStyle w:val="TableParagraph"/>
              <w:spacing w:before="81"/>
              <w:ind w:right="446"/>
              <w:jc w:val="right"/>
              <w:rPr>
                <w:sz w:val="17"/>
              </w:rPr>
            </w:pPr>
            <w:r>
              <w:rPr>
                <w:color w:val="231F20"/>
                <w:w w:val="115"/>
                <w:sz w:val="17"/>
              </w:rPr>
              <w:t>288</w:t>
            </w:r>
          </w:p>
        </w:tc>
        <w:tc>
          <w:tcPr>
            <w:tcW w:w="581" w:type="dxa"/>
          </w:tcPr>
          <w:p>
            <w:pPr/>
          </w:p>
        </w:tc>
        <w:tc>
          <w:tcPr>
            <w:tcW w:w="1233" w:type="dxa"/>
          </w:tcPr>
          <w:p>
            <w:pPr>
              <w:pStyle w:val="TableParagraph"/>
              <w:spacing w:before="81"/>
              <w:ind w:right="450"/>
              <w:jc w:val="right"/>
              <w:rPr>
                <w:sz w:val="17"/>
              </w:rPr>
            </w:pPr>
            <w:r>
              <w:rPr>
                <w:color w:val="231F20"/>
                <w:w w:val="115"/>
                <w:sz w:val="17"/>
              </w:rPr>
              <w:t>254</w:t>
            </w:r>
          </w:p>
        </w:tc>
        <w:tc>
          <w:tcPr>
            <w:tcW w:w="675" w:type="dxa"/>
            <w:tcBorders>
              <w:right w:val="nil"/>
            </w:tcBorders>
          </w:tcPr>
          <w:p>
            <w:pPr/>
          </w:p>
        </w:tc>
      </w:tr>
    </w:tbl>
    <w:p>
      <w:pPr>
        <w:spacing w:after="0"/>
        <w:sectPr>
          <w:pgSz w:w="11900" w:h="14450"/>
          <w:pgMar w:header="0" w:footer="222" w:top="420" w:bottom="420" w:left="0" w:right="0"/>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14.      </w:t>
      </w:r>
      <w:r>
        <w:rPr>
          <w:color w:val="231F20"/>
          <w:spacing w:val="1"/>
          <w:sz w:val="18"/>
        </w:rPr>
        <w:t> </w:t>
      </w:r>
      <w:r>
        <w:rPr>
          <w:color w:val="231F20"/>
          <w:sz w:val="18"/>
        </w:rPr>
        <w:t>Contribución de la caprinocultura al desarrollo rural en el trópico seco del Bajo</w:t>
      </w:r>
      <w:r>
        <w:rPr>
          <w:color w:val="231F20"/>
          <w:spacing w:val="12"/>
          <w:sz w:val="18"/>
        </w:rPr>
        <w:t> </w:t>
      </w:r>
      <w:r>
        <w:rPr>
          <w:color w:val="231F20"/>
          <w:sz w:val="18"/>
        </w:rPr>
        <w:t>Balsas</w:t>
      </w:r>
      <w:r>
        <w:rPr>
          <w:color w:val="231F20"/>
          <w:sz w:val="22"/>
        </w:rPr>
        <w:tab/>
      </w:r>
      <w:r>
        <w:rPr>
          <w:color w:val="231F20"/>
          <w:spacing w:val="-8"/>
          <w:sz w:val="22"/>
        </w:rPr>
        <w:t>215</w:t>
      </w:r>
    </w:p>
    <w:p>
      <w:pPr>
        <w:spacing w:after="0"/>
        <w:jc w:val="left"/>
        <w:rPr>
          <w:sz w:val="22"/>
        </w:rPr>
        <w:sectPr>
          <w:pgSz w:w="11900" w:h="14450"/>
          <w:pgMar w:header="0" w:footer="222" w:top="420" w:bottom="420" w:left="0" w:right="0"/>
        </w:sectPr>
      </w:pPr>
    </w:p>
    <w:p>
      <w:pPr>
        <w:pStyle w:val="BodyText"/>
        <w:rPr>
          <w:sz w:val="29"/>
        </w:rPr>
      </w:pPr>
    </w:p>
    <w:p>
      <w:pPr>
        <w:pStyle w:val="BodyText"/>
        <w:spacing w:line="256" w:lineRule="auto"/>
        <w:ind w:left="1553" w:right="1047"/>
      </w:pPr>
      <w:r>
        <w:rPr>
          <w:color w:val="231F20"/>
          <w:w w:val="110"/>
        </w:rPr>
        <w:t>EL  ENFOQUE  METODOLÓGICO DEL DIAGNÓSTICO RURAL RÁPIDO</w:t>
      </w:r>
    </w:p>
    <w:p>
      <w:pPr>
        <w:pStyle w:val="BodyText"/>
        <w:spacing w:line="256" w:lineRule="auto" w:before="112"/>
        <w:ind w:left="1553"/>
        <w:jc w:val="both"/>
      </w:pPr>
      <w:r>
        <w:rPr>
          <w:color w:val="231F20"/>
        </w:rPr>
        <w:t>Las características de marginación y el limitado acceso a los recursos requieren enfoques meto- dológicos que sean más flexibles y más precisos, debido a la baja eficiencia beneficio-costo de los métodos tradicionales de investigación. Así mis- mo, es  importante  considerar  el  conocimiento  de los pobladores de las áreas rurales pobres so- bre los diversos aspectos que afectan su calidad   de vida y sus actividades productivas. Bajo estas premisas, en la década de </w:t>
      </w:r>
      <w:r>
        <w:rPr>
          <w:color w:val="231F20"/>
          <w:spacing w:val="-7"/>
        </w:rPr>
        <w:t>1970</w:t>
      </w:r>
      <w:r>
        <w:rPr>
          <w:color w:val="231F20"/>
          <w:spacing w:val="31"/>
        </w:rPr>
        <w:t> </w:t>
      </w:r>
      <w:r>
        <w:rPr>
          <w:color w:val="231F20"/>
        </w:rPr>
        <w:t>se empezó a desarrollar una serie de enfoques metodológicos pensando más en las circunstancias de las comu- nidades rurales campesinas que en el rigor meto- dológico de los académicos de las universidades (Chambers,  </w:t>
      </w:r>
      <w:r>
        <w:rPr>
          <w:color w:val="231F20"/>
          <w:spacing w:val="24"/>
        </w:rPr>
        <w:t> </w:t>
      </w:r>
      <w:r>
        <w:rPr>
          <w:color w:val="231F20"/>
        </w:rPr>
        <w:t>1994).</w:t>
      </w:r>
    </w:p>
    <w:p>
      <w:pPr>
        <w:pStyle w:val="BodyText"/>
        <w:spacing w:line="256" w:lineRule="auto" w:before="112"/>
        <w:ind w:left="1553"/>
        <w:jc w:val="both"/>
      </w:pPr>
      <w:r>
        <w:rPr>
          <w:color w:val="231F20"/>
        </w:rPr>
        <w:t>El enfoque del diagnóstico rural rápido surge a fi- nales de los años </w:t>
      </w:r>
      <w:r>
        <w:rPr>
          <w:color w:val="231F20"/>
          <w:spacing w:val="-6"/>
        </w:rPr>
        <w:t>1970,  </w:t>
      </w:r>
      <w:r>
        <w:rPr>
          <w:color w:val="231F20"/>
        </w:rPr>
        <w:t>sobre todo en el mundo   de habla inglesa, con un fuerte desarrollo en </w:t>
      </w:r>
      <w:r>
        <w:rPr>
          <w:color w:val="231F20"/>
          <w:spacing w:val="-6"/>
        </w:rPr>
        <w:t>Tai- </w:t>
      </w:r>
      <w:r>
        <w:rPr>
          <w:color w:val="231F20"/>
        </w:rPr>
        <w:t>landia e India. El elemento que pretendía atender era el conocimiento local técnico, en referencia a lo agrario. Así mismo, suponía una revalorización del conocimiento agrario autóctono (Osorio-Rosa- les y Contreras-Hernández, 2009). De esta mane- ra, las bases de los métodos desarrollados con un enfoque de diagnóstico rural rápido son diversas, pero todos ellos deben unir las extensas prácticas científicas de convalidación de datos utilizando el conocimiento de la gente rural sobre su medio, en un ambiente de conversación y diálogo entre los grupos de interés sin importar  su  sexo.  Impulsa un cambio del rol tradicional del investigador y los investigados, en virtud de que ambos participan  en la recolección de los datos, y a la vez funciona como una vía de socialización entre aquellos acto- res que comparten intereses en común. Al lograr   la saturación de los datos en el momento de la recopilación, cuando ya no se añade nada nuevo   o contradictorio, se da por concluido el diagnóstico rural rápido. En este enfoque es más importante   la</w:t>
      </w:r>
      <w:r>
        <w:rPr>
          <w:color w:val="231F20"/>
          <w:spacing w:val="32"/>
        </w:rPr>
        <w:t> </w:t>
      </w:r>
      <w:r>
        <w:rPr>
          <w:color w:val="231F20"/>
        </w:rPr>
        <w:t>validez</w:t>
      </w:r>
      <w:r>
        <w:rPr>
          <w:color w:val="231F20"/>
          <w:spacing w:val="32"/>
        </w:rPr>
        <w:t> </w:t>
      </w:r>
      <w:r>
        <w:rPr>
          <w:color w:val="231F20"/>
        </w:rPr>
        <w:t>cualitativa</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validez</w:t>
      </w:r>
      <w:r>
        <w:rPr>
          <w:color w:val="231F20"/>
          <w:spacing w:val="32"/>
        </w:rPr>
        <w:t> </w:t>
      </w:r>
      <w:r>
        <w:rPr>
          <w:color w:val="231F20"/>
        </w:rPr>
        <w:t>estadística</w:t>
      </w:r>
      <w:r>
        <w:rPr>
          <w:color w:val="231F20"/>
          <w:spacing w:val="32"/>
        </w:rPr>
        <w:t> </w:t>
      </w:r>
      <w:r>
        <w:rPr>
          <w:color w:val="231F20"/>
        </w:rPr>
        <w:t>de</w:t>
      </w:r>
    </w:p>
    <w:p>
      <w:pPr>
        <w:pStyle w:val="BodyText"/>
        <w:spacing w:before="3"/>
        <w:rPr>
          <w:sz w:val="28"/>
        </w:rPr>
      </w:pPr>
      <w:r>
        <w:rPr/>
        <w:br w:type="column"/>
      </w:r>
      <w:r>
        <w:rPr>
          <w:sz w:val="28"/>
        </w:rPr>
      </w:r>
    </w:p>
    <w:p>
      <w:pPr>
        <w:pStyle w:val="BodyText"/>
        <w:spacing w:line="259" w:lineRule="auto"/>
        <w:ind w:left="413" w:right="1551"/>
        <w:jc w:val="both"/>
      </w:pPr>
      <w:r>
        <w:rPr>
          <w:color w:val="231F20"/>
        </w:rPr>
        <w:t>los diagnósticos. Esto implica también que el diag- nóstico rural rápido es un proceso de aprendizaje progresivo, interactivo y flexible, que lleva a regre- sar a una fase previa del diagnóstico cuando surge nueva información que demanda una reconside- ración de lo ya alcanzado. El concepto de “triangu- lación”, manejado con frecuencia en el diagnóstico rural rápido, hace referencia al empleo de varias técnicas que permiten observar un mismo fenó- meno o tema desde varios ángulos (Contreras </w:t>
      </w:r>
      <w:r>
        <w:rPr>
          <w:i/>
          <w:color w:val="231F20"/>
        </w:rPr>
        <w:t>et  </w:t>
      </w:r>
      <w:r>
        <w:rPr>
          <w:i/>
          <w:color w:val="231F20"/>
        </w:rPr>
        <w:t>al</w:t>
      </w:r>
      <w:r>
        <w:rPr>
          <w:color w:val="231F20"/>
        </w:rPr>
        <w:t>.,  1998).</w:t>
      </w:r>
    </w:p>
    <w:p>
      <w:pPr>
        <w:pStyle w:val="BodyText"/>
        <w:spacing w:line="259" w:lineRule="auto" w:before="113"/>
        <w:ind w:left="413" w:right="1551"/>
        <w:jc w:val="both"/>
      </w:pPr>
      <w:r>
        <w:rPr>
          <w:color w:val="231F20"/>
        </w:rPr>
        <w:t>Uno de los métodos utilizados en el diagnóstico rural rápido es la presupuestación  participativa,  en el cual tanto el productor como el </w:t>
      </w:r>
      <w:r>
        <w:rPr>
          <w:color w:val="231F20"/>
          <w:spacing w:val="-2"/>
        </w:rPr>
        <w:t>investigador </w:t>
      </w:r>
      <w:r>
        <w:rPr>
          <w:color w:val="231F20"/>
        </w:rPr>
        <w:t>pueden cuantificar y analizar insumos y  produc- tos empleados en una actividad agropecuaria en  un determinado horizonte de tiempo, así como el empleo de un recurso en particular en una deter- minada unidad de producción (Rushton, </w:t>
      </w:r>
      <w:r>
        <w:rPr>
          <w:color w:val="231F20"/>
          <w:spacing w:val="-3"/>
        </w:rPr>
        <w:t>2009). </w:t>
      </w:r>
      <w:r>
        <w:rPr>
          <w:color w:val="231F20"/>
        </w:rPr>
        <w:t>El método </w:t>
      </w:r>
      <w:r>
        <w:rPr>
          <w:color w:val="231F20"/>
          <w:spacing w:val="-3"/>
        </w:rPr>
        <w:t>empezó </w:t>
      </w:r>
      <w:r>
        <w:rPr>
          <w:color w:val="231F20"/>
        </w:rPr>
        <w:t>a utilizarse en África, donde </w:t>
      </w:r>
      <w:r>
        <w:rPr>
          <w:color w:val="231F20"/>
          <w:spacing w:val="-2"/>
        </w:rPr>
        <w:t>los </w:t>
      </w:r>
      <w:r>
        <w:rPr>
          <w:color w:val="231F20"/>
        </w:rPr>
        <w:t>productores únicamente cuantificaban los insu- mos utilizados en diversas actividades productivas  a lo largo del tiempo. Puede emplearse de mane- ra individual o con un grupo de productores </w:t>
      </w:r>
      <w:r>
        <w:rPr>
          <w:color w:val="231F20"/>
          <w:spacing w:val="-2"/>
        </w:rPr>
        <w:t>que </w:t>
      </w:r>
      <w:r>
        <w:rPr>
          <w:color w:val="231F20"/>
        </w:rPr>
        <w:t>reúnan características similares en sus prácticas de producción y disponibilidad de recursos. Los princi- pales usos de los presupuestos participativos  </w:t>
      </w:r>
      <w:r>
        <w:rPr>
          <w:color w:val="231F20"/>
          <w:spacing w:val="34"/>
        </w:rPr>
        <w:t> </w:t>
      </w:r>
      <w:r>
        <w:rPr>
          <w:color w:val="231F20"/>
        </w:rPr>
        <w:t>son:</w:t>
      </w:r>
    </w:p>
    <w:p>
      <w:pPr>
        <w:pStyle w:val="BodyText"/>
        <w:spacing w:line="259" w:lineRule="auto"/>
        <w:ind w:left="413" w:right="1551"/>
        <w:jc w:val="both"/>
      </w:pPr>
      <w:r>
        <w:rPr>
          <w:color w:val="231F20"/>
        </w:rPr>
        <w:t>1) análisis de las actividades actuales de los pro- ductores, uso de recursos y producción; 2) explorar las posibles implicaciones de adoptar </w:t>
      </w:r>
      <w:r>
        <w:rPr>
          <w:color w:val="231F20"/>
          <w:spacing w:val="-2"/>
        </w:rPr>
        <w:t>determinados </w:t>
      </w:r>
      <w:r>
        <w:rPr>
          <w:color w:val="231F20"/>
        </w:rPr>
        <w:t>cambios en las unidades de producción; 3) compa- rar entre unidades de producción; y 4) planear </w:t>
      </w:r>
      <w:r>
        <w:rPr>
          <w:color w:val="231F20"/>
          <w:spacing w:val="-2"/>
        </w:rPr>
        <w:t>una </w:t>
      </w:r>
      <w:r>
        <w:rPr>
          <w:color w:val="231F20"/>
        </w:rPr>
        <w:t>empresa nueva. Este método trata de ir más allá del beneficio directo de los participantes; el inves- tigador busca construir un mapa más general </w:t>
      </w:r>
      <w:r>
        <w:rPr>
          <w:color w:val="231F20"/>
          <w:spacing w:val="-2"/>
        </w:rPr>
        <w:t>que </w:t>
      </w:r>
      <w:r>
        <w:rPr>
          <w:color w:val="231F20"/>
        </w:rPr>
        <w:t>pueda ser empleado en la toma de decisiones o en la planeación de actividades que puedan afectar a los productores. Sin embargo, es importante poder cuantificar el grado de variación entre las unidades de producción para determinar el grado de confia- bilidad de la información recopilada (Galpin </w:t>
      </w:r>
      <w:r>
        <w:rPr>
          <w:i/>
          <w:color w:val="231F20"/>
        </w:rPr>
        <w:t>et al</w:t>
      </w:r>
      <w:r>
        <w:rPr>
          <w:color w:val="231F20"/>
        </w:rPr>
        <w:t>., </w:t>
      </w:r>
      <w:r>
        <w:rPr>
          <w:color w:val="231F20"/>
          <w:spacing w:val="-3"/>
        </w:rPr>
        <w:t>2000;  </w:t>
      </w:r>
      <w:r>
        <w:rPr>
          <w:color w:val="231F20"/>
        </w:rPr>
        <w:t>Dorward </w:t>
      </w:r>
      <w:r>
        <w:rPr>
          <w:i/>
          <w:color w:val="231F20"/>
        </w:rPr>
        <w:t>et al</w:t>
      </w:r>
      <w:r>
        <w:rPr>
          <w:color w:val="231F20"/>
        </w:rPr>
        <w:t>., </w:t>
      </w:r>
      <w:r>
        <w:rPr>
          <w:color w:val="231F20"/>
          <w:spacing w:val="-4"/>
        </w:rPr>
        <w:t>2007).  </w:t>
      </w:r>
      <w:r>
        <w:rPr>
          <w:color w:val="231F20"/>
        </w:rPr>
        <w:t>La amplia    diversidad</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897" w:val="left" w:leader="none"/>
        </w:tabs>
        <w:spacing w:before="64"/>
        <w:ind w:left="1551" w:right="0" w:firstLine="0"/>
        <w:jc w:val="left"/>
        <w:rPr>
          <w:sz w:val="12"/>
        </w:rPr>
      </w:pPr>
      <w:r>
        <w:rPr>
          <w:color w:val="231F20"/>
          <w:spacing w:val="-5"/>
          <w:w w:val="120"/>
          <w:sz w:val="22"/>
        </w:rPr>
        <w:t>216</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8" w:lineRule="auto" w:before="67"/>
        <w:ind w:left="1553"/>
        <w:jc w:val="both"/>
      </w:pPr>
      <w:r>
        <w:rPr>
          <w:color w:val="231F20"/>
        </w:rPr>
        <w:t>de enfoques participativos que se han </w:t>
      </w:r>
      <w:r>
        <w:rPr>
          <w:color w:val="231F20"/>
          <w:spacing w:val="-2"/>
        </w:rPr>
        <w:t>desarrollado </w:t>
      </w:r>
      <w:r>
        <w:rPr>
          <w:color w:val="231F20"/>
        </w:rPr>
        <w:t>en las dos últimas décadas ha ofrecido herramien- tas</w:t>
      </w:r>
      <w:r>
        <w:rPr>
          <w:color w:val="231F20"/>
          <w:spacing w:val="-21"/>
        </w:rPr>
        <w:t> </w:t>
      </w:r>
      <w:r>
        <w:rPr>
          <w:color w:val="231F20"/>
        </w:rPr>
        <w:t>que</w:t>
      </w:r>
      <w:r>
        <w:rPr>
          <w:color w:val="231F20"/>
          <w:spacing w:val="-21"/>
        </w:rPr>
        <w:t> </w:t>
      </w:r>
      <w:r>
        <w:rPr>
          <w:color w:val="231F20"/>
        </w:rPr>
        <w:t>su</w:t>
      </w:r>
      <w:r>
        <w:rPr>
          <w:color w:val="231F20"/>
          <w:spacing w:val="-21"/>
        </w:rPr>
        <w:t> </w:t>
      </w:r>
      <w:r>
        <w:rPr>
          <w:color w:val="231F20"/>
        </w:rPr>
        <w:t>versatilidad</w:t>
      </w:r>
      <w:r>
        <w:rPr>
          <w:color w:val="231F20"/>
          <w:spacing w:val="-21"/>
        </w:rPr>
        <w:t> </w:t>
      </w:r>
      <w:r>
        <w:rPr>
          <w:color w:val="231F20"/>
        </w:rPr>
        <w:t>y</w:t>
      </w:r>
      <w:r>
        <w:rPr>
          <w:color w:val="231F20"/>
          <w:spacing w:val="-21"/>
        </w:rPr>
        <w:t> </w:t>
      </w:r>
      <w:r>
        <w:rPr>
          <w:color w:val="231F20"/>
        </w:rPr>
        <w:t>adaptabilidad</w:t>
      </w:r>
      <w:r>
        <w:rPr>
          <w:color w:val="231F20"/>
          <w:spacing w:val="-21"/>
        </w:rPr>
        <w:t> </w:t>
      </w:r>
      <w:r>
        <w:rPr>
          <w:color w:val="231F20"/>
        </w:rPr>
        <w:t>han</w:t>
      </w:r>
      <w:r>
        <w:rPr>
          <w:color w:val="231F20"/>
          <w:spacing w:val="-21"/>
        </w:rPr>
        <w:t> </w:t>
      </w:r>
      <w:r>
        <w:rPr>
          <w:color w:val="231F20"/>
        </w:rPr>
        <w:t>permitido entender y expresar las realidades de los poblado- res pobres de las áreas rurales del mundo, como es el ejemplo de los presupuestos participativos ya</w:t>
      </w:r>
      <w:r>
        <w:rPr>
          <w:color w:val="231F20"/>
          <w:spacing w:val="-19"/>
        </w:rPr>
        <w:t> </w:t>
      </w:r>
      <w:r>
        <w:rPr>
          <w:color w:val="231F20"/>
        </w:rPr>
        <w:t>se- ñalados.</w:t>
      </w:r>
      <w:r>
        <w:rPr>
          <w:color w:val="231F20"/>
          <w:spacing w:val="-6"/>
        </w:rPr>
        <w:t> </w:t>
      </w:r>
      <w:r>
        <w:rPr>
          <w:color w:val="231F20"/>
        </w:rPr>
        <w:t>Estas</w:t>
      </w:r>
      <w:r>
        <w:rPr>
          <w:color w:val="231F20"/>
          <w:spacing w:val="-6"/>
        </w:rPr>
        <w:t> </w:t>
      </w:r>
      <w:r>
        <w:rPr>
          <w:color w:val="231F20"/>
        </w:rPr>
        <w:t>dos</w:t>
      </w:r>
      <w:r>
        <w:rPr>
          <w:color w:val="231F20"/>
          <w:spacing w:val="-6"/>
        </w:rPr>
        <w:t> </w:t>
      </w:r>
      <w:r>
        <w:rPr>
          <w:color w:val="231F20"/>
        </w:rPr>
        <w:t>características</w:t>
      </w:r>
      <w:r>
        <w:rPr>
          <w:color w:val="231F20"/>
          <w:spacing w:val="-6"/>
        </w:rPr>
        <w:t> </w:t>
      </w:r>
      <w:r>
        <w:rPr>
          <w:color w:val="231F20"/>
        </w:rPr>
        <w:t>hacen</w:t>
      </w:r>
      <w:r>
        <w:rPr>
          <w:color w:val="231F20"/>
          <w:spacing w:val="-6"/>
        </w:rPr>
        <w:t> </w:t>
      </w:r>
      <w:r>
        <w:rPr>
          <w:color w:val="231F20"/>
        </w:rPr>
        <w:t>posible</w:t>
      </w:r>
      <w:r>
        <w:rPr>
          <w:color w:val="231F20"/>
          <w:spacing w:val="-6"/>
        </w:rPr>
        <w:t> </w:t>
      </w:r>
      <w:r>
        <w:rPr>
          <w:color w:val="231F20"/>
          <w:spacing w:val="-2"/>
        </w:rPr>
        <w:t>que </w:t>
      </w:r>
      <w:r>
        <w:rPr>
          <w:color w:val="231F20"/>
        </w:rPr>
        <w:t>los diversos métodos, que se han desarrollado</w:t>
      </w:r>
      <w:r>
        <w:rPr>
          <w:color w:val="231F20"/>
          <w:spacing w:val="-9"/>
        </w:rPr>
        <w:t> </w:t>
      </w:r>
      <w:r>
        <w:rPr>
          <w:color w:val="231F20"/>
        </w:rPr>
        <w:t>para distintos propósitos, puedan combinarse en enfo- ques de hibridación y eclecticismo en función de  los problemas (complejos, diversos y  dinámicos) de las unidades de producción rural a las cuales el investigador frecuentemente se enfrenta, logrando así un mejor entendimiento sobre el</w:t>
      </w:r>
      <w:r>
        <w:rPr>
          <w:color w:val="231F20"/>
          <w:spacing w:val="-11"/>
        </w:rPr>
        <w:t> </w:t>
      </w:r>
      <w:r>
        <w:rPr>
          <w:color w:val="231F20"/>
        </w:rPr>
        <w:t>funcionamien- to de los sistemas de producción </w:t>
      </w:r>
      <w:r>
        <w:rPr>
          <w:color w:val="231F20"/>
          <w:spacing w:val="-6"/>
        </w:rPr>
        <w:t>y, </w:t>
      </w:r>
      <w:r>
        <w:rPr>
          <w:color w:val="231F20"/>
        </w:rPr>
        <w:t>sobre todo, </w:t>
      </w:r>
      <w:r>
        <w:rPr>
          <w:color w:val="231F20"/>
          <w:spacing w:val="-2"/>
        </w:rPr>
        <w:t>del </w:t>
      </w:r>
      <w:r>
        <w:rPr>
          <w:color w:val="231F20"/>
        </w:rPr>
        <w:t>punto de vista de sus actores (Chambers,  </w:t>
      </w:r>
      <w:r>
        <w:rPr>
          <w:color w:val="231F20"/>
          <w:spacing w:val="38"/>
        </w:rPr>
        <w:t> </w:t>
      </w:r>
      <w:r>
        <w:rPr>
          <w:color w:val="231F20"/>
          <w:spacing w:val="-6"/>
        </w:rPr>
        <w:t>2010).</w:t>
      </w:r>
    </w:p>
    <w:p>
      <w:pPr>
        <w:pStyle w:val="BodyText"/>
      </w:pPr>
    </w:p>
    <w:p>
      <w:pPr>
        <w:pStyle w:val="BodyText"/>
        <w:spacing w:line="268" w:lineRule="auto" w:before="153"/>
        <w:ind w:left="1553" w:right="482"/>
      </w:pPr>
      <w:r>
        <w:rPr>
          <w:color w:val="231F20"/>
          <w:w w:val="110"/>
        </w:rPr>
        <w:t>EVALUACIÓN DE LA CAPRINOCULTURA EN LA LOCALIDAD DE LAS CAÑAS, MUNICIPIO DE  ARTEAGA, MICHOACÁN</w:t>
      </w:r>
    </w:p>
    <w:p>
      <w:pPr>
        <w:spacing w:before="114"/>
        <w:ind w:left="1553" w:right="0" w:firstLine="0"/>
        <w:jc w:val="both"/>
        <w:rPr>
          <w:rFonts w:ascii="Cambria" w:hAnsi="Cambria"/>
          <w:i/>
          <w:sz w:val="20"/>
        </w:rPr>
      </w:pPr>
      <w:r>
        <w:rPr>
          <w:rFonts w:ascii="Cambria" w:hAnsi="Cambria"/>
          <w:i/>
          <w:color w:val="231F20"/>
          <w:w w:val="110"/>
          <w:sz w:val="20"/>
        </w:rPr>
        <w:t>Descripción del área de estudio</w:t>
      </w:r>
    </w:p>
    <w:p>
      <w:pPr>
        <w:pStyle w:val="BodyText"/>
        <w:spacing w:line="268" w:lineRule="auto" w:before="152"/>
        <w:ind w:left="1553"/>
        <w:jc w:val="both"/>
      </w:pPr>
      <w:r>
        <w:rPr>
          <w:color w:val="231F20"/>
        </w:rPr>
        <w:t>El municipio de Arteaga se localiza al sur del Esta- do, aproximadamente a 305 km al sur de la capital del Estado de Michoacán, entre las coordenadas </w:t>
      </w:r>
      <w:r>
        <w:rPr>
          <w:color w:val="231F20"/>
          <w:spacing w:val="-3"/>
        </w:rPr>
        <w:t>18º </w:t>
      </w:r>
      <w:r>
        <w:rPr>
          <w:color w:val="231F20"/>
        </w:rPr>
        <w:t>21’ latitud Norte y </w:t>
      </w:r>
      <w:r>
        <w:rPr>
          <w:color w:val="231F20"/>
          <w:spacing w:val="-3"/>
        </w:rPr>
        <w:t>102º 17’ </w:t>
      </w:r>
      <w:r>
        <w:rPr>
          <w:color w:val="231F20"/>
        </w:rPr>
        <w:t>longitud Oeste, a una altura de 820 m sobre el nivel del </w:t>
      </w:r>
      <w:r>
        <w:rPr>
          <w:color w:val="231F20"/>
          <w:spacing w:val="-3"/>
        </w:rPr>
        <w:t>mar. </w:t>
      </w:r>
      <w:r>
        <w:rPr>
          <w:color w:val="231F20"/>
        </w:rPr>
        <w:t>Cuenta con una extensión territorial de </w:t>
      </w:r>
      <w:r>
        <w:rPr>
          <w:color w:val="231F20"/>
          <w:spacing w:val="-4"/>
        </w:rPr>
        <w:t>3454,71 </w:t>
      </w:r>
      <w:r>
        <w:rPr>
          <w:color w:val="231F20"/>
        </w:rPr>
        <w:t>km², lo cual representa el 5,87% del territorio del Estado. Colinda al norte con el municipio de La Huacana,   al este con Churumuco y el Estado de Guerrero, al sur con Lázaro Cárdenas y al oeste con </w:t>
      </w:r>
      <w:r>
        <w:rPr>
          <w:color w:val="231F20"/>
          <w:spacing w:val="-3"/>
        </w:rPr>
        <w:t>Tumbisca- </w:t>
      </w:r>
      <w:r>
        <w:rPr>
          <w:color w:val="231F20"/>
        </w:rPr>
        <w:t>tío, Aquila, Coalcomán y</w:t>
      </w:r>
      <w:r>
        <w:rPr>
          <w:color w:val="231F20"/>
          <w:spacing w:val="31"/>
        </w:rPr>
        <w:t> </w:t>
      </w:r>
      <w:r>
        <w:rPr>
          <w:color w:val="231F20"/>
        </w:rPr>
        <w:t>Aquila.</w:t>
      </w:r>
    </w:p>
    <w:p>
      <w:pPr>
        <w:pStyle w:val="BodyText"/>
        <w:spacing w:line="268" w:lineRule="auto" w:before="113"/>
        <w:ind w:left="1553"/>
        <w:jc w:val="both"/>
      </w:pPr>
      <w:r>
        <w:rPr>
          <w:color w:val="231F20"/>
          <w:w w:val="105"/>
        </w:rPr>
        <w:t>El municipio, en el censo de </w:t>
      </w:r>
      <w:r>
        <w:rPr>
          <w:color w:val="231F20"/>
          <w:spacing w:val="-3"/>
          <w:w w:val="105"/>
        </w:rPr>
        <w:t>2010, </w:t>
      </w:r>
      <w:r>
        <w:rPr>
          <w:color w:val="231F20"/>
          <w:w w:val="105"/>
        </w:rPr>
        <w:t>contaba </w:t>
      </w:r>
      <w:r>
        <w:rPr>
          <w:color w:val="231F20"/>
          <w:spacing w:val="2"/>
          <w:w w:val="105"/>
        </w:rPr>
        <w:t>con </w:t>
      </w:r>
      <w:r>
        <w:rPr>
          <w:color w:val="231F20"/>
          <w:w w:val="105"/>
        </w:rPr>
        <w:t>una población total de 20 790 personas. La po- blación económicamente activa es de 6512 per- sonas (31%), de las cuales el 42% se ocupa en     el sector primario, el 32% en servicios, el 16%   en el sector secundario y sólo el 10% en el co- mercio. Según la CONAPO (2010), el </w:t>
      </w:r>
      <w:r>
        <w:rPr>
          <w:color w:val="231F20"/>
          <w:spacing w:val="-5"/>
          <w:w w:val="105"/>
        </w:rPr>
        <w:t>71% </w:t>
      </w:r>
      <w:r>
        <w:rPr>
          <w:color w:val="231F20"/>
          <w:w w:val="105"/>
        </w:rPr>
        <w:t>de </w:t>
      </w:r>
      <w:r>
        <w:rPr>
          <w:color w:val="231F20"/>
          <w:spacing w:val="2"/>
          <w:w w:val="105"/>
        </w:rPr>
        <w:t>las </w:t>
      </w:r>
      <w:r>
        <w:rPr>
          <w:color w:val="231F20"/>
          <w:w w:val="105"/>
        </w:rPr>
        <w:t>localidades</w:t>
      </w:r>
      <w:r>
        <w:rPr>
          <w:color w:val="231F20"/>
          <w:spacing w:val="-8"/>
          <w:w w:val="105"/>
        </w:rPr>
        <w:t> </w:t>
      </w:r>
      <w:r>
        <w:rPr>
          <w:color w:val="231F20"/>
          <w:w w:val="105"/>
        </w:rPr>
        <w:t>están</w:t>
      </w:r>
      <w:r>
        <w:rPr>
          <w:color w:val="231F20"/>
          <w:spacing w:val="-8"/>
          <w:w w:val="105"/>
        </w:rPr>
        <w:t> </w:t>
      </w:r>
      <w:r>
        <w:rPr>
          <w:color w:val="231F20"/>
          <w:w w:val="105"/>
        </w:rPr>
        <w:t>consideradas</w:t>
      </w:r>
      <w:r>
        <w:rPr>
          <w:color w:val="231F20"/>
          <w:spacing w:val="-8"/>
          <w:w w:val="105"/>
        </w:rPr>
        <w:t> </w:t>
      </w:r>
      <w:r>
        <w:rPr>
          <w:color w:val="231F20"/>
          <w:w w:val="105"/>
        </w:rPr>
        <w:t>como</w:t>
      </w:r>
      <w:r>
        <w:rPr>
          <w:color w:val="231F20"/>
          <w:spacing w:val="-8"/>
          <w:w w:val="105"/>
        </w:rPr>
        <w:t> </w:t>
      </w:r>
      <w:r>
        <w:rPr>
          <w:color w:val="231F20"/>
          <w:w w:val="105"/>
        </w:rPr>
        <w:t>de</w:t>
      </w:r>
      <w:r>
        <w:rPr>
          <w:color w:val="231F20"/>
          <w:spacing w:val="-8"/>
          <w:w w:val="105"/>
        </w:rPr>
        <w:t> </w:t>
      </w:r>
      <w:r>
        <w:rPr>
          <w:color w:val="231F20"/>
          <w:w w:val="105"/>
        </w:rPr>
        <w:t>muy</w:t>
      </w:r>
      <w:r>
        <w:rPr>
          <w:color w:val="231F20"/>
          <w:spacing w:val="-8"/>
          <w:w w:val="105"/>
        </w:rPr>
        <w:t> </w:t>
      </w:r>
      <w:r>
        <w:rPr>
          <w:color w:val="231F20"/>
          <w:w w:val="105"/>
        </w:rPr>
        <w:t>alta</w:t>
      </w:r>
    </w:p>
    <w:p>
      <w:pPr>
        <w:pStyle w:val="BodyText"/>
        <w:spacing w:line="261" w:lineRule="auto" w:before="67"/>
        <w:ind w:left="411" w:right="1551"/>
        <w:jc w:val="both"/>
      </w:pPr>
      <w:r>
        <w:rPr/>
        <w:br w:type="column"/>
      </w:r>
      <w:r>
        <w:rPr>
          <w:color w:val="231F20"/>
          <w:spacing w:val="2"/>
        </w:rPr>
        <w:t>marginación, </w:t>
      </w:r>
      <w:r>
        <w:rPr>
          <w:color w:val="231F20"/>
        </w:rPr>
        <w:t>el 26% como de alta </w:t>
      </w:r>
      <w:r>
        <w:rPr>
          <w:color w:val="231F20"/>
          <w:spacing w:val="2"/>
        </w:rPr>
        <w:t>marginación </w:t>
      </w:r>
      <w:r>
        <w:rPr>
          <w:color w:val="231F20"/>
        </w:rPr>
        <w:t>y   el  3%  como  de  mediana</w:t>
      </w:r>
      <w:r>
        <w:rPr>
          <w:color w:val="231F20"/>
          <w:spacing w:val="30"/>
        </w:rPr>
        <w:t> </w:t>
      </w:r>
      <w:r>
        <w:rPr>
          <w:color w:val="231F20"/>
          <w:spacing w:val="2"/>
        </w:rPr>
        <w:t>marginación.</w:t>
      </w:r>
    </w:p>
    <w:p>
      <w:pPr>
        <w:pStyle w:val="BodyText"/>
        <w:spacing w:line="261" w:lineRule="auto" w:before="113"/>
        <w:ind w:left="411" w:right="1551"/>
        <w:jc w:val="both"/>
      </w:pPr>
      <w:r>
        <w:rPr>
          <w:color w:val="231F20"/>
        </w:rPr>
        <w:t>El clima predominante en el municipio es el cálido subhumedo (Aw1 y Awo), seguido por el semiári- do cálido (BS1(h’)w). El 62% de la superficie lo ocupa principalmente la selva baja caducifolia y subcaducifolia, y en segundo lugar el bosque de pino-encino con el 12,3%; los pastizales y la agri- cultura de temporal ocupan el tercer lugar, con un </w:t>
      </w:r>
      <w:r>
        <w:rPr>
          <w:color w:val="231F20"/>
          <w:spacing w:val="-5"/>
        </w:rPr>
        <w:t>7,2%. </w:t>
      </w:r>
      <w:r>
        <w:rPr>
          <w:color w:val="231F20"/>
        </w:rPr>
        <w:t>En lo que respecta a las características eda- fológicas del municipio, el 40% de  su  superficie (las regiones altas del municipio) se clasifica como luvisol crómico, cuyas características son una fer- tilidad moderada y una gran susceptibilidad a la erosión; el 24% se clasifica como litosol, carac- terizado por tener un espesor menor de </w:t>
      </w:r>
      <w:r>
        <w:rPr>
          <w:color w:val="231F20"/>
          <w:spacing w:val="-5"/>
        </w:rPr>
        <w:t>10 </w:t>
      </w:r>
      <w:r>
        <w:rPr>
          <w:color w:val="231F20"/>
        </w:rPr>
        <w:t>cm descansando sobre un estrato duro y continuo, como roca o tepetate, con una fertilidad pobre y alto riesgo de erosión; y el 22,5% es regosol eútri- co, que se caracteriza por no presentar capas dis- tintas, ser claro y bastante parecido a la roca que  le subyace, infértil y ácido. En la geomorfología del municipio predominan las pendientes ligeras o medianamente inclinadas (10-15°), en el 54% de    la superficie municipal, seguidas por las pendien- tes ligeramente inclinadas (5-10°) que constituyen el </w:t>
      </w:r>
      <w:r>
        <w:rPr>
          <w:color w:val="231F20"/>
          <w:spacing w:val="-3"/>
        </w:rPr>
        <w:t>19% </w:t>
      </w:r>
      <w:r>
        <w:rPr>
          <w:color w:val="231F20"/>
        </w:rPr>
        <w:t>de la superficie municipal, y por último las pendientes medianamente inclinadas (15-20°) en  el  </w:t>
      </w:r>
      <w:r>
        <w:rPr>
          <w:color w:val="231F20"/>
          <w:spacing w:val="-3"/>
        </w:rPr>
        <w:t>12%  </w:t>
      </w:r>
      <w:r>
        <w:rPr>
          <w:color w:val="231F20"/>
        </w:rPr>
        <w:t>de  la  superficie  municipal</w:t>
      </w:r>
      <w:r>
        <w:rPr>
          <w:color w:val="231F20"/>
          <w:spacing w:val="39"/>
        </w:rPr>
        <w:t> </w:t>
      </w:r>
      <w:r>
        <w:rPr>
          <w:color w:val="231F20"/>
        </w:rPr>
        <w:t>(INEGI,2006).</w:t>
      </w:r>
    </w:p>
    <w:p>
      <w:pPr>
        <w:pStyle w:val="BodyText"/>
        <w:spacing w:line="261" w:lineRule="auto" w:before="113"/>
        <w:ind w:left="411" w:right="1551"/>
        <w:jc w:val="both"/>
      </w:pPr>
      <w:r>
        <w:rPr>
          <w:color w:val="231F20"/>
        </w:rPr>
        <w:t>La </w:t>
      </w:r>
      <w:r>
        <w:rPr>
          <w:color w:val="231F20"/>
          <w:spacing w:val="-3"/>
        </w:rPr>
        <w:t>localidad </w:t>
      </w:r>
      <w:r>
        <w:rPr>
          <w:color w:val="231F20"/>
        </w:rPr>
        <w:t>de Las </w:t>
      </w:r>
      <w:r>
        <w:rPr>
          <w:color w:val="231F20"/>
          <w:spacing w:val="-3"/>
        </w:rPr>
        <w:t>Cañas, considerada como </w:t>
      </w:r>
      <w:r>
        <w:rPr>
          <w:color w:val="231F20"/>
        </w:rPr>
        <w:t>de </w:t>
      </w:r>
      <w:r>
        <w:rPr>
          <w:color w:val="231F20"/>
          <w:spacing w:val="-3"/>
        </w:rPr>
        <w:t>alta marginación, pertenece </w:t>
      </w:r>
      <w:r>
        <w:rPr>
          <w:color w:val="231F20"/>
        </w:rPr>
        <w:t>a la </w:t>
      </w:r>
      <w:r>
        <w:rPr>
          <w:color w:val="231F20"/>
          <w:spacing w:val="-3"/>
        </w:rPr>
        <w:t>tenencia </w:t>
      </w:r>
      <w:r>
        <w:rPr>
          <w:color w:val="231F20"/>
        </w:rPr>
        <w:t>de </w:t>
      </w:r>
      <w:r>
        <w:rPr>
          <w:color w:val="231F20"/>
          <w:spacing w:val="-3"/>
        </w:rPr>
        <w:t>Gordiano Guzmán </w:t>
      </w:r>
      <w:r>
        <w:rPr>
          <w:color w:val="231F20"/>
        </w:rPr>
        <w:t>y se </w:t>
      </w:r>
      <w:r>
        <w:rPr>
          <w:color w:val="231F20"/>
          <w:spacing w:val="-3"/>
        </w:rPr>
        <w:t>encuentra </w:t>
      </w:r>
      <w:r>
        <w:rPr>
          <w:color w:val="231F20"/>
        </w:rPr>
        <w:t>a </w:t>
      </w:r>
      <w:r>
        <w:rPr>
          <w:color w:val="231F20"/>
          <w:spacing w:val="-7"/>
        </w:rPr>
        <w:t>133 </w:t>
      </w:r>
      <w:r>
        <w:rPr>
          <w:color w:val="231F20"/>
        </w:rPr>
        <w:t>km de la </w:t>
      </w:r>
      <w:r>
        <w:rPr>
          <w:color w:val="231F20"/>
          <w:spacing w:val="-3"/>
        </w:rPr>
        <w:t>costa </w:t>
      </w:r>
      <w:r>
        <w:rPr>
          <w:color w:val="231F20"/>
        </w:rPr>
        <w:t>mi- </w:t>
      </w:r>
      <w:r>
        <w:rPr>
          <w:color w:val="231F20"/>
          <w:spacing w:val="-3"/>
        </w:rPr>
        <w:t>choacana </w:t>
      </w:r>
      <w:r>
        <w:rPr>
          <w:color w:val="231F20"/>
        </w:rPr>
        <w:t>y a </w:t>
      </w:r>
      <w:r>
        <w:rPr>
          <w:color w:val="231F20"/>
          <w:spacing w:val="-6"/>
        </w:rPr>
        <w:t>70 </w:t>
      </w:r>
      <w:r>
        <w:rPr>
          <w:color w:val="231F20"/>
        </w:rPr>
        <w:t>km de la </w:t>
      </w:r>
      <w:r>
        <w:rPr>
          <w:color w:val="231F20"/>
          <w:spacing w:val="-3"/>
        </w:rPr>
        <w:t>cabecera municipal. Se localiza </w:t>
      </w:r>
      <w:r>
        <w:rPr>
          <w:color w:val="231F20"/>
        </w:rPr>
        <w:t>a </w:t>
      </w:r>
      <w:r>
        <w:rPr>
          <w:color w:val="231F20"/>
          <w:spacing w:val="-5"/>
        </w:rPr>
        <w:t>18° </w:t>
      </w:r>
      <w:r>
        <w:rPr>
          <w:color w:val="231F20"/>
          <w:spacing w:val="-4"/>
        </w:rPr>
        <w:t>33’ 57” </w:t>
      </w:r>
      <w:r>
        <w:rPr>
          <w:color w:val="231F20"/>
        </w:rPr>
        <w:t>de </w:t>
      </w:r>
      <w:r>
        <w:rPr>
          <w:color w:val="231F20"/>
          <w:spacing w:val="-3"/>
        </w:rPr>
        <w:t>latitud </w:t>
      </w:r>
      <w:r>
        <w:rPr>
          <w:color w:val="231F20"/>
        </w:rPr>
        <w:t>Norte y </w:t>
      </w:r>
      <w:r>
        <w:rPr>
          <w:color w:val="231F20"/>
          <w:spacing w:val="-7"/>
        </w:rPr>
        <w:t>101° </w:t>
      </w:r>
      <w:r>
        <w:rPr>
          <w:color w:val="231F20"/>
          <w:spacing w:val="-4"/>
        </w:rPr>
        <w:t>58’ </w:t>
      </w:r>
      <w:r>
        <w:rPr>
          <w:color w:val="231F20"/>
          <w:spacing w:val="-5"/>
        </w:rPr>
        <w:t>34” </w:t>
      </w:r>
      <w:r>
        <w:rPr>
          <w:color w:val="231F20"/>
        </w:rPr>
        <w:t>de </w:t>
      </w:r>
      <w:r>
        <w:rPr>
          <w:color w:val="231F20"/>
          <w:spacing w:val="-3"/>
        </w:rPr>
        <w:t>longitud Oeste, </w:t>
      </w:r>
      <w:r>
        <w:rPr>
          <w:color w:val="231F20"/>
        </w:rPr>
        <w:t>a una </w:t>
      </w:r>
      <w:r>
        <w:rPr>
          <w:color w:val="231F20"/>
          <w:spacing w:val="-3"/>
        </w:rPr>
        <w:t>altura </w:t>
      </w:r>
      <w:r>
        <w:rPr>
          <w:color w:val="231F20"/>
        </w:rPr>
        <w:t>de </w:t>
      </w:r>
      <w:r>
        <w:rPr>
          <w:color w:val="231F20"/>
          <w:spacing w:val="-5"/>
        </w:rPr>
        <w:t>320 </w:t>
      </w:r>
      <w:r>
        <w:rPr>
          <w:color w:val="231F20"/>
        </w:rPr>
        <w:t>m </w:t>
      </w:r>
      <w:r>
        <w:rPr>
          <w:color w:val="231F20"/>
          <w:spacing w:val="-3"/>
        </w:rPr>
        <w:t>sobre el nivel </w:t>
      </w:r>
      <w:r>
        <w:rPr>
          <w:color w:val="231F20"/>
        </w:rPr>
        <w:t>del </w:t>
      </w:r>
      <w:r>
        <w:rPr>
          <w:color w:val="231F20"/>
          <w:spacing w:val="-5"/>
        </w:rPr>
        <w:t>mar, </w:t>
      </w:r>
      <w:r>
        <w:rPr>
          <w:color w:val="231F20"/>
        </w:rPr>
        <w:t>y </w:t>
      </w:r>
      <w:r>
        <w:rPr>
          <w:color w:val="231F20"/>
          <w:spacing w:val="-3"/>
        </w:rPr>
        <w:t>tiene </w:t>
      </w:r>
      <w:r>
        <w:rPr>
          <w:color w:val="231F20"/>
        </w:rPr>
        <w:t>una </w:t>
      </w:r>
      <w:r>
        <w:rPr>
          <w:color w:val="231F20"/>
          <w:spacing w:val="-3"/>
        </w:rPr>
        <w:t>precipitación pluvial anual </w:t>
      </w:r>
      <w:r>
        <w:rPr>
          <w:color w:val="231F20"/>
        </w:rPr>
        <w:t>de </w:t>
      </w:r>
      <w:r>
        <w:rPr>
          <w:color w:val="231F20"/>
          <w:spacing w:val="-4"/>
        </w:rPr>
        <w:t>546 </w:t>
      </w:r>
      <w:r>
        <w:rPr>
          <w:color w:val="231F20"/>
          <w:spacing w:val="-3"/>
        </w:rPr>
        <w:t>mm</w:t>
      </w:r>
      <w:r>
        <w:rPr>
          <w:color w:val="231F20"/>
          <w:spacing w:val="-3"/>
          <w:position w:val="7"/>
          <w:sz w:val="11"/>
        </w:rPr>
        <w:t>3</w:t>
      </w:r>
      <w:r>
        <w:rPr>
          <w:color w:val="231F20"/>
          <w:spacing w:val="-3"/>
        </w:rPr>
        <w:t>.  Cuenta  </w:t>
      </w:r>
      <w:r>
        <w:rPr>
          <w:color w:val="231F20"/>
        </w:rPr>
        <w:t>con  </w:t>
      </w:r>
      <w:r>
        <w:rPr>
          <w:color w:val="231F20"/>
          <w:spacing w:val="-3"/>
        </w:rPr>
        <w:t>vegetación  exclusiva  de </w:t>
      </w:r>
      <w:r>
        <w:rPr>
          <w:color w:val="231F20"/>
        </w:rPr>
        <w:t>la </w:t>
      </w:r>
      <w:r>
        <w:rPr>
          <w:color w:val="231F20"/>
          <w:spacing w:val="-3"/>
        </w:rPr>
        <w:t>selva baja caducifolia </w:t>
      </w:r>
      <w:r>
        <w:rPr>
          <w:color w:val="231F20"/>
        </w:rPr>
        <w:t>y </w:t>
      </w:r>
      <w:r>
        <w:rPr>
          <w:color w:val="231F20"/>
          <w:spacing w:val="-3"/>
        </w:rPr>
        <w:t>subcaducifolia, </w:t>
      </w:r>
      <w:r>
        <w:rPr>
          <w:color w:val="231F20"/>
        </w:rPr>
        <w:t>con </w:t>
      </w:r>
      <w:r>
        <w:rPr>
          <w:color w:val="231F20"/>
          <w:spacing w:val="-3"/>
        </w:rPr>
        <w:t>pre- dominio </w:t>
      </w:r>
      <w:r>
        <w:rPr>
          <w:color w:val="231F20"/>
        </w:rPr>
        <w:t>de los </w:t>
      </w:r>
      <w:r>
        <w:rPr>
          <w:color w:val="231F20"/>
          <w:spacing w:val="-3"/>
        </w:rPr>
        <w:t>cactus columnares altos. </w:t>
      </w:r>
      <w:r>
        <w:rPr>
          <w:color w:val="231F20"/>
        </w:rPr>
        <w:t>El </w:t>
      </w:r>
      <w:r>
        <w:rPr>
          <w:color w:val="231F20"/>
          <w:spacing w:val="-3"/>
        </w:rPr>
        <w:t>tipo de suelo </w:t>
      </w:r>
      <w:r>
        <w:rPr>
          <w:color w:val="231F20"/>
        </w:rPr>
        <w:t>es el </w:t>
      </w:r>
      <w:r>
        <w:rPr>
          <w:color w:val="231F20"/>
          <w:spacing w:val="-4"/>
        </w:rPr>
        <w:t>feozem </w:t>
      </w:r>
      <w:r>
        <w:rPr>
          <w:color w:val="231F20"/>
          <w:spacing w:val="-3"/>
        </w:rPr>
        <w:t>háplico, </w:t>
      </w:r>
      <w:r>
        <w:rPr>
          <w:color w:val="231F20"/>
        </w:rPr>
        <w:t>que se </w:t>
      </w:r>
      <w:r>
        <w:rPr>
          <w:color w:val="231F20"/>
          <w:spacing w:val="-3"/>
        </w:rPr>
        <w:t>caracteriza </w:t>
      </w:r>
      <w:r>
        <w:rPr>
          <w:color w:val="231F20"/>
        </w:rPr>
        <w:t>de </w:t>
      </w:r>
      <w:r>
        <w:rPr>
          <w:color w:val="231F20"/>
          <w:spacing w:val="-3"/>
        </w:rPr>
        <w:t>ser </w:t>
      </w:r>
      <w:r>
        <w:rPr>
          <w:color w:val="231F20"/>
        </w:rPr>
        <w:t>de </w:t>
      </w:r>
      <w:r>
        <w:rPr>
          <w:color w:val="231F20"/>
          <w:spacing w:val="-3"/>
        </w:rPr>
        <w:t>baja fertilidad </w:t>
      </w:r>
      <w:r>
        <w:rPr>
          <w:color w:val="231F20"/>
        </w:rPr>
        <w:t>y </w:t>
      </w:r>
      <w:r>
        <w:rPr>
          <w:color w:val="231F20"/>
          <w:spacing w:val="-3"/>
        </w:rPr>
        <w:t>alto riesgo </w:t>
      </w:r>
      <w:r>
        <w:rPr>
          <w:color w:val="231F20"/>
        </w:rPr>
        <w:t>de </w:t>
      </w:r>
      <w:r>
        <w:rPr>
          <w:color w:val="231F20"/>
          <w:spacing w:val="-3"/>
        </w:rPr>
        <w:t>erosión, </w:t>
      </w:r>
      <w:r>
        <w:rPr>
          <w:color w:val="231F20"/>
        </w:rPr>
        <w:t>más </w:t>
      </w:r>
      <w:r>
        <w:rPr>
          <w:color w:val="231F20"/>
          <w:spacing w:val="-3"/>
        </w:rPr>
        <w:t>apto para  </w:t>
      </w:r>
      <w:r>
        <w:rPr>
          <w:color w:val="231F20"/>
        </w:rPr>
        <w:t>uso  </w:t>
      </w:r>
      <w:r>
        <w:rPr>
          <w:color w:val="231F20"/>
          <w:spacing w:val="-3"/>
        </w:rPr>
        <w:t>ganadero  considerando  </w:t>
      </w:r>
      <w:r>
        <w:rPr>
          <w:color w:val="231F20"/>
        </w:rPr>
        <w:t>la  </w:t>
      </w:r>
      <w:r>
        <w:rPr>
          <w:color w:val="231F20"/>
          <w:spacing w:val="-3"/>
        </w:rPr>
        <w:t>disponibilidad</w:t>
      </w:r>
    </w:p>
    <w:p>
      <w:pPr>
        <w:spacing w:after="0" w:line="261"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14.      </w:t>
      </w:r>
      <w:r>
        <w:rPr>
          <w:color w:val="231F20"/>
          <w:spacing w:val="1"/>
          <w:sz w:val="18"/>
        </w:rPr>
        <w:t> </w:t>
      </w:r>
      <w:r>
        <w:rPr>
          <w:color w:val="231F20"/>
          <w:sz w:val="18"/>
        </w:rPr>
        <w:t>Contribución de la caprinocultura al desarrollo rural en el trópico seco del Bajo</w:t>
      </w:r>
      <w:r>
        <w:rPr>
          <w:color w:val="231F20"/>
          <w:spacing w:val="12"/>
          <w:sz w:val="18"/>
        </w:rPr>
        <w:t> </w:t>
      </w:r>
      <w:r>
        <w:rPr>
          <w:color w:val="231F20"/>
          <w:sz w:val="18"/>
        </w:rPr>
        <w:t>Balsas</w:t>
      </w:r>
      <w:r>
        <w:rPr>
          <w:color w:val="231F20"/>
          <w:sz w:val="22"/>
        </w:rPr>
        <w:tab/>
      </w:r>
      <w:r>
        <w:rPr>
          <w:color w:val="231F20"/>
          <w:spacing w:val="-8"/>
          <w:sz w:val="22"/>
        </w:rPr>
        <w:t>217</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9" w:lineRule="auto"/>
        <w:ind w:left="1553" w:right="3"/>
        <w:jc w:val="both"/>
      </w:pPr>
      <w:r>
        <w:rPr>
          <w:color w:val="231F20"/>
        </w:rPr>
        <w:t>de </w:t>
      </w:r>
      <w:r>
        <w:rPr>
          <w:color w:val="231F20"/>
          <w:spacing w:val="-3"/>
        </w:rPr>
        <w:t>agua. </w:t>
      </w:r>
      <w:r>
        <w:rPr>
          <w:color w:val="231F20"/>
        </w:rPr>
        <w:t>La </w:t>
      </w:r>
      <w:r>
        <w:rPr>
          <w:color w:val="231F20"/>
          <w:spacing w:val="-3"/>
        </w:rPr>
        <w:t>localidad cuenta </w:t>
      </w:r>
      <w:r>
        <w:rPr>
          <w:color w:val="231F20"/>
        </w:rPr>
        <w:t>con </w:t>
      </w:r>
      <w:r>
        <w:rPr>
          <w:color w:val="231F20"/>
          <w:spacing w:val="-3"/>
        </w:rPr>
        <w:t>pendientes muy suaves </w:t>
      </w:r>
      <w:r>
        <w:rPr>
          <w:color w:val="231F20"/>
          <w:spacing w:val="-4"/>
        </w:rPr>
        <w:t>(1-3°), </w:t>
      </w:r>
      <w:r>
        <w:rPr>
          <w:color w:val="231F20"/>
        </w:rPr>
        <w:t>el </w:t>
      </w:r>
      <w:r>
        <w:rPr>
          <w:color w:val="231F20"/>
          <w:spacing w:val="-3"/>
        </w:rPr>
        <w:t>clima predominante </w:t>
      </w:r>
      <w:r>
        <w:rPr>
          <w:color w:val="231F20"/>
        </w:rPr>
        <w:t>es </w:t>
      </w:r>
      <w:r>
        <w:rPr>
          <w:color w:val="231F20"/>
          <w:spacing w:val="-3"/>
        </w:rPr>
        <w:t>semiárido cálido (BS1(h’)w) </w:t>
      </w:r>
      <w:r>
        <w:rPr>
          <w:color w:val="231F20"/>
        </w:rPr>
        <w:t>y </w:t>
      </w:r>
      <w:r>
        <w:rPr>
          <w:color w:val="231F20"/>
          <w:spacing w:val="-3"/>
        </w:rPr>
        <w:t>cálido subhúmedo </w:t>
      </w:r>
      <w:r>
        <w:rPr>
          <w:color w:val="231F20"/>
          <w:spacing w:val="-4"/>
        </w:rPr>
        <w:t>(Awo), </w:t>
      </w:r>
      <w:r>
        <w:rPr>
          <w:color w:val="231F20"/>
          <w:spacing w:val="-3"/>
        </w:rPr>
        <w:t>con temperaturas </w:t>
      </w:r>
      <w:r>
        <w:rPr>
          <w:color w:val="231F20"/>
        </w:rPr>
        <w:t>de </w:t>
      </w:r>
      <w:r>
        <w:rPr>
          <w:color w:val="231F20"/>
          <w:spacing w:val="-3"/>
        </w:rPr>
        <w:t>poca oscilación diaria </w:t>
      </w:r>
      <w:r>
        <w:rPr>
          <w:color w:val="231F20"/>
        </w:rPr>
        <w:t>y </w:t>
      </w:r>
      <w:r>
        <w:rPr>
          <w:color w:val="231F20"/>
          <w:spacing w:val="-3"/>
        </w:rPr>
        <w:t>estacional </w:t>
      </w:r>
      <w:r>
        <w:rPr>
          <w:color w:val="231F20"/>
        </w:rPr>
        <w:t>que van de </w:t>
      </w:r>
      <w:r>
        <w:rPr>
          <w:color w:val="231F20"/>
          <w:spacing w:val="-4"/>
        </w:rPr>
        <w:t>22 </w:t>
      </w:r>
      <w:r>
        <w:rPr>
          <w:color w:val="231F20"/>
        </w:rPr>
        <w:t>°C a </w:t>
      </w:r>
      <w:r>
        <w:rPr>
          <w:color w:val="231F20"/>
          <w:spacing w:val="-4"/>
        </w:rPr>
        <w:t>34 </w:t>
      </w:r>
      <w:r>
        <w:rPr>
          <w:color w:val="231F20"/>
        </w:rPr>
        <w:t>°C y una </w:t>
      </w:r>
      <w:r>
        <w:rPr>
          <w:color w:val="231F20"/>
          <w:spacing w:val="-3"/>
        </w:rPr>
        <w:t>temporada </w:t>
      </w:r>
      <w:r>
        <w:rPr>
          <w:color w:val="231F20"/>
        </w:rPr>
        <w:t>de </w:t>
      </w:r>
      <w:r>
        <w:rPr>
          <w:color w:val="231F20"/>
          <w:spacing w:val="-3"/>
        </w:rPr>
        <w:t>lluvias entre  </w:t>
      </w:r>
      <w:r>
        <w:rPr>
          <w:color w:val="231F20"/>
        </w:rPr>
        <w:t>los </w:t>
      </w:r>
      <w:r>
        <w:rPr>
          <w:color w:val="231F20"/>
          <w:spacing w:val="-3"/>
        </w:rPr>
        <w:t>meses  </w:t>
      </w:r>
      <w:r>
        <w:rPr>
          <w:color w:val="231F20"/>
        </w:rPr>
        <w:t>de </w:t>
      </w:r>
      <w:r>
        <w:rPr>
          <w:color w:val="231F20"/>
          <w:spacing w:val="-3"/>
        </w:rPr>
        <w:t>julio  </w:t>
      </w:r>
      <w:r>
        <w:rPr>
          <w:color w:val="231F20"/>
        </w:rPr>
        <w:t>y </w:t>
      </w:r>
      <w:r>
        <w:rPr>
          <w:color w:val="231F20"/>
          <w:spacing w:val="-3"/>
        </w:rPr>
        <w:t>octubre  </w:t>
      </w:r>
      <w:r>
        <w:rPr>
          <w:color w:val="231F20"/>
        </w:rPr>
        <w:t>(INEGI, </w:t>
      </w:r>
      <w:r>
        <w:rPr>
          <w:color w:val="231F20"/>
          <w:spacing w:val="-7"/>
        </w:rPr>
        <w:t>2012).</w:t>
      </w:r>
    </w:p>
    <w:p>
      <w:pPr>
        <w:pStyle w:val="BodyText"/>
        <w:spacing w:line="259" w:lineRule="auto" w:before="114"/>
        <w:ind w:left="1553"/>
        <w:jc w:val="both"/>
      </w:pPr>
      <w:r>
        <w:rPr>
          <w:color w:val="231F20"/>
        </w:rPr>
        <w:t>Para la evaluación de la ganadería caprina en la comunidad de Las Cañas se emplearon diversas herramientas asociadas al enfoque del diagnósti-  co rural rápido. Primero se aplicaron un ejercicio de presupuestación </w:t>
      </w:r>
      <w:r>
        <w:rPr>
          <w:color w:val="231F20"/>
          <w:spacing w:val="2"/>
        </w:rPr>
        <w:t>participativa </w:t>
      </w:r>
      <w:r>
        <w:rPr>
          <w:color w:val="231F20"/>
        </w:rPr>
        <w:t>y entrevistas se- miestructuradas a seis productores de la locali- dad, bajo un esquema de convocatoria libre. El ejercicio consistió en hacer  una  presentación  a  los asistentes sobre los objetivos del trabajo y su dinámica, en la cual se explicó que esa actividad  no ocuparía más de una hora. Posteriormente se acordó entre los asistentes definir una explotación promedio en tamaño, cuáles serían los insumos empleados en la actividad y cuál sería un desem- peño promedio tanto de los  animales  como  de  las unidades  de  producción.  Después  se  realizó  a los asistentes una encuesta semiestructurada, con una duración inferior a </w:t>
      </w:r>
      <w:r>
        <w:rPr>
          <w:color w:val="231F20"/>
          <w:spacing w:val="-4"/>
        </w:rPr>
        <w:t>10 </w:t>
      </w:r>
      <w:r>
        <w:rPr>
          <w:color w:val="231F20"/>
        </w:rPr>
        <w:t>minutos, en la </w:t>
      </w:r>
      <w:r>
        <w:rPr>
          <w:color w:val="231F20"/>
          <w:spacing w:val="2"/>
        </w:rPr>
        <w:t>que </w:t>
      </w:r>
      <w:r>
        <w:rPr>
          <w:color w:val="231F20"/>
        </w:rPr>
        <w:t>se preguntó sobre aspectos de  costos  e  </w:t>
      </w:r>
      <w:r>
        <w:rPr>
          <w:color w:val="231F20"/>
          <w:spacing w:val="2"/>
        </w:rPr>
        <w:t>ingre-  </w:t>
      </w:r>
      <w:r>
        <w:rPr>
          <w:color w:val="231F20"/>
        </w:rPr>
        <w:t>sos que cada productor obtenía de la explotación de cabras. Por último, se acordó con uno de </w:t>
      </w:r>
      <w:r>
        <w:rPr>
          <w:color w:val="231F20"/>
          <w:spacing w:val="2"/>
        </w:rPr>
        <w:t>los  </w:t>
      </w:r>
      <w:r>
        <w:rPr>
          <w:color w:val="231F20"/>
        </w:rPr>
        <w:t>productores visitar su unidad de producción para observar las instalaciones con que contaba y  el  tipo de animales, y en la visita se siguió un trayec- to de 2 km que el rebaño de cabras usualmente tomaba en el agostadero de pastoreo, durante el mes  de</w:t>
      </w:r>
      <w:r>
        <w:rPr>
          <w:color w:val="231F20"/>
          <w:spacing w:val="45"/>
        </w:rPr>
        <w:t> </w:t>
      </w:r>
      <w:r>
        <w:rPr>
          <w:color w:val="231F20"/>
        </w:rPr>
        <w:t>septiembre.</w:t>
      </w:r>
    </w:p>
    <w:p>
      <w:pPr>
        <w:pStyle w:val="BodyText"/>
        <w:spacing w:before="11"/>
        <w:rPr>
          <w:sz w:val="27"/>
        </w:rPr>
      </w:pPr>
    </w:p>
    <w:p>
      <w:pPr>
        <w:pStyle w:val="BodyText"/>
        <w:ind w:left="1553"/>
        <w:jc w:val="both"/>
      </w:pPr>
      <w:r>
        <w:rPr>
          <w:color w:val="231F20"/>
          <w:w w:val="110"/>
        </w:rPr>
        <w:t>RESULTADOS DE LA EVALUACIÓN</w:t>
      </w:r>
    </w:p>
    <w:p>
      <w:pPr>
        <w:pStyle w:val="BodyText"/>
        <w:spacing w:line="259" w:lineRule="auto" w:before="133"/>
        <w:ind w:left="1553"/>
        <w:jc w:val="both"/>
      </w:pPr>
      <w:r>
        <w:rPr>
          <w:color w:val="231F20"/>
        </w:rPr>
        <w:t>Los seis productores señalaron que la explotación de cabras era una actividad heredada de sus pa- dres. Se observó que esta actividad se realiza de manera extensiva, utilizando recursos forrajeros propios de la selva baja caducifolia. Sólo uno de   los seis productores manifestó vacunar y despara- sitar con</w:t>
      </w:r>
      <w:r>
        <w:rPr>
          <w:color w:val="231F20"/>
          <w:spacing w:val="-12"/>
        </w:rPr>
        <w:t> </w:t>
      </w:r>
      <w:r>
        <w:rPr>
          <w:color w:val="231F20"/>
        </w:rPr>
        <w:t>regularidad.</w:t>
      </w:r>
    </w:p>
    <w:p>
      <w:pPr>
        <w:pStyle w:val="BodyText"/>
        <w:spacing w:before="3"/>
        <w:rPr>
          <w:sz w:val="28"/>
        </w:rPr>
      </w:pPr>
      <w:r>
        <w:rPr/>
        <w:br w:type="column"/>
      </w:r>
      <w:r>
        <w:rPr>
          <w:sz w:val="28"/>
        </w:rPr>
      </w:r>
    </w:p>
    <w:p>
      <w:pPr>
        <w:pStyle w:val="BodyText"/>
        <w:spacing w:line="256" w:lineRule="auto"/>
        <w:ind w:left="410" w:right="1551"/>
        <w:jc w:val="both"/>
      </w:pPr>
      <w:r>
        <w:rPr>
          <w:color w:val="231F20"/>
        </w:rPr>
        <w:t>La visita a la unidad de producción mostró que to- dos los animales eran Criollos. Su manejo diario </w:t>
      </w:r>
      <w:r>
        <w:rPr>
          <w:color w:val="231F20"/>
          <w:spacing w:val="-2"/>
        </w:rPr>
        <w:t>era </w:t>
      </w:r>
      <w:r>
        <w:rPr>
          <w:color w:val="231F20"/>
        </w:rPr>
        <w:t>que las cabras salían a pastorear por la mañana, entre las 8:00 y las 9:00 a.m., y regresaban a su corral entre las 4:00 y las 5:00 p.m., donde toma- ban agua en los bebederos instalados en el terreno de la casa. Las instalaciones constan de un </w:t>
      </w:r>
      <w:r>
        <w:rPr>
          <w:color w:val="231F20"/>
          <w:spacing w:val="-2"/>
        </w:rPr>
        <w:t>corral</w:t>
      </w:r>
      <w:r>
        <w:rPr>
          <w:color w:val="231F20"/>
          <w:spacing w:val="41"/>
        </w:rPr>
        <w:t> </w:t>
      </w:r>
      <w:r>
        <w:rPr>
          <w:color w:val="231F20"/>
        </w:rPr>
        <w:t>de malla ciclónica y un techo de lámina de cartón, ubicado cerca de la casa del </w:t>
      </w:r>
      <w:r>
        <w:rPr>
          <w:color w:val="231F20"/>
          <w:spacing w:val="-3"/>
        </w:rPr>
        <w:t>productor. </w:t>
      </w:r>
      <w:r>
        <w:rPr>
          <w:color w:val="231F20"/>
        </w:rPr>
        <w:t>El principal ingreso de la actividad es la venta de animales para carne, dentro del municipio. El peso de los anima- les al venderlos es de aproximadamente </w:t>
      </w:r>
      <w:r>
        <w:rPr>
          <w:color w:val="231F20"/>
          <w:spacing w:val="-3"/>
        </w:rPr>
        <w:t>35 </w:t>
      </w:r>
      <w:r>
        <w:rPr>
          <w:color w:val="231F20"/>
        </w:rPr>
        <w:t>kg y el precio es de </w:t>
      </w:r>
      <w:r>
        <w:rPr>
          <w:color w:val="231F20"/>
          <w:spacing w:val="-3"/>
        </w:rPr>
        <w:t>$22,0 </w:t>
      </w:r>
      <w:r>
        <w:rPr>
          <w:color w:val="231F20"/>
        </w:rPr>
        <w:t>por kilo; la edad a la venta es de 6 meses. Los productores manifestaron intervalos entre partos de </w:t>
      </w:r>
      <w:r>
        <w:rPr>
          <w:color w:val="231F20"/>
          <w:spacing w:val="-6"/>
        </w:rPr>
        <w:t>214  </w:t>
      </w:r>
      <w:r>
        <w:rPr>
          <w:color w:val="231F20"/>
        </w:rPr>
        <w:t>días, con una sola tempora-  da de empadre que ocurre en el mes de mayo, y por tanto los partos tienen lugar durante la segun- da mitad de octubre. Así mismo es destacable lo prolíficas que son las cabras, pues en promedio se obtenían 1,6 cabritos por hembra reproductora, lo cual indica la cantidad de partos gemelares que se obtienen (según los productores hasta en el </w:t>
      </w:r>
      <w:r>
        <w:rPr>
          <w:color w:val="231F20"/>
          <w:spacing w:val="-4"/>
        </w:rPr>
        <w:t>50%  </w:t>
      </w:r>
      <w:r>
        <w:rPr>
          <w:color w:val="231F20"/>
        </w:rPr>
        <w:t>de los casos). Respecto a la alimentación, se ob- servó que cuatro de los productores compran ali- mento en los meses de estiaje (enero a junio), </w:t>
      </w:r>
      <w:r>
        <w:rPr>
          <w:color w:val="231F20"/>
          <w:spacing w:val="-2"/>
        </w:rPr>
        <w:t>con </w:t>
      </w:r>
      <w:r>
        <w:rPr>
          <w:color w:val="231F20"/>
        </w:rPr>
        <w:t>un gasto promedio por este concepto de </w:t>
      </w:r>
      <w:r>
        <w:rPr>
          <w:color w:val="231F20"/>
          <w:spacing w:val="-3"/>
        </w:rPr>
        <w:t>$242,5 </w:t>
      </w:r>
      <w:r>
        <w:rPr>
          <w:color w:val="231F20"/>
        </w:rPr>
        <w:t>(máximo de </w:t>
      </w:r>
      <w:r>
        <w:rPr>
          <w:color w:val="231F20"/>
          <w:spacing w:val="-3"/>
        </w:rPr>
        <w:t>$635,0). </w:t>
      </w:r>
      <w:r>
        <w:rPr>
          <w:color w:val="231F20"/>
        </w:rPr>
        <w:t>El alimento comprado </w:t>
      </w:r>
      <w:r>
        <w:rPr>
          <w:color w:val="231F20"/>
          <w:spacing w:val="-2"/>
        </w:rPr>
        <w:t>que </w:t>
      </w:r>
      <w:r>
        <w:rPr>
          <w:color w:val="231F20"/>
        </w:rPr>
        <w:t>utilizan es la alfalfa, y los únicos animales que lo</w:t>
      </w:r>
      <w:r>
        <w:rPr>
          <w:color w:val="231F20"/>
          <w:spacing w:val="-9"/>
        </w:rPr>
        <w:t> </w:t>
      </w:r>
      <w:r>
        <w:rPr>
          <w:color w:val="231F20"/>
        </w:rPr>
        <w:t>re- ciben son las hembras lactantes. Además de</w:t>
      </w:r>
      <w:r>
        <w:rPr>
          <w:color w:val="231F20"/>
          <w:spacing w:val="-16"/>
        </w:rPr>
        <w:t> </w:t>
      </w:r>
      <w:r>
        <w:rPr>
          <w:color w:val="231F20"/>
        </w:rPr>
        <w:t>alfalfa, dos de los cuatro productores que suplementan a sus animales utilizan maíz como complemento. </w:t>
      </w:r>
      <w:r>
        <w:rPr>
          <w:color w:val="231F20"/>
          <w:spacing w:val="-2"/>
        </w:rPr>
        <w:t>Los </w:t>
      </w:r>
      <w:r>
        <w:rPr>
          <w:color w:val="231F20"/>
        </w:rPr>
        <w:t>productores no tienen tierras propias y pagan </w:t>
      </w:r>
      <w:r>
        <w:rPr>
          <w:color w:val="231F20"/>
          <w:spacing w:val="-2"/>
        </w:rPr>
        <w:t>una </w:t>
      </w:r>
      <w:r>
        <w:rPr>
          <w:color w:val="231F20"/>
        </w:rPr>
        <w:t>renta</w:t>
      </w:r>
      <w:r>
        <w:rPr>
          <w:color w:val="231F20"/>
          <w:spacing w:val="-9"/>
        </w:rPr>
        <w:t> </w:t>
      </w:r>
      <w:r>
        <w:rPr>
          <w:color w:val="231F20"/>
        </w:rPr>
        <w:t>anual</w:t>
      </w:r>
      <w:r>
        <w:rPr>
          <w:color w:val="231F20"/>
          <w:spacing w:val="-9"/>
        </w:rPr>
        <w:t> </w:t>
      </w:r>
      <w:r>
        <w:rPr>
          <w:color w:val="231F20"/>
        </w:rPr>
        <w:t>para</w:t>
      </w:r>
      <w:r>
        <w:rPr>
          <w:color w:val="231F20"/>
          <w:spacing w:val="-9"/>
        </w:rPr>
        <w:t> </w:t>
      </w:r>
      <w:r>
        <w:rPr>
          <w:color w:val="231F20"/>
        </w:rPr>
        <w:t>tener</w:t>
      </w:r>
      <w:r>
        <w:rPr>
          <w:color w:val="231F20"/>
          <w:spacing w:val="-9"/>
        </w:rPr>
        <w:t> </w:t>
      </w:r>
      <w:r>
        <w:rPr>
          <w:color w:val="231F20"/>
        </w:rPr>
        <w:t>derecho</w:t>
      </w:r>
      <w:r>
        <w:rPr>
          <w:color w:val="231F20"/>
          <w:spacing w:val="-9"/>
        </w:rPr>
        <w:t> </w:t>
      </w:r>
      <w:r>
        <w:rPr>
          <w:color w:val="231F20"/>
        </w:rPr>
        <w:t>al</w:t>
      </w:r>
      <w:r>
        <w:rPr>
          <w:color w:val="231F20"/>
          <w:spacing w:val="-9"/>
        </w:rPr>
        <w:t> </w:t>
      </w:r>
      <w:r>
        <w:rPr>
          <w:color w:val="231F20"/>
        </w:rPr>
        <w:t>agostadero.</w:t>
      </w:r>
    </w:p>
    <w:p>
      <w:pPr>
        <w:pStyle w:val="BodyText"/>
        <w:spacing w:line="256" w:lineRule="auto" w:before="114"/>
        <w:ind w:left="410" w:right="1551"/>
        <w:jc w:val="both"/>
      </w:pPr>
      <w:r>
        <w:rPr>
          <w:color w:val="231F20"/>
        </w:rPr>
        <w:t>En el caso de una tasa de extracción estimada del 75% (Cuadro 3) no podría considerarse como un indicador definitivo ni constante, porque ésta varía en función del mercado y de las necesidades del productor. Para la evaluación de gastos y retornos en efectivo se tomaron en cuenta insumos como compra de alimentos o forrajes, mano de obra fa- miliar, costos de reemplazo y manejo de los ani- males. Los retornos corresponden a la venta de cabritos  (Cuadro 4).</w:t>
      </w:r>
    </w:p>
    <w:p>
      <w:pPr>
        <w:spacing w:after="0" w:line="256" w:lineRule="auto"/>
        <w:jc w:val="both"/>
        <w:sectPr>
          <w:type w:val="continuous"/>
          <w:pgSz w:w="11900" w:h="14450"/>
          <w:pgMar w:top="420" w:bottom="420" w:left="0" w:right="0"/>
          <w:cols w:num="2" w:equalWidth="0">
            <w:col w:w="5724" w:space="40"/>
            <w:col w:w="6136"/>
          </w:cols>
        </w:sectPr>
      </w:pPr>
    </w:p>
    <w:p>
      <w:pPr>
        <w:pStyle w:val="BodyText"/>
      </w:pPr>
    </w:p>
    <w:p>
      <w:pPr>
        <w:pStyle w:val="BodyText"/>
      </w:pPr>
    </w:p>
    <w:p>
      <w:pPr>
        <w:pStyle w:val="BodyText"/>
        <w:rPr>
          <w:sz w:val="17"/>
        </w:rPr>
      </w:pPr>
    </w:p>
    <w:p>
      <w:pPr>
        <w:tabs>
          <w:tab w:pos="6897" w:val="left" w:leader="none"/>
        </w:tabs>
        <w:spacing w:before="64"/>
        <w:ind w:left="1551" w:right="0" w:firstLine="0"/>
        <w:jc w:val="left"/>
        <w:rPr>
          <w:sz w:val="12"/>
        </w:rPr>
      </w:pPr>
      <w:r>
        <w:rPr>
          <w:color w:val="231F20"/>
          <w:spacing w:val="-5"/>
          <w:w w:val="120"/>
          <w:sz w:val="22"/>
        </w:rPr>
        <w:t>218</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pStyle w:val="BodyText"/>
        <w:spacing w:before="7"/>
        <w:rPr>
          <w:sz w:val="28"/>
        </w:rPr>
      </w:pPr>
    </w:p>
    <w:p>
      <w:pPr>
        <w:spacing w:before="0"/>
        <w:ind w:left="1553" w:right="2503" w:firstLine="0"/>
        <w:jc w:val="left"/>
        <w:rPr>
          <w:sz w:val="18"/>
        </w:rPr>
      </w:pPr>
      <w:r>
        <w:rPr>
          <w:color w:val="231F20"/>
          <w:sz w:val="18"/>
        </w:rPr>
        <w:t>Cuadro 3.   Características principales de las unidades de    producción.</w:t>
      </w:r>
    </w:p>
    <w:p>
      <w:pPr>
        <w:pStyle w:val="BodyText"/>
        <w:spacing w:before="8"/>
        <w:rPr>
          <w:sz w:val="12"/>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025"/>
        <w:gridCol w:w="1587"/>
        <w:gridCol w:w="1587"/>
        <w:gridCol w:w="1587"/>
      </w:tblGrid>
      <w:tr>
        <w:trPr>
          <w:trHeight w:val="369" w:hRule="exact"/>
        </w:trPr>
        <w:tc>
          <w:tcPr>
            <w:tcW w:w="4025" w:type="dxa"/>
            <w:tcBorders>
              <w:left w:val="nil"/>
            </w:tcBorders>
          </w:tcPr>
          <w:p>
            <w:pPr/>
          </w:p>
        </w:tc>
        <w:tc>
          <w:tcPr>
            <w:tcW w:w="1587" w:type="dxa"/>
          </w:tcPr>
          <w:p>
            <w:pPr>
              <w:pStyle w:val="TableParagraph"/>
              <w:spacing w:before="79"/>
              <w:ind w:left="388" w:right="388"/>
              <w:jc w:val="center"/>
              <w:rPr>
                <w:rFonts w:ascii="Cambria"/>
                <w:i/>
                <w:sz w:val="18"/>
              </w:rPr>
            </w:pPr>
            <w:r>
              <w:rPr>
                <w:rFonts w:ascii="Cambria"/>
                <w:i/>
                <w:color w:val="231F20"/>
                <w:w w:val="105"/>
                <w:sz w:val="18"/>
              </w:rPr>
              <w:t>Promedio</w:t>
            </w:r>
          </w:p>
        </w:tc>
        <w:tc>
          <w:tcPr>
            <w:tcW w:w="1587" w:type="dxa"/>
          </w:tcPr>
          <w:p>
            <w:pPr>
              <w:pStyle w:val="TableParagraph"/>
              <w:spacing w:before="79"/>
              <w:ind w:left="466"/>
              <w:rPr>
                <w:rFonts w:ascii="Cambria" w:hAnsi="Cambria"/>
                <w:i/>
                <w:sz w:val="18"/>
              </w:rPr>
            </w:pPr>
            <w:r>
              <w:rPr>
                <w:rFonts w:ascii="Cambria" w:hAnsi="Cambria"/>
                <w:i/>
                <w:color w:val="231F20"/>
                <w:w w:val="105"/>
                <w:sz w:val="18"/>
              </w:rPr>
              <w:t>Máximo</w:t>
            </w:r>
          </w:p>
        </w:tc>
        <w:tc>
          <w:tcPr>
            <w:tcW w:w="1587" w:type="dxa"/>
            <w:tcBorders>
              <w:right w:val="nil"/>
            </w:tcBorders>
          </w:tcPr>
          <w:p>
            <w:pPr>
              <w:pStyle w:val="TableParagraph"/>
              <w:spacing w:before="79"/>
              <w:ind w:left="469" w:right="473"/>
              <w:jc w:val="center"/>
              <w:rPr>
                <w:rFonts w:ascii="Cambria" w:hAnsi="Cambria"/>
                <w:i/>
                <w:sz w:val="18"/>
              </w:rPr>
            </w:pPr>
            <w:r>
              <w:rPr>
                <w:rFonts w:ascii="Cambria" w:hAnsi="Cambria"/>
                <w:i/>
                <w:color w:val="231F20"/>
                <w:w w:val="105"/>
                <w:sz w:val="18"/>
              </w:rPr>
              <w:t>Mínimo</w:t>
            </w:r>
          </w:p>
        </w:tc>
      </w:tr>
      <w:tr>
        <w:trPr>
          <w:trHeight w:val="354" w:hRule="exact"/>
        </w:trPr>
        <w:tc>
          <w:tcPr>
            <w:tcW w:w="4025" w:type="dxa"/>
            <w:tcBorders>
              <w:left w:val="nil"/>
            </w:tcBorders>
          </w:tcPr>
          <w:p>
            <w:pPr>
              <w:pStyle w:val="TableParagraph"/>
              <w:ind w:left="113"/>
              <w:rPr>
                <w:sz w:val="17"/>
              </w:rPr>
            </w:pPr>
            <w:r>
              <w:rPr>
                <w:color w:val="231F20"/>
                <w:sz w:val="17"/>
              </w:rPr>
              <w:t>Nº de cabras</w:t>
            </w:r>
          </w:p>
        </w:tc>
        <w:tc>
          <w:tcPr>
            <w:tcW w:w="1587" w:type="dxa"/>
          </w:tcPr>
          <w:p>
            <w:pPr>
              <w:pStyle w:val="TableParagraph"/>
              <w:ind w:left="383" w:right="388"/>
              <w:jc w:val="center"/>
              <w:rPr>
                <w:sz w:val="17"/>
              </w:rPr>
            </w:pPr>
            <w:r>
              <w:rPr>
                <w:color w:val="231F20"/>
                <w:w w:val="115"/>
                <w:sz w:val="17"/>
              </w:rPr>
              <w:t>18</w:t>
            </w:r>
          </w:p>
        </w:tc>
        <w:tc>
          <w:tcPr>
            <w:tcW w:w="1587" w:type="dxa"/>
          </w:tcPr>
          <w:p>
            <w:pPr>
              <w:pStyle w:val="TableParagraph"/>
              <w:ind w:left="388" w:right="388"/>
              <w:jc w:val="center"/>
              <w:rPr>
                <w:sz w:val="17"/>
              </w:rPr>
            </w:pPr>
            <w:r>
              <w:rPr>
                <w:color w:val="231F20"/>
                <w:w w:val="115"/>
                <w:sz w:val="17"/>
              </w:rPr>
              <w:t>45</w:t>
            </w:r>
          </w:p>
        </w:tc>
        <w:tc>
          <w:tcPr>
            <w:tcW w:w="1587" w:type="dxa"/>
            <w:tcBorders>
              <w:right w:val="nil"/>
            </w:tcBorders>
          </w:tcPr>
          <w:p>
            <w:pPr>
              <w:pStyle w:val="TableParagraph"/>
              <w:ind w:right="4"/>
              <w:jc w:val="center"/>
              <w:rPr>
                <w:sz w:val="17"/>
              </w:rPr>
            </w:pPr>
            <w:r>
              <w:rPr>
                <w:color w:val="231F20"/>
                <w:w w:val="115"/>
                <w:sz w:val="17"/>
              </w:rPr>
              <w:t>3</w:t>
            </w:r>
          </w:p>
        </w:tc>
      </w:tr>
      <w:tr>
        <w:trPr>
          <w:trHeight w:val="354" w:hRule="exact"/>
        </w:trPr>
        <w:tc>
          <w:tcPr>
            <w:tcW w:w="4025" w:type="dxa"/>
            <w:tcBorders>
              <w:left w:val="nil"/>
            </w:tcBorders>
          </w:tcPr>
          <w:p>
            <w:pPr>
              <w:pStyle w:val="TableParagraph"/>
              <w:ind w:left="113"/>
              <w:rPr>
                <w:sz w:val="17"/>
              </w:rPr>
            </w:pPr>
            <w:r>
              <w:rPr>
                <w:color w:val="231F20"/>
                <w:sz w:val="17"/>
              </w:rPr>
              <w:t>Total  de animales</w:t>
            </w:r>
          </w:p>
        </w:tc>
        <w:tc>
          <w:tcPr>
            <w:tcW w:w="1587" w:type="dxa"/>
          </w:tcPr>
          <w:p>
            <w:pPr>
              <w:pStyle w:val="TableParagraph"/>
              <w:ind w:left="387" w:right="388"/>
              <w:jc w:val="center"/>
              <w:rPr>
                <w:sz w:val="17"/>
              </w:rPr>
            </w:pPr>
            <w:r>
              <w:rPr>
                <w:color w:val="231F20"/>
                <w:w w:val="115"/>
                <w:sz w:val="17"/>
              </w:rPr>
              <w:t>26</w:t>
            </w:r>
          </w:p>
        </w:tc>
        <w:tc>
          <w:tcPr>
            <w:tcW w:w="1587" w:type="dxa"/>
          </w:tcPr>
          <w:p>
            <w:pPr>
              <w:pStyle w:val="TableParagraph"/>
              <w:ind w:left="388" w:right="388"/>
              <w:jc w:val="center"/>
              <w:rPr>
                <w:sz w:val="17"/>
              </w:rPr>
            </w:pPr>
            <w:r>
              <w:rPr>
                <w:color w:val="231F20"/>
                <w:w w:val="115"/>
                <w:sz w:val="17"/>
              </w:rPr>
              <w:t>62</w:t>
            </w:r>
          </w:p>
        </w:tc>
        <w:tc>
          <w:tcPr>
            <w:tcW w:w="1587" w:type="dxa"/>
            <w:tcBorders>
              <w:right w:val="nil"/>
            </w:tcBorders>
          </w:tcPr>
          <w:p>
            <w:pPr>
              <w:pStyle w:val="TableParagraph"/>
              <w:ind w:right="4"/>
              <w:jc w:val="center"/>
              <w:rPr>
                <w:sz w:val="17"/>
              </w:rPr>
            </w:pPr>
            <w:r>
              <w:rPr>
                <w:color w:val="231F20"/>
                <w:w w:val="115"/>
                <w:sz w:val="17"/>
              </w:rPr>
              <w:t>5</w:t>
            </w:r>
          </w:p>
        </w:tc>
      </w:tr>
      <w:tr>
        <w:trPr>
          <w:trHeight w:val="354" w:hRule="exact"/>
        </w:trPr>
        <w:tc>
          <w:tcPr>
            <w:tcW w:w="4025" w:type="dxa"/>
            <w:tcBorders>
              <w:left w:val="nil"/>
            </w:tcBorders>
          </w:tcPr>
          <w:p>
            <w:pPr>
              <w:pStyle w:val="TableParagraph"/>
              <w:ind w:left="113"/>
              <w:rPr>
                <w:sz w:val="17"/>
              </w:rPr>
            </w:pPr>
            <w:r>
              <w:rPr>
                <w:color w:val="231F20"/>
                <w:sz w:val="17"/>
              </w:rPr>
              <w:t>U. animal</w:t>
            </w:r>
          </w:p>
        </w:tc>
        <w:tc>
          <w:tcPr>
            <w:tcW w:w="1587" w:type="dxa"/>
          </w:tcPr>
          <w:p>
            <w:pPr>
              <w:pStyle w:val="TableParagraph"/>
              <w:ind w:left="85"/>
              <w:jc w:val="center"/>
              <w:rPr>
                <w:sz w:val="17"/>
              </w:rPr>
            </w:pPr>
            <w:r>
              <w:rPr>
                <w:color w:val="231F20"/>
                <w:w w:val="115"/>
                <w:sz w:val="17"/>
              </w:rPr>
              <w:t>4</w:t>
            </w:r>
          </w:p>
        </w:tc>
        <w:tc>
          <w:tcPr>
            <w:tcW w:w="1587" w:type="dxa"/>
          </w:tcPr>
          <w:p>
            <w:pPr>
              <w:pStyle w:val="TableParagraph"/>
              <w:ind w:left="383" w:right="388"/>
              <w:jc w:val="center"/>
              <w:rPr>
                <w:sz w:val="17"/>
              </w:rPr>
            </w:pPr>
            <w:r>
              <w:rPr>
                <w:color w:val="231F20"/>
                <w:w w:val="115"/>
                <w:sz w:val="17"/>
              </w:rPr>
              <w:t>10</w:t>
            </w:r>
          </w:p>
        </w:tc>
        <w:tc>
          <w:tcPr>
            <w:tcW w:w="1587" w:type="dxa"/>
            <w:tcBorders>
              <w:right w:val="nil"/>
            </w:tcBorders>
          </w:tcPr>
          <w:p>
            <w:pPr>
              <w:pStyle w:val="TableParagraph"/>
              <w:ind w:right="4"/>
              <w:jc w:val="center"/>
              <w:rPr>
                <w:sz w:val="17"/>
              </w:rPr>
            </w:pPr>
            <w:r>
              <w:rPr>
                <w:color w:val="231F20"/>
                <w:w w:val="115"/>
                <w:sz w:val="17"/>
              </w:rPr>
              <w:t>1</w:t>
            </w:r>
          </w:p>
        </w:tc>
      </w:tr>
      <w:tr>
        <w:trPr>
          <w:trHeight w:val="354" w:hRule="exact"/>
        </w:trPr>
        <w:tc>
          <w:tcPr>
            <w:tcW w:w="4025" w:type="dxa"/>
            <w:tcBorders>
              <w:left w:val="nil"/>
            </w:tcBorders>
          </w:tcPr>
          <w:p>
            <w:pPr>
              <w:pStyle w:val="TableParagraph"/>
              <w:ind w:left="113"/>
              <w:rPr>
                <w:sz w:val="17"/>
              </w:rPr>
            </w:pPr>
            <w:r>
              <w:rPr>
                <w:color w:val="231F20"/>
                <w:sz w:val="17"/>
              </w:rPr>
              <w:t>Tasa de extracción</w:t>
            </w:r>
          </w:p>
        </w:tc>
        <w:tc>
          <w:tcPr>
            <w:tcW w:w="4762" w:type="dxa"/>
            <w:gridSpan w:val="3"/>
            <w:tcBorders>
              <w:right w:val="nil"/>
            </w:tcBorders>
          </w:tcPr>
          <w:p>
            <w:pPr>
              <w:pStyle w:val="TableParagraph"/>
              <w:ind w:left="2180" w:right="2183"/>
              <w:jc w:val="center"/>
              <w:rPr>
                <w:sz w:val="17"/>
              </w:rPr>
            </w:pPr>
            <w:r>
              <w:rPr>
                <w:color w:val="231F20"/>
                <w:w w:val="120"/>
                <w:sz w:val="17"/>
              </w:rPr>
              <w:t>75%</w:t>
            </w:r>
          </w:p>
        </w:tc>
      </w:tr>
      <w:tr>
        <w:trPr>
          <w:trHeight w:val="354" w:hRule="exact"/>
        </w:trPr>
        <w:tc>
          <w:tcPr>
            <w:tcW w:w="4025" w:type="dxa"/>
            <w:tcBorders>
              <w:left w:val="nil"/>
            </w:tcBorders>
          </w:tcPr>
          <w:p>
            <w:pPr>
              <w:pStyle w:val="TableParagraph"/>
              <w:ind w:left="113"/>
              <w:rPr>
                <w:sz w:val="17"/>
              </w:rPr>
            </w:pPr>
            <w:r>
              <w:rPr>
                <w:color w:val="231F20"/>
                <w:w w:val="105"/>
                <w:sz w:val="17"/>
              </w:rPr>
              <w:t>Reemplazos y desechos (nº animales)</w:t>
            </w:r>
          </w:p>
        </w:tc>
        <w:tc>
          <w:tcPr>
            <w:tcW w:w="1587" w:type="dxa"/>
          </w:tcPr>
          <w:p>
            <w:pPr>
              <w:pStyle w:val="TableParagraph"/>
              <w:ind w:left="85"/>
              <w:jc w:val="center"/>
              <w:rPr>
                <w:sz w:val="17"/>
              </w:rPr>
            </w:pPr>
            <w:r>
              <w:rPr>
                <w:color w:val="231F20"/>
                <w:w w:val="115"/>
                <w:sz w:val="17"/>
              </w:rPr>
              <w:t>3</w:t>
            </w:r>
          </w:p>
        </w:tc>
        <w:tc>
          <w:tcPr>
            <w:tcW w:w="1587" w:type="dxa"/>
          </w:tcPr>
          <w:p>
            <w:pPr>
              <w:pStyle w:val="TableParagraph"/>
              <w:ind w:left="85"/>
              <w:jc w:val="center"/>
              <w:rPr>
                <w:sz w:val="17"/>
              </w:rPr>
            </w:pPr>
            <w:r>
              <w:rPr>
                <w:color w:val="231F20"/>
                <w:w w:val="115"/>
                <w:sz w:val="17"/>
              </w:rPr>
              <w:t>8</w:t>
            </w:r>
          </w:p>
        </w:tc>
        <w:tc>
          <w:tcPr>
            <w:tcW w:w="1587" w:type="dxa"/>
            <w:tcBorders>
              <w:right w:val="nil"/>
            </w:tcBorders>
          </w:tcPr>
          <w:p>
            <w:pPr>
              <w:pStyle w:val="TableParagraph"/>
              <w:ind w:right="4"/>
              <w:jc w:val="center"/>
              <w:rPr>
                <w:sz w:val="17"/>
              </w:rPr>
            </w:pPr>
            <w:r>
              <w:rPr>
                <w:color w:val="231F20"/>
                <w:w w:val="115"/>
                <w:sz w:val="17"/>
              </w:rPr>
              <w:t>1</w:t>
            </w:r>
          </w:p>
        </w:tc>
      </w:tr>
      <w:tr>
        <w:trPr>
          <w:trHeight w:val="354" w:hRule="exact"/>
        </w:trPr>
        <w:tc>
          <w:tcPr>
            <w:tcW w:w="4025" w:type="dxa"/>
            <w:tcBorders>
              <w:left w:val="nil"/>
            </w:tcBorders>
          </w:tcPr>
          <w:p>
            <w:pPr>
              <w:pStyle w:val="TableParagraph"/>
              <w:ind w:left="113"/>
              <w:rPr>
                <w:sz w:val="17"/>
              </w:rPr>
            </w:pPr>
            <w:r>
              <w:rPr>
                <w:color w:val="231F20"/>
                <w:sz w:val="17"/>
              </w:rPr>
              <w:t>Total cabritos vendidos</w:t>
            </w:r>
          </w:p>
        </w:tc>
        <w:tc>
          <w:tcPr>
            <w:tcW w:w="1587" w:type="dxa"/>
          </w:tcPr>
          <w:p>
            <w:pPr>
              <w:pStyle w:val="TableParagraph"/>
              <w:ind w:left="387" w:right="388"/>
              <w:jc w:val="center"/>
              <w:rPr>
                <w:sz w:val="17"/>
              </w:rPr>
            </w:pPr>
            <w:r>
              <w:rPr>
                <w:color w:val="231F20"/>
                <w:w w:val="115"/>
                <w:sz w:val="17"/>
              </w:rPr>
              <w:t>27</w:t>
            </w:r>
          </w:p>
        </w:tc>
        <w:tc>
          <w:tcPr>
            <w:tcW w:w="1587" w:type="dxa"/>
          </w:tcPr>
          <w:p>
            <w:pPr>
              <w:pStyle w:val="TableParagraph"/>
              <w:ind w:left="388" w:right="388"/>
              <w:jc w:val="center"/>
              <w:rPr>
                <w:sz w:val="17"/>
              </w:rPr>
            </w:pPr>
            <w:r>
              <w:rPr>
                <w:color w:val="231F20"/>
                <w:w w:val="115"/>
                <w:sz w:val="17"/>
              </w:rPr>
              <w:t>69</w:t>
            </w:r>
          </w:p>
        </w:tc>
        <w:tc>
          <w:tcPr>
            <w:tcW w:w="1587" w:type="dxa"/>
            <w:tcBorders>
              <w:right w:val="nil"/>
            </w:tcBorders>
          </w:tcPr>
          <w:p>
            <w:pPr>
              <w:pStyle w:val="TableParagraph"/>
              <w:ind w:right="4"/>
              <w:jc w:val="center"/>
              <w:rPr>
                <w:sz w:val="17"/>
              </w:rPr>
            </w:pPr>
            <w:r>
              <w:rPr>
                <w:color w:val="231F20"/>
                <w:w w:val="115"/>
                <w:sz w:val="17"/>
              </w:rPr>
              <w:t>5</w:t>
            </w:r>
          </w:p>
        </w:tc>
      </w:tr>
    </w:tbl>
    <w:p>
      <w:pPr>
        <w:pStyle w:val="BodyText"/>
      </w:pPr>
    </w:p>
    <w:p>
      <w:pPr>
        <w:pStyle w:val="BodyText"/>
        <w:spacing w:before="5"/>
        <w:rPr>
          <w:sz w:val="17"/>
        </w:rPr>
      </w:pPr>
    </w:p>
    <w:p>
      <w:pPr>
        <w:spacing w:before="72"/>
        <w:ind w:left="1553" w:right="0" w:firstLine="0"/>
        <w:jc w:val="left"/>
        <w:rPr>
          <w:sz w:val="18"/>
        </w:rPr>
      </w:pPr>
      <w:r>
        <w:rPr>
          <w:color w:val="231F20"/>
          <w:sz w:val="18"/>
        </w:rPr>
        <w:t>Cuadro 4.         Costos variables, retornos y margen bruto, tomando en cuenta mano de obra y reemplazo de animales.</w:t>
      </w:r>
    </w:p>
    <w:p>
      <w:pPr>
        <w:pStyle w:val="BodyText"/>
        <w:spacing w:before="8"/>
        <w:rPr>
          <w:sz w:val="12"/>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014"/>
        <w:gridCol w:w="1587"/>
        <w:gridCol w:w="1587"/>
        <w:gridCol w:w="1587"/>
      </w:tblGrid>
      <w:tr>
        <w:trPr>
          <w:trHeight w:val="369" w:hRule="exact"/>
        </w:trPr>
        <w:tc>
          <w:tcPr>
            <w:tcW w:w="4014" w:type="dxa"/>
            <w:tcBorders>
              <w:left w:val="nil"/>
            </w:tcBorders>
          </w:tcPr>
          <w:p>
            <w:pPr/>
          </w:p>
        </w:tc>
        <w:tc>
          <w:tcPr>
            <w:tcW w:w="1587" w:type="dxa"/>
          </w:tcPr>
          <w:p>
            <w:pPr>
              <w:pStyle w:val="TableParagraph"/>
              <w:spacing w:before="79"/>
              <w:ind w:left="261"/>
              <w:rPr>
                <w:rFonts w:ascii="Cambria"/>
                <w:i/>
                <w:sz w:val="18"/>
              </w:rPr>
            </w:pPr>
            <w:r>
              <w:rPr>
                <w:rFonts w:ascii="Cambria"/>
                <w:i/>
                <w:color w:val="231F20"/>
                <w:w w:val="105"/>
                <w:sz w:val="18"/>
              </w:rPr>
              <w:t>Promedio ($)</w:t>
            </w:r>
          </w:p>
        </w:tc>
        <w:tc>
          <w:tcPr>
            <w:tcW w:w="1587" w:type="dxa"/>
          </w:tcPr>
          <w:p>
            <w:pPr>
              <w:pStyle w:val="TableParagraph"/>
              <w:spacing w:before="79"/>
              <w:ind w:left="325"/>
              <w:rPr>
                <w:rFonts w:ascii="Cambria" w:hAnsi="Cambria"/>
                <w:i/>
                <w:sz w:val="18"/>
              </w:rPr>
            </w:pPr>
            <w:r>
              <w:rPr>
                <w:rFonts w:ascii="Cambria" w:hAnsi="Cambria"/>
                <w:i/>
                <w:color w:val="231F20"/>
                <w:w w:val="105"/>
                <w:sz w:val="18"/>
              </w:rPr>
              <w:t>Máximo ($)</w:t>
            </w:r>
          </w:p>
        </w:tc>
        <w:tc>
          <w:tcPr>
            <w:tcW w:w="1587" w:type="dxa"/>
            <w:tcBorders>
              <w:right w:val="nil"/>
            </w:tcBorders>
          </w:tcPr>
          <w:p>
            <w:pPr>
              <w:pStyle w:val="TableParagraph"/>
              <w:spacing w:before="79"/>
              <w:ind w:right="347"/>
              <w:jc w:val="right"/>
              <w:rPr>
                <w:rFonts w:ascii="Cambria" w:hAnsi="Cambria"/>
                <w:i/>
                <w:sz w:val="18"/>
              </w:rPr>
            </w:pPr>
            <w:r>
              <w:rPr>
                <w:rFonts w:ascii="Cambria" w:hAnsi="Cambria"/>
                <w:i/>
                <w:color w:val="231F20"/>
                <w:w w:val="105"/>
                <w:sz w:val="18"/>
              </w:rPr>
              <w:t>Mínimo ($)</w:t>
            </w:r>
          </w:p>
        </w:tc>
      </w:tr>
      <w:tr>
        <w:trPr>
          <w:trHeight w:val="354" w:hRule="exact"/>
        </w:trPr>
        <w:tc>
          <w:tcPr>
            <w:tcW w:w="4014" w:type="dxa"/>
            <w:tcBorders>
              <w:left w:val="nil"/>
            </w:tcBorders>
          </w:tcPr>
          <w:p>
            <w:pPr>
              <w:pStyle w:val="TableParagraph"/>
              <w:ind w:left="113"/>
              <w:rPr>
                <w:sz w:val="17"/>
              </w:rPr>
            </w:pPr>
            <w:r>
              <w:rPr>
                <w:color w:val="231F20"/>
                <w:sz w:val="17"/>
              </w:rPr>
              <w:t>Costos variables</w:t>
            </w:r>
          </w:p>
        </w:tc>
        <w:tc>
          <w:tcPr>
            <w:tcW w:w="1587" w:type="dxa"/>
          </w:tcPr>
          <w:p>
            <w:pPr>
              <w:pStyle w:val="TableParagraph"/>
              <w:ind w:left="459"/>
              <w:rPr>
                <w:sz w:val="17"/>
              </w:rPr>
            </w:pPr>
            <w:r>
              <w:rPr>
                <w:color w:val="231F20"/>
                <w:w w:val="110"/>
                <w:sz w:val="17"/>
              </w:rPr>
              <w:t>59 615,17</w:t>
            </w:r>
          </w:p>
        </w:tc>
        <w:tc>
          <w:tcPr>
            <w:tcW w:w="1587" w:type="dxa"/>
          </w:tcPr>
          <w:p>
            <w:pPr>
              <w:pStyle w:val="TableParagraph"/>
              <w:ind w:left="462"/>
              <w:rPr>
                <w:sz w:val="17"/>
              </w:rPr>
            </w:pPr>
            <w:r>
              <w:rPr>
                <w:color w:val="231F20"/>
                <w:w w:val="115"/>
                <w:sz w:val="17"/>
              </w:rPr>
              <w:t>66 113,74</w:t>
            </w:r>
          </w:p>
        </w:tc>
        <w:tc>
          <w:tcPr>
            <w:tcW w:w="1587" w:type="dxa"/>
            <w:tcBorders>
              <w:right w:val="nil"/>
            </w:tcBorders>
          </w:tcPr>
          <w:p>
            <w:pPr>
              <w:pStyle w:val="TableParagraph"/>
              <w:ind w:right="394"/>
              <w:jc w:val="right"/>
              <w:rPr>
                <w:sz w:val="17"/>
              </w:rPr>
            </w:pPr>
            <w:r>
              <w:rPr>
                <w:color w:val="231F20"/>
                <w:w w:val="110"/>
                <w:sz w:val="17"/>
              </w:rPr>
              <w:t>55200,28</w:t>
            </w:r>
          </w:p>
        </w:tc>
      </w:tr>
      <w:tr>
        <w:trPr>
          <w:trHeight w:val="354" w:hRule="exact"/>
        </w:trPr>
        <w:tc>
          <w:tcPr>
            <w:tcW w:w="4014" w:type="dxa"/>
            <w:tcBorders>
              <w:left w:val="nil"/>
            </w:tcBorders>
          </w:tcPr>
          <w:p>
            <w:pPr>
              <w:pStyle w:val="TableParagraph"/>
              <w:ind w:left="113"/>
              <w:rPr>
                <w:sz w:val="17"/>
              </w:rPr>
            </w:pPr>
            <w:r>
              <w:rPr>
                <w:color w:val="231F20"/>
                <w:sz w:val="17"/>
              </w:rPr>
              <w:t>Compra alimentos</w:t>
            </w:r>
          </w:p>
        </w:tc>
        <w:tc>
          <w:tcPr>
            <w:tcW w:w="1587" w:type="dxa"/>
          </w:tcPr>
          <w:p>
            <w:pPr>
              <w:pStyle w:val="TableParagraph"/>
              <w:ind w:left="661"/>
              <w:rPr>
                <w:sz w:val="17"/>
              </w:rPr>
            </w:pPr>
            <w:r>
              <w:rPr>
                <w:color w:val="231F20"/>
                <w:w w:val="110"/>
                <w:sz w:val="17"/>
              </w:rPr>
              <w:t>242,50</w:t>
            </w:r>
          </w:p>
        </w:tc>
        <w:tc>
          <w:tcPr>
            <w:tcW w:w="1587" w:type="dxa"/>
          </w:tcPr>
          <w:p>
            <w:pPr>
              <w:pStyle w:val="TableParagraph"/>
              <w:ind w:left="658"/>
              <w:rPr>
                <w:sz w:val="17"/>
              </w:rPr>
            </w:pPr>
            <w:r>
              <w:rPr>
                <w:color w:val="231F20"/>
                <w:w w:val="110"/>
                <w:sz w:val="17"/>
              </w:rPr>
              <w:t>635,00</w:t>
            </w:r>
          </w:p>
        </w:tc>
        <w:tc>
          <w:tcPr>
            <w:tcW w:w="1587" w:type="dxa"/>
            <w:tcBorders>
              <w:right w:val="nil"/>
            </w:tcBorders>
          </w:tcPr>
          <w:p>
            <w:pPr>
              <w:pStyle w:val="TableParagraph"/>
              <w:ind w:right="394"/>
              <w:jc w:val="right"/>
              <w:rPr>
                <w:sz w:val="17"/>
              </w:rPr>
            </w:pPr>
            <w:r>
              <w:rPr>
                <w:color w:val="231F20"/>
                <w:w w:val="110"/>
                <w:sz w:val="17"/>
              </w:rPr>
              <w:t>0,00</w:t>
            </w:r>
          </w:p>
        </w:tc>
      </w:tr>
      <w:tr>
        <w:trPr>
          <w:trHeight w:val="354" w:hRule="exact"/>
        </w:trPr>
        <w:tc>
          <w:tcPr>
            <w:tcW w:w="4014" w:type="dxa"/>
            <w:tcBorders>
              <w:left w:val="nil"/>
            </w:tcBorders>
          </w:tcPr>
          <w:p>
            <w:pPr>
              <w:pStyle w:val="TableParagraph"/>
              <w:ind w:left="113"/>
              <w:rPr>
                <w:sz w:val="17"/>
              </w:rPr>
            </w:pPr>
            <w:r>
              <w:rPr>
                <w:color w:val="231F20"/>
                <w:w w:val="105"/>
                <w:sz w:val="17"/>
              </w:rPr>
              <w:t>Costos reemplazo</w:t>
            </w:r>
          </w:p>
        </w:tc>
        <w:tc>
          <w:tcPr>
            <w:tcW w:w="1587" w:type="dxa"/>
          </w:tcPr>
          <w:p>
            <w:pPr>
              <w:pStyle w:val="TableParagraph"/>
              <w:ind w:left="565"/>
              <w:rPr>
                <w:sz w:val="17"/>
              </w:rPr>
            </w:pPr>
            <w:r>
              <w:rPr>
                <w:color w:val="231F20"/>
                <w:w w:val="110"/>
                <w:sz w:val="17"/>
              </w:rPr>
              <w:t>4839,17</w:t>
            </w:r>
          </w:p>
        </w:tc>
        <w:tc>
          <w:tcPr>
            <w:tcW w:w="1587" w:type="dxa"/>
          </w:tcPr>
          <w:p>
            <w:pPr>
              <w:pStyle w:val="TableParagraph"/>
              <w:ind w:left="459"/>
              <w:rPr>
                <w:sz w:val="17"/>
              </w:rPr>
            </w:pPr>
            <w:r>
              <w:rPr>
                <w:color w:val="231F20"/>
                <w:w w:val="115"/>
                <w:sz w:val="17"/>
              </w:rPr>
              <w:t>11 363,74</w:t>
            </w:r>
          </w:p>
        </w:tc>
        <w:tc>
          <w:tcPr>
            <w:tcW w:w="1587" w:type="dxa"/>
            <w:tcBorders>
              <w:right w:val="nil"/>
            </w:tcBorders>
          </w:tcPr>
          <w:p>
            <w:pPr>
              <w:pStyle w:val="TableParagraph"/>
              <w:ind w:right="394"/>
              <w:jc w:val="right"/>
              <w:rPr>
                <w:sz w:val="17"/>
              </w:rPr>
            </w:pPr>
            <w:r>
              <w:rPr>
                <w:color w:val="231F20"/>
                <w:w w:val="110"/>
                <w:sz w:val="17"/>
              </w:rPr>
              <w:t>450,28</w:t>
            </w:r>
          </w:p>
        </w:tc>
      </w:tr>
      <w:tr>
        <w:trPr>
          <w:trHeight w:val="354" w:hRule="exact"/>
        </w:trPr>
        <w:tc>
          <w:tcPr>
            <w:tcW w:w="4014" w:type="dxa"/>
            <w:tcBorders>
              <w:left w:val="nil"/>
            </w:tcBorders>
          </w:tcPr>
          <w:p>
            <w:pPr>
              <w:pStyle w:val="TableParagraph"/>
              <w:ind w:left="113"/>
              <w:rPr>
                <w:sz w:val="17"/>
              </w:rPr>
            </w:pPr>
            <w:r>
              <w:rPr>
                <w:color w:val="231F20"/>
                <w:sz w:val="17"/>
              </w:rPr>
              <w:t>Mano de obra</w:t>
            </w:r>
          </w:p>
        </w:tc>
        <w:tc>
          <w:tcPr>
            <w:tcW w:w="1587" w:type="dxa"/>
          </w:tcPr>
          <w:p>
            <w:pPr>
              <w:pStyle w:val="TableParagraph"/>
              <w:ind w:left="448"/>
              <w:rPr>
                <w:sz w:val="17"/>
              </w:rPr>
            </w:pPr>
            <w:r>
              <w:rPr>
                <w:color w:val="231F20"/>
                <w:w w:val="115"/>
                <w:sz w:val="17"/>
              </w:rPr>
              <w:t>54750,00</w:t>
            </w:r>
          </w:p>
        </w:tc>
        <w:tc>
          <w:tcPr>
            <w:tcW w:w="1587" w:type="dxa"/>
          </w:tcPr>
          <w:p>
            <w:pPr>
              <w:pStyle w:val="TableParagraph"/>
              <w:ind w:right="281"/>
              <w:jc w:val="center"/>
              <w:rPr>
                <w:sz w:val="17"/>
              </w:rPr>
            </w:pPr>
            <w:r>
              <w:rPr>
                <w:color w:val="231F20"/>
                <w:w w:val="95"/>
                <w:sz w:val="17"/>
              </w:rPr>
              <w:t>-</w:t>
            </w:r>
          </w:p>
        </w:tc>
        <w:tc>
          <w:tcPr>
            <w:tcW w:w="1587" w:type="dxa"/>
            <w:tcBorders>
              <w:right w:val="nil"/>
            </w:tcBorders>
          </w:tcPr>
          <w:p>
            <w:pPr>
              <w:pStyle w:val="TableParagraph"/>
              <w:ind w:right="286"/>
              <w:jc w:val="center"/>
              <w:rPr>
                <w:sz w:val="17"/>
              </w:rPr>
            </w:pPr>
            <w:r>
              <w:rPr>
                <w:color w:val="231F20"/>
                <w:w w:val="95"/>
                <w:sz w:val="17"/>
              </w:rPr>
              <w:t>-</w:t>
            </w:r>
          </w:p>
        </w:tc>
      </w:tr>
      <w:tr>
        <w:trPr>
          <w:trHeight w:val="354" w:hRule="exact"/>
        </w:trPr>
        <w:tc>
          <w:tcPr>
            <w:tcW w:w="4014" w:type="dxa"/>
            <w:tcBorders>
              <w:left w:val="nil"/>
            </w:tcBorders>
          </w:tcPr>
          <w:p>
            <w:pPr>
              <w:pStyle w:val="TableParagraph"/>
              <w:ind w:left="113"/>
              <w:rPr>
                <w:sz w:val="17"/>
              </w:rPr>
            </w:pPr>
            <w:r>
              <w:rPr>
                <w:color w:val="231F20"/>
                <w:sz w:val="17"/>
              </w:rPr>
              <w:t>Retornos</w:t>
            </w:r>
          </w:p>
        </w:tc>
        <w:tc>
          <w:tcPr>
            <w:tcW w:w="1587" w:type="dxa"/>
          </w:tcPr>
          <w:p>
            <w:pPr>
              <w:pStyle w:val="TableParagraph"/>
              <w:ind w:left="448"/>
              <w:rPr>
                <w:sz w:val="17"/>
              </w:rPr>
            </w:pPr>
            <w:r>
              <w:rPr>
                <w:color w:val="231F20"/>
                <w:w w:val="115"/>
                <w:sz w:val="17"/>
              </w:rPr>
              <w:t>23755,42</w:t>
            </w:r>
          </w:p>
        </w:tc>
        <w:tc>
          <w:tcPr>
            <w:tcW w:w="1587" w:type="dxa"/>
          </w:tcPr>
          <w:p>
            <w:pPr>
              <w:pStyle w:val="TableParagraph"/>
              <w:ind w:left="441"/>
              <w:rPr>
                <w:sz w:val="17"/>
              </w:rPr>
            </w:pPr>
            <w:r>
              <w:rPr>
                <w:color w:val="231F20"/>
                <w:w w:val="115"/>
                <w:sz w:val="17"/>
              </w:rPr>
              <w:t>59943,57</w:t>
            </w:r>
          </w:p>
        </w:tc>
        <w:tc>
          <w:tcPr>
            <w:tcW w:w="1587" w:type="dxa"/>
            <w:tcBorders>
              <w:right w:val="nil"/>
            </w:tcBorders>
          </w:tcPr>
          <w:p>
            <w:pPr>
              <w:pStyle w:val="TableParagraph"/>
              <w:ind w:right="394"/>
              <w:jc w:val="right"/>
              <w:rPr>
                <w:sz w:val="17"/>
              </w:rPr>
            </w:pPr>
            <w:r>
              <w:rPr>
                <w:color w:val="231F20"/>
                <w:w w:val="110"/>
                <w:sz w:val="17"/>
              </w:rPr>
              <w:t>3996,24</w:t>
            </w:r>
          </w:p>
        </w:tc>
      </w:tr>
      <w:tr>
        <w:trPr>
          <w:trHeight w:val="354" w:hRule="exact"/>
        </w:trPr>
        <w:tc>
          <w:tcPr>
            <w:tcW w:w="4014" w:type="dxa"/>
            <w:tcBorders>
              <w:left w:val="nil"/>
            </w:tcBorders>
          </w:tcPr>
          <w:p>
            <w:pPr>
              <w:pStyle w:val="TableParagraph"/>
              <w:ind w:left="113"/>
              <w:rPr>
                <w:sz w:val="17"/>
              </w:rPr>
            </w:pPr>
            <w:r>
              <w:rPr>
                <w:color w:val="231F20"/>
                <w:sz w:val="17"/>
              </w:rPr>
              <w:t>Margen bruto</w:t>
            </w:r>
          </w:p>
        </w:tc>
        <w:tc>
          <w:tcPr>
            <w:tcW w:w="1587" w:type="dxa"/>
          </w:tcPr>
          <w:p>
            <w:pPr>
              <w:pStyle w:val="TableParagraph"/>
              <w:ind w:left="356"/>
              <w:rPr>
                <w:sz w:val="17"/>
              </w:rPr>
            </w:pPr>
            <w:r>
              <w:rPr>
                <w:color w:val="231F20"/>
                <w:w w:val="115"/>
                <w:sz w:val="17"/>
              </w:rPr>
              <w:t>–35859,75</w:t>
            </w:r>
          </w:p>
        </w:tc>
        <w:tc>
          <w:tcPr>
            <w:tcW w:w="1587" w:type="dxa"/>
          </w:tcPr>
          <w:p>
            <w:pPr>
              <w:pStyle w:val="TableParagraph"/>
              <w:ind w:left="463"/>
              <w:rPr>
                <w:sz w:val="17"/>
              </w:rPr>
            </w:pPr>
            <w:r>
              <w:rPr>
                <w:color w:val="231F20"/>
                <w:w w:val="115"/>
                <w:sz w:val="17"/>
              </w:rPr>
              <w:t>–3500,63</w:t>
            </w:r>
          </w:p>
        </w:tc>
        <w:tc>
          <w:tcPr>
            <w:tcW w:w="1587" w:type="dxa"/>
            <w:tcBorders>
              <w:right w:val="nil"/>
            </w:tcBorders>
          </w:tcPr>
          <w:p>
            <w:pPr>
              <w:pStyle w:val="TableParagraph"/>
              <w:ind w:right="394"/>
              <w:jc w:val="right"/>
              <w:rPr>
                <w:sz w:val="17"/>
              </w:rPr>
            </w:pPr>
            <w:r>
              <w:rPr>
                <w:color w:val="231F20"/>
                <w:w w:val="115"/>
                <w:sz w:val="17"/>
              </w:rPr>
              <w:t>–51204,04</w:t>
            </w:r>
          </w:p>
        </w:tc>
      </w:tr>
    </w:tbl>
    <w:p>
      <w:pPr>
        <w:pStyle w:val="BodyText"/>
      </w:pPr>
    </w:p>
    <w:p>
      <w:pPr>
        <w:pStyle w:val="BodyText"/>
        <w:spacing w:before="10"/>
      </w:pPr>
    </w:p>
    <w:p>
      <w:pPr>
        <w:spacing w:after="0"/>
        <w:sectPr>
          <w:pgSz w:w="11900" w:h="14450"/>
          <w:pgMar w:header="0" w:footer="222" w:top="420" w:bottom="420" w:left="0" w:right="0"/>
        </w:sectPr>
      </w:pPr>
    </w:p>
    <w:p>
      <w:pPr>
        <w:pStyle w:val="BodyText"/>
        <w:spacing w:line="264" w:lineRule="auto" w:before="68"/>
        <w:ind w:left="1553"/>
        <w:jc w:val="both"/>
      </w:pPr>
      <w:r>
        <w:rPr>
          <w:color w:val="231F20"/>
        </w:rPr>
        <w:t>Rebollar </w:t>
      </w:r>
      <w:r>
        <w:rPr>
          <w:i/>
          <w:color w:val="231F20"/>
        </w:rPr>
        <w:t>et al</w:t>
      </w:r>
      <w:r>
        <w:rPr>
          <w:color w:val="231F20"/>
        </w:rPr>
        <w:t>. </w:t>
      </w:r>
      <w:r>
        <w:rPr>
          <w:color w:val="231F20"/>
          <w:spacing w:val="-4"/>
        </w:rPr>
        <w:t>(2012) </w:t>
      </w:r>
      <w:r>
        <w:rPr>
          <w:color w:val="231F20"/>
        </w:rPr>
        <w:t>señalan que, al considerar el rubro de mano de obra familiar en la contabilidad total de los sistemas caprinos extensivos en el Es- tado de México, el sistema no sobreviviría de no ser por el aporte de la economía familiar, lo cual concuerda con lo observado en el presente traba- jo. Pero bajo el marco de la contabilidad analítica debe considerarse como tal (Acero </w:t>
      </w:r>
      <w:r>
        <w:rPr>
          <w:i/>
          <w:color w:val="231F20"/>
        </w:rPr>
        <w:t>et al</w:t>
      </w:r>
      <w:r>
        <w:rPr>
          <w:color w:val="231F20"/>
        </w:rPr>
        <w:t>. 2004), y   la totalidad de los productores tienen un margen bruto negativo, con lo cual se reafirma la impor- tancia de la mano de obra familiar en los sistemas  a pequeña escala y de economía de naturaleza campesina (Cuadro 5), ya que se observa que en todos los casos hay  márgenes  positivos  aunque  el margen bruto no permite tener una ganancia   de</w:t>
      </w:r>
      <w:r>
        <w:rPr>
          <w:color w:val="231F20"/>
          <w:spacing w:val="32"/>
        </w:rPr>
        <w:t> </w:t>
      </w:r>
      <w:r>
        <w:rPr>
          <w:color w:val="231F20"/>
        </w:rPr>
        <w:t>$59,0</w:t>
      </w:r>
      <w:r>
        <w:rPr>
          <w:color w:val="231F20"/>
          <w:spacing w:val="32"/>
        </w:rPr>
        <w:t> </w:t>
      </w:r>
      <w:r>
        <w:rPr>
          <w:color w:val="231F20"/>
        </w:rPr>
        <w:t>por</w:t>
      </w:r>
      <w:r>
        <w:rPr>
          <w:color w:val="231F20"/>
          <w:spacing w:val="32"/>
        </w:rPr>
        <w:t> </w:t>
      </w:r>
      <w:r>
        <w:rPr>
          <w:color w:val="231F20"/>
        </w:rPr>
        <w:t>día</w:t>
      </w:r>
      <w:r>
        <w:rPr>
          <w:color w:val="231F20"/>
          <w:spacing w:val="32"/>
        </w:rPr>
        <w:t> </w:t>
      </w:r>
      <w:r>
        <w:rPr>
          <w:color w:val="231F20"/>
        </w:rPr>
        <w:t>laborado,</w:t>
      </w:r>
      <w:r>
        <w:rPr>
          <w:color w:val="231F20"/>
          <w:spacing w:val="32"/>
        </w:rPr>
        <w:t> </w:t>
      </w:r>
      <w:r>
        <w:rPr>
          <w:color w:val="231F20"/>
        </w:rPr>
        <w:t>que</w:t>
      </w:r>
      <w:r>
        <w:rPr>
          <w:color w:val="231F20"/>
          <w:spacing w:val="32"/>
        </w:rPr>
        <w:t> </w:t>
      </w:r>
      <w:r>
        <w:rPr>
          <w:color w:val="231F20"/>
        </w:rPr>
        <w:t>es</w:t>
      </w:r>
      <w:r>
        <w:rPr>
          <w:color w:val="231F20"/>
          <w:spacing w:val="32"/>
        </w:rPr>
        <w:t> </w:t>
      </w:r>
      <w:r>
        <w:rPr>
          <w:color w:val="231F20"/>
        </w:rPr>
        <w:t>un</w:t>
      </w:r>
      <w:r>
        <w:rPr>
          <w:color w:val="231F20"/>
          <w:spacing w:val="32"/>
        </w:rPr>
        <w:t> </w:t>
      </w:r>
      <w:r>
        <w:rPr>
          <w:color w:val="231F20"/>
        </w:rPr>
        <w:t>salario</w:t>
      </w:r>
      <w:r>
        <w:rPr>
          <w:color w:val="231F20"/>
          <w:spacing w:val="32"/>
        </w:rPr>
        <w:t> </w:t>
      </w:r>
      <w:r>
        <w:rPr>
          <w:color w:val="231F20"/>
        </w:rPr>
        <w:t>mí-</w:t>
      </w:r>
    </w:p>
    <w:p>
      <w:pPr>
        <w:pStyle w:val="BodyText"/>
        <w:spacing w:line="264" w:lineRule="auto" w:before="68"/>
        <w:ind w:left="412" w:right="1551"/>
        <w:jc w:val="both"/>
      </w:pPr>
      <w:r>
        <w:rPr/>
        <w:br w:type="column"/>
      </w:r>
      <w:r>
        <w:rPr>
          <w:color w:val="231F20"/>
        </w:rPr>
        <w:t>nimo tomando como referencia el Distrito Fede- ral. En el presente trabajo no se consideran los costos fijos porque las instalaciones rústicas tienen más de </w:t>
      </w:r>
      <w:r>
        <w:rPr>
          <w:color w:val="231F20"/>
          <w:spacing w:val="-5"/>
        </w:rPr>
        <w:t>10 </w:t>
      </w:r>
      <w:r>
        <w:rPr>
          <w:color w:val="231F20"/>
        </w:rPr>
        <w:t>años y no es posible asignarles un cos-  to de oportunidad o un valor de amortización. En  el caso del productor que obtuvo un mayor mar- gen, éste representa hasta 2,8 salarios  mínimos por día laborado en esta actividad, lo que refleja   su potencial en una localidad de alta marginación. En promedio, los productores tienen un margen bruto mensual de </w:t>
      </w:r>
      <w:r>
        <w:rPr>
          <w:color w:val="231F20"/>
          <w:spacing w:val="-7"/>
        </w:rPr>
        <w:t>$1797,24,</w:t>
      </w:r>
      <w:r>
        <w:rPr>
          <w:color w:val="231F20"/>
          <w:spacing w:val="31"/>
        </w:rPr>
        <w:t> </w:t>
      </w:r>
      <w:r>
        <w:rPr>
          <w:color w:val="231F20"/>
        </w:rPr>
        <w:t>lo  que  demuestra  que las explotaciones caprinas en  la  comunidad de Las Cañas son una fuente de ahorro. Se estimó, por expresión de los mismos productores, que el 2% de la población de Las Cañas se dedica a esta actividad.</w:t>
      </w:r>
    </w:p>
    <w:p>
      <w:pPr>
        <w:spacing w:after="0" w:line="264"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14.      </w:t>
      </w:r>
      <w:r>
        <w:rPr>
          <w:color w:val="231F20"/>
          <w:spacing w:val="1"/>
          <w:sz w:val="18"/>
        </w:rPr>
        <w:t> </w:t>
      </w:r>
      <w:r>
        <w:rPr>
          <w:color w:val="231F20"/>
          <w:sz w:val="18"/>
        </w:rPr>
        <w:t>Contribución de la caprinocultura al desarrollo rural en el trópico seco del Bajo</w:t>
      </w:r>
      <w:r>
        <w:rPr>
          <w:color w:val="231F20"/>
          <w:spacing w:val="12"/>
          <w:sz w:val="18"/>
        </w:rPr>
        <w:t> </w:t>
      </w:r>
      <w:r>
        <w:rPr>
          <w:color w:val="231F20"/>
          <w:sz w:val="18"/>
        </w:rPr>
        <w:t>Balsas</w:t>
      </w:r>
      <w:r>
        <w:rPr>
          <w:color w:val="231F20"/>
          <w:sz w:val="22"/>
        </w:rPr>
        <w:tab/>
      </w:r>
      <w:r>
        <w:rPr>
          <w:color w:val="231F20"/>
          <w:spacing w:val="-8"/>
          <w:sz w:val="22"/>
        </w:rPr>
        <w:t>219</w:t>
      </w:r>
    </w:p>
    <w:p>
      <w:pPr>
        <w:spacing w:after="0"/>
        <w:jc w:val="left"/>
        <w:rPr>
          <w:sz w:val="22"/>
        </w:rPr>
        <w:sectPr>
          <w:pgSz w:w="11900" w:h="14450"/>
          <w:pgMar w:header="0" w:footer="222" w:top="420" w:bottom="420" w:left="0" w:right="0"/>
        </w:sectPr>
      </w:pPr>
    </w:p>
    <w:p>
      <w:pPr>
        <w:pStyle w:val="BodyText"/>
        <w:rPr>
          <w:sz w:val="18"/>
        </w:rPr>
      </w:pPr>
    </w:p>
    <w:p>
      <w:pPr>
        <w:spacing w:line="288" w:lineRule="auto" w:before="129"/>
        <w:ind w:left="1553" w:right="0" w:firstLine="0"/>
        <w:jc w:val="both"/>
        <w:rPr>
          <w:sz w:val="18"/>
        </w:rPr>
      </w:pPr>
      <w:r>
        <w:rPr>
          <w:color w:val="231F20"/>
          <w:sz w:val="18"/>
        </w:rPr>
        <w:t>Cuadro 5. Costos variables, retornos  y  margen  bruto, sin tomar en cuenta mano de obra y reemplazo de ani- males.</w:t>
      </w:r>
    </w:p>
    <w:p>
      <w:pPr>
        <w:pStyle w:val="BodyText"/>
        <w:spacing w:before="8"/>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13"/>
        <w:gridCol w:w="964"/>
        <w:gridCol w:w="978"/>
        <w:gridCol w:w="902"/>
      </w:tblGrid>
      <w:tr>
        <w:trPr>
          <w:trHeight w:val="629" w:hRule="exact"/>
        </w:trPr>
        <w:tc>
          <w:tcPr>
            <w:tcW w:w="1313" w:type="dxa"/>
            <w:tcBorders>
              <w:left w:val="nil"/>
            </w:tcBorders>
          </w:tcPr>
          <w:p>
            <w:pPr/>
          </w:p>
        </w:tc>
        <w:tc>
          <w:tcPr>
            <w:tcW w:w="964" w:type="dxa"/>
          </w:tcPr>
          <w:p>
            <w:pPr>
              <w:pStyle w:val="TableParagraph"/>
              <w:spacing w:line="295" w:lineRule="auto" w:before="79"/>
              <w:ind w:left="362" w:right="82" w:hanging="272"/>
              <w:rPr>
                <w:rFonts w:ascii="Cambria"/>
                <w:i/>
                <w:sz w:val="18"/>
              </w:rPr>
            </w:pPr>
            <w:r>
              <w:rPr>
                <w:rFonts w:ascii="Cambria"/>
                <w:i/>
                <w:color w:val="231F20"/>
                <w:w w:val="105"/>
                <w:sz w:val="18"/>
              </w:rPr>
              <w:t>Promedio </w:t>
            </w:r>
            <w:r>
              <w:rPr>
                <w:rFonts w:ascii="Cambria"/>
                <w:i/>
                <w:color w:val="231F20"/>
                <w:w w:val="105"/>
                <w:sz w:val="18"/>
              </w:rPr>
              <w:t>($)</w:t>
            </w:r>
          </w:p>
        </w:tc>
        <w:tc>
          <w:tcPr>
            <w:tcW w:w="978" w:type="dxa"/>
          </w:tcPr>
          <w:p>
            <w:pPr>
              <w:pStyle w:val="TableParagraph"/>
              <w:spacing w:line="295" w:lineRule="auto" w:before="79"/>
              <w:ind w:left="369" w:right="155" w:hanging="208"/>
              <w:rPr>
                <w:rFonts w:ascii="Cambria" w:hAnsi="Cambria"/>
                <w:i/>
                <w:sz w:val="18"/>
              </w:rPr>
            </w:pPr>
            <w:r>
              <w:rPr>
                <w:rFonts w:ascii="Cambria" w:hAnsi="Cambria"/>
                <w:i/>
                <w:color w:val="231F20"/>
                <w:w w:val="105"/>
                <w:sz w:val="18"/>
              </w:rPr>
              <w:t>Máximo </w:t>
            </w:r>
            <w:r>
              <w:rPr>
                <w:rFonts w:ascii="Cambria" w:hAnsi="Cambria"/>
                <w:i/>
                <w:color w:val="231F20"/>
                <w:w w:val="105"/>
                <w:sz w:val="18"/>
              </w:rPr>
              <w:t>($)</w:t>
            </w:r>
          </w:p>
        </w:tc>
        <w:tc>
          <w:tcPr>
            <w:tcW w:w="902" w:type="dxa"/>
            <w:tcBorders>
              <w:right w:val="nil"/>
            </w:tcBorders>
          </w:tcPr>
          <w:p>
            <w:pPr>
              <w:pStyle w:val="TableParagraph"/>
              <w:spacing w:line="295" w:lineRule="auto" w:before="79"/>
              <w:ind w:left="331" w:right="136" w:hanging="190"/>
              <w:rPr>
                <w:rFonts w:ascii="Cambria" w:hAnsi="Cambria"/>
                <w:i/>
                <w:sz w:val="18"/>
              </w:rPr>
            </w:pPr>
            <w:r>
              <w:rPr>
                <w:rFonts w:ascii="Cambria" w:hAnsi="Cambria"/>
                <w:i/>
                <w:color w:val="231F20"/>
                <w:w w:val="105"/>
                <w:sz w:val="18"/>
              </w:rPr>
              <w:t>Mínimo </w:t>
            </w:r>
            <w:r>
              <w:rPr>
                <w:rFonts w:ascii="Cambria" w:hAnsi="Cambria"/>
                <w:i/>
                <w:color w:val="231F20"/>
                <w:w w:val="105"/>
                <w:sz w:val="18"/>
              </w:rPr>
              <w:t>($)</w:t>
            </w:r>
          </w:p>
        </w:tc>
      </w:tr>
      <w:tr>
        <w:trPr>
          <w:trHeight w:val="354" w:hRule="exact"/>
        </w:trPr>
        <w:tc>
          <w:tcPr>
            <w:tcW w:w="1313" w:type="dxa"/>
            <w:tcBorders>
              <w:left w:val="nil"/>
            </w:tcBorders>
          </w:tcPr>
          <w:p>
            <w:pPr>
              <w:pStyle w:val="TableParagraph"/>
              <w:ind w:left="113"/>
              <w:rPr>
                <w:sz w:val="17"/>
              </w:rPr>
            </w:pPr>
            <w:r>
              <w:rPr>
                <w:color w:val="231F20"/>
                <w:sz w:val="17"/>
              </w:rPr>
              <w:t>Costos variables</w:t>
            </w:r>
          </w:p>
        </w:tc>
        <w:tc>
          <w:tcPr>
            <w:tcW w:w="964" w:type="dxa"/>
          </w:tcPr>
          <w:p>
            <w:pPr>
              <w:pStyle w:val="TableParagraph"/>
              <w:ind w:right="49"/>
              <w:jc w:val="right"/>
              <w:rPr>
                <w:sz w:val="17"/>
              </w:rPr>
            </w:pPr>
            <w:r>
              <w:rPr>
                <w:color w:val="231F20"/>
                <w:w w:val="110"/>
                <w:sz w:val="17"/>
              </w:rPr>
              <w:t>2188,50</w:t>
            </w:r>
          </w:p>
        </w:tc>
        <w:tc>
          <w:tcPr>
            <w:tcW w:w="978" w:type="dxa"/>
          </w:tcPr>
          <w:p>
            <w:pPr>
              <w:pStyle w:val="TableParagraph"/>
              <w:ind w:right="49"/>
              <w:jc w:val="right"/>
              <w:rPr>
                <w:sz w:val="17"/>
              </w:rPr>
            </w:pPr>
            <w:r>
              <w:rPr>
                <w:color w:val="231F20"/>
                <w:w w:val="110"/>
                <w:sz w:val="17"/>
              </w:rPr>
              <w:t>5360,00</w:t>
            </w:r>
          </w:p>
        </w:tc>
        <w:tc>
          <w:tcPr>
            <w:tcW w:w="902" w:type="dxa"/>
            <w:tcBorders>
              <w:right w:val="nil"/>
            </w:tcBorders>
          </w:tcPr>
          <w:p>
            <w:pPr>
              <w:pStyle w:val="TableParagraph"/>
              <w:ind w:right="54"/>
              <w:jc w:val="right"/>
              <w:rPr>
                <w:sz w:val="17"/>
              </w:rPr>
            </w:pPr>
            <w:r>
              <w:rPr>
                <w:color w:val="231F20"/>
                <w:w w:val="110"/>
                <w:sz w:val="17"/>
              </w:rPr>
              <w:t>0,00</w:t>
            </w:r>
          </w:p>
        </w:tc>
      </w:tr>
      <w:tr>
        <w:trPr>
          <w:trHeight w:val="354" w:hRule="exact"/>
        </w:trPr>
        <w:tc>
          <w:tcPr>
            <w:tcW w:w="1313" w:type="dxa"/>
            <w:tcBorders>
              <w:left w:val="nil"/>
            </w:tcBorders>
          </w:tcPr>
          <w:p>
            <w:pPr>
              <w:pStyle w:val="TableParagraph"/>
              <w:ind w:left="113"/>
              <w:rPr>
                <w:sz w:val="17"/>
              </w:rPr>
            </w:pPr>
            <w:r>
              <w:rPr>
                <w:color w:val="231F20"/>
                <w:sz w:val="17"/>
              </w:rPr>
              <w:t>Retornos</w:t>
            </w:r>
          </w:p>
        </w:tc>
        <w:tc>
          <w:tcPr>
            <w:tcW w:w="964" w:type="dxa"/>
          </w:tcPr>
          <w:p>
            <w:pPr>
              <w:pStyle w:val="TableParagraph"/>
              <w:ind w:right="49"/>
              <w:jc w:val="right"/>
              <w:rPr>
                <w:sz w:val="17"/>
              </w:rPr>
            </w:pPr>
            <w:r>
              <w:rPr>
                <w:color w:val="231F20"/>
                <w:w w:val="110"/>
                <w:sz w:val="17"/>
              </w:rPr>
              <w:t>23755,42</w:t>
            </w:r>
          </w:p>
        </w:tc>
        <w:tc>
          <w:tcPr>
            <w:tcW w:w="978" w:type="dxa"/>
          </w:tcPr>
          <w:p>
            <w:pPr>
              <w:pStyle w:val="TableParagraph"/>
              <w:ind w:right="49"/>
              <w:jc w:val="right"/>
              <w:rPr>
                <w:sz w:val="17"/>
              </w:rPr>
            </w:pPr>
            <w:r>
              <w:rPr>
                <w:color w:val="231F20"/>
                <w:w w:val="110"/>
                <w:sz w:val="17"/>
              </w:rPr>
              <w:t>59943,57</w:t>
            </w:r>
          </w:p>
        </w:tc>
        <w:tc>
          <w:tcPr>
            <w:tcW w:w="902" w:type="dxa"/>
            <w:tcBorders>
              <w:right w:val="nil"/>
            </w:tcBorders>
          </w:tcPr>
          <w:p>
            <w:pPr>
              <w:pStyle w:val="TableParagraph"/>
              <w:ind w:right="54"/>
              <w:jc w:val="right"/>
              <w:rPr>
                <w:sz w:val="17"/>
              </w:rPr>
            </w:pPr>
            <w:r>
              <w:rPr>
                <w:color w:val="231F20"/>
                <w:w w:val="110"/>
                <w:sz w:val="17"/>
              </w:rPr>
              <w:t>3996,24</w:t>
            </w:r>
          </w:p>
        </w:tc>
      </w:tr>
      <w:tr>
        <w:trPr>
          <w:trHeight w:val="354" w:hRule="exact"/>
        </w:trPr>
        <w:tc>
          <w:tcPr>
            <w:tcW w:w="1313" w:type="dxa"/>
            <w:tcBorders>
              <w:left w:val="nil"/>
            </w:tcBorders>
          </w:tcPr>
          <w:p>
            <w:pPr>
              <w:pStyle w:val="TableParagraph"/>
              <w:ind w:left="113"/>
              <w:rPr>
                <w:sz w:val="17"/>
              </w:rPr>
            </w:pPr>
            <w:r>
              <w:rPr>
                <w:color w:val="231F20"/>
                <w:sz w:val="17"/>
              </w:rPr>
              <w:t>Margen bruto</w:t>
            </w:r>
          </w:p>
        </w:tc>
        <w:tc>
          <w:tcPr>
            <w:tcW w:w="964" w:type="dxa"/>
          </w:tcPr>
          <w:p>
            <w:pPr>
              <w:pStyle w:val="TableParagraph"/>
              <w:ind w:right="49"/>
              <w:jc w:val="right"/>
              <w:rPr>
                <w:sz w:val="17"/>
              </w:rPr>
            </w:pPr>
            <w:r>
              <w:rPr>
                <w:color w:val="231F20"/>
                <w:w w:val="110"/>
                <w:sz w:val="17"/>
              </w:rPr>
              <w:t>21566,92</w:t>
            </w:r>
          </w:p>
        </w:tc>
        <w:tc>
          <w:tcPr>
            <w:tcW w:w="978" w:type="dxa"/>
          </w:tcPr>
          <w:p>
            <w:pPr>
              <w:pStyle w:val="TableParagraph"/>
              <w:ind w:right="49"/>
              <w:jc w:val="right"/>
              <w:rPr>
                <w:sz w:val="17"/>
              </w:rPr>
            </w:pPr>
            <w:r>
              <w:rPr>
                <w:color w:val="231F20"/>
                <w:w w:val="110"/>
                <w:sz w:val="17"/>
              </w:rPr>
              <w:t>58003,57</w:t>
            </w:r>
          </w:p>
        </w:tc>
        <w:tc>
          <w:tcPr>
            <w:tcW w:w="902" w:type="dxa"/>
            <w:tcBorders>
              <w:right w:val="nil"/>
            </w:tcBorders>
          </w:tcPr>
          <w:p>
            <w:pPr>
              <w:pStyle w:val="TableParagraph"/>
              <w:ind w:right="54"/>
              <w:jc w:val="right"/>
              <w:rPr>
                <w:sz w:val="17"/>
              </w:rPr>
            </w:pPr>
            <w:r>
              <w:rPr>
                <w:color w:val="231F20"/>
                <w:w w:val="110"/>
                <w:sz w:val="17"/>
              </w:rPr>
              <w:t>3996,24</w:t>
            </w:r>
          </w:p>
        </w:tc>
      </w:tr>
    </w:tbl>
    <w:p>
      <w:pPr>
        <w:pStyle w:val="BodyText"/>
        <w:rPr>
          <w:sz w:val="18"/>
        </w:rPr>
      </w:pPr>
    </w:p>
    <w:p>
      <w:pPr>
        <w:pStyle w:val="BodyText"/>
        <w:rPr>
          <w:sz w:val="14"/>
        </w:rPr>
      </w:pPr>
    </w:p>
    <w:p>
      <w:pPr>
        <w:pStyle w:val="BodyText"/>
        <w:ind w:left="1553"/>
        <w:jc w:val="both"/>
      </w:pPr>
      <w:r>
        <w:rPr>
          <w:color w:val="231F20"/>
          <w:w w:val="115"/>
        </w:rPr>
        <w:t>CONCLUSIONES</w:t>
      </w:r>
    </w:p>
    <w:p>
      <w:pPr>
        <w:pStyle w:val="BodyText"/>
        <w:spacing w:line="259" w:lineRule="auto" w:before="134"/>
        <w:ind w:left="1553"/>
        <w:jc w:val="both"/>
      </w:pPr>
      <w:r>
        <w:rPr>
          <w:color w:val="231F20"/>
        </w:rPr>
        <w:t>Se pudo observar que, a pesar de tener bajos in- dicadores reproductivos, la actividad genera már- genes en efectivo positivos superiores al salario mínimo. Estos resultados pueden atribuirse a di- versos factores, como la mano de obra familiar, el eficiente uso de los recursos naturales disponibles por parte de las cabras, el hecho de que éstas sean muy prolíficas y la poca dependencia de insumos externos. Esta actividad representa</w:t>
      </w:r>
      <w:r>
        <w:rPr>
          <w:color w:val="231F20"/>
          <w:spacing w:val="25"/>
        </w:rPr>
        <w:t> </w:t>
      </w:r>
      <w:r>
        <w:rPr>
          <w:color w:val="231F20"/>
        </w:rPr>
        <w:t>una</w:t>
      </w:r>
      <w:r>
        <w:rPr>
          <w:color w:val="231F20"/>
          <w:spacing w:val="6"/>
        </w:rPr>
        <w:t> </w:t>
      </w:r>
      <w:r>
        <w:rPr>
          <w:color w:val="231F20"/>
        </w:rPr>
        <w:t>alternativa</w:t>
      </w:r>
      <w:r>
        <w:rPr>
          <w:color w:val="231F20"/>
          <w:w w:val="95"/>
        </w:rPr>
        <w:t> </w:t>
      </w:r>
      <w:r>
        <w:rPr>
          <w:color w:val="231F20"/>
        </w:rPr>
        <w:t>para disminuir la pobreza en las regiones margi- nadas con un régimen climático árido y limitada disponibilidad de recursos para ser empleados en  la alimentación, como es el caso de Las Cañas. Así mismo, mediante una revisión de la literatura</w:t>
      </w:r>
      <w:r>
        <w:rPr>
          <w:color w:val="231F20"/>
          <w:spacing w:val="-5"/>
        </w:rPr>
        <w:t> </w:t>
      </w:r>
      <w:r>
        <w:rPr>
          <w:color w:val="231F20"/>
        </w:rPr>
        <w:t>pudo apreciarse que son pocos los trabajos publicados en este tenor, que aún menor es la información de estadísticas oficiales y que, además, la</w:t>
      </w:r>
      <w:r>
        <w:rPr>
          <w:color w:val="231F20"/>
          <w:spacing w:val="10"/>
        </w:rPr>
        <w:t> </w:t>
      </w:r>
      <w:r>
        <w:rPr>
          <w:color w:val="231F20"/>
        </w:rPr>
        <w:t>existente</w:t>
      </w:r>
      <w:r>
        <w:rPr>
          <w:color w:val="231F20"/>
          <w:spacing w:val="1"/>
        </w:rPr>
        <w:t> </w:t>
      </w:r>
      <w:r>
        <w:rPr>
          <w:color w:val="231F20"/>
        </w:rPr>
        <w:t>no</w:t>
      </w:r>
      <w:r>
        <w:rPr>
          <w:color w:val="231F20"/>
          <w:w w:val="102"/>
        </w:rPr>
        <w:t> </w:t>
      </w:r>
      <w:r>
        <w:rPr>
          <w:color w:val="231F20"/>
        </w:rPr>
        <w:t>es</w:t>
      </w:r>
      <w:r>
        <w:rPr>
          <w:color w:val="231F20"/>
          <w:spacing w:val="16"/>
        </w:rPr>
        <w:t> </w:t>
      </w:r>
      <w:r>
        <w:rPr>
          <w:color w:val="231F20"/>
        </w:rPr>
        <w:t>concordante.</w:t>
      </w:r>
    </w:p>
    <w:p>
      <w:pPr>
        <w:pStyle w:val="BodyText"/>
      </w:pPr>
    </w:p>
    <w:p>
      <w:pPr>
        <w:pStyle w:val="BodyText"/>
        <w:spacing w:before="153"/>
        <w:ind w:left="1553"/>
        <w:jc w:val="both"/>
      </w:pPr>
      <w:r>
        <w:rPr>
          <w:color w:val="231F20"/>
          <w:w w:val="110"/>
        </w:rPr>
        <w:t>BIBLIOGRAFÍA</w:t>
      </w:r>
    </w:p>
    <w:p>
      <w:pPr>
        <w:spacing w:line="266" w:lineRule="auto" w:before="133"/>
        <w:ind w:left="1837" w:right="0" w:hanging="284"/>
        <w:jc w:val="both"/>
        <w:rPr>
          <w:sz w:val="18"/>
        </w:rPr>
      </w:pPr>
      <w:r>
        <w:rPr>
          <w:color w:val="231F20"/>
          <w:sz w:val="18"/>
        </w:rPr>
        <w:t>Acero R., García A., Ceular N., Artacho C., Marlos J. (2004). Aproximación metodológica a la determina- ción de costes en la empresa ganadera. </w:t>
      </w:r>
      <w:r>
        <w:rPr>
          <w:i/>
          <w:color w:val="231F20"/>
          <w:sz w:val="18"/>
        </w:rPr>
        <w:t>Archivos de </w:t>
      </w:r>
      <w:r>
        <w:rPr>
          <w:i/>
          <w:color w:val="231F20"/>
          <w:sz w:val="18"/>
        </w:rPr>
        <w:t>Zootecnia,  </w:t>
      </w:r>
      <w:r>
        <w:rPr>
          <w:color w:val="231F20"/>
          <w:sz w:val="18"/>
        </w:rPr>
        <w:t>53:  91-94.</w:t>
      </w:r>
    </w:p>
    <w:p>
      <w:pPr>
        <w:spacing w:line="266" w:lineRule="auto" w:before="57"/>
        <w:ind w:left="1837" w:right="0" w:hanging="284"/>
        <w:jc w:val="both"/>
        <w:rPr>
          <w:sz w:val="18"/>
        </w:rPr>
      </w:pPr>
      <w:r>
        <w:rPr>
          <w:color w:val="231F20"/>
          <w:sz w:val="18"/>
        </w:rPr>
        <w:t>Aréchiga C.F., Aguilera J.I., Rincón R.M., Méndez de Lara S., Banuelos V.R., Meza-Herrera C.A. (2008). Situa- ción actual y perspectivas de la producción caprina ante el reto de la globalización. </w:t>
      </w:r>
      <w:r>
        <w:rPr>
          <w:i/>
          <w:color w:val="231F20"/>
          <w:sz w:val="18"/>
        </w:rPr>
        <w:t>Tropical and Subtro- </w:t>
      </w:r>
      <w:r>
        <w:rPr>
          <w:i/>
          <w:color w:val="231F20"/>
          <w:sz w:val="18"/>
        </w:rPr>
        <w:t>pical  Agroecosystems,  </w:t>
      </w:r>
      <w:r>
        <w:rPr>
          <w:color w:val="231F20"/>
          <w:sz w:val="18"/>
        </w:rPr>
        <w:t>9: 1-14.</w:t>
      </w:r>
    </w:p>
    <w:p>
      <w:pPr>
        <w:pStyle w:val="BodyText"/>
        <w:rPr>
          <w:sz w:val="18"/>
        </w:rPr>
      </w:pPr>
      <w:r>
        <w:rPr/>
        <w:br w:type="column"/>
      </w:r>
      <w:r>
        <w:rPr>
          <w:sz w:val="18"/>
        </w:rPr>
      </w:r>
    </w:p>
    <w:p>
      <w:pPr>
        <w:spacing w:line="266" w:lineRule="auto" w:before="129"/>
        <w:ind w:left="696" w:right="1551" w:hanging="284"/>
        <w:jc w:val="both"/>
        <w:rPr>
          <w:sz w:val="18"/>
        </w:rPr>
      </w:pPr>
      <w:r>
        <w:rPr>
          <w:color w:val="231F20"/>
          <w:sz w:val="18"/>
        </w:rPr>
        <w:t>Ávila-Ramírez N.A., Ayala-Burgos A., Gutiérrez-Vázquez E., Herrera-Camacho J., Madrigal-Sánchez X., Ontive- ros-Alvarado S. (2007). Taxonomía y composición química de la necromasa foliar de las especies ar- bóreas y arbustivas consumidas durante la época de estiaje de la selva baja caducifolia en el municipio de La Huacana, Michoacán, México. </w:t>
      </w:r>
      <w:r>
        <w:rPr>
          <w:i/>
          <w:color w:val="231F20"/>
          <w:sz w:val="18"/>
        </w:rPr>
        <w:t>Livestock Reseach </w:t>
      </w:r>
      <w:r>
        <w:rPr>
          <w:i/>
          <w:color w:val="231F20"/>
          <w:sz w:val="18"/>
        </w:rPr>
        <w:t>for Rural Development, </w:t>
      </w:r>
      <w:r>
        <w:rPr>
          <w:color w:val="231F20"/>
          <w:spacing w:val="-3"/>
          <w:sz w:val="18"/>
        </w:rPr>
        <w:t>19: </w:t>
      </w:r>
      <w:r>
        <w:rPr>
          <w:color w:val="231F20"/>
          <w:sz w:val="18"/>
        </w:rPr>
        <w:t>6. Disponible  en  línea en:</w:t>
      </w:r>
      <w:r>
        <w:rPr>
          <w:color w:val="231F20"/>
          <w:spacing w:val="26"/>
          <w:sz w:val="18"/>
        </w:rPr>
        <w:t> </w:t>
      </w:r>
      <w:hyperlink r:id="rId383">
        <w:r>
          <w:rPr>
            <w:color w:val="231F20"/>
            <w:sz w:val="18"/>
          </w:rPr>
          <w:t>http://www.lrrd.org/lrrd19/6/avil19073.htm</w:t>
        </w:r>
      </w:hyperlink>
    </w:p>
    <w:p>
      <w:pPr>
        <w:spacing w:line="266" w:lineRule="auto" w:before="56"/>
        <w:ind w:left="696" w:right="1551" w:hanging="284"/>
        <w:jc w:val="both"/>
        <w:rPr>
          <w:sz w:val="18"/>
        </w:rPr>
      </w:pPr>
      <w:r>
        <w:rPr>
          <w:color w:val="231F20"/>
          <w:spacing w:val="-4"/>
          <w:sz w:val="18"/>
        </w:rPr>
        <w:t>Castro-Avalos </w:t>
      </w:r>
      <w:r>
        <w:rPr>
          <w:color w:val="231F20"/>
          <w:spacing w:val="-3"/>
          <w:sz w:val="18"/>
        </w:rPr>
        <w:t>R., </w:t>
      </w:r>
      <w:r>
        <w:rPr>
          <w:color w:val="231F20"/>
          <w:spacing w:val="-4"/>
          <w:sz w:val="18"/>
        </w:rPr>
        <w:t>Leyva-Corona J.C., </w:t>
      </w:r>
      <w:r>
        <w:rPr>
          <w:color w:val="231F20"/>
          <w:spacing w:val="-5"/>
          <w:sz w:val="18"/>
        </w:rPr>
        <w:t>Sánchez-Hernández </w:t>
      </w:r>
      <w:r>
        <w:rPr>
          <w:color w:val="231F20"/>
          <w:spacing w:val="-4"/>
          <w:sz w:val="18"/>
        </w:rPr>
        <w:t>M., Osuna-Amador </w:t>
      </w:r>
      <w:r>
        <w:rPr>
          <w:color w:val="231F20"/>
          <w:spacing w:val="-3"/>
          <w:sz w:val="18"/>
        </w:rPr>
        <w:t>J.D. </w:t>
      </w:r>
      <w:r>
        <w:rPr>
          <w:color w:val="231F20"/>
          <w:spacing w:val="-4"/>
          <w:sz w:val="18"/>
        </w:rPr>
        <w:t>(2009). </w:t>
      </w:r>
      <w:r>
        <w:rPr>
          <w:color w:val="231F20"/>
          <w:spacing w:val="-3"/>
          <w:sz w:val="18"/>
        </w:rPr>
        <w:t>Guía  para  </w:t>
      </w:r>
      <w:r>
        <w:rPr>
          <w:color w:val="231F20"/>
          <w:sz w:val="18"/>
        </w:rPr>
        <w:t>la </w:t>
      </w:r>
      <w:r>
        <w:rPr>
          <w:color w:val="231F20"/>
          <w:spacing w:val="-4"/>
          <w:sz w:val="18"/>
        </w:rPr>
        <w:t>alimentación </w:t>
      </w:r>
      <w:r>
        <w:rPr>
          <w:color w:val="231F20"/>
          <w:sz w:val="18"/>
        </w:rPr>
        <w:t>de </w:t>
      </w:r>
      <w:r>
        <w:rPr>
          <w:color w:val="231F20"/>
          <w:spacing w:val="-4"/>
          <w:sz w:val="18"/>
        </w:rPr>
        <w:t>caprinos </w:t>
      </w:r>
      <w:r>
        <w:rPr>
          <w:color w:val="231F20"/>
          <w:sz w:val="18"/>
        </w:rPr>
        <w:t>en </w:t>
      </w:r>
      <w:r>
        <w:rPr>
          <w:color w:val="231F20"/>
          <w:spacing w:val="-3"/>
          <w:sz w:val="18"/>
        </w:rPr>
        <w:t>Baja </w:t>
      </w:r>
      <w:r>
        <w:rPr>
          <w:color w:val="231F20"/>
          <w:spacing w:val="-4"/>
          <w:sz w:val="18"/>
        </w:rPr>
        <w:t>California </w:t>
      </w:r>
      <w:r>
        <w:rPr>
          <w:color w:val="231F20"/>
          <w:spacing w:val="-5"/>
          <w:sz w:val="18"/>
        </w:rPr>
        <w:t>Sur. </w:t>
      </w:r>
      <w:r>
        <w:rPr>
          <w:color w:val="231F20"/>
          <w:spacing w:val="-4"/>
          <w:sz w:val="18"/>
        </w:rPr>
        <w:t>Centro </w:t>
      </w:r>
      <w:r>
        <w:rPr>
          <w:color w:val="231F20"/>
          <w:sz w:val="18"/>
        </w:rPr>
        <w:t>de </w:t>
      </w:r>
      <w:r>
        <w:rPr>
          <w:color w:val="231F20"/>
          <w:spacing w:val="-4"/>
          <w:sz w:val="18"/>
        </w:rPr>
        <w:t>Investiga- </w:t>
      </w:r>
      <w:r>
        <w:rPr>
          <w:color w:val="231F20"/>
          <w:spacing w:val="-3"/>
          <w:sz w:val="18"/>
        </w:rPr>
        <w:t>ción Regional del </w:t>
      </w:r>
      <w:r>
        <w:rPr>
          <w:color w:val="231F20"/>
          <w:spacing w:val="-4"/>
          <w:sz w:val="18"/>
        </w:rPr>
        <w:t>Noroeste: Campo Experimental  </w:t>
      </w:r>
      <w:r>
        <w:rPr>
          <w:color w:val="231F20"/>
          <w:spacing w:val="-9"/>
          <w:sz w:val="18"/>
        </w:rPr>
        <w:t>To- </w:t>
      </w:r>
      <w:r>
        <w:rPr>
          <w:color w:val="231F20"/>
          <w:spacing w:val="-3"/>
          <w:sz w:val="18"/>
        </w:rPr>
        <w:t>dos los </w:t>
      </w:r>
      <w:r>
        <w:rPr>
          <w:color w:val="231F20"/>
          <w:spacing w:val="-4"/>
          <w:sz w:val="18"/>
        </w:rPr>
        <w:t>Santos. </w:t>
      </w:r>
      <w:r>
        <w:rPr>
          <w:color w:val="231F20"/>
          <w:spacing w:val="-6"/>
          <w:sz w:val="18"/>
        </w:rPr>
        <w:t>INIFAP. </w:t>
      </w:r>
      <w:r>
        <w:rPr>
          <w:color w:val="231F20"/>
          <w:spacing w:val="-4"/>
          <w:sz w:val="18"/>
        </w:rPr>
        <w:t>Disponible </w:t>
      </w:r>
      <w:r>
        <w:rPr>
          <w:color w:val="231F20"/>
          <w:sz w:val="18"/>
        </w:rPr>
        <w:t>en </w:t>
      </w:r>
      <w:r>
        <w:rPr>
          <w:color w:val="231F20"/>
          <w:spacing w:val="-4"/>
          <w:sz w:val="18"/>
        </w:rPr>
        <w:t>línea </w:t>
      </w:r>
      <w:r>
        <w:rPr>
          <w:color w:val="231F20"/>
          <w:spacing w:val="-3"/>
          <w:sz w:val="18"/>
        </w:rPr>
        <w:t>en: </w:t>
      </w:r>
      <w:r>
        <w:rPr>
          <w:color w:val="231F20"/>
          <w:spacing w:val="-4"/>
          <w:sz w:val="18"/>
        </w:rPr>
        <w:t>http:// </w:t>
      </w:r>
      <w:hyperlink r:id="rId384">
        <w:r>
          <w:rPr>
            <w:color w:val="231F20"/>
            <w:spacing w:val="-4"/>
            <w:sz w:val="18"/>
          </w:rPr>
          <w:t>www.oeidrus-bcs.gob.mx/Info_dependencias/INIFAP/</w:t>
        </w:r>
      </w:hyperlink>
      <w:r>
        <w:rPr>
          <w:color w:val="231F20"/>
          <w:spacing w:val="-4"/>
          <w:sz w:val="18"/>
        </w:rPr>
        <w:t> Publicaciones_archivos/Folleto_Nutricion_caprinos.pdf (Consultado  </w:t>
      </w:r>
      <w:r>
        <w:rPr>
          <w:color w:val="231F20"/>
          <w:sz w:val="18"/>
        </w:rPr>
        <w:t>el  </w:t>
      </w:r>
      <w:r>
        <w:rPr>
          <w:color w:val="231F20"/>
          <w:spacing w:val="-6"/>
          <w:sz w:val="18"/>
        </w:rPr>
        <w:t>12  </w:t>
      </w:r>
      <w:r>
        <w:rPr>
          <w:color w:val="231F20"/>
          <w:sz w:val="18"/>
        </w:rPr>
        <w:t>de  </w:t>
      </w:r>
      <w:r>
        <w:rPr>
          <w:color w:val="231F20"/>
          <w:spacing w:val="-4"/>
          <w:sz w:val="18"/>
        </w:rPr>
        <w:t>enero  </w:t>
      </w:r>
      <w:r>
        <w:rPr>
          <w:color w:val="231F20"/>
          <w:sz w:val="18"/>
        </w:rPr>
        <w:t>de </w:t>
      </w:r>
      <w:r>
        <w:rPr>
          <w:color w:val="231F20"/>
          <w:spacing w:val="-7"/>
          <w:sz w:val="18"/>
        </w:rPr>
        <w:t>2011.)</w:t>
      </w:r>
    </w:p>
    <w:p>
      <w:pPr>
        <w:spacing w:line="266" w:lineRule="auto" w:before="56"/>
        <w:ind w:left="696" w:right="1551" w:hanging="284"/>
        <w:jc w:val="both"/>
        <w:rPr>
          <w:sz w:val="18"/>
        </w:rPr>
      </w:pPr>
      <w:r>
        <w:rPr>
          <w:color w:val="231F20"/>
          <w:w w:val="105"/>
          <w:sz w:val="18"/>
        </w:rPr>
        <w:t>Chambers R. (1994). Participatory Rural Appraisal (PRA):</w:t>
      </w:r>
      <w:r>
        <w:rPr>
          <w:color w:val="231F20"/>
          <w:spacing w:val="-14"/>
          <w:w w:val="105"/>
          <w:sz w:val="18"/>
        </w:rPr>
        <w:t> </w:t>
      </w:r>
      <w:r>
        <w:rPr>
          <w:color w:val="231F20"/>
          <w:w w:val="105"/>
          <w:sz w:val="18"/>
        </w:rPr>
        <w:t>analysis</w:t>
      </w:r>
      <w:r>
        <w:rPr>
          <w:color w:val="231F20"/>
          <w:spacing w:val="-14"/>
          <w:w w:val="105"/>
          <w:sz w:val="18"/>
        </w:rPr>
        <w:t> </w:t>
      </w:r>
      <w:r>
        <w:rPr>
          <w:color w:val="231F20"/>
          <w:w w:val="105"/>
          <w:sz w:val="18"/>
        </w:rPr>
        <w:t>of</w:t>
      </w:r>
      <w:r>
        <w:rPr>
          <w:color w:val="231F20"/>
          <w:spacing w:val="-14"/>
          <w:w w:val="105"/>
          <w:sz w:val="18"/>
        </w:rPr>
        <w:t> </w:t>
      </w:r>
      <w:r>
        <w:rPr>
          <w:color w:val="231F20"/>
          <w:w w:val="105"/>
          <w:sz w:val="18"/>
        </w:rPr>
        <w:t>experiences.</w:t>
      </w:r>
      <w:r>
        <w:rPr>
          <w:color w:val="231F20"/>
          <w:spacing w:val="-14"/>
          <w:w w:val="105"/>
          <w:sz w:val="18"/>
        </w:rPr>
        <w:t> </w:t>
      </w:r>
      <w:r>
        <w:rPr>
          <w:i/>
          <w:color w:val="231F20"/>
          <w:w w:val="105"/>
          <w:sz w:val="18"/>
        </w:rPr>
        <w:t>World</w:t>
      </w:r>
      <w:r>
        <w:rPr>
          <w:i/>
          <w:color w:val="231F20"/>
          <w:spacing w:val="-14"/>
          <w:w w:val="105"/>
          <w:sz w:val="18"/>
        </w:rPr>
        <w:t> </w:t>
      </w:r>
      <w:r>
        <w:rPr>
          <w:i/>
          <w:color w:val="231F20"/>
          <w:w w:val="105"/>
          <w:sz w:val="18"/>
        </w:rPr>
        <w:t>Development, </w:t>
      </w:r>
      <w:r>
        <w:rPr>
          <w:color w:val="231F20"/>
          <w:w w:val="105"/>
          <w:sz w:val="18"/>
        </w:rPr>
        <w:t>22: </w:t>
      </w:r>
      <w:r>
        <w:rPr>
          <w:color w:val="231F20"/>
          <w:spacing w:val="34"/>
          <w:w w:val="105"/>
          <w:sz w:val="18"/>
        </w:rPr>
        <w:t> </w:t>
      </w:r>
      <w:r>
        <w:rPr>
          <w:color w:val="231F20"/>
          <w:spacing w:val="-3"/>
          <w:w w:val="105"/>
          <w:sz w:val="18"/>
        </w:rPr>
        <w:t>1253-1268.</w:t>
      </w:r>
    </w:p>
    <w:p>
      <w:pPr>
        <w:spacing w:line="266" w:lineRule="auto" w:before="56"/>
        <w:ind w:left="696" w:right="1551" w:hanging="284"/>
        <w:jc w:val="both"/>
        <w:rPr>
          <w:sz w:val="18"/>
        </w:rPr>
      </w:pPr>
      <w:r>
        <w:rPr>
          <w:color w:val="231F20"/>
          <w:sz w:val="18"/>
        </w:rPr>
        <w:t>Chambers R. (2010). Paradigms, poverty and adaptive pluralism. Institute of Development Studies. Work- ing Paper 344. The University of Sussex, United Kingdom.</w:t>
      </w:r>
    </w:p>
    <w:p>
      <w:pPr>
        <w:spacing w:line="266" w:lineRule="auto" w:before="56"/>
        <w:ind w:left="357" w:right="1549" w:firstLine="0"/>
        <w:jc w:val="right"/>
        <w:rPr>
          <w:sz w:val="18"/>
        </w:rPr>
      </w:pPr>
      <w:r>
        <w:rPr>
          <w:color w:val="231F20"/>
          <w:sz w:val="18"/>
        </w:rPr>
        <w:t>Consejo Nacional de Población (2010). Índice de margi-</w:t>
      </w:r>
      <w:r>
        <w:rPr>
          <w:color w:val="231F20"/>
          <w:w w:val="95"/>
          <w:sz w:val="18"/>
        </w:rPr>
        <w:t> </w:t>
      </w:r>
      <w:r>
        <w:rPr>
          <w:color w:val="231F20"/>
          <w:sz w:val="18"/>
        </w:rPr>
        <w:t>nación por localidad, 2010. México, Distrito  Federal.</w:t>
      </w:r>
    </w:p>
    <w:p>
      <w:pPr>
        <w:spacing w:line="266" w:lineRule="auto" w:before="56"/>
        <w:ind w:left="696" w:right="1546" w:hanging="284"/>
        <w:jc w:val="both"/>
        <w:rPr>
          <w:sz w:val="18"/>
        </w:rPr>
      </w:pPr>
      <w:r>
        <w:rPr>
          <w:color w:val="231F20"/>
          <w:sz w:val="18"/>
        </w:rPr>
        <w:t>Contreras A., Lafraya S., Lobillo J., Soto </w:t>
      </w:r>
      <w:r>
        <w:rPr>
          <w:color w:val="231F20"/>
          <w:spacing w:val="-4"/>
          <w:sz w:val="18"/>
        </w:rPr>
        <w:t>P., </w:t>
      </w:r>
      <w:r>
        <w:rPr>
          <w:color w:val="231F20"/>
          <w:sz w:val="18"/>
        </w:rPr>
        <w:t>Rodrigo S. (1998).  Los  métodos  del  diagnóstico  rural  rápido  y participativo. Material del curso de diagnóstico rural participativo el Rincón de Ademuz. Valencia, España. Disponible en línea en: http://www.actaf. </w:t>
      </w:r>
      <w:r>
        <w:rPr>
          <w:color w:val="231F20"/>
          <w:spacing w:val="9"/>
          <w:sz w:val="18"/>
        </w:rPr>
        <w:t>co.cu/index.php?option=com_mtree&amp;task=att_ </w:t>
      </w:r>
      <w:r>
        <w:rPr>
          <w:color w:val="231F20"/>
          <w:sz w:val="18"/>
        </w:rPr>
        <w:t>download&amp;link_id=4&amp;cf_id=24  (Consultado  el   </w:t>
      </w:r>
      <w:r>
        <w:rPr>
          <w:color w:val="231F20"/>
          <w:spacing w:val="-3"/>
          <w:sz w:val="18"/>
        </w:rPr>
        <w:t>14 </w:t>
      </w:r>
      <w:r>
        <w:rPr>
          <w:color w:val="231F20"/>
          <w:sz w:val="18"/>
        </w:rPr>
        <w:t>de  enero  de</w:t>
      </w:r>
      <w:r>
        <w:rPr>
          <w:color w:val="231F20"/>
          <w:spacing w:val="40"/>
          <w:sz w:val="18"/>
        </w:rPr>
        <w:t> </w:t>
      </w:r>
      <w:r>
        <w:rPr>
          <w:color w:val="231F20"/>
          <w:sz w:val="18"/>
        </w:rPr>
        <w:t>2011.)</w:t>
      </w:r>
    </w:p>
    <w:p>
      <w:pPr>
        <w:spacing w:line="266" w:lineRule="auto" w:before="56"/>
        <w:ind w:left="696" w:right="1551" w:hanging="284"/>
        <w:jc w:val="both"/>
        <w:rPr>
          <w:sz w:val="18"/>
        </w:rPr>
      </w:pPr>
      <w:r>
        <w:rPr>
          <w:color w:val="231F20"/>
          <w:sz w:val="18"/>
        </w:rPr>
        <w:t>Dorward P., Shepherd D., Galpin M. (2007). The de- velopment and role of novel farm management methods for use by small-scale farmers in develop- ing countries. 16th International Farm Management Congress. Cork Ireland.</w:t>
      </w:r>
    </w:p>
    <w:p>
      <w:pPr>
        <w:spacing w:line="266" w:lineRule="auto" w:before="56"/>
        <w:ind w:left="696" w:right="1551" w:hanging="284"/>
        <w:jc w:val="both"/>
        <w:rPr>
          <w:sz w:val="18"/>
        </w:rPr>
      </w:pPr>
      <w:r>
        <w:rPr>
          <w:color w:val="231F20"/>
          <w:sz w:val="18"/>
        </w:rPr>
        <w:t>FIRA (1999). Oportunidades de desarrollo en la  indus- tria de la leche y carne de cabra en México. Boletín Informativo. Vol. 32. No. 13. FIRA,  México.</w:t>
      </w:r>
    </w:p>
    <w:p>
      <w:pPr>
        <w:spacing w:line="266" w:lineRule="auto" w:before="56"/>
        <w:ind w:left="696" w:right="1551" w:hanging="284"/>
        <w:jc w:val="both"/>
        <w:rPr>
          <w:sz w:val="18"/>
        </w:rPr>
      </w:pPr>
      <w:r>
        <w:rPr>
          <w:color w:val="231F20"/>
          <w:sz w:val="18"/>
        </w:rPr>
        <w:t>Galina M.A., Hernández A., Puga D.C. </w:t>
      </w:r>
      <w:r>
        <w:rPr>
          <w:color w:val="231F20"/>
          <w:spacing w:val="-3"/>
          <w:sz w:val="18"/>
        </w:rPr>
        <w:t>(1997). </w:t>
      </w:r>
      <w:r>
        <w:rPr>
          <w:color w:val="231F20"/>
          <w:sz w:val="18"/>
        </w:rPr>
        <w:t>Evolución de la calidad nutritiva de los forrajes del  </w:t>
      </w:r>
      <w:r>
        <w:rPr>
          <w:color w:val="231F20"/>
          <w:spacing w:val="11"/>
          <w:sz w:val="18"/>
        </w:rPr>
        <w:t> </w:t>
      </w:r>
      <w:r>
        <w:rPr>
          <w:color w:val="231F20"/>
          <w:sz w:val="18"/>
        </w:rPr>
        <w:t>agostadero</w:t>
      </w:r>
    </w:p>
    <w:p>
      <w:pPr>
        <w:spacing w:after="0" w:line="26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6897" w:val="left" w:leader="none"/>
        </w:tabs>
        <w:spacing w:before="64"/>
        <w:ind w:left="1551" w:right="0" w:firstLine="0"/>
        <w:jc w:val="left"/>
        <w:rPr>
          <w:sz w:val="12"/>
        </w:rPr>
      </w:pPr>
      <w:r>
        <w:rPr>
          <w:color w:val="231F20"/>
          <w:spacing w:val="-4"/>
          <w:w w:val="120"/>
          <w:sz w:val="22"/>
        </w:rPr>
        <w:t>220</w:t>
        <w:tab/>
      </w:r>
      <w:r>
        <w:rPr>
          <w:color w:val="231F20"/>
          <w:w w:val="120"/>
          <w:sz w:val="18"/>
        </w:rPr>
        <w:t>SECCIÓN 3.  B. S</w:t>
      </w:r>
      <w:r>
        <w:rPr>
          <w:color w:val="231F20"/>
          <w:w w:val="120"/>
          <w:sz w:val="12"/>
        </w:rPr>
        <w:t>iStemaS  productoreS  de</w:t>
      </w:r>
      <w:r>
        <w:rPr>
          <w:color w:val="231F20"/>
          <w:spacing w:val="17"/>
          <w:w w:val="120"/>
          <w:sz w:val="12"/>
        </w:rPr>
        <w:t> </w:t>
      </w:r>
      <w:r>
        <w:rPr>
          <w:color w:val="231F20"/>
          <w:w w:val="120"/>
          <w:sz w:val="12"/>
        </w:rPr>
        <w:t>caprinoS</w:t>
      </w:r>
    </w:p>
    <w:p>
      <w:pPr>
        <w:pStyle w:val="BodyText"/>
        <w:spacing w:before="10"/>
        <w:rPr>
          <w:sz w:val="22"/>
        </w:rPr>
      </w:pPr>
    </w:p>
    <w:p>
      <w:pPr>
        <w:spacing w:after="0"/>
        <w:rPr>
          <w:sz w:val="22"/>
        </w:rPr>
        <w:sectPr>
          <w:footerReference w:type="default" r:id="rId385"/>
          <w:pgSz w:w="11900" w:h="14450"/>
          <w:pgMar w:footer="222" w:header="0" w:top="420" w:bottom="420" w:left="0" w:right="0"/>
        </w:sectPr>
      </w:pPr>
    </w:p>
    <w:p>
      <w:pPr>
        <w:spacing w:line="278" w:lineRule="auto" w:before="70"/>
        <w:ind w:left="1837" w:right="0" w:firstLine="0"/>
        <w:jc w:val="both"/>
        <w:rPr>
          <w:sz w:val="18"/>
        </w:rPr>
      </w:pPr>
      <w:r>
        <w:rPr>
          <w:color w:val="231F20"/>
          <w:sz w:val="18"/>
        </w:rPr>
        <w:t>pastoreado con cabras en un sistema biosostenible en el semiárido mexicano. </w:t>
      </w:r>
      <w:r>
        <w:rPr>
          <w:i/>
          <w:color w:val="231F20"/>
          <w:sz w:val="18"/>
        </w:rPr>
        <w:t>Archivos Latinoamerica- </w:t>
      </w:r>
      <w:r>
        <w:rPr>
          <w:i/>
          <w:color w:val="231F20"/>
          <w:sz w:val="18"/>
        </w:rPr>
        <w:t>nos  de  Producción  Animal,  </w:t>
      </w:r>
      <w:r>
        <w:rPr>
          <w:color w:val="231F20"/>
          <w:sz w:val="18"/>
        </w:rPr>
        <w:t>5: 222-225.</w:t>
      </w:r>
    </w:p>
    <w:p>
      <w:pPr>
        <w:spacing w:line="278" w:lineRule="auto" w:before="56"/>
        <w:ind w:left="1837" w:right="0" w:hanging="284"/>
        <w:jc w:val="both"/>
        <w:rPr>
          <w:sz w:val="18"/>
        </w:rPr>
      </w:pPr>
      <w:r>
        <w:rPr>
          <w:color w:val="231F20"/>
          <w:sz w:val="18"/>
        </w:rPr>
        <w:t>Galpin M., Dorward P., Shepherd D. (2000). Participatory farm management methods for agricultural research and extension: a training manual. The University of Reading, United Kingdom. Disponible en línea en: </w:t>
      </w:r>
      <w:hyperlink r:id="rId386">
        <w:r>
          <w:rPr>
            <w:color w:val="231F20"/>
            <w:sz w:val="18"/>
          </w:rPr>
          <w:t>www.smallstock.info/reseeach/report/R6730/PFM-</w:t>
        </w:r>
      </w:hyperlink>
      <w:r>
        <w:rPr>
          <w:color w:val="231F20"/>
          <w:sz w:val="18"/>
        </w:rPr>
        <w:t> methodsManual.pdf</w:t>
      </w:r>
    </w:p>
    <w:p>
      <w:pPr>
        <w:spacing w:line="278" w:lineRule="auto" w:before="56"/>
        <w:ind w:left="1837" w:right="0" w:hanging="284"/>
        <w:jc w:val="both"/>
        <w:rPr>
          <w:sz w:val="18"/>
        </w:rPr>
      </w:pPr>
      <w:r>
        <w:rPr>
          <w:color w:val="231F20"/>
          <w:w w:val="105"/>
          <w:sz w:val="18"/>
        </w:rPr>
        <w:t>Guerrero-Cruz</w:t>
      </w:r>
      <w:r>
        <w:rPr>
          <w:color w:val="231F20"/>
          <w:spacing w:val="-11"/>
          <w:w w:val="105"/>
          <w:sz w:val="18"/>
        </w:rPr>
        <w:t> </w:t>
      </w:r>
      <w:r>
        <w:rPr>
          <w:color w:val="231F20"/>
          <w:w w:val="105"/>
          <w:sz w:val="18"/>
        </w:rPr>
        <w:t>M.M.</w:t>
      </w:r>
      <w:r>
        <w:rPr>
          <w:color w:val="231F20"/>
          <w:spacing w:val="-10"/>
          <w:w w:val="105"/>
          <w:sz w:val="18"/>
        </w:rPr>
        <w:t> </w:t>
      </w:r>
      <w:r>
        <w:rPr>
          <w:color w:val="231F20"/>
          <w:spacing w:val="-3"/>
          <w:w w:val="105"/>
          <w:sz w:val="18"/>
        </w:rPr>
        <w:t>(2010).</w:t>
      </w:r>
      <w:r>
        <w:rPr>
          <w:color w:val="231F20"/>
          <w:spacing w:val="-11"/>
          <w:w w:val="105"/>
          <w:sz w:val="18"/>
        </w:rPr>
        <w:t> </w:t>
      </w:r>
      <w:r>
        <w:rPr>
          <w:color w:val="231F20"/>
          <w:w w:val="105"/>
          <w:sz w:val="18"/>
        </w:rPr>
        <w:t>La</w:t>
      </w:r>
      <w:r>
        <w:rPr>
          <w:color w:val="231F20"/>
          <w:spacing w:val="-10"/>
          <w:w w:val="105"/>
          <w:sz w:val="18"/>
        </w:rPr>
        <w:t> </w:t>
      </w:r>
      <w:r>
        <w:rPr>
          <w:color w:val="231F20"/>
          <w:w w:val="105"/>
          <w:sz w:val="18"/>
        </w:rPr>
        <w:t>caprinocultura</w:t>
      </w:r>
      <w:r>
        <w:rPr>
          <w:color w:val="231F20"/>
          <w:spacing w:val="-11"/>
          <w:w w:val="105"/>
          <w:sz w:val="18"/>
        </w:rPr>
        <w:t> </w:t>
      </w:r>
      <w:r>
        <w:rPr>
          <w:color w:val="231F20"/>
          <w:w w:val="105"/>
          <w:sz w:val="18"/>
        </w:rPr>
        <w:t>en</w:t>
      </w:r>
      <w:r>
        <w:rPr>
          <w:color w:val="231F20"/>
          <w:spacing w:val="-10"/>
          <w:w w:val="105"/>
          <w:sz w:val="18"/>
        </w:rPr>
        <w:t> </w:t>
      </w:r>
      <w:r>
        <w:rPr>
          <w:color w:val="231F20"/>
          <w:w w:val="105"/>
          <w:sz w:val="18"/>
        </w:rPr>
        <w:t>Méxi- </w:t>
      </w:r>
      <w:r>
        <w:rPr>
          <w:color w:val="231F20"/>
          <w:sz w:val="18"/>
        </w:rPr>
        <w:t>co, una estrategia de desarrollo. Revista</w:t>
      </w:r>
      <w:r>
        <w:rPr>
          <w:color w:val="231F20"/>
          <w:spacing w:val="-14"/>
          <w:sz w:val="18"/>
        </w:rPr>
        <w:t> </w:t>
      </w:r>
      <w:r>
        <w:rPr>
          <w:color w:val="231F20"/>
          <w:sz w:val="18"/>
        </w:rPr>
        <w:t>Universitaria </w:t>
      </w:r>
      <w:r>
        <w:rPr>
          <w:color w:val="231F20"/>
          <w:w w:val="105"/>
          <w:sz w:val="18"/>
        </w:rPr>
        <w:t>Digital en Ciencias Sociales. </w:t>
      </w:r>
      <w:r>
        <w:rPr>
          <w:color w:val="231F20"/>
          <w:spacing w:val="-3"/>
          <w:w w:val="105"/>
          <w:sz w:val="18"/>
        </w:rPr>
        <w:t>Vol. </w:t>
      </w:r>
      <w:r>
        <w:rPr>
          <w:color w:val="231F20"/>
          <w:w w:val="105"/>
          <w:sz w:val="18"/>
        </w:rPr>
        <w:t>1. No. 1. Facultad de Estudios Superiores Cuautitlán-UNAM. Dispo- nible en línea en: </w:t>
      </w:r>
      <w:hyperlink r:id="rId387">
        <w:r>
          <w:rPr>
            <w:color w:val="231F20"/>
            <w:w w:val="105"/>
            <w:sz w:val="18"/>
          </w:rPr>
          <w:t>http://www.cuatitlan.unam.mx/</w:t>
        </w:r>
      </w:hyperlink>
      <w:r>
        <w:rPr>
          <w:color w:val="231F20"/>
          <w:w w:val="105"/>
          <w:sz w:val="18"/>
        </w:rPr>
        <w:t> rudics/ejemplares/0101/art06.html (Consultado el </w:t>
      </w:r>
      <w:r>
        <w:rPr>
          <w:color w:val="231F20"/>
          <w:spacing w:val="-4"/>
          <w:w w:val="105"/>
          <w:sz w:val="18"/>
        </w:rPr>
        <w:t>15  </w:t>
      </w:r>
      <w:r>
        <w:rPr>
          <w:color w:val="231F20"/>
          <w:w w:val="105"/>
          <w:sz w:val="18"/>
        </w:rPr>
        <w:t>de enero de</w:t>
      </w:r>
      <w:r>
        <w:rPr>
          <w:color w:val="231F20"/>
          <w:spacing w:val="42"/>
          <w:w w:val="105"/>
          <w:sz w:val="18"/>
        </w:rPr>
        <w:t> </w:t>
      </w:r>
      <w:r>
        <w:rPr>
          <w:color w:val="231F20"/>
          <w:spacing w:val="-4"/>
          <w:w w:val="105"/>
          <w:sz w:val="18"/>
        </w:rPr>
        <w:t>2011.)</w:t>
      </w:r>
    </w:p>
    <w:p>
      <w:pPr>
        <w:spacing w:line="278" w:lineRule="auto" w:before="56"/>
        <w:ind w:left="1837" w:right="0" w:hanging="284"/>
        <w:jc w:val="both"/>
        <w:rPr>
          <w:sz w:val="18"/>
        </w:rPr>
      </w:pPr>
      <w:r>
        <w:rPr>
          <w:color w:val="231F20"/>
          <w:sz w:val="18"/>
        </w:rPr>
        <w:t>Instituto Nacional de Estadística y Geografía (2006). Anuario estadístico del Estado de Michoacán.   Tomo</w:t>
      </w:r>
    </w:p>
    <w:p>
      <w:pPr>
        <w:pStyle w:val="ListParagraph"/>
        <w:numPr>
          <w:ilvl w:val="0"/>
          <w:numId w:val="18"/>
        </w:numPr>
        <w:tabs>
          <w:tab w:pos="1969" w:val="left" w:leader="none"/>
        </w:tabs>
        <w:spacing w:line="240" w:lineRule="auto" w:before="0" w:after="0"/>
        <w:ind w:left="1968" w:right="0" w:hanging="131"/>
        <w:jc w:val="both"/>
        <w:rPr>
          <w:sz w:val="18"/>
        </w:rPr>
      </w:pPr>
      <w:r>
        <w:rPr>
          <w:color w:val="231F20"/>
          <w:sz w:val="18"/>
        </w:rPr>
        <w:t>Aguascalientes,</w:t>
      </w:r>
      <w:r>
        <w:rPr>
          <w:color w:val="231F20"/>
          <w:spacing w:val="-8"/>
          <w:sz w:val="18"/>
        </w:rPr>
        <w:t> </w:t>
      </w:r>
      <w:r>
        <w:rPr>
          <w:color w:val="231F20"/>
          <w:sz w:val="18"/>
        </w:rPr>
        <w:t>México.</w:t>
      </w:r>
    </w:p>
    <w:p>
      <w:pPr>
        <w:spacing w:line="278" w:lineRule="auto" w:before="91"/>
        <w:ind w:left="1837" w:right="0" w:hanging="284"/>
        <w:jc w:val="both"/>
        <w:rPr>
          <w:sz w:val="18"/>
        </w:rPr>
      </w:pPr>
      <w:r>
        <w:rPr>
          <w:color w:val="231F20"/>
          <w:sz w:val="18"/>
        </w:rPr>
        <w:t>Instituto Nacional de Estadística y Geografía (2009). Es- tados Unidos Méxicanos. Censo agropecuario 2007, VIII Censo agrícola, ganadero y forestal. Aguascalien- tes, México.</w:t>
      </w:r>
    </w:p>
    <w:p>
      <w:pPr>
        <w:spacing w:line="264" w:lineRule="auto" w:before="70"/>
        <w:ind w:left="696" w:right="1551" w:hanging="284"/>
        <w:jc w:val="both"/>
        <w:rPr>
          <w:sz w:val="18"/>
        </w:rPr>
      </w:pPr>
      <w:r>
        <w:rPr/>
        <w:br w:type="column"/>
      </w:r>
      <w:r>
        <w:rPr>
          <w:color w:val="231F20"/>
          <w:sz w:val="18"/>
        </w:rPr>
        <w:t>Instituto Nacional de Estadística y Geografía (2012). Perspectiva estadística de Michoacán de Ocampo. Aguascalientes, México.</w:t>
      </w:r>
    </w:p>
    <w:p>
      <w:pPr>
        <w:spacing w:line="264" w:lineRule="auto" w:before="56"/>
        <w:ind w:left="696" w:right="1551" w:hanging="284"/>
        <w:jc w:val="both"/>
        <w:rPr>
          <w:sz w:val="18"/>
        </w:rPr>
      </w:pPr>
      <w:r>
        <w:rPr>
          <w:color w:val="231F20"/>
          <w:sz w:val="18"/>
        </w:rPr>
        <w:t>Osorio-Rosales M.L., Contreras-Hernández A. (2009). El diagnóstico rural participativo y el manejo de los re- cursos naturales. </w:t>
      </w:r>
      <w:r>
        <w:rPr>
          <w:i/>
          <w:color w:val="231F20"/>
          <w:sz w:val="18"/>
        </w:rPr>
        <w:t>Estudios Agrarios, Secretaría de la </w:t>
      </w:r>
      <w:r>
        <w:rPr>
          <w:i/>
          <w:color w:val="231F20"/>
          <w:sz w:val="18"/>
        </w:rPr>
        <w:t>Reforma  Agraria,  </w:t>
      </w:r>
      <w:r>
        <w:rPr>
          <w:color w:val="231F20"/>
          <w:sz w:val="18"/>
        </w:rPr>
        <w:t>42:  109-136.</w:t>
      </w:r>
    </w:p>
    <w:p>
      <w:pPr>
        <w:spacing w:line="264" w:lineRule="auto" w:before="56"/>
        <w:ind w:left="696" w:right="1551" w:hanging="284"/>
        <w:jc w:val="both"/>
        <w:rPr>
          <w:sz w:val="18"/>
        </w:rPr>
      </w:pPr>
      <w:r>
        <w:rPr>
          <w:color w:val="231F20"/>
          <w:sz w:val="18"/>
        </w:rPr>
        <w:t>Pomadera C., Vargas H. </w:t>
      </w:r>
      <w:r>
        <w:rPr>
          <w:color w:val="231F20"/>
          <w:spacing w:val="-3"/>
          <w:sz w:val="18"/>
        </w:rPr>
        <w:t>(1997). </w:t>
      </w:r>
      <w:r>
        <w:rPr>
          <w:color w:val="231F20"/>
          <w:sz w:val="18"/>
        </w:rPr>
        <w:t>Investigación en siste- mas de producción pecuaria: </w:t>
      </w:r>
      <w:r>
        <w:rPr>
          <w:color w:val="231F20"/>
          <w:spacing w:val="-4"/>
          <w:sz w:val="18"/>
        </w:rPr>
        <w:t>10 </w:t>
      </w:r>
      <w:r>
        <w:rPr>
          <w:color w:val="231F20"/>
          <w:sz w:val="18"/>
        </w:rPr>
        <w:t>años de experiencia en México y Centro América. Centro Internacional de Investigaciones para el  Desarrollo  (CIID)  CANADA.  p.</w:t>
      </w:r>
      <w:r>
        <w:rPr>
          <w:color w:val="231F20"/>
          <w:spacing w:val="31"/>
          <w:sz w:val="18"/>
        </w:rPr>
        <w:t> </w:t>
      </w:r>
      <w:r>
        <w:rPr>
          <w:color w:val="231F20"/>
          <w:sz w:val="18"/>
        </w:rPr>
        <w:t>236.</w:t>
      </w:r>
    </w:p>
    <w:p>
      <w:pPr>
        <w:spacing w:line="264" w:lineRule="auto" w:before="56"/>
        <w:ind w:left="696" w:right="1551" w:hanging="284"/>
        <w:jc w:val="both"/>
        <w:rPr>
          <w:sz w:val="18"/>
        </w:rPr>
      </w:pPr>
      <w:r>
        <w:rPr>
          <w:color w:val="231F20"/>
          <w:sz w:val="18"/>
        </w:rPr>
        <w:t>Rebollar-Rebollar S., Hernández-Martínez J., Rojo-Rubio R., Guzmán-Soria  E.  </w:t>
      </w:r>
      <w:r>
        <w:rPr>
          <w:color w:val="231F20"/>
          <w:spacing w:val="-3"/>
          <w:sz w:val="18"/>
        </w:rPr>
        <w:t>(2012).  </w:t>
      </w:r>
      <w:r>
        <w:rPr>
          <w:color w:val="231F20"/>
          <w:sz w:val="18"/>
        </w:rPr>
        <w:t>Gastos  e  ingresos  en  la actividad caprina extensiva en México. </w:t>
      </w:r>
      <w:r>
        <w:rPr>
          <w:i/>
          <w:color w:val="231F20"/>
          <w:sz w:val="18"/>
        </w:rPr>
        <w:t>Agronomía </w:t>
      </w:r>
      <w:r>
        <w:rPr>
          <w:i/>
          <w:color w:val="231F20"/>
          <w:sz w:val="18"/>
        </w:rPr>
        <w:t>Mesoamericana,   </w:t>
      </w:r>
      <w:r>
        <w:rPr>
          <w:i/>
          <w:color w:val="231F20"/>
          <w:spacing w:val="30"/>
          <w:sz w:val="18"/>
        </w:rPr>
        <w:t> </w:t>
      </w:r>
      <w:r>
        <w:rPr>
          <w:color w:val="231F20"/>
          <w:spacing w:val="-3"/>
          <w:sz w:val="18"/>
        </w:rPr>
        <w:t>23:159-165.</w:t>
      </w:r>
    </w:p>
    <w:p>
      <w:pPr>
        <w:spacing w:line="264" w:lineRule="auto" w:before="56"/>
        <w:ind w:left="696" w:right="1551" w:hanging="284"/>
        <w:jc w:val="both"/>
        <w:rPr>
          <w:sz w:val="18"/>
        </w:rPr>
      </w:pPr>
      <w:r>
        <w:rPr>
          <w:color w:val="231F20"/>
          <w:sz w:val="18"/>
        </w:rPr>
        <w:t>Romero </w:t>
      </w:r>
      <w:r>
        <w:rPr>
          <w:color w:val="231F20"/>
          <w:spacing w:val="-3"/>
          <w:sz w:val="18"/>
        </w:rPr>
        <w:t>P.J., </w:t>
      </w:r>
      <w:r>
        <w:rPr>
          <w:color w:val="231F20"/>
          <w:sz w:val="18"/>
        </w:rPr>
        <w:t>Vargas U.G., Odón G.G.J., Pulido S.J., Peña </w:t>
      </w:r>
      <w:r>
        <w:rPr>
          <w:color w:val="231F20"/>
          <w:spacing w:val="-6"/>
          <w:sz w:val="18"/>
        </w:rPr>
        <w:t>P.F., </w:t>
      </w:r>
      <w:r>
        <w:rPr>
          <w:color w:val="231F20"/>
          <w:sz w:val="18"/>
        </w:rPr>
        <w:t>Rebollar A., </w:t>
      </w:r>
      <w:r>
        <w:rPr>
          <w:i/>
          <w:color w:val="231F20"/>
          <w:sz w:val="18"/>
        </w:rPr>
        <w:t>et al. </w:t>
      </w:r>
      <w:r>
        <w:rPr>
          <w:color w:val="231F20"/>
          <w:sz w:val="18"/>
        </w:rPr>
        <w:t>(2001). Agricultura, población  y deterioro de recursos naturales en Michoacán: diagnóstico y propuestas. Universidad Autónoma de Chapingo, Chapingo, México. p. </w:t>
      </w:r>
      <w:r>
        <w:rPr>
          <w:color w:val="231F20"/>
          <w:spacing w:val="35"/>
          <w:sz w:val="18"/>
        </w:rPr>
        <w:t> </w:t>
      </w:r>
      <w:r>
        <w:rPr>
          <w:color w:val="231F20"/>
          <w:sz w:val="18"/>
        </w:rPr>
        <w:t>352.</w:t>
      </w:r>
    </w:p>
    <w:p>
      <w:pPr>
        <w:spacing w:line="264" w:lineRule="auto" w:before="56"/>
        <w:ind w:left="696" w:right="1551" w:hanging="284"/>
        <w:jc w:val="both"/>
        <w:rPr>
          <w:sz w:val="18"/>
        </w:rPr>
      </w:pPr>
      <w:r>
        <w:rPr>
          <w:color w:val="231F20"/>
          <w:sz w:val="18"/>
        </w:rPr>
        <w:t>Rushton J. (2009). Economic analysis tools. En: The economics of animal health and production. Cab In- ternational. Oxfordshire, United Kingdom.</w:t>
      </w:r>
    </w:p>
    <w:p>
      <w:pPr>
        <w:spacing w:after="0" w:line="264"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6"/>
        </w:rPr>
      </w:pPr>
    </w:p>
    <w:p>
      <w:pPr>
        <w:pStyle w:val="Heading1"/>
        <w:spacing w:line="950" w:lineRule="exact"/>
        <w:rPr>
          <w:sz w:val="80"/>
        </w:rPr>
      </w:pPr>
      <w:r>
        <w:rPr>
          <w:color w:val="231F20"/>
          <w:w w:val="115"/>
        </w:rPr>
        <w:t>SECCIÓN </w:t>
      </w:r>
      <w:r>
        <w:rPr>
          <w:color w:val="231F20"/>
          <w:w w:val="115"/>
          <w:sz w:val="80"/>
        </w:rPr>
        <w:t>4</w:t>
      </w:r>
    </w:p>
    <w:p>
      <w:pPr>
        <w:spacing w:line="252" w:lineRule="auto" w:before="572"/>
        <w:ind w:left="1553" w:right="6985" w:firstLine="0"/>
        <w:jc w:val="left"/>
        <w:rPr>
          <w:sz w:val="50"/>
        </w:rPr>
      </w:pPr>
      <w:r>
        <w:rPr>
          <w:color w:val="231F20"/>
          <w:sz w:val="50"/>
        </w:rPr>
        <w:t>Producción de otras</w:t>
      </w:r>
      <w:r>
        <w:rPr>
          <w:color w:val="231F20"/>
          <w:spacing w:val="58"/>
          <w:sz w:val="50"/>
        </w:rPr>
        <w:t> </w:t>
      </w:r>
      <w:r>
        <w:rPr>
          <w:color w:val="231F20"/>
          <w:sz w:val="50"/>
        </w:rPr>
        <w:t>especies</w:t>
      </w:r>
    </w:p>
    <w:p>
      <w:pPr>
        <w:spacing w:line="252" w:lineRule="auto" w:before="0"/>
        <w:ind w:left="1553" w:right="6529" w:firstLine="0"/>
        <w:jc w:val="left"/>
        <w:rPr>
          <w:sz w:val="50"/>
        </w:rPr>
      </w:pPr>
      <w:r>
        <w:rPr>
          <w:color w:val="231F20"/>
          <w:sz w:val="50"/>
        </w:rPr>
        <w:t>y su contribución al desarrollo rural</w:t>
      </w:r>
    </w:p>
    <w:p>
      <w:pPr>
        <w:pStyle w:val="BodyText"/>
      </w:pPr>
    </w:p>
    <w:p>
      <w:pPr>
        <w:pStyle w:val="BodyText"/>
      </w:pPr>
    </w:p>
    <w:p>
      <w:pPr>
        <w:pStyle w:val="BodyText"/>
        <w:spacing w:before="11"/>
        <w:rPr>
          <w:sz w:val="12"/>
        </w:rPr>
      </w:pPr>
      <w:r>
        <w:rPr/>
        <w:pict>
          <v:line style="position:absolute;mso-position-horizontal-relative:page;mso-position-vertical-relative:paragraph;z-index:6256;mso-wrap-distance-left:0;mso-wrap-distance-right:0" from="77.692902pt,10.115780pt" to="517.062902pt,10.115780pt" stroked="true" strokeweight=".5pt" strokecolor="#231f20">
            <w10:wrap type="topAndBottom"/>
          </v:line>
        </w:pict>
      </w:r>
    </w:p>
    <w:p>
      <w:pPr>
        <w:spacing w:after="0"/>
        <w:rPr>
          <w:sz w:val="12"/>
        </w:rPr>
        <w:sectPr>
          <w:pgSz w:w="11900" w:h="14450"/>
          <w:pgMar w:header="0" w:footer="222" w:top="420" w:bottom="420" w:left="0" w:right="0"/>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3"/>
        <w:spacing w:before="169"/>
        <w:rPr>
          <w:sz w:val="60"/>
        </w:rPr>
      </w:pPr>
      <w:r>
        <w:rPr>
          <w:color w:val="231F20"/>
          <w:w w:val="110"/>
        </w:rPr>
        <w:t>CAPÍTULO </w:t>
      </w:r>
      <w:r>
        <w:rPr>
          <w:color w:val="231F20"/>
          <w:spacing w:val="-25"/>
          <w:w w:val="110"/>
          <w:sz w:val="60"/>
        </w:rPr>
        <w:t>15</w:t>
      </w:r>
    </w:p>
    <w:p>
      <w:pPr>
        <w:spacing w:before="219"/>
        <w:ind w:left="1553" w:right="3241" w:firstLine="0"/>
        <w:jc w:val="left"/>
        <w:rPr>
          <w:sz w:val="36"/>
        </w:rPr>
      </w:pPr>
      <w:r>
        <w:rPr>
          <w:color w:val="231F20"/>
          <w:w w:val="105"/>
          <w:sz w:val="36"/>
        </w:rPr>
        <w:t>CONTRIBUCIÓN DE LA PRODUCCIÓN PORCINA DE PEQUEÑA Y MEDIANA ESCALA</w:t>
      </w:r>
    </w:p>
    <w:p>
      <w:pPr>
        <w:spacing w:before="0"/>
        <w:ind w:left="1553" w:right="0" w:firstLine="0"/>
        <w:jc w:val="both"/>
        <w:rPr>
          <w:sz w:val="36"/>
        </w:rPr>
      </w:pPr>
      <w:r>
        <w:rPr>
          <w:color w:val="231F20"/>
          <w:w w:val="105"/>
          <w:sz w:val="36"/>
        </w:rPr>
        <w:t>AL DESARROLLO RURAL EN MÉXICO</w:t>
      </w:r>
    </w:p>
    <w:p>
      <w:pPr>
        <w:pStyle w:val="Heading4"/>
        <w:spacing w:line="324" w:lineRule="exact" w:before="297"/>
        <w:rPr>
          <w:rFonts w:ascii="Cambria" w:hAnsi="Cambria"/>
          <w:i/>
        </w:rPr>
      </w:pPr>
      <w:r>
        <w:rPr>
          <w:rFonts w:ascii="Cambria" w:hAnsi="Cambria"/>
          <w:i/>
          <w:color w:val="231F20"/>
        </w:rPr>
        <w:t>Mónica Elizama Ruiz-Torres</w:t>
      </w:r>
      <w:r>
        <w:rPr>
          <w:rFonts w:ascii="Cambria" w:hAnsi="Cambria"/>
          <w:i/>
          <w:color w:val="231F20"/>
          <w:position w:val="9"/>
          <w:sz w:val="16"/>
        </w:rPr>
        <w:t>a</w:t>
      </w:r>
      <w:r>
        <w:rPr>
          <w:rFonts w:ascii="Cambria" w:hAnsi="Cambria"/>
          <w:i/>
          <w:color w:val="231F20"/>
        </w:rPr>
        <w:t>, Mauricio Perea-Peña</w:t>
      </w:r>
      <w:r>
        <w:rPr>
          <w:rFonts w:ascii="Cambria" w:hAnsi="Cambria"/>
          <w:i/>
          <w:color w:val="231F20"/>
          <w:position w:val="9"/>
          <w:sz w:val="16"/>
        </w:rPr>
        <w:t>b</w:t>
      </w:r>
      <w:r>
        <w:rPr>
          <w:rFonts w:ascii="Cambria" w:hAnsi="Cambria"/>
          <w:i/>
          <w:color w:val="231F20"/>
        </w:rPr>
        <w:t>,</w:t>
      </w:r>
    </w:p>
    <w:p>
      <w:pPr>
        <w:spacing w:line="324" w:lineRule="exact" w:before="0"/>
        <w:ind w:left="1553" w:right="0" w:firstLine="0"/>
        <w:jc w:val="both"/>
        <w:rPr>
          <w:rFonts w:ascii="Cambria" w:hAnsi="Cambria"/>
          <w:i/>
          <w:sz w:val="28"/>
        </w:rPr>
      </w:pPr>
      <w:r>
        <w:rPr>
          <w:rFonts w:ascii="Cambria" w:hAnsi="Cambria"/>
          <w:i/>
          <w:color w:val="231F20"/>
          <w:sz w:val="28"/>
        </w:rPr>
        <w:t>Ernesto Sánchez-Vera</w:t>
      </w:r>
      <w:r>
        <w:rPr>
          <w:rFonts w:ascii="Cambria" w:hAnsi="Cambria"/>
          <w:i/>
          <w:color w:val="231F20"/>
          <w:position w:val="9"/>
          <w:sz w:val="16"/>
        </w:rPr>
        <w:t>a  </w:t>
      </w:r>
      <w:r>
        <w:rPr>
          <w:rFonts w:ascii="Cambria" w:hAnsi="Cambria"/>
          <w:i/>
          <w:color w:val="231F20"/>
          <w:sz w:val="28"/>
        </w:rPr>
        <w:t>y Francisco Ernesto Martínez-Castañeda</w:t>
      </w:r>
      <w:r>
        <w:rPr>
          <w:rFonts w:ascii="Cambria" w:hAnsi="Cambria"/>
          <w:i/>
          <w:color w:val="231F20"/>
          <w:position w:val="9"/>
          <w:sz w:val="16"/>
        </w:rPr>
        <w:t>a,</w:t>
      </w:r>
      <w:r>
        <w:rPr>
          <w:rFonts w:ascii="Cambria" w:hAnsi="Cambria"/>
          <w:i/>
          <w:color w:val="231F20"/>
          <w:sz w:val="28"/>
        </w:rPr>
        <w:t>*</w:t>
      </w:r>
    </w:p>
    <w:p>
      <w:pPr>
        <w:pStyle w:val="BodyText"/>
        <w:spacing w:before="177"/>
        <w:ind w:left="1553"/>
        <w:jc w:val="both"/>
      </w:pPr>
      <w:r>
        <w:rPr>
          <w:color w:val="231F20"/>
          <w:position w:val="7"/>
          <w:sz w:val="11"/>
        </w:rPr>
        <w:t>a  </w:t>
      </w:r>
      <w:r>
        <w:rPr>
          <w:color w:val="231F20"/>
        </w:rPr>
        <w:t>Instituto de Ciencias Agropecuarias y Rurales, Universidad Autónoma del Estado de    México.</w:t>
      </w:r>
    </w:p>
    <w:p>
      <w:pPr>
        <w:pStyle w:val="BodyText"/>
        <w:spacing w:before="16"/>
        <w:ind w:left="1553"/>
        <w:jc w:val="both"/>
      </w:pPr>
      <w:r>
        <w:rPr>
          <w:color w:val="231F20"/>
        </w:rPr>
        <w:t>Instituto Literario No. 100. Col. Centro Toluca, Estado de México, México, C.P. 50000</w:t>
      </w:r>
    </w:p>
    <w:p>
      <w:pPr>
        <w:pStyle w:val="BodyText"/>
        <w:spacing w:line="254" w:lineRule="auto" w:before="129"/>
        <w:ind w:left="1553" w:right="1655"/>
      </w:pPr>
      <w:r>
        <w:rPr>
          <w:color w:val="231F20"/>
          <w:position w:val="7"/>
          <w:sz w:val="11"/>
        </w:rPr>
        <w:t>b </w:t>
      </w:r>
      <w:r>
        <w:rPr>
          <w:color w:val="231F20"/>
        </w:rPr>
        <w:t>Instituto de Investigaciones Agropecuarias y Forestales. Michoacana de San Nicolás Hidalgo. Km. 9,5 Carretera Morelia-Zinapécuaro. Unidad de Posta Zootécnica Tarímbaro Michoacán, México,   C.P.  58880</w:t>
      </w:r>
    </w:p>
    <w:p>
      <w:pPr>
        <w:pStyle w:val="BodyText"/>
      </w:pPr>
    </w:p>
    <w:p>
      <w:pPr>
        <w:pStyle w:val="BodyText"/>
      </w:pPr>
    </w:p>
    <w:p>
      <w:pPr>
        <w:pStyle w:val="BodyText"/>
        <w:spacing w:before="10"/>
        <w:rPr>
          <w:sz w:val="27"/>
        </w:rPr>
      </w:pPr>
      <w:r>
        <w:rPr/>
        <w:pict>
          <v:line style="position:absolute;mso-position-horizontal-relative:page;mso-position-vertical-relative:paragraph;z-index:6280;mso-wrap-distance-left:0;mso-wrap-distance-right:0" from="77.692902pt,19.218967pt" to="517.062902pt,19.218967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1"/>
        <w:jc w:val="both"/>
      </w:pPr>
      <w:r>
        <w:rPr>
          <w:color w:val="231F20"/>
        </w:rPr>
        <w:t>En los últimos años el concepto de desarrollo rural ha cobrado importancia, toda </w:t>
      </w:r>
      <w:r>
        <w:rPr>
          <w:color w:val="231F20"/>
          <w:spacing w:val="-3"/>
        </w:rPr>
        <w:t>vez </w:t>
      </w:r>
      <w:r>
        <w:rPr>
          <w:color w:val="231F20"/>
        </w:rPr>
        <w:t>que el </w:t>
      </w:r>
      <w:r>
        <w:rPr>
          <w:color w:val="231F20"/>
          <w:spacing w:val="-5"/>
        </w:rPr>
        <w:t>70% </w:t>
      </w:r>
      <w:r>
        <w:rPr>
          <w:color w:val="231F20"/>
        </w:rPr>
        <w:t>de la población pobre en el mundo vive en zonas consideradas rurales. En este sentido, la diversificación de acti- vidades productivas es una realidad para el caso mexicano, y la porcicultura de pequeña y mediana </w:t>
      </w:r>
      <w:r>
        <w:rPr>
          <w:color w:val="231F20"/>
          <w:spacing w:val="-2"/>
        </w:rPr>
        <w:t>escala </w:t>
      </w:r>
      <w:r>
        <w:rPr>
          <w:color w:val="231F20"/>
        </w:rPr>
        <w:t>proporciona</w:t>
      </w:r>
      <w:r>
        <w:rPr>
          <w:color w:val="231F20"/>
          <w:spacing w:val="-4"/>
        </w:rPr>
        <w:t> </w:t>
      </w:r>
      <w:r>
        <w:rPr>
          <w:color w:val="231F20"/>
        </w:rPr>
        <w:t>elementos</w:t>
      </w:r>
      <w:r>
        <w:rPr>
          <w:color w:val="231F20"/>
          <w:spacing w:val="-4"/>
        </w:rPr>
        <w:t> </w:t>
      </w:r>
      <w:r>
        <w:rPr>
          <w:color w:val="231F20"/>
        </w:rPr>
        <w:t>de</w:t>
      </w:r>
      <w:r>
        <w:rPr>
          <w:color w:val="231F20"/>
          <w:spacing w:val="-4"/>
        </w:rPr>
        <w:t> </w:t>
      </w:r>
      <w:r>
        <w:rPr>
          <w:color w:val="231F20"/>
        </w:rPr>
        <w:t>apoyo</w:t>
      </w:r>
      <w:r>
        <w:rPr>
          <w:color w:val="231F20"/>
          <w:spacing w:val="-4"/>
        </w:rPr>
        <w:t> </w:t>
      </w:r>
      <w:r>
        <w:rPr>
          <w:color w:val="231F20"/>
        </w:rPr>
        <w:t>y</w:t>
      </w:r>
      <w:r>
        <w:rPr>
          <w:color w:val="231F20"/>
          <w:spacing w:val="-4"/>
        </w:rPr>
        <w:t> </w:t>
      </w:r>
      <w:r>
        <w:rPr>
          <w:color w:val="231F20"/>
        </w:rPr>
        <w:t>sustento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economía</w:t>
      </w:r>
      <w:r>
        <w:rPr>
          <w:color w:val="231F20"/>
          <w:spacing w:val="-4"/>
        </w:rPr>
        <w:t> </w:t>
      </w:r>
      <w:r>
        <w:rPr>
          <w:color w:val="231F20"/>
          <w:spacing w:val="-3"/>
        </w:rPr>
        <w:t>familiar,</w:t>
      </w:r>
      <w:r>
        <w:rPr>
          <w:color w:val="231F20"/>
          <w:spacing w:val="-4"/>
        </w:rPr>
        <w:t> </w:t>
      </w:r>
      <w:r>
        <w:rPr>
          <w:color w:val="231F20"/>
        </w:rPr>
        <w:t>que</w:t>
      </w:r>
      <w:r>
        <w:rPr>
          <w:color w:val="231F20"/>
          <w:spacing w:val="-4"/>
        </w:rPr>
        <w:t> </w:t>
      </w:r>
      <w:r>
        <w:rPr>
          <w:color w:val="231F20"/>
        </w:rPr>
        <w:t>van</w:t>
      </w:r>
      <w:r>
        <w:rPr>
          <w:color w:val="231F20"/>
          <w:spacing w:val="-4"/>
        </w:rPr>
        <w:t> </w:t>
      </w:r>
      <w:r>
        <w:rPr>
          <w:color w:val="231F20"/>
        </w:rPr>
        <w:t>desde</w:t>
      </w:r>
      <w:r>
        <w:rPr>
          <w:color w:val="231F20"/>
          <w:spacing w:val="-4"/>
        </w:rPr>
        <w:t> </w:t>
      </w:r>
      <w:r>
        <w:rPr>
          <w:color w:val="231F20"/>
        </w:rPr>
        <w:t>ingresos</w:t>
      </w:r>
      <w:r>
        <w:rPr>
          <w:color w:val="231F20"/>
          <w:spacing w:val="-4"/>
        </w:rPr>
        <w:t> </w:t>
      </w:r>
      <w:r>
        <w:rPr>
          <w:color w:val="231F20"/>
        </w:rPr>
        <w:t>adicionales</w:t>
      </w:r>
      <w:r>
        <w:rPr>
          <w:color w:val="231F20"/>
          <w:spacing w:val="-4"/>
        </w:rPr>
        <w:t> </w:t>
      </w:r>
      <w:r>
        <w:rPr>
          <w:color w:val="231F20"/>
        </w:rPr>
        <w:t>hasta la consolidación económica. Sin embargo, el análisis de este sistema debería ser más complejo, puesto </w:t>
      </w:r>
      <w:r>
        <w:rPr>
          <w:color w:val="231F20"/>
          <w:spacing w:val="-2"/>
        </w:rPr>
        <w:t>que </w:t>
      </w:r>
      <w:r>
        <w:rPr>
          <w:color w:val="231F20"/>
        </w:rPr>
        <w:t>en la crianza del cerdo en unidades con poca tenencia de animales se emplean insumos de baja calidad, considerados la mayoría como desperdicios, que al final del proceso se transforman en productos de alto valor</w:t>
      </w:r>
      <w:r>
        <w:rPr>
          <w:color w:val="231F20"/>
          <w:spacing w:val="-8"/>
        </w:rPr>
        <w:t> </w:t>
      </w:r>
      <w:r>
        <w:rPr>
          <w:color w:val="231F20"/>
        </w:rPr>
        <w:t>proteínico.</w:t>
      </w:r>
      <w:r>
        <w:rPr>
          <w:color w:val="231F20"/>
          <w:spacing w:val="-8"/>
        </w:rPr>
        <w:t> </w:t>
      </w:r>
      <w:r>
        <w:rPr>
          <w:color w:val="231F20"/>
        </w:rPr>
        <w:t>Aunado</w:t>
      </w:r>
      <w:r>
        <w:rPr>
          <w:color w:val="231F20"/>
          <w:spacing w:val="-8"/>
        </w:rPr>
        <w:t> </w:t>
      </w:r>
      <w:r>
        <w:rPr>
          <w:color w:val="231F20"/>
        </w:rPr>
        <w:t>a</w:t>
      </w:r>
      <w:r>
        <w:rPr>
          <w:color w:val="231F20"/>
          <w:spacing w:val="-8"/>
        </w:rPr>
        <w:t> </w:t>
      </w:r>
      <w:r>
        <w:rPr>
          <w:color w:val="231F20"/>
        </w:rPr>
        <w:t>lo</w:t>
      </w:r>
      <w:r>
        <w:rPr>
          <w:color w:val="231F20"/>
          <w:spacing w:val="-8"/>
        </w:rPr>
        <w:t> </w:t>
      </w:r>
      <w:r>
        <w:rPr>
          <w:color w:val="231F20"/>
          <w:spacing w:val="-3"/>
        </w:rPr>
        <w:t>anterior,</w:t>
      </w:r>
      <w:r>
        <w:rPr>
          <w:color w:val="231F20"/>
          <w:spacing w:val="-8"/>
        </w:rPr>
        <w:t> </w:t>
      </w:r>
      <w:r>
        <w:rPr>
          <w:color w:val="231F20"/>
        </w:rPr>
        <w:t>la</w:t>
      </w:r>
      <w:r>
        <w:rPr>
          <w:color w:val="231F20"/>
          <w:spacing w:val="-8"/>
        </w:rPr>
        <w:t> </w:t>
      </w:r>
      <w:r>
        <w:rPr>
          <w:color w:val="231F20"/>
        </w:rPr>
        <w:t>distribución</w:t>
      </w:r>
      <w:r>
        <w:rPr>
          <w:color w:val="231F20"/>
          <w:spacing w:val="-8"/>
        </w:rPr>
        <w:t> </w:t>
      </w:r>
      <w:r>
        <w:rPr>
          <w:color w:val="231F20"/>
        </w:rPr>
        <w:t>del</w:t>
      </w:r>
      <w:r>
        <w:rPr>
          <w:color w:val="231F20"/>
          <w:spacing w:val="-8"/>
        </w:rPr>
        <w:t> </w:t>
      </w:r>
      <w:r>
        <w:rPr>
          <w:color w:val="231F20"/>
        </w:rPr>
        <w:t>trabajo</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miembros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familia</w:t>
      </w:r>
      <w:r>
        <w:rPr>
          <w:color w:val="231F20"/>
          <w:spacing w:val="-8"/>
        </w:rPr>
        <w:t> </w:t>
      </w:r>
      <w:r>
        <w:rPr>
          <w:color w:val="231F20"/>
        </w:rPr>
        <w:t>y</w:t>
      </w:r>
      <w:r>
        <w:rPr>
          <w:color w:val="231F20"/>
          <w:spacing w:val="-8"/>
        </w:rPr>
        <w:t> </w:t>
      </w:r>
      <w:r>
        <w:rPr>
          <w:color w:val="231F20"/>
        </w:rPr>
        <w:t>lo</w:t>
      </w:r>
      <w:r>
        <w:rPr>
          <w:color w:val="231F20"/>
          <w:spacing w:val="-8"/>
        </w:rPr>
        <w:t> </w:t>
      </w:r>
      <w:r>
        <w:rPr>
          <w:color w:val="231F20"/>
        </w:rPr>
        <w:t>fácil</w:t>
      </w:r>
      <w:r>
        <w:rPr>
          <w:color w:val="231F20"/>
          <w:spacing w:val="-8"/>
        </w:rPr>
        <w:t> </w:t>
      </w:r>
      <w:r>
        <w:rPr>
          <w:color w:val="231F20"/>
          <w:spacing w:val="-2"/>
        </w:rPr>
        <w:t>que </w:t>
      </w:r>
      <w:r>
        <w:rPr>
          <w:color w:val="231F20"/>
        </w:rPr>
        <w:t>se adapta el sistema a diversos contextos han permitido que esta actividad haya sobrevivido a través de </w:t>
      </w:r>
      <w:r>
        <w:rPr>
          <w:color w:val="231F20"/>
          <w:spacing w:val="-2"/>
        </w:rPr>
        <w:t>los </w:t>
      </w:r>
      <w:r>
        <w:rPr>
          <w:color w:val="231F20"/>
        </w:rPr>
        <w:t>años, a pesar de las grandes crisis nacionales que han surgido a partir del consumo del producto; de ahí la importancia de su</w:t>
      </w:r>
      <w:r>
        <w:rPr>
          <w:color w:val="231F20"/>
          <w:spacing w:val="-12"/>
        </w:rPr>
        <w:t> </w:t>
      </w:r>
      <w:r>
        <w:rPr>
          <w:color w:val="231F20"/>
        </w:rPr>
        <w:t>análisis.</w:t>
      </w:r>
    </w:p>
    <w:p>
      <w:pPr>
        <w:pStyle w:val="BodyText"/>
        <w:spacing w:before="114"/>
        <w:ind w:left="1553"/>
        <w:jc w:val="both"/>
      </w:pPr>
      <w:r>
        <w:rPr>
          <w:color w:val="231F20"/>
        </w:rPr>
        <w:t>Palabras clave: Porcicultura - Economía familiar - Economía    ambiental.</w:t>
      </w:r>
    </w:p>
    <w:p>
      <w:pPr>
        <w:pStyle w:val="BodyText"/>
        <w:spacing w:before="3"/>
      </w:pPr>
      <w:r>
        <w:rPr/>
        <w:pict>
          <v:line style="position:absolute;mso-position-horizontal-relative:page;mso-position-vertical-relative:paragraph;z-index:6304;mso-wrap-distance-left:0;mso-wrap-distance-right:0" from="77.692902pt,14.572356pt" to="517.062902pt,14.572356pt" stroked="true" strokeweight=".5pt" strokecolor="#231f20">
            <w10:wrap type="topAndBottom"/>
          </v:line>
        </w:pict>
      </w:r>
    </w:p>
    <w:p>
      <w:pPr>
        <w:pStyle w:val="BodyText"/>
      </w:pPr>
    </w:p>
    <w:p>
      <w:pPr>
        <w:pStyle w:val="BodyText"/>
      </w:pPr>
    </w:p>
    <w:p>
      <w:pPr>
        <w:pStyle w:val="BodyText"/>
      </w:pPr>
    </w:p>
    <w:p>
      <w:pPr>
        <w:pStyle w:val="BodyText"/>
      </w:pPr>
    </w:p>
    <w:p>
      <w:pPr>
        <w:pStyle w:val="BodyText"/>
        <w:rPr>
          <w:sz w:val="22"/>
        </w:rPr>
      </w:pPr>
      <w:r>
        <w:rPr/>
        <w:pict>
          <v:group style="position:absolute;margin-left:77.692902pt;margin-top:15.412775pt;width:70.9pt;height:.5pt;mso-position-horizontal-relative:page;mso-position-vertical-relative:paragraph;z-index:6328;mso-wrap-distance-left:0;mso-wrap-distance-right:0" coordorigin="1554,308" coordsize="1418,10">
            <v:line style="position:absolute" from="1589,313" to="2951,313" stroked="true" strokeweight=".5pt" strokecolor="#231f20">
              <v:stroke dashstyle="dash"/>
            </v:line>
            <v:line style="position:absolute" from="1559,313" to="1559,313" stroked="true" strokeweight=".5pt" strokecolor="#231f20"/>
            <v:line style="position:absolute" from="2966,313" to="2966,313" stroked="true" strokeweight=".5pt" strokecolor="#231f20"/>
            <w10:wrap type="topAndBottom"/>
          </v:group>
        </w:pict>
      </w:r>
    </w:p>
    <w:p>
      <w:pPr>
        <w:spacing w:after="0"/>
        <w:rPr>
          <w:sz w:val="22"/>
        </w:rPr>
        <w:sectPr>
          <w:pgSz w:w="11900" w:h="14450"/>
          <w:pgMar w:header="0" w:footer="222" w:top="420" w:bottom="420" w:left="0" w:right="0"/>
        </w:sectPr>
      </w:pPr>
    </w:p>
    <w:p>
      <w:pPr>
        <w:spacing w:before="70"/>
        <w:ind w:left="1553" w:right="0" w:firstLine="0"/>
        <w:jc w:val="left"/>
        <w:rPr>
          <w:sz w:val="16"/>
        </w:rPr>
      </w:pPr>
      <w:r>
        <w:rPr>
          <w:color w:val="231F20"/>
          <w:sz w:val="16"/>
        </w:rPr>
        <w:t>* Para correspondencia: </w:t>
      </w:r>
      <w:hyperlink r:id="rId388">
        <w:r>
          <w:rPr>
            <w:color w:val="231F20"/>
            <w:sz w:val="16"/>
          </w:rPr>
          <w:t>fernestom@yahoo.com.mx</w:t>
        </w:r>
      </w:hyperlink>
    </w:p>
    <w:p>
      <w:pPr>
        <w:pStyle w:val="BodyText"/>
        <w:spacing w:before="4"/>
        <w:rPr>
          <w:sz w:val="32"/>
        </w:rPr>
      </w:pPr>
      <w:r>
        <w:rPr/>
        <w:br w:type="column"/>
      </w:r>
      <w:r>
        <w:rPr>
          <w:sz w:val="32"/>
        </w:rPr>
      </w:r>
    </w:p>
    <w:p>
      <w:pPr>
        <w:pStyle w:val="Heading5"/>
        <w:ind w:left="1529" w:right="1531"/>
        <w:jc w:val="center"/>
      </w:pPr>
      <w:r>
        <w:rPr>
          <w:color w:val="231F20"/>
          <w:w w:val="115"/>
        </w:rPr>
        <w:t>223</w:t>
      </w:r>
    </w:p>
    <w:p>
      <w:pPr>
        <w:spacing w:after="0"/>
        <w:jc w:val="center"/>
        <w:sectPr>
          <w:type w:val="continuous"/>
          <w:pgSz w:w="11900" w:h="14450"/>
          <w:pgMar w:top="420" w:bottom="420" w:left="0" w:right="0"/>
          <w:cols w:num="2" w:equalWidth="0">
            <w:col w:w="4973" w:space="3439"/>
            <w:col w:w="3488"/>
          </w:cols>
        </w:sectPr>
      </w:pPr>
    </w:p>
    <w:p>
      <w:pPr>
        <w:pStyle w:val="BodyText"/>
      </w:pPr>
    </w:p>
    <w:p>
      <w:pPr>
        <w:pStyle w:val="BodyText"/>
      </w:pPr>
    </w:p>
    <w:p>
      <w:pPr>
        <w:pStyle w:val="BodyText"/>
        <w:rPr>
          <w:sz w:val="17"/>
        </w:rPr>
      </w:pPr>
    </w:p>
    <w:p>
      <w:pPr>
        <w:tabs>
          <w:tab w:pos="4776" w:val="left" w:leader="none"/>
        </w:tabs>
        <w:spacing w:before="64"/>
        <w:ind w:left="1551" w:right="0" w:firstLine="0"/>
        <w:jc w:val="left"/>
        <w:rPr>
          <w:sz w:val="12"/>
        </w:rPr>
      </w:pPr>
      <w:r>
        <w:rPr>
          <w:color w:val="231F20"/>
          <w:spacing w:val="-4"/>
          <w:w w:val="130"/>
          <w:sz w:val="22"/>
        </w:rPr>
        <w:t>224</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1"/>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6" w:lineRule="auto" w:before="129"/>
        <w:ind w:left="1553"/>
        <w:jc w:val="both"/>
      </w:pPr>
      <w:r>
        <w:rPr>
          <w:color w:val="231F20"/>
        </w:rPr>
        <w:t>La pobreza, definida como la insatisfacción de las necesidades básicas de los individuos, ha sido ob- jeto de polémica y análisis en las esferas social, económica, política y fisiológica. De acuerdo con el CONEVAL (2009), para el año 2009 en México se estimaba que 50,6 millones de personas no per- cibían lo suficiente para satisfacer sus necesidades de salud, educación, alimento, vivienda, vestido y transporte público. A la luz de esta situación, la crianza de animales en pequeña escala es un ele- mento central en las estrategias de diversificación para la consolidación de las comunidades en las sociedades rurales en todo el mundo. Estos plan- teamientos han sido atacados de manera reitera- da y sistemática por corporaciones transnacionales y grupos corporativos, que al imponer o intentar imponer sus complejos tecnológicos no permiten  a las producciones de pequeña escala, con sus especificidades y requerimientos particulares, ser competitivas. Según cifras del Banco Mundial, el </w:t>
      </w:r>
      <w:r>
        <w:rPr>
          <w:color w:val="231F20"/>
          <w:spacing w:val="-3"/>
        </w:rPr>
        <w:t>70%  </w:t>
      </w:r>
      <w:r>
        <w:rPr>
          <w:color w:val="231F20"/>
        </w:rPr>
        <w:t>de la población pobre vive en zonas rurales     y depende de los animales como componente de sus modos de vida (Sánchez </w:t>
      </w:r>
      <w:r>
        <w:rPr>
          <w:color w:val="231F20"/>
          <w:spacing w:val="-4"/>
        </w:rPr>
        <w:t>Vera </w:t>
      </w:r>
      <w:r>
        <w:rPr>
          <w:color w:val="231F20"/>
        </w:rPr>
        <w:t>y Nava Bernal, 2009); en México la cifra corresponde al 22% del total, y por ello en la última década los estudios sobre desarrollo rural han cobrado importancia. </w:t>
      </w:r>
      <w:r>
        <w:rPr>
          <w:color w:val="231F20"/>
          <w:spacing w:val="-5"/>
        </w:rPr>
        <w:t>Tanto </w:t>
      </w:r>
      <w:r>
        <w:rPr>
          <w:color w:val="231F20"/>
        </w:rPr>
        <w:t>es así que la Ley de Desarrollo Sustentable, cuya última reforma fue en </w:t>
      </w:r>
      <w:r>
        <w:rPr>
          <w:color w:val="231F20"/>
          <w:spacing w:val="-5"/>
        </w:rPr>
        <w:t>2012, </w:t>
      </w:r>
      <w:r>
        <w:rPr>
          <w:color w:val="231F20"/>
        </w:rPr>
        <w:t>en su Artículo </w:t>
      </w:r>
      <w:r>
        <w:rPr>
          <w:color w:val="231F20"/>
          <w:spacing w:val="-3"/>
        </w:rPr>
        <w:t>Tercero </w:t>
      </w:r>
      <w:r>
        <w:rPr>
          <w:color w:val="231F20"/>
        </w:rPr>
        <w:t>define al desarrollo rural sustentable como el mejoramiento integral del bienestar social de la población y de las actividades económicas en el territorio comprendido fuera de los núcleos consi- derados urbanos de acuerdo con las disposiciones aplicables, asegurando la conservación permanen- te de los recursos naturales, la biodiversidad y los servicios ambientales de dicho</w:t>
      </w:r>
      <w:r>
        <w:rPr>
          <w:color w:val="231F20"/>
          <w:spacing w:val="10"/>
        </w:rPr>
        <w:t> </w:t>
      </w:r>
      <w:r>
        <w:rPr>
          <w:color w:val="231F20"/>
        </w:rPr>
        <w:t>territorio.</w:t>
      </w:r>
    </w:p>
    <w:p>
      <w:pPr>
        <w:pStyle w:val="BodyText"/>
        <w:spacing w:line="256" w:lineRule="auto" w:before="112"/>
        <w:ind w:left="1553"/>
        <w:jc w:val="both"/>
      </w:pPr>
      <w:r>
        <w:rPr>
          <w:color w:val="231F20"/>
        </w:rPr>
        <w:t>Entendiendo las poblaciones rurales como aque- llas cuyas actividades económicas se  encuadran  en el primer sector (agricultura, ganadería, pesca   y todas aquellas que dependen del ambiente), el desarrollo rural busca potenciar la calidad de  </w:t>
      </w:r>
      <w:r>
        <w:rPr>
          <w:color w:val="231F20"/>
          <w:spacing w:val="41"/>
        </w:rPr>
        <w:t> </w:t>
      </w:r>
      <w:r>
        <w:rPr>
          <w:color w:val="231F20"/>
        </w:rPr>
        <w:t>vida</w:t>
      </w:r>
    </w:p>
    <w:p>
      <w:pPr>
        <w:pStyle w:val="BodyText"/>
        <w:spacing w:line="259" w:lineRule="auto" w:before="67"/>
        <w:ind w:left="413" w:right="1551"/>
        <w:jc w:val="both"/>
      </w:pPr>
      <w:r>
        <w:rPr/>
        <w:br w:type="column"/>
      </w:r>
      <w:r>
        <w:rPr>
          <w:color w:val="231F20"/>
        </w:rPr>
        <w:t>de los habitantes al tiempo que optimiza los re- cursos naturales existentes en un territorio deter- minado. Dentro de este parámetro, las actividades porcinas de pequeña y mediana escala son ele- mentos que, a lo largo del tiempo, han permitido generar ingresos y oportunidades de ocupación de las familias para dinamizar el uso de los recursos disponibles.</w:t>
      </w:r>
    </w:p>
    <w:p>
      <w:pPr>
        <w:pStyle w:val="BodyText"/>
        <w:spacing w:line="259" w:lineRule="auto" w:before="114"/>
        <w:ind w:left="413" w:right="1551"/>
        <w:jc w:val="both"/>
      </w:pPr>
      <w:r>
        <w:rPr>
          <w:color w:val="231F20"/>
        </w:rPr>
        <w:t>Hoy día, con la diversificación de actividades en el medio rural, la crianza de animales como modo de vida de las familias rurales puede ser examinada  en términos de una combinación de  las  funcio-  nes como bienes y de los atributos de éstos (Sán- chez </w:t>
      </w:r>
      <w:r>
        <w:rPr>
          <w:color w:val="231F20"/>
          <w:spacing w:val="-4"/>
        </w:rPr>
        <w:t>Vera </w:t>
      </w:r>
      <w:r>
        <w:rPr>
          <w:color w:val="231F20"/>
        </w:rPr>
        <w:t>y Nava Bernal, 2009); sin embargo, los modos de vida campesinos no son un concepto simple, debido a que la mayor parte de sus com- ponentes son de origen</w:t>
      </w:r>
      <w:r>
        <w:rPr>
          <w:color w:val="231F20"/>
          <w:spacing w:val="42"/>
        </w:rPr>
        <w:t> </w:t>
      </w:r>
      <w:r>
        <w:rPr>
          <w:color w:val="231F20"/>
        </w:rPr>
        <w:t>cualitativo.</w:t>
      </w:r>
    </w:p>
    <w:p>
      <w:pPr>
        <w:pStyle w:val="BodyText"/>
        <w:spacing w:line="259" w:lineRule="auto" w:before="114"/>
        <w:ind w:left="413" w:right="1551"/>
        <w:jc w:val="both"/>
      </w:pPr>
      <w:r>
        <w:rPr>
          <w:color w:val="231F20"/>
        </w:rPr>
        <w:t>Un buen punto de partida es el análisis de las fa- milias campesinas como unidades de producción, ya que  su  condición  como  productores  rurales  va más allá de la subsistencia. Para Castro-Pérez (2006), los campesinos son actores sociales su- mamente imaginativos y hábiles para reproducir- se socialmente como tales, para lo que diseñan múltiples estrategias, como el trueque, la “mano </w:t>
      </w:r>
      <w:r>
        <w:rPr>
          <w:color w:val="231F20"/>
          <w:spacing w:val="-3"/>
        </w:rPr>
        <w:t>vuelta”, </w:t>
      </w:r>
      <w:r>
        <w:rPr>
          <w:color w:val="231F20"/>
        </w:rPr>
        <w:t>la reducción del consumo familiar hasta el límite de la supervivencia, el empleo temporal y la migración. Su producción, tendencialmente orien- tada a la subsistencia de la familia, logra alcanzar una autonomía económica, tecnológica e ideológi- ca, y en sus prácticas productivas se condensa un sistema de conocimientos ancestrales que definen su relación con el medio físico y los elementos bióticos.</w:t>
      </w:r>
    </w:p>
    <w:p>
      <w:pPr>
        <w:pStyle w:val="BodyText"/>
        <w:spacing w:line="259" w:lineRule="auto" w:before="114"/>
        <w:ind w:left="413" w:right="1551"/>
        <w:jc w:val="both"/>
      </w:pPr>
      <w:r>
        <w:rPr>
          <w:color w:val="231F20"/>
        </w:rPr>
        <w:t>Es así como la diversificación de actividades que emplea la familia campesina poco a poco ha ido marcando la dinámica del cambio sociocultural, y los modos de vida campesinos cada vez se aso- cian más a los trabajos asalariados y a la crianza   de animales de traspatio. En este sentido, en el Estado de México la crianza de cerdos de </w:t>
      </w:r>
      <w:r>
        <w:rPr>
          <w:color w:val="231F20"/>
          <w:spacing w:val="7"/>
        </w:rPr>
        <w:t> </w:t>
      </w:r>
      <w:r>
        <w:rPr>
          <w:color w:val="231F20"/>
        </w:rPr>
        <w:t>traspatio</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w:t>
      </w:r>
      <w:r>
        <w:rPr>
          <w:color w:val="231F20"/>
          <w:spacing w:val="-3"/>
          <w:sz w:val="18"/>
        </w:rPr>
        <w:t>15.   </w:t>
      </w:r>
      <w:r>
        <w:rPr>
          <w:color w:val="231F20"/>
          <w:sz w:val="18"/>
        </w:rPr>
        <w:t>Contribución de la producción porcina de pequeña y   </w:t>
      </w:r>
      <w:r>
        <w:rPr>
          <w:color w:val="231F20"/>
          <w:spacing w:val="8"/>
          <w:sz w:val="18"/>
        </w:rPr>
        <w:t> </w:t>
      </w:r>
      <w:r>
        <w:rPr>
          <w:color w:val="231F20"/>
          <w:sz w:val="18"/>
        </w:rPr>
        <w:t>mediana</w:t>
      </w:r>
      <w:r>
        <w:rPr>
          <w:color w:val="231F20"/>
          <w:spacing w:val="14"/>
          <w:sz w:val="18"/>
        </w:rPr>
        <w:t> </w:t>
      </w:r>
      <w:r>
        <w:rPr>
          <w:color w:val="231F20"/>
          <w:sz w:val="18"/>
        </w:rPr>
        <w:t>escala…</w:t>
      </w:r>
      <w:r>
        <w:rPr>
          <w:color w:val="231F20"/>
          <w:sz w:val="22"/>
        </w:rPr>
        <w:tab/>
      </w:r>
      <w:r>
        <w:rPr>
          <w:color w:val="231F20"/>
          <w:spacing w:val="-5"/>
          <w:sz w:val="22"/>
        </w:rPr>
        <w:t>225</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71" w:lineRule="auto"/>
        <w:ind w:left="1553"/>
        <w:jc w:val="both"/>
      </w:pPr>
      <w:r>
        <w:rPr>
          <w:color w:val="231F20"/>
        </w:rPr>
        <w:t>cobra importancia no sólo económica, debido a que forma parte innegable en los contextos mo- netarios nacionales, sino también por  constituir  un elemento de análisis sociocultural  digno  de  ser mencionado, pues a  partir  de  esta  actividad se crea una organización familiar diferenciada por edades y género. Además, el valor comercial del producto se pierde cuando es empleado como parte central en los festejos tradicionales locales y como fondos de ahorro en  </w:t>
      </w:r>
      <w:r>
        <w:rPr>
          <w:color w:val="231F20"/>
          <w:spacing w:val="20"/>
        </w:rPr>
        <w:t> </w:t>
      </w:r>
      <w:r>
        <w:rPr>
          <w:color w:val="231F20"/>
        </w:rPr>
        <w:t>especie.</w:t>
      </w:r>
    </w:p>
    <w:p>
      <w:pPr>
        <w:pStyle w:val="BodyText"/>
        <w:spacing w:line="271" w:lineRule="auto" w:before="112"/>
        <w:ind w:left="1553"/>
        <w:jc w:val="both"/>
      </w:pPr>
      <w:r>
        <w:rPr>
          <w:color w:val="231F20"/>
        </w:rPr>
        <w:t>Por todo ello, en el presente capítulo se abordarán de manera clara los resultados de las investigacio- nes sobre la porcicultura de pequeña y mediana escala en el Estado de México, así como su impor- tancia para las familias y sus implicaciones en el </w:t>
      </w:r>
      <w:r>
        <w:rPr>
          <w:color w:val="231F20"/>
          <w:w w:val="95"/>
        </w:rPr>
        <w:t>desarrollo rural.</w:t>
      </w:r>
    </w:p>
    <w:p>
      <w:pPr>
        <w:pStyle w:val="BodyText"/>
      </w:pPr>
    </w:p>
    <w:p>
      <w:pPr>
        <w:pStyle w:val="BodyText"/>
        <w:spacing w:before="151"/>
        <w:ind w:left="1553"/>
        <w:jc w:val="both"/>
      </w:pPr>
      <w:r>
        <w:rPr>
          <w:color w:val="231F20"/>
          <w:w w:val="110"/>
        </w:rPr>
        <w:t>PORCICULTURA DE PEQUEÑA</w:t>
      </w:r>
    </w:p>
    <w:p>
      <w:pPr>
        <w:pStyle w:val="BodyText"/>
        <w:spacing w:before="30"/>
        <w:ind w:left="1553"/>
        <w:jc w:val="both"/>
      </w:pPr>
      <w:r>
        <w:rPr>
          <w:color w:val="231F20"/>
          <w:w w:val="110"/>
        </w:rPr>
        <w:t>Y MEDIANA ESCALA EN MÉXICO</w:t>
      </w:r>
    </w:p>
    <w:p>
      <w:pPr>
        <w:pStyle w:val="BodyText"/>
        <w:spacing w:line="271" w:lineRule="auto" w:before="144"/>
        <w:ind w:left="1553"/>
        <w:jc w:val="both"/>
      </w:pPr>
      <w:r>
        <w:rPr>
          <w:color w:val="231F20"/>
        </w:rPr>
        <w:t>En México, desde los tiempos de la colonia los cerdos han coexistido con el hombre. Su desarro- llo histórico se basa en dos núcleos regionales de explotación: la porcicultura de traspatio (de mayor tradición) y la porcicultura comercial desarrollada (ASERCA,  citado  en  Martínez-Castañeda, 2002).</w:t>
      </w:r>
    </w:p>
    <w:p>
      <w:pPr>
        <w:pStyle w:val="BodyText"/>
        <w:spacing w:line="271" w:lineRule="auto" w:before="112"/>
        <w:ind w:left="1553"/>
        <w:jc w:val="both"/>
      </w:pPr>
      <w:r>
        <w:rPr>
          <w:color w:val="231F20"/>
        </w:rPr>
        <w:t>El sistema de traspatio se estima que supone entre el 25% y el 35% del inventario porcícola del país. Forma parte de la tradición productiva del cam-   po mexicano y consiste en  alimentar  un  peque- ño número de animales con los desperdicios del consumo doméstico. Sus necesidades se atienden con la fuerza de trabajo familiar y permite el au- toconsumo de alimentos de alto valor biológico.  Su diferencia básica con el sistema de porcicultura comercial tecnificado radica en que este último realiza la crianza y engorda mediante técnicas de confinamiento total, con el objetivo de obtener mayores porcentajes de carne magra </w:t>
      </w:r>
      <w:r>
        <w:rPr>
          <w:color w:val="231F20"/>
          <w:spacing w:val="-5"/>
        </w:rPr>
        <w:t>y, </w:t>
      </w:r>
      <w:r>
        <w:rPr>
          <w:color w:val="231F20"/>
        </w:rPr>
        <w:t>por ende, mayor rendimiento en</w:t>
      </w:r>
      <w:r>
        <w:rPr>
          <w:color w:val="231F20"/>
          <w:spacing w:val="40"/>
        </w:rPr>
        <w:t> </w:t>
      </w:r>
      <w:r>
        <w:rPr>
          <w:color w:val="231F20"/>
        </w:rPr>
        <w:t>canal.</w:t>
      </w:r>
    </w:p>
    <w:p>
      <w:pPr>
        <w:pStyle w:val="BodyText"/>
        <w:spacing w:before="3"/>
        <w:rPr>
          <w:sz w:val="28"/>
        </w:rPr>
      </w:pPr>
      <w:r>
        <w:rPr/>
        <w:br w:type="column"/>
      </w:r>
      <w:r>
        <w:rPr>
          <w:sz w:val="28"/>
        </w:rPr>
      </w:r>
    </w:p>
    <w:p>
      <w:pPr>
        <w:pStyle w:val="BodyText"/>
        <w:spacing w:line="266" w:lineRule="auto"/>
        <w:ind w:left="412" w:right="1551"/>
        <w:jc w:val="both"/>
      </w:pPr>
      <w:r>
        <w:rPr>
          <w:color w:val="231F20"/>
        </w:rPr>
        <w:t>A partir del año 2000 la porcicultura mexicana co- menzó una etapa de crecimiento lento y constante que, poco a poco, se va ajustando a las nuevas exigencias del mercado y a las crisis que el pro- ducto venía presentando en décadas pasadas. En este sentido, debido a los movimientos migrato- rios del campo a la ciudad, los espacios urbanos      y periurbanos han sido habilitados como entornos idóneos para la tenencia de cerdos en función de  su dependencia con el  </w:t>
      </w:r>
      <w:r>
        <w:rPr>
          <w:color w:val="231F20"/>
          <w:spacing w:val="14"/>
        </w:rPr>
        <w:t> </w:t>
      </w:r>
      <w:r>
        <w:rPr>
          <w:color w:val="231F20"/>
        </w:rPr>
        <w:t>hombre.</w:t>
      </w:r>
    </w:p>
    <w:p>
      <w:pPr>
        <w:pStyle w:val="BodyText"/>
        <w:spacing w:line="266" w:lineRule="auto" w:before="113"/>
        <w:ind w:left="412" w:right="1550"/>
        <w:jc w:val="both"/>
      </w:pPr>
      <w:r>
        <w:rPr>
          <w:color w:val="231F20"/>
        </w:rPr>
        <w:t>Para Santos-Barrios </w:t>
      </w:r>
      <w:r>
        <w:rPr>
          <w:color w:val="231F20"/>
          <w:spacing w:val="-3"/>
        </w:rPr>
        <w:t>(2011), </w:t>
      </w:r>
      <w:r>
        <w:rPr>
          <w:color w:val="231F20"/>
        </w:rPr>
        <w:t>la crianza  de  cerdos  de traspatio ha tenido un auge porque su  prin- cipal fuente de insumos son  los  mercados  loca- les que constituyen una fuente de desechos. Así, una parte importante de los desperdicios genera- dos por las actividades de  consumo  alimenticio  de la población es utilizada como alimentación animal. Esta actividad, aparte de reducir los cos- tos de producción, contribuye a la reducción de contaminantes en el ambiente, ya que el proceso utiliza insumos de baja calidad  y  los  transforma en proteína de origen animal de alto contenido energético.</w:t>
      </w:r>
    </w:p>
    <w:p>
      <w:pPr>
        <w:pStyle w:val="BodyText"/>
        <w:spacing w:line="266" w:lineRule="auto" w:before="113"/>
        <w:ind w:left="412" w:right="1551"/>
        <w:jc w:val="both"/>
      </w:pPr>
      <w:r>
        <w:rPr>
          <w:color w:val="231F20"/>
        </w:rPr>
        <w:t>Por otro lado, desde finales de la década de </w:t>
      </w:r>
      <w:r>
        <w:rPr>
          <w:color w:val="231F20"/>
          <w:spacing w:val="-3"/>
        </w:rPr>
        <w:t>1980   </w:t>
      </w:r>
      <w:r>
        <w:rPr>
          <w:color w:val="231F20"/>
        </w:rPr>
        <w:t>la porcicultura de traspatio representa entre el 40% y el 50% del inventario nacional y produce entre el 30%  y  el  40%  de  la  carne  consumida  en México. En este sentido, no cabe duda de su importancia.</w:t>
      </w:r>
    </w:p>
    <w:p>
      <w:pPr>
        <w:pStyle w:val="BodyText"/>
        <w:spacing w:line="266" w:lineRule="auto" w:before="113"/>
        <w:ind w:left="412" w:right="1551"/>
        <w:jc w:val="both"/>
      </w:pPr>
      <w:r>
        <w:rPr>
          <w:color w:val="231F20"/>
        </w:rPr>
        <w:t>La elección del cerdo como estrategia para mitigar la pobreza es una buena opción, ya que requiere espacios reducidos, tiene gran versatilidad en el consumo de alimentos y se vende fácilmente. Per- mite al productor tener liquidez monetaria en caso de emergencias,  y  además  le  proporciona  carne y grasa para su venta local, para poder elaborar y procesar productos como “carnitas” y chicharrón,  y usar la carne en la preparación de los tacos y en  la composición de comida rápida, de gran deman- da en las </w:t>
      </w:r>
      <w:r>
        <w:rPr>
          <w:color w:val="231F20"/>
          <w:spacing w:val="15"/>
        </w:rPr>
        <w:t> </w:t>
      </w:r>
      <w:r>
        <w:rPr>
          <w:color w:val="231F20"/>
        </w:rPr>
        <w:t>ciudades.</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776" w:val="left" w:leader="none"/>
        </w:tabs>
        <w:spacing w:before="64"/>
        <w:ind w:left="1551" w:right="0" w:firstLine="0"/>
        <w:jc w:val="left"/>
        <w:rPr>
          <w:sz w:val="12"/>
        </w:rPr>
      </w:pPr>
      <w:r>
        <w:rPr>
          <w:color w:val="231F20"/>
          <w:spacing w:val="-4"/>
          <w:w w:val="130"/>
          <w:sz w:val="22"/>
        </w:rPr>
        <w:t>226</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1"/>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76"/>
        <w:ind w:left="1553"/>
      </w:pPr>
      <w:r>
        <w:rPr>
          <w:color w:val="231F20"/>
          <w:w w:val="110"/>
        </w:rPr>
        <w:t>SISTEMAS DE PRODUCCIÓN PORCINA. RESULTADOS DE LA INVESTIGACIÓN</w:t>
      </w:r>
    </w:p>
    <w:p>
      <w:pPr>
        <w:pStyle w:val="BodyText"/>
        <w:spacing w:line="259" w:lineRule="auto" w:before="114"/>
        <w:ind w:left="1553"/>
        <w:jc w:val="both"/>
      </w:pPr>
      <w:r>
        <w:rPr>
          <w:color w:val="231F20"/>
        </w:rPr>
        <w:t>Los datos que a continuación se presentan tratan de resumir los principales hallazgos de diferentes investigaciones realizadas en el centro y el nor- oriente del Estado de México. La información se obtuvo mediante investigación participativa, en- cuestas semiestructuradas, visitas periódicas y mo- nitoreo de  indicadores  productivos,  económicos  y sociales. La encuesta directa incluyó preguntas cerradas y abiertas relacionadas con permanencia, escolaridad, innovación tecnológica, inventarios, infraestructura, alimentación del ganado y apor- tación económica, entre otros aspectos. Además, las visitas a cada unidad de producción arrojaron información adicional que permitió entender clara- mente las características y los escenarios donde se desarrolla la actividad ganadera, así como el logro de los objetivos</w:t>
      </w:r>
      <w:r>
        <w:rPr>
          <w:color w:val="231F20"/>
          <w:spacing w:val="40"/>
        </w:rPr>
        <w:t> </w:t>
      </w:r>
      <w:r>
        <w:rPr>
          <w:color w:val="231F20"/>
        </w:rPr>
        <w:t>planteados.</w:t>
      </w:r>
    </w:p>
    <w:p>
      <w:pPr>
        <w:pStyle w:val="BodyText"/>
        <w:spacing w:before="11"/>
        <w:rPr>
          <w:sz w:val="18"/>
        </w:rPr>
      </w:pPr>
    </w:p>
    <w:p>
      <w:pPr>
        <w:spacing w:before="0"/>
        <w:ind w:left="1553" w:right="0" w:firstLine="0"/>
        <w:jc w:val="both"/>
        <w:rPr>
          <w:rFonts w:ascii="Arial" w:hAnsi="Arial"/>
          <w:i/>
          <w:sz w:val="20"/>
        </w:rPr>
      </w:pPr>
      <w:r>
        <w:rPr>
          <w:rFonts w:ascii="Arial" w:hAnsi="Arial"/>
          <w:i/>
          <w:color w:val="231F20"/>
          <w:sz w:val="20"/>
        </w:rPr>
        <w:t>Dimensión social</w:t>
      </w:r>
    </w:p>
    <w:p>
      <w:pPr>
        <w:pStyle w:val="BodyText"/>
        <w:spacing w:line="259" w:lineRule="auto" w:before="145"/>
        <w:ind w:left="1553"/>
        <w:jc w:val="both"/>
      </w:pPr>
      <w:r>
        <w:rPr>
          <w:color w:val="231F20"/>
          <w:w w:val="105"/>
        </w:rPr>
        <w:t>Las granjas con una tenencia de animales menor de 20 cerdas reproductoras generalmente son atendidas por familias nucleares. En promedio hay 5 ± 2 integrantes por familia, y en</w:t>
      </w:r>
      <w:r>
        <w:rPr>
          <w:color w:val="231F20"/>
          <w:spacing w:val="15"/>
          <w:w w:val="105"/>
        </w:rPr>
        <w:t> </w:t>
      </w:r>
      <w:r>
        <w:rPr>
          <w:color w:val="231F20"/>
          <w:w w:val="105"/>
        </w:rPr>
        <w:t>la</w:t>
      </w:r>
      <w:r>
        <w:rPr>
          <w:color w:val="231F20"/>
          <w:spacing w:val="1"/>
          <w:w w:val="105"/>
        </w:rPr>
        <w:t> </w:t>
      </w:r>
      <w:r>
        <w:rPr>
          <w:color w:val="231F20"/>
          <w:w w:val="105"/>
        </w:rPr>
        <w:t>mayoría</w:t>
      </w:r>
      <w:r>
        <w:rPr>
          <w:color w:val="231F20"/>
          <w:w w:val="99"/>
        </w:rPr>
        <w:t> </w:t>
      </w:r>
      <w:r>
        <w:rPr>
          <w:color w:val="231F20"/>
          <w:w w:val="105"/>
        </w:rPr>
        <w:t>de las granjas la responsabilidad recae en el pa- dre de familia, seguido por la madre y en menor proporción</w:t>
      </w:r>
      <w:r>
        <w:rPr>
          <w:color w:val="231F20"/>
          <w:spacing w:val="-15"/>
          <w:w w:val="105"/>
        </w:rPr>
        <w:t> </w:t>
      </w:r>
      <w:r>
        <w:rPr>
          <w:color w:val="231F20"/>
          <w:w w:val="105"/>
        </w:rPr>
        <w:t>por</w:t>
      </w:r>
      <w:r>
        <w:rPr>
          <w:color w:val="231F20"/>
          <w:spacing w:val="-15"/>
          <w:w w:val="105"/>
        </w:rPr>
        <w:t> </w:t>
      </w:r>
      <w:r>
        <w:rPr>
          <w:color w:val="231F20"/>
          <w:w w:val="105"/>
        </w:rPr>
        <w:t>personas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tercera</w:t>
      </w:r>
      <w:r>
        <w:rPr>
          <w:color w:val="231F20"/>
          <w:spacing w:val="-15"/>
          <w:w w:val="105"/>
        </w:rPr>
        <w:t> </w:t>
      </w:r>
      <w:r>
        <w:rPr>
          <w:color w:val="231F20"/>
          <w:w w:val="105"/>
        </w:rPr>
        <w:t>edad,</w:t>
      </w:r>
      <w:r>
        <w:rPr>
          <w:color w:val="231F20"/>
          <w:spacing w:val="-15"/>
          <w:w w:val="105"/>
        </w:rPr>
        <w:t> </w:t>
      </w:r>
      <w:r>
        <w:rPr>
          <w:color w:val="231F20"/>
          <w:w w:val="105"/>
        </w:rPr>
        <w:t>entre abuelas</w:t>
      </w:r>
      <w:r>
        <w:rPr>
          <w:color w:val="231F20"/>
          <w:spacing w:val="-26"/>
          <w:w w:val="105"/>
        </w:rPr>
        <w:t> </w:t>
      </w:r>
      <w:r>
        <w:rPr>
          <w:color w:val="231F20"/>
          <w:w w:val="105"/>
        </w:rPr>
        <w:t>y</w:t>
      </w:r>
      <w:r>
        <w:rPr>
          <w:color w:val="231F20"/>
          <w:spacing w:val="-26"/>
          <w:w w:val="105"/>
        </w:rPr>
        <w:t> </w:t>
      </w:r>
      <w:r>
        <w:rPr>
          <w:color w:val="231F20"/>
          <w:w w:val="105"/>
        </w:rPr>
        <w:t>abuelos.</w:t>
      </w:r>
      <w:r>
        <w:rPr>
          <w:color w:val="231F20"/>
          <w:spacing w:val="-26"/>
          <w:w w:val="105"/>
        </w:rPr>
        <w:t> </w:t>
      </w:r>
      <w:r>
        <w:rPr>
          <w:color w:val="231F20"/>
          <w:w w:val="105"/>
        </w:rPr>
        <w:t>Para</w:t>
      </w:r>
      <w:r>
        <w:rPr>
          <w:color w:val="231F20"/>
          <w:spacing w:val="-26"/>
          <w:w w:val="105"/>
        </w:rPr>
        <w:t> </w:t>
      </w:r>
      <w:r>
        <w:rPr>
          <w:color w:val="231F20"/>
          <w:w w:val="105"/>
        </w:rPr>
        <w:t>ilustrar</w:t>
      </w:r>
      <w:r>
        <w:rPr>
          <w:color w:val="231F20"/>
          <w:spacing w:val="-26"/>
          <w:w w:val="105"/>
        </w:rPr>
        <w:t> </w:t>
      </w:r>
      <w:r>
        <w:rPr>
          <w:color w:val="231F20"/>
          <w:w w:val="105"/>
        </w:rPr>
        <w:t>esta</w:t>
      </w:r>
      <w:r>
        <w:rPr>
          <w:color w:val="231F20"/>
          <w:spacing w:val="-26"/>
          <w:w w:val="105"/>
        </w:rPr>
        <w:t> </w:t>
      </w:r>
      <w:r>
        <w:rPr>
          <w:color w:val="231F20"/>
          <w:w w:val="105"/>
        </w:rPr>
        <w:t>relación,</w:t>
      </w:r>
      <w:r>
        <w:rPr>
          <w:color w:val="231F20"/>
          <w:spacing w:val="-26"/>
          <w:w w:val="105"/>
        </w:rPr>
        <w:t> </w:t>
      </w:r>
      <w:r>
        <w:rPr>
          <w:color w:val="231F20"/>
          <w:w w:val="105"/>
        </w:rPr>
        <w:t>en</w:t>
      </w:r>
      <w:r>
        <w:rPr>
          <w:color w:val="231F20"/>
          <w:spacing w:val="-26"/>
          <w:w w:val="105"/>
        </w:rPr>
        <w:t> </w:t>
      </w:r>
      <w:r>
        <w:rPr>
          <w:color w:val="231F20"/>
          <w:w w:val="105"/>
        </w:rPr>
        <w:t>un peinado</w:t>
      </w:r>
      <w:r>
        <w:rPr>
          <w:color w:val="231F20"/>
          <w:spacing w:val="-14"/>
          <w:w w:val="105"/>
        </w:rPr>
        <w:t> </w:t>
      </w:r>
      <w:r>
        <w:rPr>
          <w:color w:val="231F20"/>
          <w:w w:val="105"/>
        </w:rPr>
        <w:t>de</w:t>
      </w:r>
      <w:r>
        <w:rPr>
          <w:color w:val="231F20"/>
          <w:spacing w:val="-14"/>
          <w:w w:val="105"/>
        </w:rPr>
        <w:t> </w:t>
      </w:r>
      <w:r>
        <w:rPr>
          <w:color w:val="231F20"/>
          <w:spacing w:val="-5"/>
          <w:w w:val="105"/>
        </w:rPr>
        <w:t>41</w:t>
      </w:r>
      <w:r>
        <w:rPr>
          <w:color w:val="231F20"/>
          <w:spacing w:val="-14"/>
          <w:w w:val="105"/>
        </w:rPr>
        <w:t> </w:t>
      </w:r>
      <w:r>
        <w:rPr>
          <w:color w:val="231F20"/>
          <w:w w:val="105"/>
        </w:rPr>
        <w:t>granjas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Municipio</w:t>
      </w:r>
      <w:r>
        <w:rPr>
          <w:color w:val="231F20"/>
          <w:spacing w:val="-14"/>
          <w:w w:val="105"/>
        </w:rPr>
        <w:t> </w:t>
      </w:r>
      <w:r>
        <w:rPr>
          <w:color w:val="231F20"/>
          <w:w w:val="105"/>
        </w:rPr>
        <w:t>de</w:t>
      </w:r>
      <w:r>
        <w:rPr>
          <w:color w:val="231F20"/>
          <w:spacing w:val="-14"/>
          <w:w w:val="105"/>
        </w:rPr>
        <w:t> </w:t>
      </w:r>
      <w:r>
        <w:rPr>
          <w:color w:val="231F20"/>
          <w:spacing w:val="-3"/>
          <w:w w:val="105"/>
        </w:rPr>
        <w:t>Texcoco, </w:t>
      </w:r>
      <w:r>
        <w:rPr>
          <w:color w:val="231F20"/>
          <w:w w:val="105"/>
        </w:rPr>
        <w:t>en 26 de ellas la responsabilidad principal de los animales es del padre de familia y en </w:t>
      </w:r>
      <w:r>
        <w:rPr>
          <w:color w:val="231F20"/>
          <w:spacing w:val="-5"/>
          <w:w w:val="105"/>
        </w:rPr>
        <w:t>15 </w:t>
      </w:r>
      <w:r>
        <w:rPr>
          <w:color w:val="231F20"/>
          <w:w w:val="105"/>
        </w:rPr>
        <w:t>recae  en la madre de familia. En cuanto a la edad, el promedio en los productores es de 51 años y en las productoras de 53. La edad de los producto- res</w:t>
      </w:r>
      <w:r>
        <w:rPr>
          <w:color w:val="231F20"/>
          <w:spacing w:val="-11"/>
          <w:w w:val="105"/>
        </w:rPr>
        <w:t> </w:t>
      </w:r>
      <w:r>
        <w:rPr>
          <w:color w:val="231F20"/>
          <w:w w:val="105"/>
        </w:rPr>
        <w:t>es</w:t>
      </w:r>
      <w:r>
        <w:rPr>
          <w:color w:val="231F20"/>
          <w:spacing w:val="-11"/>
          <w:w w:val="105"/>
        </w:rPr>
        <w:t> </w:t>
      </w:r>
      <w:r>
        <w:rPr>
          <w:color w:val="231F20"/>
          <w:w w:val="105"/>
        </w:rPr>
        <w:t>avanzada</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mayoría</w:t>
      </w:r>
      <w:r>
        <w:rPr>
          <w:color w:val="231F20"/>
          <w:spacing w:val="-11"/>
          <w:w w:val="105"/>
        </w:rPr>
        <w:t> </w:t>
      </w:r>
      <w:r>
        <w:rPr>
          <w:color w:val="231F20"/>
          <w:w w:val="105"/>
        </w:rPr>
        <w:t>están</w:t>
      </w:r>
      <w:r>
        <w:rPr>
          <w:color w:val="231F20"/>
          <w:spacing w:val="-11"/>
          <w:w w:val="105"/>
        </w:rPr>
        <w:t> </w:t>
      </w:r>
      <w:r>
        <w:rPr>
          <w:color w:val="231F20"/>
          <w:w w:val="105"/>
        </w:rPr>
        <w:t>jubilados</w:t>
      </w:r>
      <w:r>
        <w:rPr>
          <w:color w:val="231F20"/>
          <w:spacing w:val="-11"/>
          <w:w w:val="105"/>
        </w:rPr>
        <w:t> </w:t>
      </w:r>
      <w:r>
        <w:rPr>
          <w:color w:val="231F20"/>
          <w:w w:val="105"/>
        </w:rPr>
        <w:t>o</w:t>
      </w:r>
      <w:r>
        <w:rPr>
          <w:color w:val="231F20"/>
          <w:spacing w:val="-11"/>
          <w:w w:val="105"/>
        </w:rPr>
        <w:t> </w:t>
      </w:r>
      <w:r>
        <w:rPr>
          <w:color w:val="231F20"/>
          <w:w w:val="105"/>
        </w:rPr>
        <w:t>por estarlo,</w:t>
      </w:r>
      <w:r>
        <w:rPr>
          <w:color w:val="231F20"/>
          <w:spacing w:val="-10"/>
          <w:w w:val="105"/>
        </w:rPr>
        <w:t> </w:t>
      </w:r>
      <w:r>
        <w:rPr>
          <w:color w:val="231F20"/>
          <w:w w:val="105"/>
        </w:rPr>
        <w:t>de</w:t>
      </w:r>
      <w:r>
        <w:rPr>
          <w:color w:val="231F20"/>
          <w:spacing w:val="-10"/>
          <w:w w:val="105"/>
        </w:rPr>
        <w:t> </w:t>
      </w:r>
      <w:r>
        <w:rPr>
          <w:color w:val="231F20"/>
          <w:w w:val="105"/>
        </w:rPr>
        <w:t>modo</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cría</w:t>
      </w:r>
      <w:r>
        <w:rPr>
          <w:color w:val="231F20"/>
          <w:spacing w:val="-10"/>
          <w:w w:val="105"/>
        </w:rPr>
        <w:t> </w:t>
      </w:r>
      <w:r>
        <w:rPr>
          <w:color w:val="231F20"/>
          <w:w w:val="105"/>
        </w:rPr>
        <w:t>de</w:t>
      </w:r>
      <w:r>
        <w:rPr>
          <w:color w:val="231F20"/>
          <w:spacing w:val="-10"/>
          <w:w w:val="105"/>
        </w:rPr>
        <w:t> </w:t>
      </w:r>
      <w:r>
        <w:rPr>
          <w:color w:val="231F20"/>
          <w:w w:val="105"/>
        </w:rPr>
        <w:t>cerdos</w:t>
      </w:r>
      <w:r>
        <w:rPr>
          <w:color w:val="231F20"/>
          <w:spacing w:val="-10"/>
          <w:w w:val="105"/>
        </w:rPr>
        <w:t> </w:t>
      </w:r>
      <w:r>
        <w:rPr>
          <w:color w:val="231F20"/>
          <w:w w:val="105"/>
        </w:rPr>
        <w:t>representa una oportunidad de ocupación para ellos (Martí- nez-Castañeda y Chávez-Mejía,</w:t>
      </w:r>
      <w:r>
        <w:rPr>
          <w:color w:val="231F20"/>
          <w:spacing w:val="-20"/>
          <w:w w:val="105"/>
        </w:rPr>
        <w:t> </w:t>
      </w:r>
      <w:r>
        <w:rPr>
          <w:color w:val="231F20"/>
          <w:spacing w:val="-4"/>
          <w:w w:val="105"/>
        </w:rPr>
        <w:t>2011).</w:t>
      </w:r>
    </w:p>
    <w:p>
      <w:pPr>
        <w:pStyle w:val="BodyText"/>
        <w:spacing w:line="259" w:lineRule="auto" w:before="114"/>
        <w:ind w:left="1553"/>
        <w:jc w:val="both"/>
      </w:pPr>
      <w:r>
        <w:rPr>
          <w:color w:val="231F20"/>
        </w:rPr>
        <w:t>Ahora bien, el propósito de la cría de cerdos es la producción  de  lechones,  tanto  para  venta  como</w:t>
      </w:r>
    </w:p>
    <w:p>
      <w:pPr>
        <w:spacing w:before="71"/>
        <w:ind w:left="427" w:right="0" w:firstLine="0"/>
        <w:jc w:val="both"/>
        <w:rPr>
          <w:sz w:val="18"/>
        </w:rPr>
      </w:pPr>
      <w:r>
        <w:rPr/>
        <w:br w:type="column"/>
      </w:r>
      <w:r>
        <w:rPr>
          <w:color w:val="231F20"/>
          <w:w w:val="105"/>
          <w:sz w:val="18"/>
        </w:rPr>
        <w:t>Cuadro 1.  Destino final de los cerdos (N = 56 familias).</w:t>
      </w:r>
    </w:p>
    <w:p>
      <w:pPr>
        <w:pStyle w:val="BodyText"/>
        <w:spacing w:before="10"/>
        <w:rPr>
          <w:sz w:val="11"/>
        </w:rPr>
      </w:pPr>
    </w:p>
    <w:tbl>
      <w:tblPr>
        <w:tblW w:w="0" w:type="auto"/>
        <w:jc w:val="left"/>
        <w:tblInd w:w="42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71"/>
        <w:gridCol w:w="1186"/>
      </w:tblGrid>
      <w:tr>
        <w:trPr>
          <w:trHeight w:val="392" w:hRule="exact"/>
        </w:trPr>
        <w:tc>
          <w:tcPr>
            <w:tcW w:w="2971" w:type="dxa"/>
            <w:tcBorders>
              <w:left w:val="nil"/>
            </w:tcBorders>
          </w:tcPr>
          <w:p>
            <w:pPr>
              <w:pStyle w:val="TableParagraph"/>
              <w:spacing w:before="93"/>
              <w:ind w:left="1160" w:right="1155"/>
              <w:jc w:val="center"/>
              <w:rPr>
                <w:rFonts w:ascii="Arial"/>
                <w:i/>
                <w:sz w:val="18"/>
              </w:rPr>
            </w:pPr>
            <w:r>
              <w:rPr>
                <w:rFonts w:ascii="Arial"/>
                <w:i/>
                <w:color w:val="231F20"/>
                <w:sz w:val="18"/>
              </w:rPr>
              <w:t>Destino</w:t>
            </w:r>
          </w:p>
        </w:tc>
        <w:tc>
          <w:tcPr>
            <w:tcW w:w="1186" w:type="dxa"/>
            <w:tcBorders>
              <w:right w:val="nil"/>
            </w:tcBorders>
          </w:tcPr>
          <w:p>
            <w:pPr>
              <w:pStyle w:val="TableParagraph"/>
              <w:spacing w:before="93"/>
              <w:ind w:left="138" w:right="142"/>
              <w:jc w:val="center"/>
              <w:rPr>
                <w:rFonts w:ascii="Arial"/>
                <w:i/>
                <w:sz w:val="18"/>
              </w:rPr>
            </w:pPr>
            <w:r>
              <w:rPr>
                <w:rFonts w:ascii="Arial"/>
                <w:i/>
                <w:color w:val="231F20"/>
                <w:sz w:val="18"/>
              </w:rPr>
              <w:t>Porcentaje</w:t>
            </w:r>
          </w:p>
        </w:tc>
      </w:tr>
      <w:tr>
        <w:trPr>
          <w:trHeight w:val="377" w:hRule="exact"/>
        </w:trPr>
        <w:tc>
          <w:tcPr>
            <w:tcW w:w="2971" w:type="dxa"/>
            <w:tcBorders>
              <w:left w:val="nil"/>
            </w:tcBorders>
          </w:tcPr>
          <w:p>
            <w:pPr>
              <w:pStyle w:val="TableParagraph"/>
              <w:spacing w:before="85"/>
              <w:ind w:left="113"/>
              <w:rPr>
                <w:sz w:val="17"/>
              </w:rPr>
            </w:pPr>
            <w:r>
              <w:rPr>
                <w:color w:val="231F20"/>
                <w:sz w:val="17"/>
              </w:rPr>
              <w:t>Venta  de lechones</w:t>
            </w:r>
          </w:p>
        </w:tc>
        <w:tc>
          <w:tcPr>
            <w:tcW w:w="1186" w:type="dxa"/>
            <w:tcBorders>
              <w:right w:val="nil"/>
            </w:tcBorders>
          </w:tcPr>
          <w:p>
            <w:pPr>
              <w:pStyle w:val="TableParagraph"/>
              <w:spacing w:before="85"/>
              <w:ind w:left="138" w:right="141"/>
              <w:jc w:val="center"/>
              <w:rPr>
                <w:sz w:val="17"/>
              </w:rPr>
            </w:pPr>
            <w:r>
              <w:rPr>
                <w:color w:val="231F20"/>
                <w:w w:val="115"/>
                <w:sz w:val="17"/>
              </w:rPr>
              <w:t>45</w:t>
            </w:r>
          </w:p>
        </w:tc>
      </w:tr>
      <w:tr>
        <w:trPr>
          <w:trHeight w:val="377" w:hRule="exact"/>
        </w:trPr>
        <w:tc>
          <w:tcPr>
            <w:tcW w:w="2971" w:type="dxa"/>
            <w:tcBorders>
              <w:left w:val="nil"/>
            </w:tcBorders>
          </w:tcPr>
          <w:p>
            <w:pPr>
              <w:pStyle w:val="TableParagraph"/>
              <w:spacing w:before="85"/>
              <w:ind w:left="113"/>
              <w:rPr>
                <w:sz w:val="17"/>
              </w:rPr>
            </w:pPr>
            <w:r>
              <w:rPr>
                <w:color w:val="231F20"/>
                <w:sz w:val="17"/>
              </w:rPr>
              <w:t>Venta  de lechones y engorda de  cerdo</w:t>
            </w:r>
          </w:p>
        </w:tc>
        <w:tc>
          <w:tcPr>
            <w:tcW w:w="1186" w:type="dxa"/>
            <w:tcBorders>
              <w:right w:val="nil"/>
            </w:tcBorders>
          </w:tcPr>
          <w:p>
            <w:pPr>
              <w:pStyle w:val="TableParagraph"/>
              <w:spacing w:before="85"/>
              <w:ind w:left="138" w:right="141"/>
              <w:jc w:val="center"/>
              <w:rPr>
                <w:sz w:val="17"/>
              </w:rPr>
            </w:pPr>
            <w:r>
              <w:rPr>
                <w:color w:val="231F20"/>
                <w:w w:val="115"/>
                <w:sz w:val="17"/>
              </w:rPr>
              <w:t>45</w:t>
            </w:r>
          </w:p>
        </w:tc>
      </w:tr>
      <w:tr>
        <w:trPr>
          <w:trHeight w:val="377" w:hRule="exact"/>
        </w:trPr>
        <w:tc>
          <w:tcPr>
            <w:tcW w:w="2971" w:type="dxa"/>
            <w:tcBorders>
              <w:left w:val="nil"/>
            </w:tcBorders>
          </w:tcPr>
          <w:p>
            <w:pPr>
              <w:pStyle w:val="TableParagraph"/>
              <w:spacing w:before="85"/>
              <w:ind w:left="113"/>
              <w:rPr>
                <w:sz w:val="17"/>
              </w:rPr>
            </w:pPr>
            <w:r>
              <w:rPr>
                <w:color w:val="231F20"/>
                <w:sz w:val="17"/>
              </w:rPr>
              <w:t>Engorda y venta de  carne</w:t>
            </w:r>
          </w:p>
        </w:tc>
        <w:tc>
          <w:tcPr>
            <w:tcW w:w="1186" w:type="dxa"/>
            <w:tcBorders>
              <w:right w:val="nil"/>
            </w:tcBorders>
          </w:tcPr>
          <w:p>
            <w:pPr>
              <w:pStyle w:val="TableParagraph"/>
              <w:spacing w:before="85"/>
              <w:ind w:left="132" w:right="142"/>
              <w:jc w:val="center"/>
              <w:rPr>
                <w:sz w:val="17"/>
              </w:rPr>
            </w:pPr>
            <w:r>
              <w:rPr>
                <w:color w:val="231F20"/>
                <w:w w:val="115"/>
                <w:sz w:val="17"/>
              </w:rPr>
              <w:t>16</w:t>
            </w:r>
          </w:p>
        </w:tc>
      </w:tr>
      <w:tr>
        <w:trPr>
          <w:trHeight w:val="377" w:hRule="exact"/>
        </w:trPr>
        <w:tc>
          <w:tcPr>
            <w:tcW w:w="2971" w:type="dxa"/>
            <w:tcBorders>
              <w:left w:val="nil"/>
            </w:tcBorders>
          </w:tcPr>
          <w:p>
            <w:pPr>
              <w:pStyle w:val="TableParagraph"/>
              <w:spacing w:before="85"/>
              <w:ind w:left="113"/>
              <w:rPr>
                <w:sz w:val="17"/>
              </w:rPr>
            </w:pPr>
            <w:r>
              <w:rPr>
                <w:color w:val="231F20"/>
                <w:sz w:val="17"/>
              </w:rPr>
              <w:t>Carnitas</w:t>
            </w:r>
          </w:p>
        </w:tc>
        <w:tc>
          <w:tcPr>
            <w:tcW w:w="1186" w:type="dxa"/>
            <w:tcBorders>
              <w:right w:val="nil"/>
            </w:tcBorders>
          </w:tcPr>
          <w:p>
            <w:pPr>
              <w:pStyle w:val="TableParagraph"/>
              <w:spacing w:before="85"/>
              <w:ind w:left="79"/>
              <w:jc w:val="center"/>
              <w:rPr>
                <w:sz w:val="17"/>
              </w:rPr>
            </w:pPr>
            <w:r>
              <w:rPr>
                <w:color w:val="231F20"/>
                <w:w w:val="115"/>
                <w:sz w:val="17"/>
              </w:rPr>
              <w:t>9</w:t>
            </w:r>
          </w:p>
        </w:tc>
      </w:tr>
      <w:tr>
        <w:trPr>
          <w:trHeight w:val="377" w:hRule="exact"/>
        </w:trPr>
        <w:tc>
          <w:tcPr>
            <w:tcW w:w="2971" w:type="dxa"/>
            <w:tcBorders>
              <w:left w:val="nil"/>
            </w:tcBorders>
          </w:tcPr>
          <w:p>
            <w:pPr>
              <w:pStyle w:val="TableParagraph"/>
              <w:spacing w:before="85"/>
              <w:ind w:left="113"/>
              <w:rPr>
                <w:sz w:val="17"/>
              </w:rPr>
            </w:pPr>
            <w:r>
              <w:rPr>
                <w:color w:val="231F20"/>
                <w:sz w:val="17"/>
              </w:rPr>
              <w:t>Fiestas familiares</w:t>
            </w:r>
          </w:p>
        </w:tc>
        <w:tc>
          <w:tcPr>
            <w:tcW w:w="1186" w:type="dxa"/>
            <w:tcBorders>
              <w:right w:val="nil"/>
            </w:tcBorders>
          </w:tcPr>
          <w:p>
            <w:pPr>
              <w:pStyle w:val="TableParagraph"/>
              <w:spacing w:before="85"/>
              <w:ind w:left="136" w:right="142"/>
              <w:jc w:val="center"/>
              <w:rPr>
                <w:sz w:val="17"/>
              </w:rPr>
            </w:pPr>
            <w:r>
              <w:rPr>
                <w:color w:val="231F20"/>
                <w:w w:val="115"/>
                <w:sz w:val="17"/>
              </w:rPr>
              <w:t>20</w:t>
            </w:r>
          </w:p>
        </w:tc>
      </w:tr>
    </w:tbl>
    <w:p>
      <w:pPr>
        <w:spacing w:before="94"/>
        <w:ind w:left="427" w:right="0" w:firstLine="0"/>
        <w:jc w:val="both"/>
        <w:rPr>
          <w:sz w:val="15"/>
        </w:rPr>
      </w:pPr>
      <w:r>
        <w:rPr>
          <w:color w:val="231F20"/>
          <w:sz w:val="15"/>
        </w:rPr>
        <w:t>Fuente: Martínez Castañeda y Chávez Mejía,   2011.</w:t>
      </w: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7"/>
        <w:rPr>
          <w:sz w:val="13"/>
        </w:rPr>
      </w:pPr>
    </w:p>
    <w:p>
      <w:pPr>
        <w:pStyle w:val="BodyText"/>
        <w:spacing w:line="264" w:lineRule="auto"/>
        <w:ind w:left="412" w:right="1551"/>
        <w:jc w:val="both"/>
      </w:pPr>
      <w:r>
        <w:rPr>
          <w:color w:val="231F20"/>
        </w:rPr>
        <w:t>para engorda. Algunos productores transforman la carne en “carnitas” para la venta al público y para algunos eventos sociales (Cuadro 1). Cabe men- cionar que en esto último el cerdo adquiere un valor cultural y pierde su valor económico, ya que al ser para consumo propio no se involucra en los procesos del mercado, pero forma parte del ciclo de satisfacción de sus necesidades de las familias productoras.</w:t>
      </w:r>
    </w:p>
    <w:p>
      <w:pPr>
        <w:pStyle w:val="BodyText"/>
        <w:spacing w:line="264" w:lineRule="auto" w:before="114"/>
        <w:ind w:left="412" w:right="1551"/>
        <w:jc w:val="both"/>
      </w:pPr>
      <w:r>
        <w:rPr>
          <w:color w:val="231F20"/>
        </w:rPr>
        <w:t>Es así que la posesión de cerdos se  considera  como un fondo de ahorro que será utilizado en caso de desequilibrio en la economía de la familia, y por ello esta actividad no se considera como la fuente principal de ingresos. La aportación econó- mica de esta actividad en las granjas con menos   de </w:t>
      </w:r>
      <w:r>
        <w:rPr>
          <w:color w:val="231F20"/>
          <w:spacing w:val="-5"/>
        </w:rPr>
        <w:t>16  </w:t>
      </w:r>
      <w:r>
        <w:rPr>
          <w:color w:val="231F20"/>
        </w:rPr>
        <w:t>cerdas  reproductoras  oscila  entre  el  </w:t>
      </w:r>
      <w:r>
        <w:rPr>
          <w:color w:val="231F20"/>
          <w:spacing w:val="-3"/>
        </w:rPr>
        <w:t>10%  </w:t>
      </w:r>
      <w:r>
        <w:rPr>
          <w:color w:val="231F20"/>
        </w:rPr>
        <w:t>y el 49% del total de los gastos de la familia (en promedio el 19%). En este sentido, el destino final del dinero varía debido a que no es un ingreso fijo. Las necesidades de cada familia son distintas, y cada vez que se obtiene dinero se destina al pago de deudas y material escolar principalmente, ar- tículos de intercambio o corta vida, etc. Sin embar- go, a medida que el número de cerdas aumenta,    la economía familiar comienza a ser más  íntima con la actividad pecuaria y ésta empieza a tornarse en la actividad económica principal de las </w:t>
      </w:r>
      <w:r>
        <w:rPr>
          <w:color w:val="231F20"/>
          <w:spacing w:val="25"/>
        </w:rPr>
        <w:t> </w:t>
      </w:r>
      <w:r>
        <w:rPr>
          <w:color w:val="231F20"/>
        </w:rPr>
        <w:t>familias.</w:t>
      </w:r>
    </w:p>
    <w:p>
      <w:pPr>
        <w:spacing w:after="0" w:line="264"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w:t>
      </w:r>
      <w:r>
        <w:rPr>
          <w:color w:val="231F20"/>
          <w:spacing w:val="-3"/>
          <w:sz w:val="18"/>
        </w:rPr>
        <w:t>15.   </w:t>
      </w:r>
      <w:r>
        <w:rPr>
          <w:color w:val="231F20"/>
          <w:sz w:val="18"/>
        </w:rPr>
        <w:t>Contribución de la producción porcina de pequeña y   </w:t>
      </w:r>
      <w:r>
        <w:rPr>
          <w:color w:val="231F20"/>
          <w:spacing w:val="8"/>
          <w:sz w:val="18"/>
        </w:rPr>
        <w:t> </w:t>
      </w:r>
      <w:r>
        <w:rPr>
          <w:color w:val="231F20"/>
          <w:sz w:val="18"/>
        </w:rPr>
        <w:t>mediana</w:t>
      </w:r>
      <w:r>
        <w:rPr>
          <w:color w:val="231F20"/>
          <w:spacing w:val="14"/>
          <w:sz w:val="18"/>
        </w:rPr>
        <w:t> </w:t>
      </w:r>
      <w:r>
        <w:rPr>
          <w:color w:val="231F20"/>
          <w:sz w:val="18"/>
        </w:rPr>
        <w:t>escala…</w:t>
      </w:r>
      <w:r>
        <w:rPr>
          <w:color w:val="231F20"/>
          <w:sz w:val="22"/>
        </w:rPr>
        <w:tab/>
      </w:r>
      <w:r>
        <w:rPr>
          <w:color w:val="231F20"/>
          <w:spacing w:val="-5"/>
          <w:sz w:val="22"/>
        </w:rPr>
        <w:t>227</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1" w:lineRule="auto"/>
        <w:ind w:left="1553"/>
        <w:jc w:val="both"/>
      </w:pPr>
      <w:r>
        <w:rPr>
          <w:color w:val="231F20"/>
        </w:rPr>
        <w:t>La distribución de las tareas del cuidado</w:t>
      </w:r>
      <w:r>
        <w:rPr>
          <w:color w:val="231F20"/>
          <w:spacing w:val="4"/>
        </w:rPr>
        <w:t> </w:t>
      </w:r>
      <w:r>
        <w:rPr>
          <w:color w:val="231F20"/>
        </w:rPr>
        <w:t>del</w:t>
      </w:r>
      <w:r>
        <w:rPr>
          <w:color w:val="231F20"/>
          <w:spacing w:val="26"/>
        </w:rPr>
        <w:t> </w:t>
      </w:r>
      <w:r>
        <w:rPr>
          <w:color w:val="231F20"/>
        </w:rPr>
        <w:t>hato</w:t>
      </w:r>
      <w:r>
        <w:rPr>
          <w:color w:val="231F20"/>
          <w:spacing w:val="1"/>
          <w:w w:val="98"/>
        </w:rPr>
        <w:t> </w:t>
      </w:r>
      <w:r>
        <w:rPr>
          <w:color w:val="231F20"/>
        </w:rPr>
        <w:t>varía y se relaciona con la propiedad. Utilizando datos de 56 familias, el 25% de las mujeres (ma- dres de familia) dijeron ser las dueñas del hato y ellas eran las responsables del lavado y limpieza  de la zahúrda, pero reciben ayuda de sus hijos e hijas (Martínez Castañeda y Chávez Mejía, </w:t>
      </w:r>
      <w:r>
        <w:rPr>
          <w:color w:val="231F20"/>
          <w:spacing w:val="-3"/>
        </w:rPr>
        <w:t>2011). </w:t>
      </w:r>
      <w:r>
        <w:rPr>
          <w:color w:val="231F20"/>
        </w:rPr>
        <w:t>Fuera de esto, lavar es una actividad exclusiva- mente realizada por los hombres y la alimenta- ción recae en los hijos; estrategias indiscutibles  que forman parte de la continuidad de esta tradi- ción. Esta repartición de roles sociales es de suma importancia, ya que a partir de esto se desme- nuza el capital social con que cuenta el sistema productivo.</w:t>
      </w:r>
    </w:p>
    <w:p>
      <w:pPr>
        <w:pStyle w:val="BodyText"/>
        <w:spacing w:line="261" w:lineRule="auto" w:before="114"/>
        <w:ind w:left="1553"/>
        <w:jc w:val="both"/>
      </w:pPr>
      <w:r>
        <w:rPr>
          <w:color w:val="231F20"/>
        </w:rPr>
        <w:t>El entrelazado social que guardan las granjas de pequeña escala con el resto de la comunidad es difícilmente visible si no se está involucrado en el proceso. Una vez que el proceso de cría y venta de lechones ha concluido, se inicia la segunda parte del enramado técnico y por lo tanto social, ya que, sin importar el tamaño de la granja, un número significativo  de  lechones  son  engordados  para  su posterior venta, sacrificio y consumo. En este momento, los carniceros adquieren un protagonis- mo importante. Por citar un ejemplo, de 42 car- nicerías identificadas y entrevistadas en la región nororiente del Estado de México, </w:t>
      </w:r>
      <w:r>
        <w:rPr>
          <w:color w:val="231F20"/>
          <w:spacing w:val="-5"/>
        </w:rPr>
        <w:t>15 </w:t>
      </w:r>
      <w:r>
        <w:rPr>
          <w:color w:val="231F20"/>
          <w:spacing w:val="-4"/>
        </w:rPr>
        <w:t>(35,71%) </w:t>
      </w:r>
      <w:r>
        <w:rPr>
          <w:color w:val="231F20"/>
        </w:rPr>
        <w:t>compran sus cerdos  para  sacrificio  directamente a los productores de cerdos de pequeña escala y    3 </w:t>
      </w:r>
      <w:r>
        <w:rPr>
          <w:color w:val="231F20"/>
          <w:spacing w:val="-5"/>
        </w:rPr>
        <w:t>(7,14%) </w:t>
      </w:r>
      <w:r>
        <w:rPr>
          <w:color w:val="231F20"/>
        </w:rPr>
        <w:t>a productores más grandes; es decir, el 42% de la carne consumida en las comunidades    es de animales criados, engordados, sacrificados y vendidos en la misma  </w:t>
      </w:r>
      <w:r>
        <w:rPr>
          <w:color w:val="231F20"/>
          <w:spacing w:val="21"/>
        </w:rPr>
        <w:t> </w:t>
      </w:r>
      <w:r>
        <w:rPr>
          <w:color w:val="231F20"/>
        </w:rPr>
        <w:t>comunidad.</w:t>
      </w:r>
    </w:p>
    <w:p>
      <w:pPr>
        <w:pStyle w:val="BodyText"/>
        <w:spacing w:line="261" w:lineRule="auto" w:before="114"/>
        <w:ind w:left="1553" w:right="1"/>
        <w:jc w:val="both"/>
      </w:pPr>
      <w:r>
        <w:rPr>
          <w:color w:val="231F20"/>
        </w:rPr>
        <w:t>En el Cuadro 2 se identifican con claridad estas relaciones y la participación en términos porcen- tuales de los agentes. Los tres principales bloques comerciales son los productores (principalmente los pequeños), las carnicerías que compran en obradores y finalmente aquellas que consiguen su producto en rastro.</w:t>
      </w:r>
    </w:p>
    <w:p>
      <w:pPr>
        <w:pStyle w:val="BodyText"/>
        <w:rPr>
          <w:sz w:val="18"/>
        </w:rPr>
      </w:pPr>
      <w:r>
        <w:rPr/>
        <w:br w:type="column"/>
      </w:r>
      <w:r>
        <w:rPr>
          <w:sz w:val="18"/>
        </w:rPr>
      </w:r>
    </w:p>
    <w:p>
      <w:pPr>
        <w:spacing w:line="283" w:lineRule="auto" w:before="129"/>
        <w:ind w:left="411" w:right="1565" w:firstLine="0"/>
        <w:jc w:val="both"/>
        <w:rPr>
          <w:sz w:val="18"/>
        </w:rPr>
      </w:pPr>
      <w:r>
        <w:rPr>
          <w:color w:val="231F20"/>
          <w:sz w:val="18"/>
        </w:rPr>
        <w:t>Cuadro 2.  Número  y  porcentaje  de  transacciones entre actores del sistema porcino.</w:t>
      </w:r>
    </w:p>
    <w:p>
      <w:pPr>
        <w:pStyle w:val="BodyText"/>
        <w:spacing w:before="7" w:after="1"/>
        <w:rPr>
          <w:sz w:val="8"/>
        </w:rPr>
      </w:pPr>
    </w:p>
    <w:tbl>
      <w:tblPr>
        <w:tblW w:w="0" w:type="auto"/>
        <w:jc w:val="left"/>
        <w:tblInd w:w="41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69"/>
        <w:gridCol w:w="2069"/>
      </w:tblGrid>
      <w:tr>
        <w:trPr>
          <w:trHeight w:val="369" w:hRule="exact"/>
        </w:trPr>
        <w:tc>
          <w:tcPr>
            <w:tcW w:w="2069" w:type="dxa"/>
            <w:tcBorders>
              <w:left w:val="nil"/>
            </w:tcBorders>
          </w:tcPr>
          <w:p>
            <w:pPr>
              <w:pStyle w:val="TableParagraph"/>
              <w:spacing w:before="81"/>
              <w:ind w:left="729" w:right="724"/>
              <w:jc w:val="center"/>
              <w:rPr>
                <w:rFonts w:ascii="Arial"/>
                <w:i/>
                <w:sz w:val="18"/>
              </w:rPr>
            </w:pPr>
            <w:r>
              <w:rPr>
                <w:rFonts w:ascii="Arial"/>
                <w:i/>
                <w:color w:val="231F20"/>
                <w:sz w:val="18"/>
              </w:rPr>
              <w:t>Agente</w:t>
            </w:r>
          </w:p>
        </w:tc>
        <w:tc>
          <w:tcPr>
            <w:tcW w:w="2069" w:type="dxa"/>
            <w:tcBorders>
              <w:right w:val="nil"/>
            </w:tcBorders>
          </w:tcPr>
          <w:p>
            <w:pPr>
              <w:pStyle w:val="TableParagraph"/>
              <w:spacing w:before="81"/>
              <w:ind w:left="214"/>
              <w:rPr>
                <w:rFonts w:ascii="Arial" w:hAnsi="Arial"/>
                <w:i/>
                <w:sz w:val="18"/>
              </w:rPr>
            </w:pPr>
            <w:r>
              <w:rPr>
                <w:rFonts w:ascii="Arial" w:hAnsi="Arial"/>
                <w:i/>
                <w:color w:val="231F20"/>
                <w:w w:val="105"/>
                <w:sz w:val="18"/>
              </w:rPr>
              <w:t>Carnicerías (n = 42)</w:t>
            </w:r>
          </w:p>
        </w:tc>
      </w:tr>
    </w:tbl>
    <w:p>
      <w:pPr>
        <w:spacing w:before="73"/>
        <w:ind w:left="525" w:right="2565" w:firstLine="0"/>
        <w:jc w:val="left"/>
        <w:rPr>
          <w:sz w:val="17"/>
        </w:rPr>
      </w:pPr>
      <w:r>
        <w:rPr>
          <w:color w:val="231F20"/>
          <w:sz w:val="17"/>
        </w:rPr>
        <w:t>Productores</w:t>
      </w:r>
    </w:p>
    <w:p>
      <w:pPr>
        <w:pStyle w:val="BodyText"/>
        <w:spacing w:before="1"/>
        <w:rPr>
          <w:sz w:val="5"/>
        </w:rPr>
      </w:pPr>
    </w:p>
    <w:tbl>
      <w:tblPr>
        <w:tblW w:w="0" w:type="auto"/>
        <w:jc w:val="left"/>
        <w:tblInd w:w="41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69"/>
        <w:gridCol w:w="2069"/>
      </w:tblGrid>
      <w:tr>
        <w:trPr>
          <w:trHeight w:val="354" w:hRule="exact"/>
        </w:trPr>
        <w:tc>
          <w:tcPr>
            <w:tcW w:w="2069" w:type="dxa"/>
            <w:tcBorders>
              <w:left w:val="nil"/>
            </w:tcBorders>
          </w:tcPr>
          <w:p>
            <w:pPr>
              <w:pStyle w:val="TableParagraph"/>
              <w:ind w:right="1073"/>
              <w:jc w:val="right"/>
              <w:rPr>
                <w:sz w:val="17"/>
              </w:rPr>
            </w:pPr>
            <w:r>
              <w:rPr>
                <w:color w:val="231F20"/>
                <w:sz w:val="17"/>
              </w:rPr>
              <w:t>Pequeños</w:t>
            </w:r>
          </w:p>
        </w:tc>
        <w:tc>
          <w:tcPr>
            <w:tcW w:w="2069" w:type="dxa"/>
            <w:tcBorders>
              <w:right w:val="nil"/>
            </w:tcBorders>
          </w:tcPr>
          <w:p>
            <w:pPr>
              <w:pStyle w:val="TableParagraph"/>
              <w:ind w:left="537" w:right="540"/>
              <w:jc w:val="center"/>
              <w:rPr>
                <w:sz w:val="17"/>
              </w:rPr>
            </w:pPr>
            <w:r>
              <w:rPr>
                <w:color w:val="231F20"/>
                <w:w w:val="115"/>
                <w:sz w:val="17"/>
              </w:rPr>
              <w:t>15 (35,71%)</w:t>
            </w:r>
          </w:p>
        </w:tc>
      </w:tr>
      <w:tr>
        <w:trPr>
          <w:trHeight w:val="354" w:hRule="exact"/>
        </w:trPr>
        <w:tc>
          <w:tcPr>
            <w:tcW w:w="2069" w:type="dxa"/>
            <w:tcBorders>
              <w:left w:val="nil"/>
            </w:tcBorders>
          </w:tcPr>
          <w:p>
            <w:pPr>
              <w:pStyle w:val="TableParagraph"/>
              <w:ind w:right="1088"/>
              <w:jc w:val="right"/>
              <w:rPr>
                <w:sz w:val="17"/>
              </w:rPr>
            </w:pPr>
            <w:r>
              <w:rPr>
                <w:color w:val="231F20"/>
                <w:sz w:val="17"/>
              </w:rPr>
              <w:t>Medianos</w:t>
            </w:r>
          </w:p>
        </w:tc>
        <w:tc>
          <w:tcPr>
            <w:tcW w:w="2069" w:type="dxa"/>
            <w:tcBorders>
              <w:right w:val="nil"/>
            </w:tcBorders>
          </w:tcPr>
          <w:p>
            <w:pPr>
              <w:pStyle w:val="TableParagraph"/>
              <w:ind w:left="537" w:right="540"/>
              <w:jc w:val="center"/>
              <w:rPr>
                <w:sz w:val="17"/>
              </w:rPr>
            </w:pPr>
            <w:r>
              <w:rPr>
                <w:color w:val="231F20"/>
                <w:w w:val="115"/>
                <w:sz w:val="17"/>
              </w:rPr>
              <w:t>3 (7,14%)</w:t>
            </w:r>
          </w:p>
        </w:tc>
      </w:tr>
      <w:tr>
        <w:trPr>
          <w:trHeight w:val="354" w:hRule="exact"/>
        </w:trPr>
        <w:tc>
          <w:tcPr>
            <w:tcW w:w="2069" w:type="dxa"/>
            <w:tcBorders>
              <w:left w:val="nil"/>
            </w:tcBorders>
          </w:tcPr>
          <w:p>
            <w:pPr>
              <w:pStyle w:val="TableParagraph"/>
              <w:ind w:left="113"/>
              <w:rPr>
                <w:sz w:val="17"/>
              </w:rPr>
            </w:pPr>
            <w:r>
              <w:rPr>
                <w:color w:val="231F20"/>
                <w:sz w:val="17"/>
              </w:rPr>
              <w:t>Rastro</w:t>
            </w:r>
          </w:p>
        </w:tc>
        <w:tc>
          <w:tcPr>
            <w:tcW w:w="2069" w:type="dxa"/>
            <w:tcBorders>
              <w:right w:val="nil"/>
            </w:tcBorders>
          </w:tcPr>
          <w:p>
            <w:pPr>
              <w:pStyle w:val="TableParagraph"/>
              <w:ind w:left="537" w:right="540"/>
              <w:jc w:val="center"/>
              <w:rPr>
                <w:sz w:val="17"/>
              </w:rPr>
            </w:pPr>
            <w:r>
              <w:rPr>
                <w:color w:val="231F20"/>
                <w:w w:val="115"/>
                <w:sz w:val="17"/>
              </w:rPr>
              <w:t>11 (26,19%)</w:t>
            </w:r>
          </w:p>
        </w:tc>
      </w:tr>
      <w:tr>
        <w:trPr>
          <w:trHeight w:val="354" w:hRule="exact"/>
        </w:trPr>
        <w:tc>
          <w:tcPr>
            <w:tcW w:w="2069" w:type="dxa"/>
            <w:tcBorders>
              <w:left w:val="nil"/>
            </w:tcBorders>
          </w:tcPr>
          <w:p>
            <w:pPr>
              <w:pStyle w:val="TableParagraph"/>
              <w:ind w:left="113"/>
              <w:rPr>
                <w:sz w:val="17"/>
              </w:rPr>
            </w:pPr>
            <w:r>
              <w:rPr>
                <w:color w:val="231F20"/>
                <w:sz w:val="17"/>
              </w:rPr>
              <w:t>Obradores</w:t>
            </w:r>
          </w:p>
        </w:tc>
        <w:tc>
          <w:tcPr>
            <w:tcW w:w="2069" w:type="dxa"/>
            <w:tcBorders>
              <w:right w:val="nil"/>
            </w:tcBorders>
          </w:tcPr>
          <w:p>
            <w:pPr>
              <w:pStyle w:val="TableParagraph"/>
              <w:ind w:left="537" w:right="540"/>
              <w:jc w:val="center"/>
              <w:rPr>
                <w:sz w:val="17"/>
              </w:rPr>
            </w:pPr>
            <w:r>
              <w:rPr>
                <w:color w:val="231F20"/>
                <w:w w:val="115"/>
                <w:sz w:val="17"/>
              </w:rPr>
              <w:t>13 (30,95%)</w:t>
            </w:r>
          </w:p>
        </w:tc>
      </w:tr>
    </w:tbl>
    <w:p>
      <w:pPr>
        <w:pStyle w:val="BodyText"/>
        <w:rPr>
          <w:sz w:val="16"/>
        </w:rPr>
      </w:pPr>
    </w:p>
    <w:p>
      <w:pPr>
        <w:pStyle w:val="BodyText"/>
        <w:rPr>
          <w:sz w:val="16"/>
        </w:rPr>
      </w:pPr>
    </w:p>
    <w:p>
      <w:pPr>
        <w:pStyle w:val="BodyText"/>
        <w:spacing w:before="9"/>
        <w:rPr>
          <w:sz w:val="15"/>
        </w:rPr>
      </w:pPr>
    </w:p>
    <w:p>
      <w:pPr>
        <w:pStyle w:val="BodyText"/>
        <w:spacing w:line="256" w:lineRule="auto"/>
        <w:ind w:left="411" w:right="1551"/>
        <w:jc w:val="both"/>
      </w:pPr>
      <w:r>
        <w:rPr>
          <w:color w:val="231F20"/>
        </w:rPr>
        <w:t>Es de destacar que las carnicerías que compran directamente a pequeños productores represen- tan un tercio de las transacciones comerciales. Desde el punto de vista porcentual, esta tercera parte de las transacciones supone varias cosas. Por un lado, los carniceros, al comprar directamente     a los productores, eliminan todos los intermedia- rios y la cadena es sólo del productor al carnicero (quien realiza la matanza), y la venta directamente al consumidor. Para el caso de pueblos pequeños, es el mismo tablajero o carnicero quien realiza las actividades de acopio e introducción al matadero, por lo que la intermediación es menor, e incluso a veces es él mismo quien realiza el sacrificio (Boba- dilla-Soto  </w:t>
      </w:r>
      <w:r>
        <w:rPr>
          <w:rFonts w:ascii="Cambria" w:hAnsi="Cambria"/>
          <w:i/>
          <w:color w:val="231F20"/>
        </w:rPr>
        <w:t>et  al</w:t>
      </w:r>
      <w:r>
        <w:rPr>
          <w:color w:val="231F20"/>
        </w:rPr>
        <w:t>.,</w:t>
      </w:r>
      <w:r>
        <w:rPr>
          <w:color w:val="231F20"/>
          <w:spacing w:val="-12"/>
        </w:rPr>
        <w:t> </w:t>
      </w:r>
      <w:r>
        <w:rPr>
          <w:color w:val="231F20"/>
          <w:spacing w:val="-4"/>
        </w:rPr>
        <w:t>2010).</w:t>
      </w:r>
    </w:p>
    <w:p>
      <w:pPr>
        <w:pStyle w:val="BodyText"/>
        <w:spacing w:line="256" w:lineRule="auto" w:before="113"/>
        <w:ind w:left="411" w:right="1551"/>
        <w:jc w:val="both"/>
      </w:pPr>
      <w:r>
        <w:rPr>
          <w:color w:val="231F20"/>
        </w:rPr>
        <w:t>De acuerdo con los datos reportados por primera vez por ASERCA en </w:t>
      </w:r>
      <w:r>
        <w:rPr>
          <w:color w:val="231F20"/>
          <w:spacing w:val="-3"/>
        </w:rPr>
        <w:t>1996 </w:t>
      </w:r>
      <w:r>
        <w:rPr>
          <w:color w:val="231F20"/>
        </w:rPr>
        <w:t>y tomada por SAGARPA hasta nuestros días, el 30% del volumen de car-   ne de cerdo producida corresponde al sistema de traspatio; los datos presentados anteriormente in- dican el 35%. Como está reportado, la porcicultura de pequeña escala en la zona de estudio contri- buye en un 35% a la autonomía alimentaria, para  el caso de carne  de  porcino,  ya  que  esta  carne es producida, comercializada y consumida en la misma zona, por productores con poca tenencia  de</w:t>
      </w:r>
      <w:r>
        <w:rPr>
          <w:color w:val="231F20"/>
          <w:spacing w:val="27"/>
        </w:rPr>
        <w:t> </w:t>
      </w:r>
      <w:r>
        <w:rPr>
          <w:color w:val="231F20"/>
        </w:rPr>
        <w:t>animales.</w:t>
      </w:r>
    </w:p>
    <w:p>
      <w:pPr>
        <w:pStyle w:val="BodyText"/>
        <w:spacing w:line="256" w:lineRule="auto" w:before="113"/>
        <w:ind w:left="411" w:right="1551"/>
        <w:jc w:val="both"/>
      </w:pPr>
      <w:r>
        <w:rPr>
          <w:color w:val="231F20"/>
        </w:rPr>
        <w:t>Esta posible autonomía alimentaria debería refle- jarse  ya  sea  en  un  mejor  precio  pagado  al  pro-</w:t>
      </w:r>
    </w:p>
    <w:p>
      <w:pPr>
        <w:spacing w:after="0" w:line="256" w:lineRule="auto"/>
        <w:jc w:val="both"/>
        <w:sectPr>
          <w:type w:val="continuous"/>
          <w:pgSz w:w="11900" w:h="14450"/>
          <w:pgMar w:top="420" w:bottom="420" w:left="0" w:right="0"/>
          <w:cols w:num="2" w:equalWidth="0">
            <w:col w:w="5723" w:space="40"/>
            <w:col w:w="6137"/>
          </w:cols>
        </w:sectPr>
      </w:pPr>
    </w:p>
    <w:p>
      <w:pPr>
        <w:pStyle w:val="BodyText"/>
      </w:pPr>
    </w:p>
    <w:p>
      <w:pPr>
        <w:pStyle w:val="BodyText"/>
      </w:pPr>
    </w:p>
    <w:p>
      <w:pPr>
        <w:pStyle w:val="BodyText"/>
        <w:rPr>
          <w:sz w:val="17"/>
        </w:rPr>
      </w:pPr>
    </w:p>
    <w:p>
      <w:pPr>
        <w:tabs>
          <w:tab w:pos="4776" w:val="left" w:leader="none"/>
        </w:tabs>
        <w:spacing w:before="64"/>
        <w:ind w:left="1551" w:right="0" w:firstLine="0"/>
        <w:jc w:val="left"/>
        <w:rPr>
          <w:sz w:val="12"/>
        </w:rPr>
      </w:pPr>
      <w:r>
        <w:rPr>
          <w:color w:val="231F20"/>
          <w:spacing w:val="-4"/>
          <w:w w:val="130"/>
          <w:sz w:val="22"/>
        </w:rPr>
        <w:t>228</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1"/>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spacing w:line="283" w:lineRule="auto" w:before="71"/>
        <w:ind w:left="1551" w:right="28" w:firstLine="0"/>
        <w:jc w:val="both"/>
        <w:rPr>
          <w:sz w:val="18"/>
        </w:rPr>
      </w:pPr>
      <w:r>
        <w:rPr/>
        <w:pict>
          <v:group style="position:absolute;margin-left:77.330704pt;margin-top:34.788631pt;width:208.35pt;height:31.95pt;mso-position-horizontal-relative:page;mso-position-vertical-relative:paragraph;z-index:6424;mso-wrap-distance-left:0;mso-wrap-distance-right:0" coordorigin="1547,696" coordsize="4167,639">
            <v:line style="position:absolute" from="3262,1325" to="3262,706" stroked="true" strokeweight=".5pt" strokecolor="#231f20"/>
            <v:line style="position:absolute" from="1552,701" to="3262,701" stroked="true" strokeweight=".5pt" strokecolor="#231f20"/>
            <v:line style="position:absolute" from="4282,1325" to="4282,706" stroked="true" strokeweight=".5pt" strokecolor="#231f20"/>
            <v:line style="position:absolute" from="3262,701" to="4282,701" stroked="true" strokeweight=".5pt" strokecolor="#231f20"/>
            <v:line style="position:absolute" from="4282,701" to="5709,701" stroked="true" strokeweight=".5pt" strokecolor="#231f20"/>
            <v:line style="position:absolute" from="1552,1330" to="3262,1330" stroked="true" strokeweight=".5pt" strokecolor="#231f20"/>
            <v:line style="position:absolute" from="3262,1330" to="4282,1330" stroked="true" strokeweight=".5pt" strokecolor="#231f20"/>
            <v:line style="position:absolute" from="4282,1330" to="5709,1330" stroked="true" strokeweight=".5pt" strokecolor="#231f20"/>
            <v:shape style="position:absolute;left:3262;top:701;width:1021;height:629" type="#_x0000_t202" filled="false" stroked="false">
              <v:textbox inset="0,0,0,0">
                <w:txbxContent>
                  <w:p>
                    <w:pPr>
                      <w:spacing w:line="302" w:lineRule="auto" w:before="86"/>
                      <w:ind w:left="395" w:right="253" w:hanging="132"/>
                      <w:jc w:val="left"/>
                      <w:rPr>
                        <w:rFonts w:ascii="Arial"/>
                        <w:i/>
                        <w:sz w:val="18"/>
                      </w:rPr>
                    </w:pPr>
                    <w:r>
                      <w:rPr>
                        <w:rFonts w:ascii="Arial"/>
                        <w:i/>
                        <w:color w:val="231F20"/>
                        <w:w w:val="95"/>
                        <w:sz w:val="18"/>
                      </w:rPr>
                      <w:t>Precio </w:t>
                    </w:r>
                    <w:r>
                      <w:rPr>
                        <w:rFonts w:ascii="Arial"/>
                        <w:i/>
                        <w:color w:val="231F20"/>
                        <w:sz w:val="18"/>
                      </w:rPr>
                      <w:t>($)</w:t>
                    </w:r>
                  </w:p>
                </w:txbxContent>
              </v:textbox>
              <w10:wrap type="none"/>
            </v:shape>
            <v:shape style="position:absolute;left:2125;top:944;width:563;height:180" type="#_x0000_t202" filled="false" stroked="false">
              <v:textbox inset="0,0,0,0">
                <w:txbxContent>
                  <w:p>
                    <w:pPr>
                      <w:spacing w:line="180" w:lineRule="exact" w:before="0"/>
                      <w:ind w:left="0" w:right="-16" w:firstLine="0"/>
                      <w:jc w:val="left"/>
                      <w:rPr>
                        <w:rFonts w:ascii="Arial"/>
                        <w:i/>
                        <w:sz w:val="18"/>
                      </w:rPr>
                    </w:pPr>
                    <w:r>
                      <w:rPr>
                        <w:rFonts w:ascii="Arial"/>
                        <w:i/>
                        <w:color w:val="231F20"/>
                        <w:spacing w:val="-2"/>
                        <w:sz w:val="18"/>
                      </w:rPr>
                      <w:t>Agente</w:t>
                    </w:r>
                  </w:p>
                </w:txbxContent>
              </v:textbox>
              <w10:wrap type="none"/>
            </v:shape>
            <v:shape style="position:absolute;left:4476;top:814;width:1039;height:440" type="#_x0000_t202" filled="false" stroked="false">
              <v:textbox inset="0,0,0,0">
                <w:txbxContent>
                  <w:p>
                    <w:pPr>
                      <w:spacing w:line="180" w:lineRule="exact" w:before="0"/>
                      <w:ind w:left="-1" w:right="0" w:firstLine="0"/>
                      <w:jc w:val="center"/>
                      <w:rPr>
                        <w:rFonts w:ascii="Arial" w:hAnsi="Arial"/>
                        <w:i/>
                        <w:sz w:val="18"/>
                      </w:rPr>
                    </w:pPr>
                    <w:r>
                      <w:rPr>
                        <w:rFonts w:ascii="Arial" w:hAnsi="Arial"/>
                        <w:i/>
                        <w:color w:val="231F20"/>
                        <w:spacing w:val="-1"/>
                        <w:sz w:val="18"/>
                      </w:rPr>
                      <w:t>Participación</w:t>
                    </w:r>
                  </w:p>
                  <w:p>
                    <w:pPr>
                      <w:spacing w:line="207" w:lineRule="exact" w:before="53"/>
                      <w:ind w:left="0" w:right="0" w:firstLine="0"/>
                      <w:jc w:val="center"/>
                      <w:rPr>
                        <w:rFonts w:ascii="Arial"/>
                        <w:i/>
                        <w:sz w:val="18"/>
                      </w:rPr>
                    </w:pPr>
                    <w:r>
                      <w:rPr>
                        <w:rFonts w:ascii="Arial"/>
                        <w:i/>
                        <w:color w:val="231F20"/>
                        <w:w w:val="105"/>
                        <w:sz w:val="18"/>
                      </w:rPr>
                      <w:t>(%)</w:t>
                    </w:r>
                  </w:p>
                </w:txbxContent>
              </v:textbox>
              <w10:wrap type="none"/>
            </v:shape>
            <w10:wrap type="topAndBottom"/>
          </v:group>
        </w:pict>
      </w:r>
      <w:r>
        <w:rPr>
          <w:color w:val="231F20"/>
          <w:sz w:val="18"/>
        </w:rPr>
        <w:t>Cuadro 3.  Precios y porcentaje pagado en cada etapa  de transacción del sistema </w:t>
      </w:r>
      <w:r>
        <w:rPr>
          <w:color w:val="231F20"/>
          <w:spacing w:val="7"/>
          <w:sz w:val="18"/>
        </w:rPr>
        <w:t> </w:t>
      </w:r>
      <w:r>
        <w:rPr>
          <w:color w:val="231F20"/>
          <w:sz w:val="18"/>
        </w:rPr>
        <w:t>porcino.</w:t>
      </w:r>
    </w:p>
    <w:p>
      <w:pPr>
        <w:spacing w:before="44"/>
        <w:ind w:left="1664" w:right="0" w:firstLine="0"/>
        <w:jc w:val="left"/>
        <w:rPr>
          <w:sz w:val="17"/>
        </w:rPr>
      </w:pPr>
      <w:r>
        <w:rPr>
          <w:color w:val="231F20"/>
          <w:sz w:val="17"/>
        </w:rPr>
        <w:t>Productores</w:t>
      </w:r>
    </w:p>
    <w:p>
      <w:pPr>
        <w:pStyle w:val="BodyText"/>
        <w:spacing w:before="1"/>
        <w:rPr>
          <w:sz w:val="5"/>
        </w:rPr>
      </w:pPr>
    </w:p>
    <w:tbl>
      <w:tblPr>
        <w:tblW w:w="0" w:type="auto"/>
        <w:jc w:val="left"/>
        <w:tblInd w:w="154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10"/>
        <w:gridCol w:w="1020"/>
        <w:gridCol w:w="1426"/>
      </w:tblGrid>
      <w:tr>
        <w:trPr>
          <w:trHeight w:val="354" w:hRule="exact"/>
        </w:trPr>
        <w:tc>
          <w:tcPr>
            <w:tcW w:w="1710" w:type="dxa"/>
            <w:tcBorders>
              <w:left w:val="nil"/>
            </w:tcBorders>
          </w:tcPr>
          <w:p>
            <w:pPr>
              <w:pStyle w:val="TableParagraph"/>
              <w:ind w:left="283"/>
              <w:rPr>
                <w:sz w:val="17"/>
              </w:rPr>
            </w:pPr>
            <w:r>
              <w:rPr>
                <w:color w:val="231F20"/>
                <w:w w:val="105"/>
                <w:sz w:val="17"/>
              </w:rPr>
              <w:t>Pequeños</w:t>
            </w:r>
          </w:p>
        </w:tc>
        <w:tc>
          <w:tcPr>
            <w:tcW w:w="1020" w:type="dxa"/>
          </w:tcPr>
          <w:p>
            <w:pPr>
              <w:pStyle w:val="TableParagraph"/>
              <w:ind w:left="335"/>
              <w:rPr>
                <w:sz w:val="17"/>
              </w:rPr>
            </w:pPr>
            <w:r>
              <w:rPr>
                <w:color w:val="231F20"/>
                <w:w w:val="115"/>
                <w:sz w:val="17"/>
              </w:rPr>
              <w:t>17</w:t>
            </w:r>
          </w:p>
        </w:tc>
        <w:tc>
          <w:tcPr>
            <w:tcW w:w="1426" w:type="dxa"/>
            <w:tcBorders>
              <w:right w:val="nil"/>
            </w:tcBorders>
          </w:tcPr>
          <w:p>
            <w:pPr>
              <w:pStyle w:val="TableParagraph"/>
              <w:ind w:right="458"/>
              <w:jc w:val="right"/>
              <w:rPr>
                <w:sz w:val="17"/>
              </w:rPr>
            </w:pPr>
            <w:r>
              <w:rPr>
                <w:color w:val="231F20"/>
                <w:w w:val="110"/>
                <w:sz w:val="17"/>
              </w:rPr>
              <w:t>32,75</w:t>
            </w:r>
          </w:p>
        </w:tc>
      </w:tr>
      <w:tr>
        <w:trPr>
          <w:trHeight w:val="354" w:hRule="exact"/>
        </w:trPr>
        <w:tc>
          <w:tcPr>
            <w:tcW w:w="1710" w:type="dxa"/>
            <w:tcBorders>
              <w:left w:val="nil"/>
            </w:tcBorders>
          </w:tcPr>
          <w:p>
            <w:pPr>
              <w:pStyle w:val="TableParagraph"/>
              <w:ind w:left="283"/>
              <w:rPr>
                <w:sz w:val="17"/>
              </w:rPr>
            </w:pPr>
            <w:r>
              <w:rPr>
                <w:color w:val="231F20"/>
                <w:sz w:val="17"/>
              </w:rPr>
              <w:t>Medianos</w:t>
            </w:r>
          </w:p>
        </w:tc>
        <w:tc>
          <w:tcPr>
            <w:tcW w:w="1020" w:type="dxa"/>
          </w:tcPr>
          <w:p>
            <w:pPr>
              <w:pStyle w:val="TableParagraph"/>
              <w:ind w:left="335"/>
              <w:rPr>
                <w:sz w:val="17"/>
              </w:rPr>
            </w:pPr>
            <w:r>
              <w:rPr>
                <w:color w:val="231F20"/>
                <w:w w:val="115"/>
                <w:sz w:val="17"/>
              </w:rPr>
              <w:t>20</w:t>
            </w:r>
          </w:p>
        </w:tc>
        <w:tc>
          <w:tcPr>
            <w:tcW w:w="1426" w:type="dxa"/>
            <w:tcBorders>
              <w:right w:val="nil"/>
            </w:tcBorders>
          </w:tcPr>
          <w:p>
            <w:pPr>
              <w:pStyle w:val="TableParagraph"/>
              <w:ind w:left="488"/>
              <w:rPr>
                <w:sz w:val="17"/>
              </w:rPr>
            </w:pPr>
            <w:r>
              <w:rPr>
                <w:color w:val="231F20"/>
                <w:sz w:val="17"/>
              </w:rPr>
              <w:t>--</w:t>
            </w:r>
          </w:p>
        </w:tc>
      </w:tr>
      <w:tr>
        <w:trPr>
          <w:trHeight w:val="354" w:hRule="exact"/>
        </w:trPr>
        <w:tc>
          <w:tcPr>
            <w:tcW w:w="1710" w:type="dxa"/>
            <w:tcBorders>
              <w:left w:val="nil"/>
            </w:tcBorders>
          </w:tcPr>
          <w:p>
            <w:pPr>
              <w:pStyle w:val="TableParagraph"/>
              <w:ind w:left="113"/>
              <w:rPr>
                <w:sz w:val="17"/>
              </w:rPr>
            </w:pPr>
            <w:r>
              <w:rPr>
                <w:color w:val="231F20"/>
                <w:sz w:val="17"/>
              </w:rPr>
              <w:t>Rastro</w:t>
            </w:r>
          </w:p>
        </w:tc>
        <w:tc>
          <w:tcPr>
            <w:tcW w:w="1020" w:type="dxa"/>
          </w:tcPr>
          <w:p>
            <w:pPr>
              <w:pStyle w:val="TableParagraph"/>
              <w:ind w:left="335"/>
              <w:rPr>
                <w:sz w:val="17"/>
              </w:rPr>
            </w:pPr>
            <w:r>
              <w:rPr>
                <w:color w:val="231F20"/>
                <w:w w:val="115"/>
                <w:sz w:val="17"/>
              </w:rPr>
              <w:t>26</w:t>
            </w:r>
          </w:p>
        </w:tc>
        <w:tc>
          <w:tcPr>
            <w:tcW w:w="1426" w:type="dxa"/>
            <w:tcBorders>
              <w:right w:val="nil"/>
            </w:tcBorders>
          </w:tcPr>
          <w:p>
            <w:pPr>
              <w:pStyle w:val="TableParagraph"/>
              <w:ind w:right="451"/>
              <w:jc w:val="right"/>
              <w:rPr>
                <w:sz w:val="17"/>
              </w:rPr>
            </w:pPr>
            <w:r>
              <w:rPr>
                <w:color w:val="231F20"/>
                <w:w w:val="110"/>
                <w:sz w:val="17"/>
              </w:rPr>
              <w:t>17,35</w:t>
            </w:r>
          </w:p>
        </w:tc>
      </w:tr>
      <w:tr>
        <w:trPr>
          <w:trHeight w:val="354" w:hRule="exact"/>
        </w:trPr>
        <w:tc>
          <w:tcPr>
            <w:tcW w:w="1710" w:type="dxa"/>
            <w:tcBorders>
              <w:left w:val="nil"/>
            </w:tcBorders>
          </w:tcPr>
          <w:p>
            <w:pPr>
              <w:pStyle w:val="TableParagraph"/>
              <w:ind w:left="113"/>
              <w:rPr>
                <w:sz w:val="17"/>
              </w:rPr>
            </w:pPr>
            <w:r>
              <w:rPr>
                <w:color w:val="231F20"/>
                <w:sz w:val="17"/>
              </w:rPr>
              <w:t>Obrador</w:t>
            </w:r>
          </w:p>
        </w:tc>
        <w:tc>
          <w:tcPr>
            <w:tcW w:w="1020" w:type="dxa"/>
          </w:tcPr>
          <w:p>
            <w:pPr>
              <w:pStyle w:val="TableParagraph"/>
              <w:ind w:left="335"/>
              <w:rPr>
                <w:sz w:val="17"/>
              </w:rPr>
            </w:pPr>
            <w:r>
              <w:rPr>
                <w:color w:val="231F20"/>
                <w:w w:val="110"/>
                <w:sz w:val="17"/>
              </w:rPr>
              <w:t>33,5</w:t>
            </w:r>
          </w:p>
        </w:tc>
        <w:tc>
          <w:tcPr>
            <w:tcW w:w="1426" w:type="dxa"/>
            <w:tcBorders>
              <w:right w:val="nil"/>
            </w:tcBorders>
          </w:tcPr>
          <w:p>
            <w:pPr>
              <w:pStyle w:val="TableParagraph"/>
              <w:ind w:right="451"/>
              <w:jc w:val="right"/>
              <w:rPr>
                <w:sz w:val="17"/>
              </w:rPr>
            </w:pPr>
            <w:r>
              <w:rPr>
                <w:color w:val="231F20"/>
                <w:w w:val="110"/>
                <w:sz w:val="17"/>
              </w:rPr>
              <w:t>14,45</w:t>
            </w:r>
          </w:p>
        </w:tc>
      </w:tr>
      <w:tr>
        <w:trPr>
          <w:trHeight w:val="354" w:hRule="exact"/>
        </w:trPr>
        <w:tc>
          <w:tcPr>
            <w:tcW w:w="1710" w:type="dxa"/>
            <w:tcBorders>
              <w:left w:val="nil"/>
            </w:tcBorders>
          </w:tcPr>
          <w:p>
            <w:pPr>
              <w:pStyle w:val="TableParagraph"/>
              <w:ind w:left="113"/>
              <w:rPr>
                <w:sz w:val="17"/>
              </w:rPr>
            </w:pPr>
            <w:r>
              <w:rPr>
                <w:color w:val="231F20"/>
                <w:w w:val="115"/>
                <w:sz w:val="17"/>
              </w:rPr>
              <w:t>Carnicerías (n = 42)</w:t>
            </w:r>
          </w:p>
        </w:tc>
        <w:tc>
          <w:tcPr>
            <w:tcW w:w="1020" w:type="dxa"/>
          </w:tcPr>
          <w:p>
            <w:pPr>
              <w:pStyle w:val="TableParagraph"/>
              <w:ind w:left="335"/>
              <w:rPr>
                <w:sz w:val="17"/>
              </w:rPr>
            </w:pPr>
            <w:r>
              <w:rPr>
                <w:color w:val="231F20"/>
                <w:w w:val="110"/>
                <w:sz w:val="17"/>
              </w:rPr>
              <w:t>51,9</w:t>
            </w:r>
          </w:p>
        </w:tc>
        <w:tc>
          <w:tcPr>
            <w:tcW w:w="1426" w:type="dxa"/>
            <w:tcBorders>
              <w:right w:val="nil"/>
            </w:tcBorders>
          </w:tcPr>
          <w:p>
            <w:pPr>
              <w:pStyle w:val="TableParagraph"/>
              <w:ind w:right="451"/>
              <w:jc w:val="right"/>
              <w:rPr>
                <w:sz w:val="17"/>
              </w:rPr>
            </w:pPr>
            <w:r>
              <w:rPr>
                <w:color w:val="231F20"/>
                <w:w w:val="110"/>
                <w:sz w:val="17"/>
              </w:rPr>
              <w:t>35,45</w:t>
            </w:r>
          </w:p>
        </w:tc>
      </w:tr>
      <w:tr>
        <w:trPr>
          <w:trHeight w:val="354" w:hRule="exact"/>
        </w:trPr>
        <w:tc>
          <w:tcPr>
            <w:tcW w:w="1710" w:type="dxa"/>
            <w:tcBorders>
              <w:left w:val="nil"/>
            </w:tcBorders>
          </w:tcPr>
          <w:p>
            <w:pPr>
              <w:pStyle w:val="TableParagraph"/>
              <w:ind w:left="113"/>
              <w:rPr>
                <w:sz w:val="17"/>
              </w:rPr>
            </w:pPr>
            <w:r>
              <w:rPr>
                <w:color w:val="231F20"/>
                <w:sz w:val="17"/>
              </w:rPr>
              <w:t>Total</w:t>
            </w:r>
          </w:p>
        </w:tc>
        <w:tc>
          <w:tcPr>
            <w:tcW w:w="1020" w:type="dxa"/>
          </w:tcPr>
          <w:p>
            <w:pPr>
              <w:pStyle w:val="TableParagraph"/>
              <w:ind w:left="55" w:right="55"/>
              <w:jc w:val="center"/>
              <w:rPr>
                <w:sz w:val="17"/>
              </w:rPr>
            </w:pPr>
            <w:r>
              <w:rPr>
                <w:color w:val="231F20"/>
                <w:sz w:val="17"/>
              </w:rPr>
              <w:t>--</w:t>
            </w:r>
          </w:p>
        </w:tc>
        <w:tc>
          <w:tcPr>
            <w:tcW w:w="1426" w:type="dxa"/>
            <w:tcBorders>
              <w:right w:val="nil"/>
            </w:tcBorders>
          </w:tcPr>
          <w:p>
            <w:pPr>
              <w:pStyle w:val="TableParagraph"/>
              <w:ind w:left="443"/>
              <w:rPr>
                <w:sz w:val="17"/>
              </w:rPr>
            </w:pPr>
            <w:r>
              <w:rPr>
                <w:color w:val="231F20"/>
                <w:w w:val="110"/>
                <w:sz w:val="17"/>
              </w:rPr>
              <w:t>100,00</w:t>
            </w:r>
          </w:p>
        </w:tc>
      </w:tr>
    </w:tbl>
    <w:p>
      <w:pPr>
        <w:pStyle w:val="BodyText"/>
        <w:rPr>
          <w:sz w:val="16"/>
        </w:rPr>
      </w:pPr>
    </w:p>
    <w:p>
      <w:pPr>
        <w:pStyle w:val="BodyText"/>
        <w:rPr>
          <w:sz w:val="16"/>
        </w:rPr>
      </w:pPr>
    </w:p>
    <w:p>
      <w:pPr>
        <w:pStyle w:val="BodyText"/>
        <w:spacing w:before="6"/>
        <w:rPr>
          <w:sz w:val="13"/>
        </w:rPr>
      </w:pPr>
    </w:p>
    <w:p>
      <w:pPr>
        <w:pStyle w:val="BodyText"/>
        <w:spacing w:line="261" w:lineRule="auto"/>
        <w:ind w:left="1553"/>
        <w:jc w:val="both"/>
      </w:pPr>
      <w:r>
        <w:rPr>
          <w:color w:val="231F20"/>
        </w:rPr>
        <w:t>ductor o en un menor precio para el consumidor final. En el Cuadro 3 se resumen los precios y la participación porcentual de éstos en cada etapa de los actores comerciales. La participación promedio que adquieren los intermediarios es del orden del 1,9% al 2,8%, que se le descontaría al productor.   El precio pagado al productor equivale al</w:t>
      </w:r>
      <w:r>
        <w:rPr>
          <w:color w:val="231F20"/>
          <w:spacing w:val="9"/>
        </w:rPr>
        <w:t> </w:t>
      </w:r>
      <w:r>
        <w:rPr>
          <w:color w:val="231F20"/>
        </w:rPr>
        <w:t>32%</w:t>
      </w:r>
      <w:r>
        <w:rPr>
          <w:color w:val="231F20"/>
          <w:spacing w:val="20"/>
        </w:rPr>
        <w:t> </w:t>
      </w:r>
      <w:r>
        <w:rPr>
          <w:color w:val="231F20"/>
        </w:rPr>
        <w:t>del</w:t>
      </w:r>
      <w:r>
        <w:rPr>
          <w:color w:val="231F20"/>
          <w:w w:val="101"/>
        </w:rPr>
        <w:t> </w:t>
      </w:r>
      <w:r>
        <w:rPr>
          <w:color w:val="231F20"/>
        </w:rPr>
        <w:t>precio final pagado por el consumidor. Las parti- cipaciones promedio resultado de las encuestas para los rastros y obradores fueron del </w:t>
      </w:r>
      <w:r>
        <w:rPr>
          <w:color w:val="231F20"/>
          <w:spacing w:val="-3"/>
        </w:rPr>
        <w:t>17% </w:t>
      </w:r>
      <w:r>
        <w:rPr>
          <w:color w:val="231F20"/>
        </w:rPr>
        <w:t>y el </w:t>
      </w:r>
      <w:r>
        <w:rPr>
          <w:color w:val="231F20"/>
          <w:spacing w:val="-3"/>
        </w:rPr>
        <w:t>14%, </w:t>
      </w:r>
      <w:r>
        <w:rPr>
          <w:color w:val="231F20"/>
        </w:rPr>
        <w:t>respectivamente. Por último, la participación del carnicero fue del 35%. El precio promedio pagado por los consumidores fue de $51,9 cuan- do el carnicero compra directamente</w:t>
      </w:r>
      <w:r>
        <w:rPr>
          <w:color w:val="231F20"/>
          <w:spacing w:val="42"/>
        </w:rPr>
        <w:t> </w:t>
      </w:r>
      <w:r>
        <w:rPr>
          <w:color w:val="231F20"/>
        </w:rPr>
        <w:t>al</w:t>
      </w:r>
      <w:r>
        <w:rPr>
          <w:color w:val="231F20"/>
          <w:spacing w:val="8"/>
        </w:rPr>
        <w:t> </w:t>
      </w:r>
      <w:r>
        <w:rPr>
          <w:color w:val="231F20"/>
        </w:rPr>
        <w:t>productor,</w:t>
      </w:r>
      <w:r>
        <w:rPr>
          <w:color w:val="231F20"/>
          <w:w w:val="83"/>
        </w:rPr>
        <w:t> </w:t>
      </w:r>
      <w:r>
        <w:rPr>
          <w:color w:val="231F20"/>
        </w:rPr>
        <w:t>y el precio de venta promedio al consumidor es    de </w:t>
      </w:r>
      <w:r>
        <w:rPr>
          <w:color w:val="231F20"/>
          <w:spacing w:val="-4"/>
        </w:rPr>
        <w:t>$51,73, </w:t>
      </w:r>
      <w:r>
        <w:rPr>
          <w:color w:val="231F20"/>
        </w:rPr>
        <w:t>sin observarse una disminución en la participación ni en los márgenes brutos de comer- cialización.</w:t>
      </w:r>
    </w:p>
    <w:p>
      <w:pPr>
        <w:spacing w:before="116"/>
        <w:ind w:left="1553" w:right="0" w:firstLine="0"/>
        <w:jc w:val="both"/>
        <w:rPr>
          <w:rFonts w:ascii="Arial" w:hAnsi="Arial"/>
          <w:i/>
          <w:sz w:val="20"/>
        </w:rPr>
      </w:pPr>
      <w:r>
        <w:rPr>
          <w:rFonts w:ascii="Arial" w:hAnsi="Arial"/>
          <w:i/>
          <w:color w:val="231F20"/>
          <w:sz w:val="20"/>
        </w:rPr>
        <w:t>Dimensión económica</w:t>
      </w:r>
    </w:p>
    <w:p>
      <w:pPr>
        <w:pStyle w:val="BodyText"/>
        <w:spacing w:line="261" w:lineRule="auto" w:before="146"/>
        <w:ind w:left="1553"/>
        <w:jc w:val="both"/>
      </w:pPr>
      <w:r>
        <w:rPr>
          <w:color w:val="231F20"/>
        </w:rPr>
        <w:t>Sin lugar a dudas y para muchos autores, la di- mensión económica es uno de los principales fac- tores que determinan a los sistemas productivos. En las diferentes zonas donde se crían cerdos con una pequeña y mediana tenencia de animales, las características productivas, así como la   utilización</w:t>
      </w:r>
    </w:p>
    <w:p>
      <w:pPr>
        <w:pStyle w:val="BodyText"/>
        <w:spacing w:line="256" w:lineRule="auto" w:before="67"/>
        <w:ind w:left="413" w:right="1551"/>
        <w:jc w:val="both"/>
      </w:pPr>
      <w:r>
        <w:rPr/>
        <w:br w:type="column"/>
      </w:r>
      <w:r>
        <w:rPr>
          <w:color w:val="231F20"/>
        </w:rPr>
        <w:t>y el aprovechamiento de los recursos naturales y de los insumos, son muy variados. Por ejemplo, para las granjas cuyos ingresos provienen de la venta de lechones destetados, en 48 granjas con un inventario de entre 1 y 7 cerdas reproductoras, y en 23 granjas con 8 a </w:t>
      </w:r>
      <w:r>
        <w:rPr>
          <w:color w:val="231F20"/>
          <w:spacing w:val="-5"/>
        </w:rPr>
        <w:t>16 </w:t>
      </w:r>
      <w:r>
        <w:rPr>
          <w:color w:val="231F20"/>
        </w:rPr>
        <w:t>cerdas en la región nororiente del Estado de México, en </w:t>
      </w:r>
      <w:r>
        <w:rPr>
          <w:color w:val="231F20"/>
          <w:spacing w:val="-6"/>
        </w:rPr>
        <w:t>2010 </w:t>
      </w:r>
      <w:r>
        <w:rPr>
          <w:color w:val="231F20"/>
        </w:rPr>
        <w:t>el in- greso promedio por lechón destetado fue de $221 para las primeras y  de  </w:t>
      </w:r>
      <w:r>
        <w:rPr>
          <w:color w:val="231F20"/>
          <w:spacing w:val="-3"/>
        </w:rPr>
        <w:t>$182  </w:t>
      </w:r>
      <w:r>
        <w:rPr>
          <w:color w:val="231F20"/>
        </w:rPr>
        <w:t>para  las  segundas.  Es de  destacar  que  estos  resultados  se  oponen  a lo reportado en la mayoría de los estudios si- milares, pero la explicación es muy simple: la uti- lización de recursos e insumos autogenerados, y    la reutilización de materiales y residuos orgánicos comestibles como fuentes o ingredientes para la alimentación, favorecen dicho comportamiento económico. La contribución económica también varía, pero en estas condiciones y  en  esta  zona fue del </w:t>
      </w:r>
      <w:r>
        <w:rPr>
          <w:color w:val="231F20"/>
          <w:spacing w:val="-3"/>
        </w:rPr>
        <w:t>13% </w:t>
      </w:r>
      <w:r>
        <w:rPr>
          <w:color w:val="231F20"/>
        </w:rPr>
        <w:t>y el  26%  del  total  de  los  ingresos  de las familias. Si tomamos en cuenta un salario mínimo de </w:t>
      </w:r>
      <w:r>
        <w:rPr>
          <w:color w:val="231F20"/>
          <w:spacing w:val="-3"/>
        </w:rPr>
        <w:t>$54,47 </w:t>
      </w:r>
      <w:r>
        <w:rPr>
          <w:color w:val="231F20"/>
        </w:rPr>
        <w:t>pesos al día, vigente en la zona durante </w:t>
      </w:r>
      <w:r>
        <w:rPr>
          <w:color w:val="231F20"/>
          <w:spacing w:val="-5"/>
        </w:rPr>
        <w:t>2010, </w:t>
      </w:r>
      <w:r>
        <w:rPr>
          <w:color w:val="231F20"/>
        </w:rPr>
        <w:t>la actividad habría representado un equivalente de </w:t>
      </w:r>
      <w:r>
        <w:rPr>
          <w:color w:val="231F20"/>
          <w:spacing w:val="-5"/>
        </w:rPr>
        <w:t>125 </w:t>
      </w:r>
      <w:r>
        <w:rPr>
          <w:color w:val="231F20"/>
        </w:rPr>
        <w:t>salarios mínimos para  aque- llas producciones con menos de 7 cerdas,  y  de  </w:t>
      </w:r>
      <w:r>
        <w:rPr>
          <w:color w:val="231F20"/>
          <w:spacing w:val="-3"/>
        </w:rPr>
        <w:t>332 </w:t>
      </w:r>
      <w:r>
        <w:rPr>
          <w:color w:val="231F20"/>
        </w:rPr>
        <w:t>salarios mínimos para aquellas con entre 8 y  </w:t>
      </w:r>
      <w:r>
        <w:rPr>
          <w:color w:val="231F20"/>
          <w:spacing w:val="-5"/>
        </w:rPr>
        <w:t>16 </w:t>
      </w:r>
      <w:r>
        <w:rPr>
          <w:color w:val="231F20"/>
        </w:rPr>
        <w:t> cerdas.</w:t>
      </w:r>
    </w:p>
    <w:p>
      <w:pPr>
        <w:pStyle w:val="BodyText"/>
        <w:spacing w:line="256" w:lineRule="auto" w:before="112"/>
        <w:ind w:left="413" w:right="1551"/>
        <w:jc w:val="both"/>
      </w:pPr>
      <w:r>
        <w:rPr>
          <w:color w:val="231F20"/>
        </w:rPr>
        <w:t>Desplazándonos a otra región del Estado de Méxi- co, en el centro, la crianza de porcinos tiene ma- tices diferentes que en el nororiente. Por citar un ejemplo, la mayoría de la “raza” de los animales utilizados en la crianza en el nororiente son com- binaciones entre híbridos porcinos,  sin  sistemas  ni control de cruzamiento en muchas ocasiones, mientras que en un gran número de unidades de producción en el centro utilizan “razas” comercia- les que adquieren directamente de distribuidores especializados en este </w:t>
      </w:r>
      <w:r>
        <w:rPr>
          <w:color w:val="231F20"/>
          <w:spacing w:val="5"/>
        </w:rPr>
        <w:t> </w:t>
      </w:r>
      <w:r>
        <w:rPr>
          <w:color w:val="231F20"/>
        </w:rPr>
        <w:t>rubro.</w:t>
      </w:r>
    </w:p>
    <w:p>
      <w:pPr>
        <w:pStyle w:val="BodyText"/>
        <w:spacing w:line="256" w:lineRule="auto" w:before="112"/>
        <w:ind w:left="413" w:right="1551"/>
        <w:jc w:val="both"/>
      </w:pPr>
      <w:r>
        <w:rPr>
          <w:color w:val="231F20"/>
          <w:w w:val="105"/>
        </w:rPr>
        <w:t>En términos económicos, en </w:t>
      </w:r>
      <w:r>
        <w:rPr>
          <w:color w:val="231F20"/>
          <w:spacing w:val="-6"/>
          <w:w w:val="105"/>
        </w:rPr>
        <w:t>2011 </w:t>
      </w:r>
      <w:r>
        <w:rPr>
          <w:color w:val="231F20"/>
          <w:w w:val="105"/>
        </w:rPr>
        <w:t>se obtuvieron unas</w:t>
      </w:r>
      <w:r>
        <w:rPr>
          <w:color w:val="231F20"/>
          <w:spacing w:val="-12"/>
          <w:w w:val="105"/>
        </w:rPr>
        <w:t> </w:t>
      </w:r>
      <w:r>
        <w:rPr>
          <w:color w:val="231F20"/>
          <w:w w:val="105"/>
        </w:rPr>
        <w:t>ganancias</w:t>
      </w:r>
      <w:r>
        <w:rPr>
          <w:color w:val="231F20"/>
          <w:spacing w:val="-12"/>
          <w:w w:val="105"/>
        </w:rPr>
        <w:t> </w:t>
      </w:r>
      <w:r>
        <w:rPr>
          <w:color w:val="231F20"/>
          <w:w w:val="105"/>
        </w:rPr>
        <w:t>promedio</w:t>
      </w:r>
      <w:r>
        <w:rPr>
          <w:color w:val="231F20"/>
          <w:spacing w:val="-12"/>
          <w:w w:val="105"/>
        </w:rPr>
        <w:t> </w:t>
      </w:r>
      <w:r>
        <w:rPr>
          <w:color w:val="231F20"/>
          <w:w w:val="105"/>
        </w:rPr>
        <w:t>de</w:t>
      </w:r>
      <w:r>
        <w:rPr>
          <w:color w:val="231F20"/>
          <w:spacing w:val="-12"/>
          <w:w w:val="105"/>
        </w:rPr>
        <w:t> </w:t>
      </w:r>
      <w:r>
        <w:rPr>
          <w:color w:val="231F20"/>
          <w:spacing w:val="-3"/>
          <w:w w:val="105"/>
        </w:rPr>
        <w:t>$12</w:t>
      </w:r>
      <w:r>
        <w:rPr>
          <w:color w:val="231F20"/>
          <w:spacing w:val="-12"/>
          <w:w w:val="105"/>
        </w:rPr>
        <w:t> </w:t>
      </w:r>
      <w:r>
        <w:rPr>
          <w:color w:val="231F20"/>
          <w:w w:val="105"/>
        </w:rPr>
        <w:t>para</w:t>
      </w:r>
      <w:r>
        <w:rPr>
          <w:color w:val="231F20"/>
          <w:spacing w:val="-12"/>
          <w:w w:val="105"/>
        </w:rPr>
        <w:t> </w:t>
      </w:r>
      <w:r>
        <w:rPr>
          <w:color w:val="231F20"/>
          <w:w w:val="105"/>
        </w:rPr>
        <w:t>granjas</w:t>
      </w:r>
      <w:r>
        <w:rPr>
          <w:color w:val="231F20"/>
          <w:spacing w:val="-12"/>
          <w:w w:val="105"/>
        </w:rPr>
        <w:t> </w:t>
      </w:r>
      <w:r>
        <w:rPr>
          <w:color w:val="231F20"/>
          <w:w w:val="105"/>
        </w:rPr>
        <w:t>con 5 a </w:t>
      </w:r>
      <w:r>
        <w:rPr>
          <w:color w:val="231F20"/>
          <w:spacing w:val="-5"/>
          <w:w w:val="105"/>
        </w:rPr>
        <w:t>10 </w:t>
      </w:r>
      <w:r>
        <w:rPr>
          <w:color w:val="231F20"/>
          <w:w w:val="105"/>
        </w:rPr>
        <w:t>cerdas reproductoras (n = 8), de </w:t>
      </w:r>
      <w:r>
        <w:rPr>
          <w:color w:val="231F20"/>
          <w:spacing w:val="-4"/>
          <w:w w:val="105"/>
        </w:rPr>
        <w:t>$152 </w:t>
      </w:r>
      <w:r>
        <w:rPr>
          <w:color w:val="231F20"/>
          <w:w w:val="105"/>
        </w:rPr>
        <w:t>para granjas con </w:t>
      </w:r>
      <w:r>
        <w:rPr>
          <w:color w:val="231F20"/>
          <w:spacing w:val="-5"/>
          <w:w w:val="105"/>
        </w:rPr>
        <w:t>11 </w:t>
      </w:r>
      <w:r>
        <w:rPr>
          <w:color w:val="231F20"/>
          <w:w w:val="105"/>
        </w:rPr>
        <w:t>a 49 cerdas (n = </w:t>
      </w:r>
      <w:r>
        <w:rPr>
          <w:color w:val="231F20"/>
          <w:spacing w:val="-3"/>
          <w:w w:val="105"/>
        </w:rPr>
        <w:t>10) </w:t>
      </w:r>
      <w:r>
        <w:rPr>
          <w:color w:val="231F20"/>
          <w:w w:val="105"/>
        </w:rPr>
        <w:t>y de </w:t>
      </w:r>
      <w:r>
        <w:rPr>
          <w:color w:val="231F20"/>
          <w:spacing w:val="-3"/>
          <w:w w:val="105"/>
        </w:rPr>
        <w:t>$165  </w:t>
      </w:r>
      <w:r>
        <w:rPr>
          <w:color w:val="231F20"/>
          <w:w w:val="105"/>
        </w:rPr>
        <w:t>para granjas con 50 a </w:t>
      </w:r>
      <w:r>
        <w:rPr>
          <w:color w:val="231F20"/>
          <w:spacing w:val="-3"/>
          <w:w w:val="105"/>
        </w:rPr>
        <w:t>100 </w:t>
      </w:r>
      <w:r>
        <w:rPr>
          <w:color w:val="231F20"/>
          <w:w w:val="105"/>
        </w:rPr>
        <w:t>cerdas (n = 4). En  </w:t>
      </w:r>
      <w:r>
        <w:rPr>
          <w:color w:val="231F20"/>
          <w:spacing w:val="22"/>
          <w:w w:val="105"/>
        </w:rPr>
        <w:t> </w:t>
      </w:r>
      <w:r>
        <w:rPr>
          <w:color w:val="231F20"/>
          <w:w w:val="105"/>
        </w:rPr>
        <w:t>tér-</w:t>
      </w:r>
    </w:p>
    <w:p>
      <w:pPr>
        <w:spacing w:after="0" w:line="256" w:lineRule="auto"/>
        <w:jc w:val="both"/>
        <w:sectPr>
          <w:type w:val="continuous"/>
          <w:pgSz w:w="11900" w:h="14450"/>
          <w:pgMar w:top="420" w:bottom="420" w:left="0" w:right="0"/>
          <w:cols w:num="2" w:equalWidth="0">
            <w:col w:w="5721" w:space="40"/>
            <w:col w:w="6139"/>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w:t>
      </w:r>
      <w:r>
        <w:rPr>
          <w:color w:val="231F20"/>
          <w:spacing w:val="-3"/>
          <w:sz w:val="18"/>
        </w:rPr>
        <w:t>15.   </w:t>
      </w:r>
      <w:r>
        <w:rPr>
          <w:color w:val="231F20"/>
          <w:sz w:val="18"/>
        </w:rPr>
        <w:t>Contribución de la producción porcina de pequeña y   </w:t>
      </w:r>
      <w:r>
        <w:rPr>
          <w:color w:val="231F20"/>
          <w:spacing w:val="8"/>
          <w:sz w:val="18"/>
        </w:rPr>
        <w:t> </w:t>
      </w:r>
      <w:r>
        <w:rPr>
          <w:color w:val="231F20"/>
          <w:sz w:val="18"/>
        </w:rPr>
        <w:t>mediana</w:t>
      </w:r>
      <w:r>
        <w:rPr>
          <w:color w:val="231F20"/>
          <w:spacing w:val="14"/>
          <w:sz w:val="18"/>
        </w:rPr>
        <w:t> </w:t>
      </w:r>
      <w:r>
        <w:rPr>
          <w:color w:val="231F20"/>
          <w:sz w:val="18"/>
        </w:rPr>
        <w:t>escala…</w:t>
      </w:r>
      <w:r>
        <w:rPr>
          <w:color w:val="231F20"/>
          <w:sz w:val="22"/>
        </w:rPr>
        <w:tab/>
      </w:r>
      <w:r>
        <w:rPr>
          <w:color w:val="231F20"/>
          <w:spacing w:val="-5"/>
          <w:sz w:val="22"/>
        </w:rPr>
        <w:t>229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1" w:lineRule="auto"/>
        <w:ind w:left="1553"/>
        <w:jc w:val="both"/>
      </w:pPr>
      <w:r>
        <w:rPr>
          <w:color w:val="231F20"/>
        </w:rPr>
        <w:t>minos de salario mínimo ($59,08/día vigente para la zona y año), la actividad equivalía a un apor-      te de sólo 23 salarios mínimos para el primer gru- po de productores, de </w:t>
      </w:r>
      <w:r>
        <w:rPr>
          <w:color w:val="231F20"/>
          <w:spacing w:val="-4"/>
        </w:rPr>
        <w:t>1,192 </w:t>
      </w:r>
      <w:r>
        <w:rPr>
          <w:color w:val="231F20"/>
        </w:rPr>
        <w:t>salarios mínimos para el segundo grupo de productores y de </w:t>
      </w:r>
      <w:r>
        <w:rPr>
          <w:color w:val="231F20"/>
          <w:spacing w:val="-6"/>
        </w:rPr>
        <w:t>4,161 </w:t>
      </w:r>
      <w:r>
        <w:rPr>
          <w:color w:val="231F20"/>
        </w:rPr>
        <w:t>sala- rios</w:t>
      </w:r>
      <w:r>
        <w:rPr>
          <w:color w:val="231F20"/>
          <w:spacing w:val="-10"/>
        </w:rPr>
        <w:t> </w:t>
      </w:r>
      <w:r>
        <w:rPr>
          <w:color w:val="231F20"/>
        </w:rPr>
        <w:t>mínimos</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tercer</w:t>
      </w:r>
      <w:r>
        <w:rPr>
          <w:color w:val="231F20"/>
          <w:spacing w:val="-10"/>
        </w:rPr>
        <w:t> </w:t>
      </w:r>
      <w:r>
        <w:rPr>
          <w:color w:val="231F20"/>
        </w:rPr>
        <w:t>grupo</w:t>
      </w:r>
      <w:r>
        <w:rPr>
          <w:color w:val="231F20"/>
          <w:spacing w:val="-10"/>
        </w:rPr>
        <w:t> </w:t>
      </w:r>
      <w:r>
        <w:rPr>
          <w:color w:val="231F20"/>
        </w:rPr>
        <w:t>de</w:t>
      </w:r>
      <w:r>
        <w:rPr>
          <w:color w:val="231F20"/>
          <w:spacing w:val="-10"/>
        </w:rPr>
        <w:t> </w:t>
      </w:r>
      <w:r>
        <w:rPr>
          <w:color w:val="231F20"/>
        </w:rPr>
        <w:t>productores</w:t>
      </w:r>
      <w:r>
        <w:rPr>
          <w:color w:val="231F20"/>
          <w:spacing w:val="-10"/>
        </w:rPr>
        <w:t> </w:t>
      </w:r>
      <w:r>
        <w:rPr>
          <w:color w:val="231F20"/>
          <w:spacing w:val="-2"/>
        </w:rPr>
        <w:t>(la </w:t>
      </w:r>
      <w:r>
        <w:rPr>
          <w:color w:val="231F20"/>
        </w:rPr>
        <w:t>metodología utilizada para el cálculo de costos en estos sistemas de producción consideró la mano</w:t>
      </w:r>
      <w:r>
        <w:rPr>
          <w:color w:val="231F20"/>
          <w:spacing w:val="-16"/>
        </w:rPr>
        <w:t> </w:t>
      </w:r>
      <w:r>
        <w:rPr>
          <w:color w:val="231F20"/>
        </w:rPr>
        <w:t>de obra como parte de la estructura de</w:t>
      </w:r>
      <w:r>
        <w:rPr>
          <w:color w:val="231F20"/>
          <w:spacing w:val="5"/>
        </w:rPr>
        <w:t> </w:t>
      </w:r>
      <w:r>
        <w:rPr>
          <w:color w:val="231F20"/>
        </w:rPr>
        <w:t>costos).</w:t>
      </w:r>
    </w:p>
    <w:p>
      <w:pPr>
        <w:pStyle w:val="BodyText"/>
        <w:spacing w:line="261" w:lineRule="auto" w:before="112"/>
        <w:ind w:left="1553"/>
        <w:jc w:val="both"/>
      </w:pPr>
      <w:r>
        <w:rPr>
          <w:color w:val="231F20"/>
        </w:rPr>
        <w:t>En ambas zonas donde la porcicultura de peque- ña y mediana escala es una actividad que se ha venido desarrollando desde hace tiempo, la apor- tación a la economía de las familias es evidente. Además, al existir un sistema productivo en activo, las relaciones comerciales son necesarias. Aunque los productores con poca tenencia de animales utilizan recursos propios y productos</w:t>
      </w:r>
      <w:r>
        <w:rPr>
          <w:color w:val="231F20"/>
          <w:spacing w:val="-17"/>
        </w:rPr>
        <w:t> </w:t>
      </w:r>
      <w:r>
        <w:rPr>
          <w:color w:val="231F20"/>
        </w:rPr>
        <w:t>agroindustria- les “de segunda </w:t>
      </w:r>
      <w:r>
        <w:rPr>
          <w:color w:val="231F20"/>
          <w:spacing w:val="-4"/>
        </w:rPr>
        <w:t>mesa”, </w:t>
      </w:r>
      <w:r>
        <w:rPr>
          <w:color w:val="231F20"/>
        </w:rPr>
        <w:t>la comercialización obliga  a las relaciones económicas y a la circulación de productos y</w:t>
      </w:r>
      <w:r>
        <w:rPr>
          <w:color w:val="231F20"/>
          <w:spacing w:val="-1"/>
        </w:rPr>
        <w:t> </w:t>
      </w:r>
      <w:r>
        <w:rPr>
          <w:color w:val="231F20"/>
        </w:rPr>
        <w:t>capital.</w:t>
      </w:r>
    </w:p>
    <w:p>
      <w:pPr>
        <w:pStyle w:val="BodyText"/>
        <w:spacing w:before="8"/>
        <w:rPr>
          <w:sz w:val="18"/>
        </w:rPr>
      </w:pPr>
    </w:p>
    <w:p>
      <w:pPr>
        <w:spacing w:before="1"/>
        <w:ind w:left="1553" w:right="0" w:firstLine="0"/>
        <w:jc w:val="both"/>
        <w:rPr>
          <w:rFonts w:ascii="Arial" w:hAnsi="Arial"/>
          <w:i/>
          <w:sz w:val="20"/>
        </w:rPr>
      </w:pPr>
      <w:r>
        <w:rPr>
          <w:rFonts w:ascii="Arial" w:hAnsi="Arial"/>
          <w:i/>
          <w:color w:val="231F20"/>
          <w:w w:val="105"/>
          <w:sz w:val="20"/>
        </w:rPr>
        <w:t>Dimensión ambiental</w:t>
      </w:r>
    </w:p>
    <w:p>
      <w:pPr>
        <w:pStyle w:val="BodyText"/>
        <w:spacing w:line="261" w:lineRule="auto" w:before="145"/>
        <w:ind w:left="1553"/>
        <w:jc w:val="both"/>
      </w:pPr>
      <w:r>
        <w:rPr>
          <w:color w:val="231F20"/>
        </w:rPr>
        <w:t>Mucho se ha hablado al respecto y no</w:t>
      </w:r>
      <w:r>
        <w:rPr>
          <w:color w:val="231F20"/>
          <w:spacing w:val="36"/>
        </w:rPr>
        <w:t> </w:t>
      </w:r>
      <w:r>
        <w:rPr>
          <w:color w:val="231F20"/>
        </w:rPr>
        <w:t>es</w:t>
      </w:r>
      <w:r>
        <w:rPr>
          <w:color w:val="231F20"/>
          <w:spacing w:val="21"/>
        </w:rPr>
        <w:t> </w:t>
      </w:r>
      <w:r>
        <w:rPr>
          <w:color w:val="231F20"/>
        </w:rPr>
        <w:t>extraño</w:t>
      </w:r>
      <w:r>
        <w:rPr>
          <w:color w:val="231F20"/>
          <w:w w:val="96"/>
        </w:rPr>
        <w:t> </w:t>
      </w:r>
      <w:r>
        <w:rPr>
          <w:color w:val="231F20"/>
        </w:rPr>
        <w:t>mencionar que los sistemas de pequeña escala  han sido señalados en diferentes foros como in- salubres, ineficientes y contaminantes. Sin embar- go, esta aseveración no es del todo correcta. El organismo máximo, el Panel Intergubernamental en Cambio Climático, establece dentro de sus metodologías que los valores estimados para el cálculo de la emisión de gases con potencial con- taminante al ambiente deben de ser cuidadosa- mente determinados con el fin de no subestimar  ni</w:t>
      </w:r>
      <w:r>
        <w:rPr>
          <w:color w:val="231F20"/>
          <w:spacing w:val="-14"/>
        </w:rPr>
        <w:t> </w:t>
      </w:r>
      <w:r>
        <w:rPr>
          <w:color w:val="231F20"/>
        </w:rPr>
        <w:t>sobrestimar.</w:t>
      </w:r>
    </w:p>
    <w:p>
      <w:pPr>
        <w:pStyle w:val="BodyText"/>
        <w:spacing w:line="261" w:lineRule="auto" w:before="112"/>
        <w:ind w:left="1553"/>
        <w:jc w:val="both"/>
      </w:pPr>
      <w:r>
        <w:rPr>
          <w:color w:val="231F20"/>
        </w:rPr>
        <w:t>Los resultados presentados por  Espinosa-Muñoz  </w:t>
      </w:r>
      <w:r>
        <w:rPr>
          <w:rFonts w:ascii="Cambria" w:hAnsi="Cambria"/>
          <w:i/>
          <w:color w:val="231F20"/>
        </w:rPr>
        <w:t>et al</w:t>
      </w:r>
      <w:r>
        <w:rPr>
          <w:color w:val="231F20"/>
        </w:rPr>
        <w:t>. </w:t>
      </w:r>
      <w:r>
        <w:rPr>
          <w:color w:val="231F20"/>
          <w:spacing w:val="-4"/>
        </w:rPr>
        <w:t>(2011) </w:t>
      </w:r>
      <w:r>
        <w:rPr>
          <w:color w:val="231F20"/>
        </w:rPr>
        <w:t>al respecto demuestran la inexisten- cia de generación, y por lo tanto de emisión, de metano en los sistemas “abiertos” que simularon el manejo del estiércol en condiciones naturales por los productores de estratos de pequeña esca- la.</w:t>
      </w:r>
      <w:r>
        <w:rPr>
          <w:color w:val="231F20"/>
          <w:spacing w:val="37"/>
        </w:rPr>
        <w:t> </w:t>
      </w:r>
      <w:r>
        <w:rPr>
          <w:color w:val="231F20"/>
        </w:rPr>
        <w:t>La</w:t>
      </w:r>
      <w:r>
        <w:rPr>
          <w:color w:val="231F20"/>
          <w:spacing w:val="37"/>
        </w:rPr>
        <w:t> </w:t>
      </w:r>
      <w:r>
        <w:rPr>
          <w:color w:val="231F20"/>
        </w:rPr>
        <w:t>discusión</w:t>
      </w:r>
      <w:r>
        <w:rPr>
          <w:color w:val="231F20"/>
          <w:spacing w:val="37"/>
        </w:rPr>
        <w:t> </w:t>
      </w:r>
      <w:r>
        <w:rPr>
          <w:color w:val="231F20"/>
        </w:rPr>
        <w:t>es</w:t>
      </w:r>
      <w:r>
        <w:rPr>
          <w:color w:val="231F20"/>
          <w:spacing w:val="37"/>
        </w:rPr>
        <w:t> </w:t>
      </w:r>
      <w:r>
        <w:rPr>
          <w:color w:val="231F20"/>
        </w:rPr>
        <w:t>amplia,</w:t>
      </w:r>
      <w:r>
        <w:rPr>
          <w:color w:val="231F20"/>
          <w:spacing w:val="37"/>
        </w:rPr>
        <w:t> </w:t>
      </w:r>
      <w:r>
        <w:rPr>
          <w:color w:val="231F20"/>
        </w:rPr>
        <w:t>pero</w:t>
      </w:r>
      <w:r>
        <w:rPr>
          <w:color w:val="231F20"/>
          <w:spacing w:val="37"/>
        </w:rPr>
        <w:t> </w:t>
      </w:r>
      <w:r>
        <w:rPr>
          <w:color w:val="231F20"/>
        </w:rPr>
        <w:t>el</w:t>
      </w:r>
      <w:r>
        <w:rPr>
          <w:color w:val="231F20"/>
          <w:spacing w:val="37"/>
        </w:rPr>
        <w:t> </w:t>
      </w:r>
      <w:r>
        <w:rPr>
          <w:color w:val="231F20"/>
        </w:rPr>
        <w:t>hecho</w:t>
      </w:r>
      <w:r>
        <w:rPr>
          <w:color w:val="231F20"/>
          <w:spacing w:val="37"/>
        </w:rPr>
        <w:t> </w:t>
      </w:r>
      <w:r>
        <w:rPr>
          <w:color w:val="231F20"/>
        </w:rPr>
        <w:t>es</w:t>
      </w:r>
      <w:r>
        <w:rPr>
          <w:color w:val="231F20"/>
          <w:spacing w:val="37"/>
        </w:rPr>
        <w:t> </w:t>
      </w:r>
      <w:r>
        <w:rPr>
          <w:color w:val="231F20"/>
        </w:rPr>
        <w:t>que</w:t>
      </w:r>
    </w:p>
    <w:p>
      <w:pPr>
        <w:pStyle w:val="BodyText"/>
        <w:spacing w:before="3"/>
        <w:rPr>
          <w:sz w:val="28"/>
        </w:rPr>
      </w:pPr>
      <w:r>
        <w:rPr/>
        <w:br w:type="column"/>
      </w:r>
      <w:r>
        <w:rPr>
          <w:sz w:val="28"/>
        </w:rPr>
      </w:r>
    </w:p>
    <w:p>
      <w:pPr>
        <w:pStyle w:val="BodyText"/>
        <w:spacing w:line="259" w:lineRule="auto"/>
        <w:ind w:left="412" w:right="1551"/>
        <w:jc w:val="both"/>
      </w:pPr>
      <w:r>
        <w:rPr>
          <w:color w:val="231F20"/>
        </w:rPr>
        <w:t>no existe tal efecto por el manejo de las heces en condiciones aeróbicas.</w:t>
      </w:r>
    </w:p>
    <w:p>
      <w:pPr>
        <w:pStyle w:val="BodyText"/>
        <w:spacing w:line="259" w:lineRule="auto" w:before="114"/>
        <w:ind w:left="412" w:right="1551"/>
        <w:jc w:val="both"/>
      </w:pPr>
      <w:r>
        <w:rPr>
          <w:color w:val="231F20"/>
        </w:rPr>
        <w:t>Desde la perspectiva de la utilización de ingredien- tes por los productores, que en buena medida son desperdicios alimenticios y esquilmos agroindus- triales, al ser éstos transformados en proteína de alta calidad el papel que estos sistemas cumplen como “sumideros” y “reductores” de emisiones contaminantes y las implicaciones ambientales adquieren una visión  interesante.  Sin  embargo,  es imposible negar que al tiempo que se generan kilos de carne de cerdo también se produce una importante cantidad de heces en el sistema de producción, que deben ser valoradas ya sea para reducirlas, reciclarlas </w:t>
      </w:r>
      <w:r>
        <w:rPr>
          <w:color w:val="231F20"/>
          <w:spacing w:val="-5"/>
        </w:rPr>
        <w:t>y, </w:t>
      </w:r>
      <w:r>
        <w:rPr>
          <w:color w:val="231F20"/>
        </w:rPr>
        <w:t>en su caso,</w:t>
      </w:r>
      <w:r>
        <w:rPr>
          <w:color w:val="231F20"/>
          <w:spacing w:val="8"/>
        </w:rPr>
        <w:t> </w:t>
      </w:r>
      <w:r>
        <w:rPr>
          <w:color w:val="231F20"/>
        </w:rPr>
        <w:t>reutilizarlas.</w:t>
      </w:r>
    </w:p>
    <w:p>
      <w:pPr>
        <w:pStyle w:val="BodyText"/>
        <w:spacing w:line="259" w:lineRule="auto" w:before="114"/>
        <w:ind w:left="412" w:right="1551"/>
        <w:jc w:val="both"/>
      </w:pPr>
      <w:r>
        <w:rPr>
          <w:color w:val="231F20"/>
        </w:rPr>
        <w:t>Distintos trabajos y esfuerzos se  están  realizan-  do en este sentido. Por el momento es posible esbozar la importancia no sólo ambiental, como servidores ambientales, sino además económica, de los sistemas de producción porcina de peque- ña escala que reutilizan ingredientes sin valor  o con poco valor económico y energético, por ser desperdicios, y los transforman en productos de alto contenido energético y proteínico  en  forma de</w:t>
      </w:r>
      <w:r>
        <w:rPr>
          <w:color w:val="231F20"/>
          <w:spacing w:val="11"/>
        </w:rPr>
        <w:t> </w:t>
      </w:r>
      <w:r>
        <w:rPr>
          <w:color w:val="231F20"/>
        </w:rPr>
        <w:t>carne.</w:t>
      </w:r>
    </w:p>
    <w:p>
      <w:pPr>
        <w:pStyle w:val="BodyText"/>
      </w:pPr>
    </w:p>
    <w:p>
      <w:pPr>
        <w:pStyle w:val="BodyText"/>
        <w:spacing w:before="153"/>
        <w:ind w:left="412"/>
        <w:jc w:val="both"/>
      </w:pPr>
      <w:r>
        <w:rPr>
          <w:color w:val="231F20"/>
          <w:w w:val="115"/>
        </w:rPr>
        <w:t>CONCLUSIONES</w:t>
      </w:r>
    </w:p>
    <w:p>
      <w:pPr>
        <w:pStyle w:val="BodyText"/>
        <w:spacing w:line="259" w:lineRule="auto" w:before="134"/>
        <w:ind w:left="412" w:right="1551"/>
        <w:jc w:val="both"/>
      </w:pPr>
      <w:r>
        <w:rPr>
          <w:color w:val="231F20"/>
        </w:rPr>
        <w:t>Los sistemas de producción porcina de pequeña y mediana escala son importantes para las familias porque representan una forma de diversificación de actividades en las sociedades rurales mexica- nas. Aunado a lo anterior, lo fácil que el sistema    se adapta a una estructura de traspatio hace del cerdo un animal idóneo para su crianza en el nor- oriente del Estado de</w:t>
      </w:r>
      <w:r>
        <w:rPr>
          <w:color w:val="231F20"/>
          <w:spacing w:val="37"/>
        </w:rPr>
        <w:t> </w:t>
      </w:r>
      <w:r>
        <w:rPr>
          <w:color w:val="231F20"/>
        </w:rPr>
        <w:t>México.</w:t>
      </w:r>
    </w:p>
    <w:p>
      <w:pPr>
        <w:pStyle w:val="BodyText"/>
        <w:spacing w:line="259" w:lineRule="auto" w:before="114"/>
        <w:ind w:left="412" w:right="1551"/>
        <w:jc w:val="both"/>
      </w:pPr>
      <w:r>
        <w:rPr>
          <w:color w:val="231F20"/>
        </w:rPr>
        <w:t>El grupo de porcicultores estudiados en la zona cuenta con una amplia tradición dedicándose a la actividad; en promedio llevan 34  años  y  el  90% de ellos la ha aprendido de generación en genera- ción. De ahí que el 50% de las granjas estudiadas</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776" w:val="left" w:leader="none"/>
        </w:tabs>
        <w:spacing w:before="64"/>
        <w:ind w:left="1551" w:right="0" w:firstLine="0"/>
        <w:jc w:val="left"/>
        <w:rPr>
          <w:sz w:val="12"/>
        </w:rPr>
      </w:pPr>
      <w:r>
        <w:rPr>
          <w:color w:val="231F20"/>
          <w:spacing w:val="-4"/>
          <w:w w:val="130"/>
          <w:sz w:val="22"/>
        </w:rPr>
        <w:t>230</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1"/>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se dediquen a la venta de lechones, seguidas de   las que tienen ciclo completo y por último las que transforman la carne para</w:t>
      </w:r>
      <w:r>
        <w:rPr>
          <w:color w:val="231F20"/>
          <w:spacing w:val="6"/>
        </w:rPr>
        <w:t> </w:t>
      </w:r>
      <w:r>
        <w:rPr>
          <w:color w:val="231F20"/>
        </w:rPr>
        <w:t>venta.</w:t>
      </w:r>
    </w:p>
    <w:p>
      <w:pPr>
        <w:pStyle w:val="BodyText"/>
        <w:spacing w:line="256" w:lineRule="auto" w:before="113"/>
        <w:ind w:left="1553"/>
        <w:jc w:val="both"/>
      </w:pPr>
      <w:r>
        <w:rPr>
          <w:color w:val="231F20"/>
        </w:rPr>
        <w:t>Cabe señalar que estos sistemas campesinos de producción porcina desempeñan un papel impor- tante en el aprovechamiento de desechos de la industria del pan, la tortillería y la industria restau- rantera. Al aprovechar estos desperdicios se redu- ce la posibilidad de generar contaminación y de favorecer la presencia de fauna nociva en el medio rural. Es así como estos  sistemas  han  prevaleci- do a través del tiempo y a pesar de las continuas crisis del sector, muy probablemente por el uso   de mano de obra familiar, el aprovechamiento de recursos alimenticios locales y el arraigo de la acti- vidad en los</w:t>
      </w:r>
      <w:r>
        <w:rPr>
          <w:color w:val="231F20"/>
          <w:spacing w:val="34"/>
        </w:rPr>
        <w:t> </w:t>
      </w:r>
      <w:r>
        <w:rPr>
          <w:color w:val="231F20"/>
        </w:rPr>
        <w:t>productores.</w:t>
      </w:r>
    </w:p>
    <w:p>
      <w:pPr>
        <w:pStyle w:val="BodyText"/>
        <w:spacing w:line="256" w:lineRule="auto" w:before="113"/>
        <w:ind w:left="1553"/>
        <w:jc w:val="both"/>
      </w:pPr>
      <w:r>
        <w:rPr>
          <w:color w:val="231F20"/>
        </w:rPr>
        <w:t>El papel de los actores sociales en el sistema pro- ductor porcino es muy importante: genera auto- empleo, mano de obra temporal y asalariada, y compra y venta de insumos y productos, fortale- ciendo la actividad  económica</w:t>
      </w:r>
    </w:p>
    <w:p>
      <w:pPr>
        <w:pStyle w:val="BodyText"/>
        <w:spacing w:line="256" w:lineRule="auto" w:before="113"/>
        <w:ind w:left="1553"/>
        <w:jc w:val="both"/>
      </w:pPr>
      <w:r>
        <w:rPr>
          <w:color w:val="231F20"/>
        </w:rPr>
        <w:t>El conocimiento de los roles, necesidades y res- ponsabilidades de los hombres y mujeres en re- lación con el ambiente constituye una pieza clave</w:t>
      </w:r>
      <w:r>
        <w:rPr>
          <w:color w:val="231F20"/>
          <w:w w:val="100"/>
        </w:rPr>
        <w:t> </w:t>
      </w:r>
      <w:r>
        <w:rPr>
          <w:color w:val="231F20"/>
        </w:rPr>
        <w:t>para el impulso del desarrollo rural de las localida- des del Estado de México. El futuro de la actividad es incierto, pero la contribución de la porcicultura de pequeña y mediana escala al desarrollo rural es hoy una realidad como fuente de desarrollo social, económico y ambiental de  la  comunidad  donde se desarrolla.</w:t>
      </w:r>
    </w:p>
    <w:p>
      <w:pPr>
        <w:pStyle w:val="BodyText"/>
      </w:pPr>
    </w:p>
    <w:p>
      <w:pPr>
        <w:pStyle w:val="BodyText"/>
        <w:spacing w:before="152"/>
        <w:ind w:left="1553"/>
        <w:jc w:val="both"/>
      </w:pPr>
      <w:r>
        <w:rPr>
          <w:color w:val="231F20"/>
          <w:w w:val="110"/>
        </w:rPr>
        <w:t>BIBLIOGRAFÍA</w:t>
      </w:r>
    </w:p>
    <w:p>
      <w:pPr>
        <w:spacing w:line="264" w:lineRule="auto" w:before="129"/>
        <w:ind w:left="1837" w:right="0" w:hanging="284"/>
        <w:jc w:val="both"/>
        <w:rPr>
          <w:sz w:val="18"/>
        </w:rPr>
      </w:pPr>
      <w:r>
        <w:rPr>
          <w:color w:val="231F20"/>
          <w:sz w:val="18"/>
        </w:rPr>
        <w:t>Bobadilla-Soto E.E., Espinoza-Ortega A., Martínez-Casta- ñeda F.E. (2010). Dinámica de la producción porcina en México. </w:t>
      </w:r>
      <w:r>
        <w:rPr>
          <w:rFonts w:ascii="Cambria" w:hAnsi="Cambria"/>
          <w:i/>
          <w:color w:val="231F20"/>
          <w:sz w:val="18"/>
        </w:rPr>
        <w:t>Revista Mexicana de Ciencias Pecuarias, </w:t>
      </w:r>
      <w:r>
        <w:rPr>
          <w:color w:val="231F20"/>
          <w:sz w:val="18"/>
        </w:rPr>
        <w:t>1(3):    251-268.</w:t>
      </w:r>
    </w:p>
    <w:p>
      <w:pPr>
        <w:spacing w:line="264" w:lineRule="auto" w:before="56"/>
        <w:ind w:left="1837" w:right="0" w:hanging="284"/>
        <w:jc w:val="both"/>
        <w:rPr>
          <w:sz w:val="18"/>
        </w:rPr>
      </w:pPr>
      <w:r>
        <w:rPr>
          <w:color w:val="231F20"/>
          <w:sz w:val="18"/>
        </w:rPr>
        <w:t>Castro-Pérez </w:t>
      </w:r>
      <w:r>
        <w:rPr>
          <w:color w:val="231F20"/>
          <w:spacing w:val="-8"/>
          <w:sz w:val="18"/>
        </w:rPr>
        <w:t>F. </w:t>
      </w:r>
      <w:r>
        <w:rPr>
          <w:color w:val="231F20"/>
          <w:sz w:val="18"/>
        </w:rPr>
        <w:t>(2006). Colapsos ambientales - transi- ciones culturales. Universidad Nacional Autónoma  de México,</w:t>
      </w:r>
      <w:r>
        <w:rPr>
          <w:color w:val="231F20"/>
          <w:spacing w:val="-4"/>
          <w:sz w:val="18"/>
        </w:rPr>
        <w:t> </w:t>
      </w:r>
      <w:r>
        <w:rPr>
          <w:color w:val="231F20"/>
          <w:sz w:val="18"/>
        </w:rPr>
        <w:t>México.</w:t>
      </w:r>
    </w:p>
    <w:p>
      <w:pPr>
        <w:spacing w:line="268" w:lineRule="auto" w:before="71"/>
        <w:ind w:left="696" w:right="1551" w:hanging="284"/>
        <w:jc w:val="both"/>
        <w:rPr>
          <w:sz w:val="18"/>
        </w:rPr>
      </w:pPr>
      <w:r>
        <w:rPr/>
        <w:br w:type="column"/>
      </w:r>
      <w:r>
        <w:rPr>
          <w:color w:val="231F20"/>
          <w:sz w:val="18"/>
        </w:rPr>
        <w:t>CONEVAL (2009). Consejo  Nacional  de  Evaluación  de  la Política de Evaluación Social. 2009. Disponible en línea en: </w:t>
      </w:r>
      <w:hyperlink r:id="rId389">
        <w:r>
          <w:rPr>
            <w:color w:val="231F20"/>
            <w:sz w:val="18"/>
          </w:rPr>
          <w:t>http://www.Coneval.gob.mx</w:t>
        </w:r>
      </w:hyperlink>
      <w:r>
        <w:rPr>
          <w:color w:val="231F20"/>
          <w:sz w:val="18"/>
        </w:rPr>
        <w:t>  (Consultado  el  8  de  noviembre  de</w:t>
      </w:r>
      <w:r>
        <w:rPr>
          <w:color w:val="231F20"/>
          <w:spacing w:val="-2"/>
          <w:sz w:val="18"/>
        </w:rPr>
        <w:t> </w:t>
      </w:r>
      <w:r>
        <w:rPr>
          <w:color w:val="231F20"/>
          <w:spacing w:val="-4"/>
          <w:sz w:val="18"/>
        </w:rPr>
        <w:t>2010.)</w:t>
      </w:r>
    </w:p>
    <w:p>
      <w:pPr>
        <w:spacing w:line="268" w:lineRule="auto" w:before="57"/>
        <w:ind w:left="696" w:right="1551" w:hanging="284"/>
        <w:jc w:val="both"/>
        <w:rPr>
          <w:sz w:val="18"/>
        </w:rPr>
      </w:pPr>
      <w:r>
        <w:rPr>
          <w:color w:val="231F20"/>
          <w:sz w:val="18"/>
        </w:rPr>
        <w:t>Espinosa-Muñoz V., Martínez-Campos A.R., Martí- nez-Castañeda F.E. (2011). Validación de  la  técnica de cámara dinámica para la determinación de gas metano generado por excretas porcinas. En: Cavallo- tti-Vázquez B.A., Ramírez-Valverde B., Martínez-Cas- tañeda F.E., Marcof Álvarez C.F., Cesín-Vargas A., editores. La ganadería ante el agotamiento de los paradigmas dominantes. Universidad Autónoma de Chapingo,  Chapingo,  México.  pp. 179-186.</w:t>
      </w:r>
    </w:p>
    <w:p>
      <w:pPr>
        <w:spacing w:line="268" w:lineRule="auto" w:before="57"/>
        <w:ind w:left="696" w:right="1551" w:hanging="284"/>
        <w:jc w:val="both"/>
        <w:rPr>
          <w:sz w:val="18"/>
        </w:rPr>
      </w:pPr>
      <w:r>
        <w:rPr>
          <w:color w:val="231F20"/>
          <w:sz w:val="18"/>
        </w:rPr>
        <w:t>Enríquez-Lorenzo C. </w:t>
      </w:r>
      <w:r>
        <w:rPr>
          <w:color w:val="231F20"/>
          <w:spacing w:val="-3"/>
          <w:sz w:val="18"/>
        </w:rPr>
        <w:t>(2010). </w:t>
      </w:r>
      <w:r>
        <w:rPr>
          <w:color w:val="231F20"/>
          <w:sz w:val="18"/>
        </w:rPr>
        <w:t>Análisis de indicadores pro- ductivos en la porcicultura campesina del Noreste del Estado de México. </w:t>
      </w:r>
      <w:r>
        <w:rPr>
          <w:color w:val="231F20"/>
          <w:spacing w:val="-4"/>
          <w:sz w:val="18"/>
        </w:rPr>
        <w:t>Tesis </w:t>
      </w:r>
      <w:r>
        <w:rPr>
          <w:color w:val="231F20"/>
          <w:sz w:val="18"/>
        </w:rPr>
        <w:t>de Maestría en Ciencias Agropecuarias y Recursos Naturales. Universidad Au- tónoma del Estado de México, </w:t>
      </w:r>
      <w:r>
        <w:rPr>
          <w:color w:val="231F20"/>
          <w:spacing w:val="3"/>
          <w:sz w:val="18"/>
        </w:rPr>
        <w:t> </w:t>
      </w:r>
      <w:r>
        <w:rPr>
          <w:color w:val="231F20"/>
          <w:sz w:val="18"/>
        </w:rPr>
        <w:t>México.</w:t>
      </w:r>
    </w:p>
    <w:p>
      <w:pPr>
        <w:spacing w:line="268" w:lineRule="auto" w:before="57"/>
        <w:ind w:left="696" w:right="1551" w:hanging="284"/>
        <w:jc w:val="both"/>
        <w:rPr>
          <w:sz w:val="18"/>
        </w:rPr>
      </w:pPr>
      <w:r>
        <w:rPr>
          <w:color w:val="231F20"/>
          <w:sz w:val="18"/>
        </w:rPr>
        <w:t>Martínez-Castañeda E. (2002). Indicadores productivos   y de sustentabilidad económica de granjas porcinas en el norte del Distrito Federal (tesis). Universidad Autónoma del Estado de México, </w:t>
      </w:r>
      <w:r>
        <w:rPr>
          <w:color w:val="231F20"/>
          <w:spacing w:val="3"/>
          <w:sz w:val="18"/>
        </w:rPr>
        <w:t> </w:t>
      </w:r>
      <w:r>
        <w:rPr>
          <w:color w:val="231F20"/>
          <w:sz w:val="18"/>
        </w:rPr>
        <w:t>México.</w:t>
      </w:r>
    </w:p>
    <w:p>
      <w:pPr>
        <w:spacing w:line="268" w:lineRule="auto" w:before="57"/>
        <w:ind w:left="696" w:right="1551" w:hanging="284"/>
        <w:jc w:val="both"/>
        <w:rPr>
          <w:sz w:val="18"/>
        </w:rPr>
      </w:pPr>
      <w:r>
        <w:rPr>
          <w:color w:val="231F20"/>
          <w:sz w:val="18"/>
        </w:rPr>
        <w:t>Martínez Castañeda E., Chávez-Mejía C. </w:t>
      </w:r>
      <w:r>
        <w:rPr>
          <w:color w:val="231F20"/>
          <w:spacing w:val="-3"/>
          <w:sz w:val="18"/>
        </w:rPr>
        <w:t>(2011). </w:t>
      </w:r>
      <w:r>
        <w:rPr>
          <w:color w:val="231F20"/>
          <w:sz w:val="18"/>
        </w:rPr>
        <w:t>Rela- ciones de género y la producción porcina familiar neo-urbana en </w:t>
      </w:r>
      <w:r>
        <w:rPr>
          <w:color w:val="231F20"/>
          <w:spacing w:val="-3"/>
          <w:sz w:val="18"/>
        </w:rPr>
        <w:t>Texcoco, </w:t>
      </w:r>
      <w:r>
        <w:rPr>
          <w:color w:val="231F20"/>
          <w:sz w:val="18"/>
        </w:rPr>
        <w:t>México. En: Cavallotti-Váz- quez B.A., Ramírez-Valverde B., Martínez-Castañeda </w:t>
      </w:r>
      <w:r>
        <w:rPr>
          <w:color w:val="231F20"/>
          <w:spacing w:val="-3"/>
          <w:sz w:val="18"/>
        </w:rPr>
        <w:t>F.E., </w:t>
      </w:r>
      <w:r>
        <w:rPr>
          <w:color w:val="231F20"/>
          <w:sz w:val="18"/>
        </w:rPr>
        <w:t>Marcof Álvarez </w:t>
      </w:r>
      <w:r>
        <w:rPr>
          <w:color w:val="231F20"/>
          <w:spacing w:val="-3"/>
          <w:sz w:val="18"/>
        </w:rPr>
        <w:t>C.F., </w:t>
      </w:r>
      <w:r>
        <w:rPr>
          <w:color w:val="231F20"/>
          <w:sz w:val="18"/>
        </w:rPr>
        <w:t>Cesín-Vargas A., editores. La ganadería ante el agotamiento de los paradigmas dominantes. Universidad Autónoma de Chapingo, México.  pp. 388-396.</w:t>
      </w:r>
    </w:p>
    <w:p>
      <w:pPr>
        <w:spacing w:line="268" w:lineRule="auto" w:before="57"/>
        <w:ind w:left="696" w:right="1551" w:hanging="284"/>
        <w:jc w:val="both"/>
        <w:rPr>
          <w:sz w:val="18"/>
        </w:rPr>
      </w:pPr>
      <w:r>
        <w:rPr>
          <w:color w:val="231F20"/>
          <w:spacing w:val="-2"/>
          <w:sz w:val="18"/>
        </w:rPr>
        <w:t>Sánchez-Vera </w:t>
      </w:r>
      <w:r>
        <w:rPr>
          <w:color w:val="231F20"/>
          <w:sz w:val="18"/>
        </w:rPr>
        <w:t>E., Nava-Bernal </w:t>
      </w:r>
      <w:r>
        <w:rPr>
          <w:color w:val="231F20"/>
          <w:spacing w:val="-8"/>
          <w:sz w:val="18"/>
        </w:rPr>
        <w:t>Y. </w:t>
      </w:r>
      <w:r>
        <w:rPr>
          <w:color w:val="231F20"/>
          <w:sz w:val="18"/>
        </w:rPr>
        <w:t>(2009). Estudio de la contribución de los animales en las estrategias de   los modos de vida en comunidades pobres bajo un marco conceptual de funciones de bienes. En: Re- yes-Reyes G., editor. Acercamientos conceptuales y metodológicos para el estudio de la realidad agrope- cuaria y rural de México. Universidad Autónoma del Estado de México, México. pp.  </w:t>
      </w:r>
      <w:r>
        <w:rPr>
          <w:color w:val="231F20"/>
          <w:spacing w:val="22"/>
          <w:sz w:val="18"/>
        </w:rPr>
        <w:t> </w:t>
      </w:r>
      <w:r>
        <w:rPr>
          <w:color w:val="231F20"/>
          <w:spacing w:val="-4"/>
          <w:sz w:val="18"/>
        </w:rPr>
        <w:t>197-238.</w:t>
      </w:r>
    </w:p>
    <w:p>
      <w:pPr>
        <w:spacing w:line="268" w:lineRule="auto" w:before="57"/>
        <w:ind w:left="696" w:right="1551" w:hanging="284"/>
        <w:jc w:val="both"/>
        <w:rPr>
          <w:sz w:val="18"/>
        </w:rPr>
      </w:pPr>
      <w:r>
        <w:rPr>
          <w:color w:val="231F20"/>
          <w:sz w:val="18"/>
        </w:rPr>
        <w:t>Santos-Barrios L. </w:t>
      </w:r>
      <w:r>
        <w:rPr>
          <w:color w:val="231F20"/>
          <w:spacing w:val="-3"/>
          <w:sz w:val="18"/>
        </w:rPr>
        <w:t>(2011). </w:t>
      </w:r>
      <w:r>
        <w:rPr>
          <w:color w:val="231F20"/>
          <w:sz w:val="18"/>
        </w:rPr>
        <w:t>Identificación de las caracterís- ticas productivas de unidades de producción porcina en </w:t>
      </w:r>
      <w:r>
        <w:rPr>
          <w:color w:val="231F20"/>
          <w:spacing w:val="-3"/>
          <w:sz w:val="18"/>
        </w:rPr>
        <w:t>Texcoco, </w:t>
      </w:r>
      <w:r>
        <w:rPr>
          <w:color w:val="231F20"/>
          <w:sz w:val="18"/>
        </w:rPr>
        <w:t>Estado de México. </w:t>
      </w:r>
      <w:r>
        <w:rPr>
          <w:color w:val="231F20"/>
          <w:spacing w:val="-4"/>
          <w:sz w:val="18"/>
        </w:rPr>
        <w:t>Tesis </w:t>
      </w:r>
      <w:r>
        <w:rPr>
          <w:color w:val="231F20"/>
          <w:sz w:val="18"/>
        </w:rPr>
        <w:t>de Licenciatura en Medicina Veterinaria y Zootecnia, Universidad</w:t>
      </w:r>
      <w:r>
        <w:rPr>
          <w:color w:val="231F20"/>
          <w:spacing w:val="-14"/>
          <w:sz w:val="18"/>
        </w:rPr>
        <w:t> </w:t>
      </w:r>
      <w:r>
        <w:rPr>
          <w:color w:val="231F20"/>
          <w:sz w:val="18"/>
        </w:rPr>
        <w:t>Au- tónoma del Estado de México, </w:t>
      </w:r>
      <w:r>
        <w:rPr>
          <w:color w:val="231F20"/>
          <w:spacing w:val="3"/>
          <w:sz w:val="18"/>
        </w:rPr>
        <w:t> </w:t>
      </w:r>
      <w:r>
        <w:rPr>
          <w:color w:val="231F20"/>
          <w:sz w:val="18"/>
        </w:rPr>
        <w:t>México.</w:t>
      </w:r>
    </w:p>
    <w:p>
      <w:pPr>
        <w:spacing w:after="0" w:line="268"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pPr>
    </w:p>
    <w:p>
      <w:pPr>
        <w:pStyle w:val="BodyText"/>
      </w:pPr>
    </w:p>
    <w:p>
      <w:pPr>
        <w:pStyle w:val="BodyText"/>
        <w:spacing w:before="8"/>
        <w:rPr>
          <w:sz w:val="27"/>
        </w:rPr>
      </w:pPr>
    </w:p>
    <w:p>
      <w:pPr>
        <w:pStyle w:val="Heading3"/>
        <w:spacing w:before="5"/>
        <w:rPr>
          <w:sz w:val="60"/>
        </w:rPr>
      </w:pPr>
      <w:bookmarkStart w:name="_TOC_250001" w:id="11"/>
      <w:r>
        <w:rPr>
          <w:color w:val="231F20"/>
          <w:w w:val="110"/>
        </w:rPr>
        <w:t>CAPÍTULO </w:t>
      </w:r>
      <w:bookmarkEnd w:id="11"/>
      <w:r>
        <w:rPr>
          <w:color w:val="231F20"/>
          <w:spacing w:val="-25"/>
          <w:w w:val="110"/>
          <w:sz w:val="60"/>
        </w:rPr>
        <w:t>16</w:t>
      </w:r>
    </w:p>
    <w:p>
      <w:pPr>
        <w:spacing w:before="219"/>
        <w:ind w:left="1553" w:right="0" w:firstLine="0"/>
        <w:jc w:val="both"/>
        <w:rPr>
          <w:sz w:val="36"/>
        </w:rPr>
      </w:pPr>
      <w:r>
        <w:rPr>
          <w:color w:val="231F20"/>
          <w:w w:val="105"/>
          <w:sz w:val="36"/>
        </w:rPr>
        <w:t>LA CUNICULTURA FAMILIAR, UNA OPCIÓN</w:t>
      </w:r>
    </w:p>
    <w:p>
      <w:pPr>
        <w:spacing w:before="0"/>
        <w:ind w:left="1553" w:right="2895" w:firstLine="0"/>
        <w:jc w:val="left"/>
        <w:rPr>
          <w:sz w:val="36"/>
        </w:rPr>
      </w:pPr>
      <w:r>
        <w:rPr>
          <w:color w:val="231F20"/>
          <w:spacing w:val="-10"/>
          <w:w w:val="105"/>
          <w:sz w:val="36"/>
        </w:rPr>
        <w:t>PARA </w:t>
      </w:r>
      <w:r>
        <w:rPr>
          <w:color w:val="231F20"/>
          <w:w w:val="105"/>
          <w:sz w:val="36"/>
        </w:rPr>
        <w:t>LA </w:t>
      </w:r>
      <w:r>
        <w:rPr>
          <w:color w:val="231F20"/>
          <w:spacing w:val="-8"/>
          <w:w w:val="105"/>
          <w:sz w:val="36"/>
        </w:rPr>
        <w:t>OBTENCIÓN </w:t>
      </w:r>
      <w:r>
        <w:rPr>
          <w:color w:val="231F20"/>
          <w:spacing w:val="-4"/>
          <w:w w:val="105"/>
          <w:sz w:val="36"/>
        </w:rPr>
        <w:t>DE </w:t>
      </w:r>
      <w:r>
        <w:rPr>
          <w:color w:val="231F20"/>
          <w:spacing w:val="-6"/>
          <w:w w:val="105"/>
          <w:sz w:val="36"/>
        </w:rPr>
        <w:t>INGRESOS </w:t>
      </w:r>
      <w:r>
        <w:rPr>
          <w:color w:val="231F20"/>
          <w:spacing w:val="-10"/>
          <w:w w:val="105"/>
          <w:sz w:val="36"/>
        </w:rPr>
        <w:t>ECONÓMICOS  </w:t>
      </w:r>
      <w:r>
        <w:rPr>
          <w:color w:val="231F20"/>
          <w:w w:val="105"/>
          <w:sz w:val="36"/>
        </w:rPr>
        <w:t>Y </w:t>
      </w:r>
      <w:r>
        <w:rPr>
          <w:color w:val="231F20"/>
          <w:spacing w:val="-3"/>
          <w:w w:val="105"/>
          <w:sz w:val="36"/>
        </w:rPr>
        <w:t>BIENES </w:t>
      </w:r>
      <w:r>
        <w:rPr>
          <w:color w:val="231F20"/>
          <w:spacing w:val="-8"/>
          <w:w w:val="105"/>
          <w:sz w:val="36"/>
        </w:rPr>
        <w:t>ALIMENTARIOS. </w:t>
      </w:r>
      <w:r>
        <w:rPr>
          <w:color w:val="231F20"/>
          <w:spacing w:val="-4"/>
          <w:w w:val="105"/>
          <w:sz w:val="36"/>
        </w:rPr>
        <w:t>EL </w:t>
      </w:r>
      <w:r>
        <w:rPr>
          <w:color w:val="231F20"/>
          <w:spacing w:val="-6"/>
          <w:w w:val="105"/>
          <w:sz w:val="36"/>
        </w:rPr>
        <w:t>CASO</w:t>
      </w:r>
      <w:r>
        <w:rPr>
          <w:color w:val="231F20"/>
          <w:spacing w:val="31"/>
          <w:w w:val="105"/>
          <w:sz w:val="36"/>
        </w:rPr>
        <w:t> </w:t>
      </w:r>
      <w:r>
        <w:rPr>
          <w:color w:val="231F20"/>
          <w:spacing w:val="-8"/>
          <w:w w:val="105"/>
          <w:sz w:val="36"/>
        </w:rPr>
        <w:t>DE</w:t>
      </w:r>
    </w:p>
    <w:p>
      <w:pPr>
        <w:spacing w:before="0"/>
        <w:ind w:left="1553" w:right="0" w:firstLine="0"/>
        <w:jc w:val="both"/>
        <w:rPr>
          <w:sz w:val="36"/>
        </w:rPr>
      </w:pPr>
      <w:r>
        <w:rPr>
          <w:color w:val="231F20"/>
          <w:w w:val="105"/>
          <w:sz w:val="36"/>
        </w:rPr>
        <w:t>LA ZONA SURORIENTE DEL ESTADO DE  MÉXICO</w:t>
      </w:r>
    </w:p>
    <w:p>
      <w:pPr>
        <w:pStyle w:val="Heading4"/>
        <w:spacing w:before="250"/>
        <w:ind w:right="3410"/>
        <w:jc w:val="left"/>
      </w:pPr>
      <w:r>
        <w:rPr>
          <w:i/>
          <w:color w:val="231F20"/>
          <w:w w:val="105"/>
        </w:rPr>
        <w:t>Enrique</w:t>
      </w:r>
      <w:r>
        <w:rPr>
          <w:i/>
          <w:color w:val="231F20"/>
          <w:spacing w:val="-16"/>
          <w:w w:val="105"/>
        </w:rPr>
        <w:t> </w:t>
      </w:r>
      <w:r>
        <w:rPr>
          <w:i/>
          <w:color w:val="231F20"/>
          <w:w w:val="105"/>
        </w:rPr>
        <w:t>Espinosa</w:t>
      </w:r>
      <w:r>
        <w:rPr>
          <w:i/>
          <w:color w:val="231F20"/>
          <w:spacing w:val="-16"/>
          <w:w w:val="105"/>
        </w:rPr>
        <w:t> </w:t>
      </w:r>
      <w:r>
        <w:rPr>
          <w:i/>
          <w:color w:val="231F20"/>
          <w:w w:val="105"/>
        </w:rPr>
        <w:t>Ayala</w:t>
      </w:r>
      <w:r>
        <w:rPr>
          <w:i/>
          <w:color w:val="231F20"/>
          <w:w w:val="105"/>
          <w:position w:val="9"/>
          <w:sz w:val="16"/>
        </w:rPr>
        <w:t>*</w:t>
      </w:r>
      <w:r>
        <w:rPr>
          <w:i/>
          <w:color w:val="231F20"/>
          <w:w w:val="105"/>
        </w:rPr>
        <w:t>,</w:t>
      </w:r>
      <w:r>
        <w:rPr>
          <w:i/>
          <w:color w:val="231F20"/>
          <w:spacing w:val="-16"/>
          <w:w w:val="105"/>
        </w:rPr>
        <w:t> </w:t>
      </w:r>
      <w:r>
        <w:rPr>
          <w:i/>
          <w:color w:val="231F20"/>
          <w:w w:val="105"/>
        </w:rPr>
        <w:t>Gabriela</w:t>
      </w:r>
      <w:r>
        <w:rPr>
          <w:i/>
          <w:color w:val="231F20"/>
          <w:spacing w:val="-16"/>
          <w:w w:val="105"/>
        </w:rPr>
        <w:t> </w:t>
      </w:r>
      <w:r>
        <w:rPr>
          <w:i/>
          <w:color w:val="231F20"/>
          <w:w w:val="105"/>
        </w:rPr>
        <w:t>Isabel</w:t>
      </w:r>
      <w:r>
        <w:rPr>
          <w:i/>
          <w:color w:val="231F20"/>
          <w:spacing w:val="-16"/>
          <w:w w:val="105"/>
        </w:rPr>
        <w:t> </w:t>
      </w:r>
      <w:r>
        <w:rPr>
          <w:i/>
          <w:color w:val="231F20"/>
          <w:w w:val="105"/>
        </w:rPr>
        <w:t>Rodríguez</w:t>
      </w:r>
      <w:r>
        <w:rPr>
          <w:i/>
          <w:color w:val="231F20"/>
          <w:spacing w:val="-16"/>
          <w:w w:val="105"/>
        </w:rPr>
        <w:t> </w:t>
      </w:r>
      <w:r>
        <w:rPr>
          <w:i/>
          <w:color w:val="231F20"/>
          <w:w w:val="105"/>
        </w:rPr>
        <w:t>Aguilar, </w:t>
      </w:r>
      <w:r>
        <w:rPr>
          <w:color w:val="231F20"/>
          <w:w w:val="105"/>
        </w:rPr>
        <w:t>Reynaldo Jiménez Mendoza, Luis Brunett</w:t>
      </w:r>
      <w:r>
        <w:rPr>
          <w:color w:val="231F20"/>
          <w:spacing w:val="-33"/>
          <w:w w:val="105"/>
        </w:rPr>
        <w:t> </w:t>
      </w:r>
      <w:r>
        <w:rPr>
          <w:color w:val="231F20"/>
          <w:w w:val="105"/>
        </w:rPr>
        <w:t>Pérez,</w:t>
      </w:r>
    </w:p>
    <w:p>
      <w:pPr>
        <w:spacing w:line="331" w:lineRule="exact" w:before="0"/>
        <w:ind w:left="1553" w:right="0" w:firstLine="0"/>
        <w:jc w:val="both"/>
        <w:rPr>
          <w:i/>
          <w:sz w:val="28"/>
        </w:rPr>
      </w:pPr>
      <w:r>
        <w:rPr>
          <w:i/>
          <w:color w:val="231F20"/>
          <w:sz w:val="28"/>
        </w:rPr>
        <w:t>Ofelia Márquez Molina y Omar Ernesto Terán     Varela</w:t>
      </w:r>
    </w:p>
    <w:p>
      <w:pPr>
        <w:pStyle w:val="BodyText"/>
        <w:spacing w:before="164"/>
        <w:ind w:left="1553"/>
        <w:jc w:val="both"/>
      </w:pPr>
      <w:r>
        <w:rPr>
          <w:color w:val="231F20"/>
        </w:rPr>
        <w:t>Centro Universitario UAEM Amecameca, Universidad Autónoma del Estado de   México.</w:t>
      </w:r>
    </w:p>
    <w:p>
      <w:pPr>
        <w:pStyle w:val="BodyText"/>
        <w:spacing w:before="16"/>
        <w:ind w:left="1553"/>
        <w:jc w:val="both"/>
      </w:pPr>
      <w:r>
        <w:rPr>
          <w:color w:val="231F20"/>
        </w:rPr>
        <w:t>Km. 2,5 Carretera Amecameca-Ayapango. Amecameca, Estado de México, México, C.P. 56900</w:t>
      </w:r>
    </w:p>
    <w:p>
      <w:pPr>
        <w:pStyle w:val="BodyText"/>
        <w:spacing w:before="6"/>
        <w:rPr>
          <w:sz w:val="17"/>
        </w:rPr>
      </w:pPr>
      <w:r>
        <w:rPr/>
        <w:pict>
          <v:line style="position:absolute;mso-position-horizontal-relative:page;mso-position-vertical-relative:paragraph;z-index:6448;mso-wrap-distance-left:0;mso-wrap-distance-right:0" from="77.692902pt,12.899158pt" to="517.062902pt,12.899158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0"/>
        <w:jc w:val="both"/>
      </w:pPr>
      <w:r>
        <w:rPr>
          <w:color w:val="231F20"/>
        </w:rPr>
        <w:t>El objetivo del trabajo es determinar si la producción de conejo en sistemas familiares es una opción para la generación de ingresos económicos y si ayuda a garantizar la seguridad alimentaria de la población</w:t>
      </w:r>
      <w:r>
        <w:rPr>
          <w:color w:val="231F20"/>
          <w:spacing w:val="-22"/>
        </w:rPr>
        <w:t> </w:t>
      </w:r>
      <w:r>
        <w:rPr>
          <w:color w:val="231F20"/>
        </w:rPr>
        <w:t>dedicada a esta actividad. Se tomó como caso de estudio la producción de conejos de la zona suroriente del </w:t>
      </w:r>
      <w:r>
        <w:rPr>
          <w:color w:val="231F20"/>
          <w:spacing w:val="-2"/>
        </w:rPr>
        <w:t>Estado</w:t>
      </w:r>
      <w:r>
        <w:rPr>
          <w:color w:val="231F20"/>
          <w:spacing w:val="41"/>
        </w:rPr>
        <w:t> </w:t>
      </w:r>
      <w:r>
        <w:rPr>
          <w:color w:val="231F20"/>
        </w:rPr>
        <w:t>de México. Se realizó un análisis económico mediante presupuestos por actividad para determinar el impac- to de la actividad, y se consideraron variables sociales y económicas. La producción de conejos en la zona contaba con </w:t>
      </w:r>
      <w:r>
        <w:rPr>
          <w:color w:val="231F20"/>
          <w:spacing w:val="-6"/>
        </w:rPr>
        <w:t>15 </w:t>
      </w:r>
      <w:r>
        <w:rPr>
          <w:color w:val="231F20"/>
        </w:rPr>
        <w:t>conejas Nueva Zelanda en promedio y </w:t>
      </w:r>
      <w:r>
        <w:rPr>
          <w:color w:val="231F20"/>
          <w:spacing w:val="-6"/>
        </w:rPr>
        <w:t>47 </w:t>
      </w:r>
      <w:r>
        <w:rPr>
          <w:color w:val="231F20"/>
        </w:rPr>
        <w:t>gazapos en producción. La producción se destina   a la venta en restaurantes ubicados en el corredor turístico Chalco Amecameca </w:t>
      </w:r>
      <w:r>
        <w:rPr>
          <w:color w:val="231F20"/>
          <w:spacing w:val="-3"/>
        </w:rPr>
        <w:t>(38%), </w:t>
      </w:r>
      <w:r>
        <w:rPr>
          <w:color w:val="231F20"/>
        </w:rPr>
        <w:t>la venta al menudeo en mercados locales </w:t>
      </w:r>
      <w:r>
        <w:rPr>
          <w:color w:val="231F20"/>
          <w:spacing w:val="-3"/>
        </w:rPr>
        <w:t>(33%),  </w:t>
      </w:r>
      <w:r>
        <w:rPr>
          <w:color w:val="231F20"/>
        </w:rPr>
        <w:t>intermediarios </w:t>
      </w:r>
      <w:r>
        <w:rPr>
          <w:color w:val="231F20"/>
          <w:spacing w:val="-3"/>
        </w:rPr>
        <w:t>(24%)  </w:t>
      </w:r>
      <w:r>
        <w:rPr>
          <w:color w:val="231F20"/>
        </w:rPr>
        <w:t>y autoconsumo (5%). El precio de venta fue de </w:t>
      </w:r>
      <w:r>
        <w:rPr>
          <w:color w:val="231F20"/>
          <w:spacing w:val="-4"/>
        </w:rPr>
        <w:t>$62,61  </w:t>
      </w:r>
      <w:r>
        <w:rPr>
          <w:color w:val="231F20"/>
          <w:spacing w:val="37"/>
        </w:rPr>
        <w:t> </w:t>
      </w:r>
      <w:r>
        <w:rPr>
          <w:color w:val="231F20"/>
        </w:rPr>
        <w:t>por animal sacrificado con un peso de </w:t>
      </w:r>
      <w:r>
        <w:rPr>
          <w:color w:val="231F20"/>
          <w:spacing w:val="-5"/>
        </w:rPr>
        <w:t>1,276 </w:t>
      </w:r>
      <w:r>
        <w:rPr>
          <w:color w:val="231F20"/>
        </w:rPr>
        <w:t>kg en canal. La actividad ocupa al menos a un integrante de la familia, y el tiempo dedicado a la actividad es de 1 hora por cada </w:t>
      </w:r>
      <w:r>
        <w:rPr>
          <w:color w:val="231F20"/>
          <w:spacing w:val="-6"/>
        </w:rPr>
        <w:t>10 </w:t>
      </w:r>
      <w:r>
        <w:rPr>
          <w:color w:val="231F20"/>
        </w:rPr>
        <w:t>conejas más su producción. El principal costo fue atribuido a la alimentación (80%). En el </w:t>
      </w:r>
      <w:r>
        <w:rPr>
          <w:color w:val="231F20"/>
          <w:spacing w:val="-4"/>
        </w:rPr>
        <w:t>100% </w:t>
      </w:r>
      <w:r>
        <w:rPr>
          <w:color w:val="231F20"/>
        </w:rPr>
        <w:t>de las unidades productivas se emplea alimento comercial.</w:t>
      </w:r>
      <w:r>
        <w:rPr>
          <w:color w:val="231F20"/>
          <w:spacing w:val="-4"/>
        </w:rPr>
        <w:t> </w:t>
      </w:r>
      <w:r>
        <w:rPr>
          <w:color w:val="231F20"/>
        </w:rPr>
        <w:t>La</w:t>
      </w:r>
      <w:r>
        <w:rPr>
          <w:color w:val="231F20"/>
          <w:spacing w:val="-4"/>
        </w:rPr>
        <w:t> </w:t>
      </w:r>
      <w:r>
        <w:rPr>
          <w:color w:val="231F20"/>
        </w:rPr>
        <w:t>actividad</w:t>
      </w:r>
      <w:r>
        <w:rPr>
          <w:color w:val="231F20"/>
          <w:spacing w:val="-4"/>
        </w:rPr>
        <w:t> </w:t>
      </w:r>
      <w:r>
        <w:rPr>
          <w:color w:val="231F20"/>
        </w:rPr>
        <w:t>cunícola</w:t>
      </w:r>
      <w:r>
        <w:rPr>
          <w:color w:val="231F20"/>
          <w:spacing w:val="-4"/>
        </w:rPr>
        <w:t> </w:t>
      </w:r>
      <w:r>
        <w:rPr>
          <w:color w:val="231F20"/>
        </w:rPr>
        <w:t>tiene</w:t>
      </w:r>
      <w:r>
        <w:rPr>
          <w:color w:val="231F20"/>
          <w:spacing w:val="-4"/>
        </w:rPr>
        <w:t> </w:t>
      </w:r>
      <w:r>
        <w:rPr>
          <w:color w:val="231F20"/>
        </w:rPr>
        <w:t>un</w:t>
      </w:r>
      <w:r>
        <w:rPr>
          <w:color w:val="231F20"/>
          <w:spacing w:val="-4"/>
        </w:rPr>
        <w:t> </w:t>
      </w:r>
      <w:r>
        <w:rPr>
          <w:color w:val="231F20"/>
        </w:rPr>
        <w:t>impacto</w:t>
      </w:r>
      <w:r>
        <w:rPr>
          <w:color w:val="231F20"/>
          <w:spacing w:val="-4"/>
        </w:rPr>
        <w:t> </w:t>
      </w:r>
      <w:r>
        <w:rPr>
          <w:color w:val="231F20"/>
        </w:rPr>
        <w:t>económico</w:t>
      </w:r>
      <w:r>
        <w:rPr>
          <w:color w:val="231F20"/>
          <w:spacing w:val="-4"/>
        </w:rPr>
        <w:t> </w:t>
      </w:r>
      <w:r>
        <w:rPr>
          <w:color w:val="231F20"/>
        </w:rPr>
        <w:t>representativo</w:t>
      </w:r>
      <w:r>
        <w:rPr>
          <w:color w:val="231F20"/>
          <w:spacing w:val="-4"/>
        </w:rPr>
        <w:t> </w:t>
      </w:r>
      <w:r>
        <w:rPr>
          <w:color w:val="231F20"/>
        </w:rPr>
        <w:t>para</w:t>
      </w:r>
      <w:r>
        <w:rPr>
          <w:color w:val="231F20"/>
          <w:spacing w:val="-4"/>
        </w:rPr>
        <w:t> </w:t>
      </w:r>
      <w:r>
        <w:rPr>
          <w:color w:val="231F20"/>
        </w:rPr>
        <w:t>los</w:t>
      </w:r>
      <w:r>
        <w:rPr>
          <w:color w:val="231F20"/>
          <w:spacing w:val="-4"/>
        </w:rPr>
        <w:t> </w:t>
      </w:r>
      <w:r>
        <w:rPr>
          <w:color w:val="231F20"/>
        </w:rPr>
        <w:t>cunicultores</w:t>
      </w:r>
      <w:r>
        <w:rPr>
          <w:color w:val="231F20"/>
          <w:spacing w:val="-4"/>
        </w:rPr>
        <w:t> </w:t>
      </w:r>
      <w:r>
        <w:rPr>
          <w:color w:val="231F20"/>
        </w:rPr>
        <w:t>gracias</w:t>
      </w:r>
      <w:r>
        <w:rPr>
          <w:color w:val="231F20"/>
          <w:spacing w:val="-4"/>
        </w:rPr>
        <w:t> </w:t>
      </w:r>
      <w:r>
        <w:rPr>
          <w:color w:val="231F20"/>
        </w:rPr>
        <w:t>a</w:t>
      </w:r>
      <w:r>
        <w:rPr>
          <w:color w:val="231F20"/>
          <w:spacing w:val="-4"/>
        </w:rPr>
        <w:t> </w:t>
      </w:r>
      <w:r>
        <w:rPr>
          <w:color w:val="231F20"/>
        </w:rPr>
        <w:t>la obtención de ingresos derivados de la venta. El margen anual obtenido por la actividad fue de </w:t>
      </w:r>
      <w:r>
        <w:rPr>
          <w:color w:val="231F20"/>
          <w:spacing w:val="-4"/>
        </w:rPr>
        <w:t>$19467,84, </w:t>
      </w:r>
      <w:r>
        <w:rPr>
          <w:color w:val="231F20"/>
        </w:rPr>
        <w:t>el ingreso por día fue de 0,98 salarios mínimos </w:t>
      </w:r>
      <w:r>
        <w:rPr>
          <w:color w:val="231F20"/>
          <w:spacing w:val="-3"/>
        </w:rPr>
        <w:t>($54,34) </w:t>
      </w:r>
      <w:r>
        <w:rPr>
          <w:color w:val="231F20"/>
          <w:spacing w:val="-6"/>
        </w:rPr>
        <w:t>y, </w:t>
      </w:r>
      <w:r>
        <w:rPr>
          <w:color w:val="231F20"/>
        </w:rPr>
        <w:t>además, la actividad permite el autoconsumo. Se concluye que la producción cunícola es una actividad que genera ingresos económicos a las familias dedica- das a ella; por una hora y media de trabajo se obtiene casi un salario mínimo, lo que indica que la actividad complementa</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significativa</w:t>
      </w:r>
      <w:r>
        <w:rPr>
          <w:color w:val="231F20"/>
          <w:spacing w:val="-6"/>
        </w:rPr>
        <w:t> </w:t>
      </w:r>
      <w:r>
        <w:rPr>
          <w:color w:val="231F20"/>
        </w:rPr>
        <w:t>el</w:t>
      </w:r>
      <w:r>
        <w:rPr>
          <w:color w:val="231F20"/>
          <w:spacing w:val="-6"/>
        </w:rPr>
        <w:t> </w:t>
      </w:r>
      <w:r>
        <w:rPr>
          <w:color w:val="231F20"/>
        </w:rPr>
        <w:t>ingreso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familias.</w:t>
      </w:r>
      <w:r>
        <w:rPr>
          <w:color w:val="231F20"/>
          <w:spacing w:val="-6"/>
        </w:rPr>
        <w:t> </w:t>
      </w:r>
      <w:r>
        <w:rPr>
          <w:color w:val="231F20"/>
          <w:spacing w:val="-3"/>
        </w:rPr>
        <w:t>Por</w:t>
      </w:r>
      <w:r>
        <w:rPr>
          <w:color w:val="231F20"/>
          <w:spacing w:val="-6"/>
        </w:rPr>
        <w:t> </w:t>
      </w:r>
      <w:r>
        <w:rPr>
          <w:color w:val="231F20"/>
        </w:rPr>
        <w:t>otro</w:t>
      </w:r>
      <w:r>
        <w:rPr>
          <w:color w:val="231F20"/>
          <w:spacing w:val="-6"/>
        </w:rPr>
        <w:t> </w:t>
      </w:r>
      <w:r>
        <w:rPr>
          <w:color w:val="231F20"/>
        </w:rPr>
        <w:t>lado,</w:t>
      </w:r>
      <w:r>
        <w:rPr>
          <w:color w:val="231F20"/>
          <w:spacing w:val="-6"/>
        </w:rPr>
        <w:t> </w:t>
      </w:r>
      <w:r>
        <w:rPr>
          <w:color w:val="231F20"/>
        </w:rPr>
        <w:t>permite</w:t>
      </w:r>
      <w:r>
        <w:rPr>
          <w:color w:val="231F20"/>
          <w:spacing w:val="-6"/>
        </w:rPr>
        <w:t> </w:t>
      </w:r>
      <w:r>
        <w:rPr>
          <w:color w:val="231F20"/>
        </w:rPr>
        <w:t>el</w:t>
      </w:r>
      <w:r>
        <w:rPr>
          <w:color w:val="231F20"/>
          <w:spacing w:val="-6"/>
        </w:rPr>
        <w:t> </w:t>
      </w:r>
      <w:r>
        <w:rPr>
          <w:color w:val="231F20"/>
        </w:rPr>
        <w:t>autoconsumo,</w:t>
      </w:r>
      <w:r>
        <w:rPr>
          <w:color w:val="231F20"/>
          <w:spacing w:val="-6"/>
        </w:rPr>
        <w:t> </w:t>
      </w:r>
      <w:r>
        <w:rPr>
          <w:color w:val="231F20"/>
        </w:rPr>
        <w:t>situa- ción benéfica para las familias ya que se accede a proteínas de buena calidad y puede considerarse como una opción para la seguridad alimentaria de las familias que habitan en zonas rurales y</w:t>
      </w:r>
      <w:r>
        <w:rPr>
          <w:color w:val="231F20"/>
          <w:spacing w:val="14"/>
        </w:rPr>
        <w:t> </w:t>
      </w:r>
      <w:r>
        <w:rPr>
          <w:color w:val="231F20"/>
        </w:rPr>
        <w:t>suburbanas.</w:t>
      </w:r>
    </w:p>
    <w:p>
      <w:pPr>
        <w:pStyle w:val="BodyText"/>
        <w:spacing w:before="114"/>
        <w:ind w:left="1553"/>
        <w:jc w:val="both"/>
      </w:pPr>
      <w:r>
        <w:rPr>
          <w:color w:val="231F20"/>
        </w:rPr>
        <w:t>Palabras clave: Cunicultura familiar - Impacto económico - Desarrollo   territorial.</w:t>
      </w:r>
    </w:p>
    <w:p>
      <w:pPr>
        <w:pStyle w:val="BodyText"/>
        <w:spacing w:before="3"/>
      </w:pPr>
      <w:r>
        <w:rPr/>
        <w:pict>
          <v:line style="position:absolute;mso-position-horizontal-relative:page;mso-position-vertical-relative:paragraph;z-index:6472;mso-wrap-distance-left:0;mso-wrap-distance-right:0" from="77.692902pt,14.572256pt" to="517.062902pt,14.572256pt" stroked="true" strokeweight=".5pt" strokecolor="#231f20">
            <w10:wrap type="topAndBottom"/>
          </v:line>
        </w:pict>
      </w:r>
    </w:p>
    <w:p>
      <w:pPr>
        <w:pStyle w:val="BodyText"/>
        <w:spacing w:before="10"/>
        <w:rPr>
          <w:sz w:val="5"/>
        </w:rPr>
      </w:pPr>
    </w:p>
    <w:p>
      <w:pPr>
        <w:pStyle w:val="BodyText"/>
        <w:spacing w:line="20" w:lineRule="exact"/>
        <w:ind w:left="1553"/>
        <w:rPr>
          <w:sz w:val="2"/>
        </w:rPr>
      </w:pPr>
      <w:r>
        <w:rPr>
          <w:sz w:val="2"/>
        </w:rPr>
        <w:pict>
          <v:group style="width:70.9pt;height:.5pt;mso-position-horizontal-relative:char;mso-position-vertical-relative:line" coordorigin="0,0" coordsize="1418,10">
            <v:line style="position:absolute" from="35,5" to="1397,5" stroked="true" strokeweight=".5pt" strokecolor="#231f20">
              <v:stroke dashstyle="dash"/>
            </v:line>
            <v:line style="position:absolute" from="5,5" to="5,5" stroked="true" strokeweight=".5pt" strokecolor="#231f20"/>
            <v:line style="position:absolute" from="1412,5" to="1412,5" stroked="true" strokeweight=".5pt" strokecolor="#231f20"/>
          </v:group>
        </w:pict>
      </w:r>
      <w:r>
        <w:rPr>
          <w:sz w:val="2"/>
        </w:rPr>
      </w:r>
    </w:p>
    <w:p>
      <w:pPr>
        <w:pStyle w:val="BodyText"/>
        <w:spacing w:before="8"/>
        <w:rPr>
          <w:sz w:val="5"/>
        </w:rPr>
      </w:pPr>
    </w:p>
    <w:p>
      <w:pPr>
        <w:spacing w:after="0"/>
        <w:rPr>
          <w:sz w:val="5"/>
        </w:rPr>
        <w:sectPr>
          <w:pgSz w:w="11900" w:h="14450"/>
          <w:pgMar w:header="0" w:footer="222" w:top="420" w:bottom="420" w:left="0" w:right="0"/>
        </w:sectPr>
      </w:pPr>
    </w:p>
    <w:p>
      <w:pPr>
        <w:spacing w:before="20"/>
        <w:ind w:left="1553" w:right="-15" w:firstLine="0"/>
        <w:jc w:val="left"/>
        <w:rPr>
          <w:sz w:val="16"/>
        </w:rPr>
      </w:pPr>
      <w:r>
        <w:rPr>
          <w:color w:val="231F20"/>
          <w:sz w:val="16"/>
        </w:rPr>
        <w:t>* Para correspondencia:  </w:t>
      </w:r>
      <w:hyperlink r:id="rId390">
        <w:r>
          <w:rPr>
            <w:color w:val="231F20"/>
            <w:sz w:val="16"/>
          </w:rPr>
          <w:t>enresaya1@hotmail.com</w:t>
        </w:r>
      </w:hyperlink>
    </w:p>
    <w:p>
      <w:pPr>
        <w:spacing w:before="38"/>
        <w:ind w:left="1529" w:right="1531" w:firstLine="0"/>
        <w:jc w:val="center"/>
        <w:rPr>
          <w:sz w:val="22"/>
        </w:rPr>
      </w:pPr>
      <w:r>
        <w:rPr/>
        <w:br w:type="column"/>
      </w:r>
      <w:r>
        <w:rPr>
          <w:color w:val="231F20"/>
          <w:w w:val="115"/>
          <w:sz w:val="22"/>
        </w:rPr>
        <w:t>231</w:t>
      </w:r>
    </w:p>
    <w:p>
      <w:pPr>
        <w:spacing w:after="0"/>
        <w:jc w:val="center"/>
        <w:rPr>
          <w:sz w:val="22"/>
        </w:rPr>
        <w:sectPr>
          <w:type w:val="continuous"/>
          <w:pgSz w:w="11900" w:h="14450"/>
          <w:pgMar w:top="420" w:bottom="420" w:left="0" w:right="0"/>
          <w:cols w:num="2" w:equalWidth="0">
            <w:col w:w="4836" w:space="3576"/>
            <w:col w:w="348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spacing w:val="-4"/>
          <w:w w:val="130"/>
          <w:sz w:val="22"/>
        </w:rPr>
        <w:t>232</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56" w:lineRule="auto" w:before="129"/>
        <w:ind w:left="1553"/>
        <w:jc w:val="both"/>
      </w:pPr>
      <w:r>
        <w:rPr>
          <w:color w:val="231F20"/>
        </w:rPr>
        <w:t>El sector agroalimentario atraviesa por escenarios complejos, debido a una combinación de diversos eventos globales como la crisis de los alimentos,    la crisis energética y problemas financieros en los países desarrollados y en vías de desarrollo </w:t>
      </w:r>
      <w:r>
        <w:rPr>
          <w:color w:val="231F20"/>
          <w:spacing w:val="-5"/>
        </w:rPr>
        <w:t>(FAO, </w:t>
      </w:r>
      <w:r>
        <w:rPr>
          <w:color w:val="231F20"/>
        </w:rPr>
        <w:t>2009). Estos eventos impactan las condiciones de producción de los pequeños y medianos produc- tores rurales, lo cual afecta las economías de las comunidades donde habitan estos productores (Espinosa, 2009). Los efectos más importantes derivados de los problemas globales han sido el incremento en el valor de los productos alimenta- rios, principalmente los granos básicos y los deri- vados de origen animal </w:t>
      </w:r>
      <w:r>
        <w:rPr>
          <w:color w:val="231F20"/>
          <w:spacing w:val="-5"/>
        </w:rPr>
        <w:t>(FAO, 2011). </w:t>
      </w:r>
      <w:r>
        <w:rPr>
          <w:color w:val="231F20"/>
          <w:spacing w:val="-8"/>
        </w:rPr>
        <w:t>Tal  </w:t>
      </w:r>
      <w:r>
        <w:rPr>
          <w:color w:val="231F20"/>
        </w:rPr>
        <w:t>situación  ha generado un alza en el valor de los insumos necesarios para la producción primaria de cárni- cos y lácteos, y como consecuencia los costos de producción han aumentado y han ocasionado una disminución de los ingresos, y con ello</w:t>
      </w:r>
      <w:r>
        <w:rPr>
          <w:color w:val="231F20"/>
          <w:spacing w:val="24"/>
        </w:rPr>
        <w:t> </w:t>
      </w:r>
      <w:r>
        <w:rPr>
          <w:color w:val="231F20"/>
        </w:rPr>
        <w:t>un</w:t>
      </w:r>
      <w:r>
        <w:rPr>
          <w:color w:val="231F20"/>
          <w:spacing w:val="3"/>
        </w:rPr>
        <w:t> </w:t>
      </w:r>
      <w:r>
        <w:rPr>
          <w:color w:val="231F20"/>
        </w:rPr>
        <w:t>aumento</w:t>
      </w:r>
      <w:r>
        <w:rPr>
          <w:color w:val="231F20"/>
          <w:spacing w:val="-1"/>
          <w:w w:val="101"/>
        </w:rPr>
        <w:t> </w:t>
      </w:r>
      <w:r>
        <w:rPr>
          <w:color w:val="231F20"/>
        </w:rPr>
        <w:t>de la pobreza en el medio rural (Lipton, 2006). </w:t>
      </w:r>
      <w:r>
        <w:rPr>
          <w:color w:val="231F20"/>
          <w:spacing w:val="-3"/>
        </w:rPr>
        <w:t>Por </w:t>
      </w:r>
      <w:r>
        <w:rPr>
          <w:color w:val="231F20"/>
        </w:rPr>
        <w:t>otro lado, el incremento en el valor de los</w:t>
      </w:r>
      <w:r>
        <w:rPr>
          <w:color w:val="231F20"/>
          <w:spacing w:val="-16"/>
        </w:rPr>
        <w:t> </w:t>
      </w:r>
      <w:r>
        <w:rPr>
          <w:color w:val="231F20"/>
        </w:rPr>
        <w:t>energéti- cos ha hecho que los agroquímicos aumentaran su valor en más de un 200% en los últimos 5 años,       y por tal motivo los productores que emplean es- tos productos han observado un aumento en los costos, o bien los que han disminuido el uso de agroquímicos han visto una disminución de los rendimientos, y tales situaciones afectan la seguri- dad alimentaria (Sigüenza </w:t>
      </w:r>
      <w:r>
        <w:rPr>
          <w:i/>
          <w:color w:val="231F20"/>
        </w:rPr>
        <w:t>et al</w:t>
      </w:r>
      <w:r>
        <w:rPr>
          <w:color w:val="231F20"/>
        </w:rPr>
        <w:t>., </w:t>
      </w:r>
      <w:r>
        <w:rPr>
          <w:color w:val="231F20"/>
          <w:spacing w:val="-5"/>
        </w:rPr>
        <w:t>2010).  </w:t>
      </w:r>
      <w:r>
        <w:rPr>
          <w:color w:val="231F20"/>
        </w:rPr>
        <w:t>El hambre  y la pobreza están estrechamente relacionados, ya que la falta de ingresos para la compra de alimen- tos repercute en la seguridad alimentaria familiar,  y el hambre disminuye la productividad laboral al reducir la resistencia a las enfermedades y</w:t>
      </w:r>
      <w:r>
        <w:rPr>
          <w:color w:val="231F20"/>
          <w:spacing w:val="-2"/>
        </w:rPr>
        <w:t> </w:t>
      </w:r>
      <w:r>
        <w:rPr>
          <w:color w:val="231F20"/>
        </w:rPr>
        <w:t>el</w:t>
      </w:r>
      <w:r>
        <w:rPr>
          <w:color w:val="231F20"/>
          <w:spacing w:val="-1"/>
        </w:rPr>
        <w:t> </w:t>
      </w:r>
      <w:r>
        <w:rPr>
          <w:color w:val="231F20"/>
        </w:rPr>
        <w:t>rendi-</w:t>
      </w:r>
      <w:r>
        <w:rPr>
          <w:color w:val="231F20"/>
          <w:w w:val="95"/>
        </w:rPr>
        <w:t> </w:t>
      </w:r>
      <w:r>
        <w:rPr>
          <w:color w:val="231F20"/>
        </w:rPr>
        <w:t>miento laboral y académico </w:t>
      </w:r>
      <w:r>
        <w:rPr>
          <w:color w:val="231F20"/>
          <w:spacing w:val="-5"/>
        </w:rPr>
        <w:t>(FAO,   </w:t>
      </w:r>
      <w:r>
        <w:rPr>
          <w:color w:val="231F20"/>
          <w:spacing w:val="12"/>
        </w:rPr>
        <w:t> </w:t>
      </w:r>
      <w:r>
        <w:rPr>
          <w:color w:val="231F20"/>
        </w:rPr>
        <w:t>2009).</w:t>
      </w:r>
    </w:p>
    <w:p>
      <w:pPr>
        <w:pStyle w:val="BodyText"/>
        <w:spacing w:line="256" w:lineRule="auto" w:before="112"/>
        <w:ind w:left="1553"/>
        <w:jc w:val="both"/>
      </w:pPr>
      <w:r>
        <w:rPr>
          <w:color w:val="231F20"/>
        </w:rPr>
        <w:t>Para disminuir los efectos negativos de las ten- dencias globales en el  medio  rural,  la  solución  no depende exclusivamente de la inversión y del crédito, ni de la disponibilidad de insumos o de      la adquisición de nuevas tecnologías, sino que re- quiere la aplicación de estrategias que   </w:t>
      </w:r>
      <w:r>
        <w:rPr>
          <w:color w:val="231F20"/>
          <w:spacing w:val="1"/>
        </w:rPr>
        <w:t> </w:t>
      </w:r>
      <w:r>
        <w:rPr>
          <w:color w:val="231F20"/>
        </w:rPr>
        <w:t>reorienten</w:t>
      </w:r>
    </w:p>
    <w:p>
      <w:pPr>
        <w:pStyle w:val="BodyText"/>
        <w:spacing w:line="259" w:lineRule="auto" w:before="67"/>
        <w:ind w:left="413" w:right="1551"/>
        <w:jc w:val="both"/>
      </w:pPr>
      <w:r>
        <w:rPr/>
        <w:br w:type="column"/>
      </w:r>
      <w:r>
        <w:rPr>
          <w:color w:val="231F20"/>
        </w:rPr>
        <w:t>la producción básica hacia el fortalecimiento de los mercados internos. Estas estrategias deben consi- derar aspectos de carácter social, como la creación de empleos, el aseguramiento de la seguridad ali- mentaria y la disminución de la pobreza, así como la conservación y el aprovechamiento racional de los  recursos  naturales  (FAO, 2011).</w:t>
      </w:r>
    </w:p>
    <w:p>
      <w:pPr>
        <w:pStyle w:val="BodyText"/>
        <w:spacing w:line="259" w:lineRule="auto" w:before="114"/>
        <w:ind w:left="413" w:right="1551"/>
        <w:jc w:val="both"/>
      </w:pPr>
      <w:r>
        <w:rPr>
          <w:color w:val="231F20"/>
        </w:rPr>
        <w:t>Una estrategia que genera empleos, promueve la seguridad alimentaria e impacta en la disminución de la pobreza es la integración de los sistemas agroalimentarios, los cuales se conforman por la interacción de una serie de procesos y agentes productivos dentro del mercado de bienes alimen- ticios (Boucher y Requier,  2006).  Estos  procesos se inician en la producción primaria y llegan hasta la mesa del consumidor final, pasando por diver- sos procesos de transformación, conformando así los eslabones intermedios de las cadenas agro- alimentarias, que están localizados en un espacio geográfico y cuyos desempeño e interacciones (vínculos hacia delante, atrás y los lados) condi- cionan el grado de competitividad, así como sus características agroecológicas de oferta de servi- cios de apoyo a la producción y la infraestructura (Espinosa,   2009).</w:t>
      </w:r>
    </w:p>
    <w:p>
      <w:pPr>
        <w:pStyle w:val="BodyText"/>
        <w:spacing w:line="259" w:lineRule="auto" w:before="114"/>
        <w:ind w:left="413" w:right="1551"/>
        <w:jc w:val="both"/>
      </w:pPr>
      <w:r>
        <w:rPr>
          <w:color w:val="231F20"/>
        </w:rPr>
        <w:t>Para que se integre un sistema agroalimentario  que genere alimentos de buena calidad para el autoconsumo y la venta, que permita crear em- pleos en el medio rural y que tenga un impacto    en la disminución de la pobreza, el Estado, junto con la sociedad civil, deben crear condiciones que promuevan el desarrollo de las actividades pro- ductivas. En ese tenor, las políticas públicas deben orientarse al fortalecimiento de las actividades</w:t>
      </w:r>
      <w:r>
        <w:rPr>
          <w:color w:val="231F20"/>
          <w:spacing w:val="-22"/>
        </w:rPr>
        <w:t> </w:t>
      </w:r>
      <w:r>
        <w:rPr>
          <w:color w:val="231F20"/>
        </w:rPr>
        <w:t>pro- ductivas, de agrotransformación y de comercializa- ción en los territorios rurales, de tal manera que la generación de valor impacte en las comunidades donde se realiza la</w:t>
      </w:r>
      <w:r>
        <w:rPr>
          <w:color w:val="231F20"/>
          <w:spacing w:val="40"/>
        </w:rPr>
        <w:t> </w:t>
      </w:r>
      <w:r>
        <w:rPr>
          <w:color w:val="231F20"/>
        </w:rPr>
        <w:t>actividad.</w:t>
      </w:r>
    </w:p>
    <w:p>
      <w:pPr>
        <w:pStyle w:val="BodyText"/>
        <w:spacing w:line="259" w:lineRule="auto" w:before="114"/>
        <w:ind w:left="413" w:right="1551"/>
        <w:jc w:val="both"/>
      </w:pPr>
      <w:r>
        <w:rPr>
          <w:color w:val="231F20"/>
        </w:rPr>
        <w:t>En el caso de México, la pobreza y la seguridad alimentaria son grandes retos a resolver por par-  te  del  Estado.  Según  datos  del  Consejo</w:t>
      </w:r>
      <w:r>
        <w:rPr>
          <w:color w:val="231F20"/>
          <w:spacing w:val="3"/>
        </w:rPr>
        <w:t> </w:t>
      </w:r>
      <w:r>
        <w:rPr>
          <w:color w:val="231F20"/>
        </w:rPr>
        <w:t>Nacional</w:t>
      </w:r>
    </w:p>
    <w:p>
      <w:pPr>
        <w:spacing w:after="0" w:line="259" w:lineRule="auto"/>
        <w:jc w:val="both"/>
        <w:sectPr>
          <w:type w:val="continuous"/>
          <w:pgSz w:w="11900" w:h="14450"/>
          <w:pgMar w:top="420" w:bottom="420" w:left="0" w:right="0"/>
          <w:cols w:num="2" w:equalWidth="0">
            <w:col w:w="5721" w:space="40"/>
            <w:col w:w="6139"/>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w:t>
      </w:r>
      <w:r>
        <w:rPr>
          <w:color w:val="231F20"/>
          <w:spacing w:val="-3"/>
          <w:sz w:val="18"/>
        </w:rPr>
        <w:t>16.   </w:t>
      </w:r>
      <w:r>
        <w:rPr>
          <w:color w:val="231F20"/>
          <w:sz w:val="18"/>
        </w:rPr>
        <w:t>La cunicultura familiar, una opción para la obtención de  </w:t>
      </w:r>
      <w:r>
        <w:rPr>
          <w:color w:val="231F20"/>
          <w:spacing w:val="39"/>
          <w:sz w:val="18"/>
        </w:rPr>
        <w:t> </w:t>
      </w:r>
      <w:r>
        <w:rPr>
          <w:color w:val="231F20"/>
          <w:sz w:val="18"/>
        </w:rPr>
        <w:t>ingresos</w:t>
      </w:r>
      <w:r>
        <w:rPr>
          <w:color w:val="231F20"/>
          <w:spacing w:val="12"/>
          <w:sz w:val="18"/>
        </w:rPr>
        <w:t> </w:t>
      </w:r>
      <w:r>
        <w:rPr>
          <w:color w:val="231F20"/>
          <w:sz w:val="18"/>
        </w:rPr>
        <w:t>económicos...</w:t>
      </w:r>
      <w:r>
        <w:rPr>
          <w:color w:val="231F20"/>
          <w:sz w:val="22"/>
        </w:rPr>
        <w:tab/>
      </w:r>
      <w:r>
        <w:rPr>
          <w:color w:val="231F20"/>
          <w:spacing w:val="-5"/>
          <w:sz w:val="22"/>
        </w:rPr>
        <w:t>233</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1" w:lineRule="auto"/>
        <w:ind w:left="1553"/>
        <w:jc w:val="both"/>
      </w:pPr>
      <w:r>
        <w:rPr>
          <w:color w:val="231F20"/>
        </w:rPr>
        <w:t>de Evaluación de la Política de Desarrollo Social (CONEVAL) </w:t>
      </w:r>
      <w:r>
        <w:rPr>
          <w:color w:val="231F20"/>
          <w:spacing w:val="-4"/>
        </w:rPr>
        <w:t>(2012), </w:t>
      </w:r>
      <w:r>
        <w:rPr>
          <w:color w:val="231F20"/>
        </w:rPr>
        <w:t>la  pobreza  en  México  pasó  del 44,5% al 46,2%, que corresponde a un in- cremento de 48,8 a 52,0 millones de personas entre 2008 y </w:t>
      </w:r>
      <w:r>
        <w:rPr>
          <w:color w:val="231F20"/>
          <w:spacing w:val="-5"/>
        </w:rPr>
        <w:t>2010. </w:t>
      </w:r>
      <w:r>
        <w:rPr>
          <w:color w:val="231F20"/>
        </w:rPr>
        <w:t>Dentro de esta población que vive en la pobreza, </w:t>
      </w:r>
      <w:r>
        <w:rPr>
          <w:color w:val="231F20"/>
          <w:spacing w:val="-5"/>
        </w:rPr>
        <w:t>11,7 </w:t>
      </w:r>
      <w:r>
        <w:rPr>
          <w:color w:val="231F20"/>
        </w:rPr>
        <w:t>millones de mexicanos (el 10,06%) se encuentran en condición de pobreza extrema, y los grupos sociales más desfavorecidos  y rezagados se encuentran en el medio  </w:t>
      </w:r>
      <w:r>
        <w:rPr>
          <w:color w:val="231F20"/>
          <w:spacing w:val="9"/>
        </w:rPr>
        <w:t> </w:t>
      </w:r>
      <w:r>
        <w:rPr>
          <w:color w:val="231F20"/>
        </w:rPr>
        <w:t>rural.</w:t>
      </w:r>
    </w:p>
    <w:p>
      <w:pPr>
        <w:pStyle w:val="BodyText"/>
        <w:spacing w:line="261" w:lineRule="auto" w:before="114"/>
        <w:ind w:left="1553"/>
        <w:jc w:val="both"/>
      </w:pPr>
      <w:r>
        <w:rPr>
          <w:color w:val="231F20"/>
        </w:rPr>
        <w:t>El Estado mexicano ha generado estrategias diri- gidas a la disminución de la pobreza y lograr la seguridad alimentaria. El Plan de Desarrollo del Gobierno Federal 2007-2012 tiene entre sus prin- cipales ejes de acción lograr una economía com- petitiva y generadora de empleos, garantizando así la igualdad de oportunidades y la sustentabilidad ambiental. Dicho Plan considera al sector agrope- cuario y pesquero como base para  el  desarrollo del país.</w:t>
      </w:r>
    </w:p>
    <w:p>
      <w:pPr>
        <w:pStyle w:val="BodyText"/>
        <w:spacing w:line="261" w:lineRule="auto" w:before="114"/>
        <w:ind w:left="1553"/>
        <w:jc w:val="both"/>
      </w:pPr>
      <w:r>
        <w:rPr>
          <w:color w:val="231F20"/>
        </w:rPr>
        <w:t>En el marco de la Ley de Desarrollo Rural Sustenta- ble, con el propósito de hacer un uso más eficien- te de los recursos públicos y fortalecer las acciones de generación de empleo rural e ingreso entre los habitantes de las regiones rurales marginadas del país, las políticas, estrategias e instrumentos de desarrollo rural se orientan a fomentar la capita- lización de las unidades de producción familiar, a promover el manejo sustentable de los recursos naturales, al desarrollo de proyectos de produc- ción primaria y a incorporar procesos de transfor- mación, favoreciendo así la agregación de valor y  la generación de servicios </w:t>
      </w:r>
      <w:r>
        <w:rPr>
          <w:color w:val="231F20"/>
          <w:spacing w:val="-3"/>
        </w:rPr>
        <w:t>(Torres, </w:t>
      </w:r>
      <w:r>
        <w:rPr>
          <w:color w:val="231F20"/>
        </w:rPr>
        <w:t>2008). En ese tenor, para lograr la integración y la generación de valor se han creado comités en los cuales inter- vienen los tres órdenes de gobierno y la sociedad civil. Éstos son nombrados Comités Sistema Pro- ducto, los cuales son reconocidos por la Secretaría de Agricultura, Ganadería, Pesca y Alimentación (SAGARPA). Las actividades que son avaladas ac- ceden a los diversos programas de apoyo. Cabe mencionar  que  los  sistemas  producto  generan</w:t>
      </w:r>
      <w:r>
        <w:rPr>
          <w:color w:val="231F20"/>
          <w:spacing w:val="-8"/>
        </w:rPr>
        <w:t> </w:t>
      </w:r>
      <w:r>
        <w:rPr>
          <w:color w:val="231F20"/>
        </w:rPr>
        <w:t>el</w:t>
      </w:r>
    </w:p>
    <w:p>
      <w:pPr>
        <w:pStyle w:val="BodyText"/>
        <w:spacing w:before="3"/>
        <w:rPr>
          <w:sz w:val="28"/>
        </w:rPr>
      </w:pPr>
      <w:r>
        <w:rPr/>
        <w:br w:type="column"/>
      </w:r>
      <w:r>
        <w:rPr>
          <w:sz w:val="28"/>
        </w:rPr>
      </w:r>
    </w:p>
    <w:p>
      <w:pPr>
        <w:pStyle w:val="BodyText"/>
        <w:spacing w:line="259" w:lineRule="auto"/>
        <w:ind w:left="412" w:right="1551"/>
        <w:jc w:val="both"/>
      </w:pPr>
      <w:r>
        <w:rPr>
          <w:color w:val="231F20"/>
        </w:rPr>
        <w:t>74% del valor de los sistemas agroalimentarios de México  (SAGARPA,  2012).</w:t>
      </w:r>
    </w:p>
    <w:p>
      <w:pPr>
        <w:pStyle w:val="BodyText"/>
        <w:spacing w:line="259" w:lineRule="auto" w:before="114"/>
        <w:ind w:left="412" w:right="1551"/>
        <w:jc w:val="both"/>
      </w:pPr>
      <w:r>
        <w:rPr>
          <w:color w:val="231F20"/>
        </w:rPr>
        <w:t>Los Comités Sistema Producto dirigen los apoyos por parte de los gobiernos a actividades estraté- gicas. En la actualidad existen registrados 34 sis- temas productos referentes a productos agrícolas  y ocho para productos pecuarios, entre los que destacan lácteos y cárnicos. Dentro de los diversos comités cabe señalar el Sistema Producto Cuníco- la, el cual se ha integrado gracias a la Asociación Nacional de Cunicultores, situación que ha permi- tido el reconocimiento por parte de la SAGARPA como una actividad ganadera merecedora de apo- yos  desde  el  año</w:t>
      </w:r>
      <w:r>
        <w:rPr>
          <w:color w:val="231F20"/>
          <w:spacing w:val="-3"/>
        </w:rPr>
        <w:t> </w:t>
      </w:r>
      <w:r>
        <w:rPr>
          <w:color w:val="231F20"/>
        </w:rPr>
        <w:t>2004.</w:t>
      </w:r>
    </w:p>
    <w:p>
      <w:pPr>
        <w:pStyle w:val="BodyText"/>
        <w:spacing w:line="259" w:lineRule="auto" w:before="114"/>
        <w:ind w:left="412" w:right="1551"/>
        <w:jc w:val="both"/>
      </w:pPr>
      <w:r>
        <w:rPr>
          <w:color w:val="231F20"/>
        </w:rPr>
        <w:t>La cunicultura es una actividad ganadera que pue- de ayudar a disminuir la pobreza y garantizar la seguridad alimentaria. Branckaert (1999), espe- cialista de la Organización de las Naciones Unidas para la Agricultura y la Alimentación </w:t>
      </w:r>
      <w:r>
        <w:rPr>
          <w:color w:val="231F20"/>
          <w:spacing w:val="-3"/>
        </w:rPr>
        <w:t>(FAO), </w:t>
      </w:r>
      <w:r>
        <w:rPr>
          <w:color w:val="231F20"/>
        </w:rPr>
        <w:t>señala que la cría doméstica de conejos responde a la demanda actual de proyectos de desarrollo soste- nible y genera empleos y bienes alimentarios. Es por ello que la </w:t>
      </w:r>
      <w:r>
        <w:rPr>
          <w:color w:val="231F20"/>
          <w:spacing w:val="-6"/>
        </w:rPr>
        <w:t>FAO </w:t>
      </w:r>
      <w:r>
        <w:rPr>
          <w:color w:val="231F20"/>
        </w:rPr>
        <w:t>ha apoyado y llevado a cabo, con los gobiernos y las organizaciones no guber- namentales (ONG), proyectos de cunicultura en distintas partes del mundo, como África, el Caribe  y Latinoamérica.</w:t>
      </w:r>
    </w:p>
    <w:p>
      <w:pPr>
        <w:pStyle w:val="BodyText"/>
        <w:spacing w:line="259" w:lineRule="auto" w:before="114"/>
        <w:ind w:left="412" w:right="1551"/>
        <w:jc w:val="both"/>
      </w:pPr>
      <w:r>
        <w:rPr>
          <w:color w:val="231F20"/>
        </w:rPr>
        <w:t>Las ventajas que ofrece la cunicultura consisten en una tasa de crecimiento rápido, un alto nivel pro- lífico (hasta 40 crías al año), transforma proteínas vegetales en carne comestible, por ser herbívoro y al basar su dieta en forrajes no representa compe- tencia por granos básicos con el hombre, requie-  re poco espacio (0,33 m</w:t>
      </w:r>
      <w:r>
        <w:rPr>
          <w:color w:val="231F20"/>
          <w:position w:val="7"/>
          <w:sz w:val="11"/>
        </w:rPr>
        <w:t>2 </w:t>
      </w:r>
      <w:r>
        <w:rPr>
          <w:color w:val="231F20"/>
        </w:rPr>
        <w:t>por hembra  y  1,00  m</w:t>
      </w:r>
      <w:r>
        <w:rPr>
          <w:color w:val="231F20"/>
          <w:position w:val="7"/>
          <w:sz w:val="11"/>
        </w:rPr>
        <w:t>2 </w:t>
      </w:r>
      <w:r>
        <w:rPr>
          <w:color w:val="231F20"/>
        </w:rPr>
        <w:t>por </w:t>
      </w:r>
      <w:r>
        <w:rPr>
          <w:color w:val="231F20"/>
          <w:spacing w:val="-5"/>
        </w:rPr>
        <w:t>10 </w:t>
      </w:r>
      <w:r>
        <w:rPr>
          <w:color w:val="231F20"/>
        </w:rPr>
        <w:t>animales de engorda), una coneja puede producir hasta 80 kg de carne en un año, lo que indica que con un número reducido de vientres puede abastecerse a una familia, y además la  carne de conejo es rica en proteínas, vitaminas y minerales, de fácil digestibilidad, y baja en grasa     y  colesterol  (Branckaert,</w:t>
      </w:r>
      <w:r>
        <w:rPr>
          <w:color w:val="231F20"/>
          <w:spacing w:val="-8"/>
        </w:rPr>
        <w:t> </w:t>
      </w:r>
      <w:r>
        <w:rPr>
          <w:color w:val="231F20"/>
        </w:rPr>
        <w:t>1999).</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spacing w:val="-4"/>
          <w:w w:val="130"/>
          <w:sz w:val="22"/>
        </w:rPr>
        <w:t>234</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6" w:lineRule="auto" w:before="67"/>
        <w:ind w:left="1553"/>
        <w:jc w:val="both"/>
      </w:pPr>
      <w:r>
        <w:rPr>
          <w:color w:val="231F20"/>
        </w:rPr>
        <w:t>La producción cunícola presenta otras ventajas, como son los bajos costos de inversión, la recupe- ración en un año del capital invertido y que requie- re mano de obra no especializada, situación por     la que todos los miembros de la familia pueden involucrarse, incluyendo mujeres, niños y personas mayores, y por tal motivo la actividad tiene un im- pacto  social  (Jiménez, </w:t>
      </w:r>
      <w:r>
        <w:rPr>
          <w:color w:val="231F20"/>
          <w:spacing w:val="7"/>
        </w:rPr>
        <w:t> </w:t>
      </w:r>
      <w:r>
        <w:rPr>
          <w:color w:val="231F20"/>
          <w:spacing w:val="-4"/>
        </w:rPr>
        <w:t>2011).</w:t>
      </w:r>
    </w:p>
    <w:p>
      <w:pPr>
        <w:pStyle w:val="BodyText"/>
        <w:spacing w:line="256" w:lineRule="auto" w:before="112"/>
        <w:ind w:left="1553"/>
        <w:jc w:val="both"/>
      </w:pPr>
      <w:r>
        <w:rPr>
          <w:color w:val="231F20"/>
        </w:rPr>
        <w:t>Cabe mencionar que la producción cunícola ha  sido adoptada en países en vías de desarrollo  como una opción de alimentación y de obtención de ingresos. Para el caso de México, es una activi- dad que se viene desarrollando desde hace más   de cuatro décadas. Actualmente México ocupa el lugar </w:t>
      </w:r>
      <w:r>
        <w:rPr>
          <w:color w:val="231F20"/>
          <w:spacing w:val="-5"/>
        </w:rPr>
        <w:t>17 </w:t>
      </w:r>
      <w:r>
        <w:rPr>
          <w:color w:val="231F20"/>
        </w:rPr>
        <w:t>en el mundo con respecto a la produc- ción de conejo. La producción en el país se ha de- sarrollado de manera similar al resto del mundo; ha sido favorecida por la facilidad en el manejo de la especie y por el corto tiempo de producción,     lo que ha motivado a un gran número de peque- ños y medianos productores rurales y suburbanos, pues aunque la carne de  conejo  no  destaca  en los consumos nacionales, aporta a los propietarios de las unidades de producción proteínas de ori- gen animal de buena calidad biológica, así como ingresos económicos derivados  de  la  venta  de  los productos y subproductos, además de que la actividad cuenta con una distribución en todo el territorio nacional (más importante en las regiones templadas del centro del país) (Mendoza,    </w:t>
      </w:r>
      <w:r>
        <w:rPr>
          <w:color w:val="231F20"/>
          <w:spacing w:val="19"/>
        </w:rPr>
        <w:t> </w:t>
      </w:r>
      <w:r>
        <w:rPr>
          <w:color w:val="231F20"/>
          <w:spacing w:val="-3"/>
        </w:rPr>
        <w:t>2001).</w:t>
      </w:r>
    </w:p>
    <w:p>
      <w:pPr>
        <w:pStyle w:val="BodyText"/>
        <w:spacing w:line="256" w:lineRule="auto" w:before="112"/>
        <w:ind w:left="1553"/>
        <w:jc w:val="both"/>
      </w:pPr>
      <w:r>
        <w:rPr>
          <w:color w:val="231F20"/>
        </w:rPr>
        <w:t>De </w:t>
      </w:r>
      <w:r>
        <w:rPr>
          <w:color w:val="231F20"/>
          <w:spacing w:val="-3"/>
        </w:rPr>
        <w:t>1995  </w:t>
      </w:r>
      <w:r>
        <w:rPr>
          <w:color w:val="231F20"/>
        </w:rPr>
        <w:t>a 2009 se observó una tendencia posi-  tiva en la producción de carne de conejo, debido   al cambio paulatino en los sistemas de producción pasando de sistemas de subsistencia a sistemas con lógicas productivas. El sistema que tiene más importancia es el familiar, seguido del semitecni- ficado. A pesar del incremento en la producción,   el consumo promedio de carne de conejo en México va de </w:t>
      </w:r>
      <w:r>
        <w:rPr>
          <w:color w:val="231F20"/>
          <w:spacing w:val="-3"/>
        </w:rPr>
        <w:t>100 </w:t>
      </w:r>
      <w:r>
        <w:rPr>
          <w:color w:val="231F20"/>
        </w:rPr>
        <w:t>a </w:t>
      </w:r>
      <w:r>
        <w:rPr>
          <w:color w:val="231F20"/>
          <w:spacing w:val="-5"/>
        </w:rPr>
        <w:t>120 </w:t>
      </w:r>
      <w:r>
        <w:rPr>
          <w:color w:val="231F20"/>
        </w:rPr>
        <w:t>gramos  por  persona  al año (SAGARPA, </w:t>
      </w:r>
      <w:r>
        <w:rPr>
          <w:color w:val="231F20"/>
          <w:spacing w:val="-4"/>
        </w:rPr>
        <w:t>2012).  </w:t>
      </w:r>
      <w:r>
        <w:rPr>
          <w:color w:val="231F20"/>
        </w:rPr>
        <w:t>En  México,  la  mayoría  de la población consume carne de aves, res, cerdo y ovinos  (Cuadro</w:t>
      </w:r>
      <w:r>
        <w:rPr>
          <w:color w:val="231F20"/>
          <w:spacing w:val="43"/>
        </w:rPr>
        <w:t> </w:t>
      </w:r>
      <w:r>
        <w:rPr>
          <w:color w:val="231F20"/>
        </w:rPr>
        <w:t>1).</w:t>
      </w:r>
    </w:p>
    <w:p>
      <w:pPr>
        <w:spacing w:line="290" w:lineRule="auto" w:before="71"/>
        <w:ind w:left="412" w:right="1551" w:firstLine="0"/>
        <w:jc w:val="both"/>
        <w:rPr>
          <w:sz w:val="18"/>
        </w:rPr>
      </w:pPr>
      <w:r>
        <w:rPr/>
        <w:br w:type="column"/>
      </w:r>
      <w:r>
        <w:rPr>
          <w:color w:val="231F20"/>
          <w:w w:val="105"/>
          <w:sz w:val="18"/>
        </w:rPr>
        <w:t>Cuadro 1. Producción de diversos tipos de carne en México (toneladas), en 2008.</w:t>
      </w:r>
    </w:p>
    <w:p>
      <w:pPr>
        <w:pStyle w:val="BodyText"/>
        <w:spacing w:before="7"/>
        <w:rPr>
          <w:sz w:val="8"/>
        </w:rPr>
      </w:pPr>
    </w:p>
    <w:tbl>
      <w:tblPr>
        <w:tblW w:w="0" w:type="auto"/>
        <w:jc w:val="left"/>
        <w:tblInd w:w="40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78"/>
        <w:gridCol w:w="2078"/>
      </w:tblGrid>
      <w:tr>
        <w:trPr>
          <w:trHeight w:val="369" w:hRule="exact"/>
        </w:trPr>
        <w:tc>
          <w:tcPr>
            <w:tcW w:w="2078" w:type="dxa"/>
            <w:tcBorders>
              <w:left w:val="nil"/>
            </w:tcBorders>
          </w:tcPr>
          <w:p>
            <w:pPr>
              <w:pStyle w:val="TableParagraph"/>
              <w:spacing w:before="79"/>
              <w:ind w:left="486"/>
              <w:rPr>
                <w:rFonts w:ascii="Cambria"/>
                <w:i/>
                <w:sz w:val="18"/>
              </w:rPr>
            </w:pPr>
            <w:r>
              <w:rPr>
                <w:rFonts w:ascii="Cambria"/>
                <w:i/>
                <w:color w:val="231F20"/>
                <w:w w:val="105"/>
                <w:sz w:val="18"/>
              </w:rPr>
              <w:t>Tipo de carne</w:t>
            </w:r>
          </w:p>
        </w:tc>
        <w:tc>
          <w:tcPr>
            <w:tcW w:w="2078" w:type="dxa"/>
            <w:tcBorders>
              <w:right w:val="nil"/>
            </w:tcBorders>
          </w:tcPr>
          <w:p>
            <w:pPr>
              <w:pStyle w:val="TableParagraph"/>
              <w:spacing w:before="79"/>
              <w:ind w:right="626"/>
              <w:jc w:val="right"/>
              <w:rPr>
                <w:rFonts w:ascii="Cambria"/>
                <w:i/>
                <w:sz w:val="18"/>
              </w:rPr>
            </w:pPr>
            <w:r>
              <w:rPr>
                <w:rFonts w:ascii="Cambria"/>
                <w:i/>
                <w:color w:val="231F20"/>
                <w:w w:val="105"/>
                <w:sz w:val="18"/>
              </w:rPr>
              <w:t>Toneladas</w:t>
            </w:r>
          </w:p>
        </w:tc>
      </w:tr>
      <w:tr>
        <w:trPr>
          <w:trHeight w:val="354" w:hRule="exact"/>
        </w:trPr>
        <w:tc>
          <w:tcPr>
            <w:tcW w:w="2078" w:type="dxa"/>
            <w:tcBorders>
              <w:left w:val="nil"/>
            </w:tcBorders>
          </w:tcPr>
          <w:p>
            <w:pPr>
              <w:pStyle w:val="TableParagraph"/>
              <w:ind w:left="113"/>
              <w:rPr>
                <w:sz w:val="17"/>
              </w:rPr>
            </w:pPr>
            <w:r>
              <w:rPr>
                <w:color w:val="231F20"/>
                <w:sz w:val="17"/>
              </w:rPr>
              <w:t>Pollo</w:t>
            </w:r>
          </w:p>
        </w:tc>
        <w:tc>
          <w:tcPr>
            <w:tcW w:w="2078" w:type="dxa"/>
            <w:tcBorders>
              <w:right w:val="nil"/>
            </w:tcBorders>
          </w:tcPr>
          <w:p>
            <w:pPr>
              <w:pStyle w:val="TableParagraph"/>
              <w:ind w:right="678"/>
              <w:jc w:val="right"/>
              <w:rPr>
                <w:sz w:val="17"/>
              </w:rPr>
            </w:pPr>
            <w:r>
              <w:rPr>
                <w:color w:val="231F20"/>
                <w:w w:val="115"/>
                <w:sz w:val="17"/>
              </w:rPr>
              <w:t>2580779</w:t>
            </w:r>
          </w:p>
        </w:tc>
      </w:tr>
      <w:tr>
        <w:trPr>
          <w:trHeight w:val="354" w:hRule="exact"/>
        </w:trPr>
        <w:tc>
          <w:tcPr>
            <w:tcW w:w="2078" w:type="dxa"/>
            <w:tcBorders>
              <w:left w:val="nil"/>
            </w:tcBorders>
          </w:tcPr>
          <w:p>
            <w:pPr>
              <w:pStyle w:val="TableParagraph"/>
              <w:ind w:left="113"/>
              <w:rPr>
                <w:sz w:val="17"/>
              </w:rPr>
            </w:pPr>
            <w:r>
              <w:rPr>
                <w:color w:val="231F20"/>
                <w:w w:val="105"/>
                <w:sz w:val="17"/>
              </w:rPr>
              <w:t>Res</w:t>
            </w:r>
          </w:p>
        </w:tc>
        <w:tc>
          <w:tcPr>
            <w:tcW w:w="2078" w:type="dxa"/>
            <w:tcBorders>
              <w:right w:val="nil"/>
            </w:tcBorders>
          </w:tcPr>
          <w:p>
            <w:pPr>
              <w:pStyle w:val="TableParagraph"/>
              <w:ind w:right="678"/>
              <w:jc w:val="right"/>
              <w:rPr>
                <w:sz w:val="17"/>
              </w:rPr>
            </w:pPr>
            <w:r>
              <w:rPr>
                <w:color w:val="231F20"/>
                <w:w w:val="115"/>
                <w:sz w:val="17"/>
              </w:rPr>
              <w:t>1667138</w:t>
            </w:r>
          </w:p>
        </w:tc>
      </w:tr>
      <w:tr>
        <w:trPr>
          <w:trHeight w:val="354" w:hRule="exact"/>
        </w:trPr>
        <w:tc>
          <w:tcPr>
            <w:tcW w:w="2078" w:type="dxa"/>
            <w:tcBorders>
              <w:left w:val="nil"/>
            </w:tcBorders>
          </w:tcPr>
          <w:p>
            <w:pPr>
              <w:pStyle w:val="TableParagraph"/>
              <w:ind w:left="113"/>
              <w:rPr>
                <w:sz w:val="17"/>
              </w:rPr>
            </w:pPr>
            <w:r>
              <w:rPr>
                <w:color w:val="231F20"/>
                <w:w w:val="105"/>
                <w:sz w:val="17"/>
              </w:rPr>
              <w:t>Cerdo</w:t>
            </w:r>
          </w:p>
        </w:tc>
        <w:tc>
          <w:tcPr>
            <w:tcW w:w="2078" w:type="dxa"/>
            <w:tcBorders>
              <w:right w:val="nil"/>
            </w:tcBorders>
          </w:tcPr>
          <w:p>
            <w:pPr>
              <w:pStyle w:val="TableParagraph"/>
              <w:ind w:right="678"/>
              <w:jc w:val="right"/>
              <w:rPr>
                <w:sz w:val="17"/>
              </w:rPr>
            </w:pPr>
            <w:r>
              <w:rPr>
                <w:color w:val="231F20"/>
                <w:w w:val="115"/>
                <w:sz w:val="17"/>
              </w:rPr>
              <w:t>1160677</w:t>
            </w:r>
          </w:p>
        </w:tc>
      </w:tr>
      <w:tr>
        <w:trPr>
          <w:trHeight w:val="354" w:hRule="exact"/>
        </w:trPr>
        <w:tc>
          <w:tcPr>
            <w:tcW w:w="2078" w:type="dxa"/>
            <w:tcBorders>
              <w:left w:val="nil"/>
            </w:tcBorders>
          </w:tcPr>
          <w:p>
            <w:pPr>
              <w:pStyle w:val="TableParagraph"/>
              <w:ind w:left="113"/>
              <w:rPr>
                <w:sz w:val="17"/>
              </w:rPr>
            </w:pPr>
            <w:r>
              <w:rPr>
                <w:color w:val="231F20"/>
                <w:w w:val="105"/>
                <w:sz w:val="17"/>
              </w:rPr>
              <w:t>Ovino</w:t>
            </w:r>
          </w:p>
        </w:tc>
        <w:tc>
          <w:tcPr>
            <w:tcW w:w="2078" w:type="dxa"/>
            <w:tcBorders>
              <w:right w:val="nil"/>
            </w:tcBorders>
          </w:tcPr>
          <w:p>
            <w:pPr>
              <w:pStyle w:val="TableParagraph"/>
              <w:ind w:right="678"/>
              <w:jc w:val="right"/>
              <w:rPr>
                <w:sz w:val="17"/>
              </w:rPr>
            </w:pPr>
            <w:r>
              <w:rPr>
                <w:color w:val="231F20"/>
                <w:w w:val="115"/>
                <w:sz w:val="17"/>
              </w:rPr>
              <w:t>51 275</w:t>
            </w:r>
          </w:p>
        </w:tc>
      </w:tr>
      <w:tr>
        <w:trPr>
          <w:trHeight w:val="354" w:hRule="exact"/>
        </w:trPr>
        <w:tc>
          <w:tcPr>
            <w:tcW w:w="2078" w:type="dxa"/>
            <w:tcBorders>
              <w:left w:val="nil"/>
            </w:tcBorders>
          </w:tcPr>
          <w:p>
            <w:pPr>
              <w:pStyle w:val="TableParagraph"/>
              <w:ind w:left="113"/>
              <w:rPr>
                <w:sz w:val="17"/>
              </w:rPr>
            </w:pPr>
            <w:r>
              <w:rPr>
                <w:color w:val="231F20"/>
                <w:sz w:val="17"/>
              </w:rPr>
              <w:t>Caprino</w:t>
            </w:r>
          </w:p>
        </w:tc>
        <w:tc>
          <w:tcPr>
            <w:tcW w:w="2078" w:type="dxa"/>
            <w:tcBorders>
              <w:right w:val="nil"/>
            </w:tcBorders>
          </w:tcPr>
          <w:p>
            <w:pPr>
              <w:pStyle w:val="TableParagraph"/>
              <w:ind w:right="678"/>
              <w:jc w:val="right"/>
              <w:rPr>
                <w:sz w:val="17"/>
              </w:rPr>
            </w:pPr>
            <w:r>
              <w:rPr>
                <w:color w:val="231F20"/>
                <w:w w:val="115"/>
                <w:sz w:val="17"/>
              </w:rPr>
              <w:t>43128</w:t>
            </w:r>
          </w:p>
        </w:tc>
      </w:tr>
      <w:tr>
        <w:trPr>
          <w:trHeight w:val="354" w:hRule="exact"/>
        </w:trPr>
        <w:tc>
          <w:tcPr>
            <w:tcW w:w="2078" w:type="dxa"/>
            <w:tcBorders>
              <w:left w:val="nil"/>
            </w:tcBorders>
          </w:tcPr>
          <w:p>
            <w:pPr>
              <w:pStyle w:val="TableParagraph"/>
              <w:ind w:left="113"/>
              <w:rPr>
                <w:sz w:val="17"/>
              </w:rPr>
            </w:pPr>
            <w:r>
              <w:rPr>
                <w:color w:val="231F20"/>
                <w:sz w:val="17"/>
              </w:rPr>
              <w:t>Pavo</w:t>
            </w:r>
          </w:p>
        </w:tc>
        <w:tc>
          <w:tcPr>
            <w:tcW w:w="2078" w:type="dxa"/>
            <w:tcBorders>
              <w:right w:val="nil"/>
            </w:tcBorders>
          </w:tcPr>
          <w:p>
            <w:pPr>
              <w:pStyle w:val="TableParagraph"/>
              <w:ind w:right="685"/>
              <w:jc w:val="right"/>
              <w:rPr>
                <w:sz w:val="17"/>
              </w:rPr>
            </w:pPr>
            <w:r>
              <w:rPr>
                <w:color w:val="231F20"/>
                <w:w w:val="115"/>
                <w:sz w:val="17"/>
              </w:rPr>
              <w:t>23 814</w:t>
            </w:r>
          </w:p>
        </w:tc>
      </w:tr>
      <w:tr>
        <w:trPr>
          <w:trHeight w:val="354" w:hRule="exact"/>
        </w:trPr>
        <w:tc>
          <w:tcPr>
            <w:tcW w:w="2078" w:type="dxa"/>
            <w:tcBorders>
              <w:left w:val="nil"/>
            </w:tcBorders>
          </w:tcPr>
          <w:p>
            <w:pPr>
              <w:pStyle w:val="TableParagraph"/>
              <w:ind w:left="113"/>
              <w:rPr>
                <w:sz w:val="17"/>
              </w:rPr>
            </w:pPr>
            <w:r>
              <w:rPr>
                <w:color w:val="231F20"/>
                <w:sz w:val="17"/>
              </w:rPr>
              <w:t>Pato</w:t>
            </w:r>
          </w:p>
        </w:tc>
        <w:tc>
          <w:tcPr>
            <w:tcW w:w="2078" w:type="dxa"/>
            <w:tcBorders>
              <w:right w:val="nil"/>
            </w:tcBorders>
          </w:tcPr>
          <w:p>
            <w:pPr>
              <w:pStyle w:val="TableParagraph"/>
              <w:ind w:right="678"/>
              <w:jc w:val="right"/>
              <w:rPr>
                <w:sz w:val="17"/>
              </w:rPr>
            </w:pPr>
            <w:r>
              <w:rPr>
                <w:color w:val="231F20"/>
                <w:w w:val="115"/>
                <w:sz w:val="17"/>
              </w:rPr>
              <w:t>20 500</w:t>
            </w:r>
          </w:p>
        </w:tc>
      </w:tr>
      <w:tr>
        <w:trPr>
          <w:trHeight w:val="354" w:hRule="exact"/>
        </w:trPr>
        <w:tc>
          <w:tcPr>
            <w:tcW w:w="2078" w:type="dxa"/>
            <w:tcBorders>
              <w:left w:val="nil"/>
            </w:tcBorders>
          </w:tcPr>
          <w:p>
            <w:pPr>
              <w:pStyle w:val="TableParagraph"/>
              <w:ind w:left="113"/>
              <w:rPr>
                <w:sz w:val="17"/>
              </w:rPr>
            </w:pPr>
            <w:r>
              <w:rPr>
                <w:color w:val="231F20"/>
                <w:w w:val="105"/>
                <w:sz w:val="17"/>
              </w:rPr>
              <w:t>Conejo</w:t>
            </w:r>
          </w:p>
        </w:tc>
        <w:tc>
          <w:tcPr>
            <w:tcW w:w="2078" w:type="dxa"/>
            <w:tcBorders>
              <w:right w:val="nil"/>
            </w:tcBorders>
          </w:tcPr>
          <w:p>
            <w:pPr>
              <w:pStyle w:val="TableParagraph"/>
              <w:ind w:right="681"/>
              <w:jc w:val="right"/>
              <w:rPr>
                <w:sz w:val="17"/>
              </w:rPr>
            </w:pPr>
            <w:r>
              <w:rPr>
                <w:color w:val="231F20"/>
                <w:w w:val="115"/>
                <w:sz w:val="17"/>
              </w:rPr>
              <w:t>4250</w:t>
            </w:r>
          </w:p>
        </w:tc>
      </w:tr>
    </w:tbl>
    <w:p>
      <w:pPr>
        <w:spacing w:before="99"/>
        <w:ind w:left="412" w:right="0" w:firstLine="0"/>
        <w:jc w:val="both"/>
        <w:rPr>
          <w:sz w:val="15"/>
        </w:rPr>
      </w:pPr>
      <w:r>
        <w:rPr>
          <w:color w:val="231F20"/>
          <w:sz w:val="15"/>
        </w:rPr>
        <w:t>Fuente:  FAOSTATA,  2011.</w:t>
      </w:r>
    </w:p>
    <w:p>
      <w:pPr>
        <w:pStyle w:val="BodyText"/>
        <w:rPr>
          <w:sz w:val="14"/>
        </w:rPr>
      </w:pPr>
    </w:p>
    <w:p>
      <w:pPr>
        <w:pStyle w:val="BodyText"/>
        <w:rPr>
          <w:sz w:val="14"/>
        </w:rPr>
      </w:pPr>
    </w:p>
    <w:p>
      <w:pPr>
        <w:pStyle w:val="BodyText"/>
        <w:spacing w:line="261" w:lineRule="auto" w:before="90"/>
        <w:ind w:left="412" w:right="1551"/>
        <w:jc w:val="both"/>
      </w:pPr>
      <w:r>
        <w:rPr>
          <w:color w:val="231F20"/>
        </w:rPr>
        <w:t>La mayor concentración de unidades productoras de conejo se localiza en los estados del centro del país, y el Estado de México es el principal produc- </w:t>
      </w:r>
      <w:r>
        <w:rPr>
          <w:color w:val="231F20"/>
          <w:spacing w:val="-3"/>
        </w:rPr>
        <w:t>tor. </w:t>
      </w:r>
      <w:r>
        <w:rPr>
          <w:color w:val="231F20"/>
        </w:rPr>
        <w:t>Según datos estadísticos del Censo Nacional Agropecuario </w:t>
      </w:r>
      <w:r>
        <w:rPr>
          <w:color w:val="231F20"/>
          <w:spacing w:val="-4"/>
        </w:rPr>
        <w:t>2007 </w:t>
      </w:r>
      <w:r>
        <w:rPr>
          <w:color w:val="231F20"/>
        </w:rPr>
        <w:t>(INEGI, </w:t>
      </w:r>
      <w:r>
        <w:rPr>
          <w:color w:val="231F20"/>
          <w:spacing w:val="-4"/>
        </w:rPr>
        <w:t>2010), </w:t>
      </w:r>
      <w:r>
        <w:rPr>
          <w:color w:val="231F20"/>
        </w:rPr>
        <w:t>existen para la entidad mexiquense un total de 151054 cabezas,  lo cual representa más del 30% del inventario na- cional, y son producidas bajo diversos sistemas de producción (tecnificado, semitecnificado y fami- liar), entre los que destaca el sistema familiar por tener el mayor número de unidades de produc- ción, en el cual la infraestructura y las instalaciones son rústicas, no se cuenta con razas especializadas y la mano de obra es </w:t>
      </w:r>
      <w:r>
        <w:rPr>
          <w:color w:val="231F20"/>
          <w:spacing w:val="17"/>
        </w:rPr>
        <w:t> </w:t>
      </w:r>
      <w:r>
        <w:rPr>
          <w:color w:val="231F20"/>
        </w:rPr>
        <w:t>familiar.</w:t>
      </w:r>
    </w:p>
    <w:p>
      <w:pPr>
        <w:pStyle w:val="BodyText"/>
        <w:spacing w:line="261" w:lineRule="auto" w:before="113"/>
        <w:ind w:left="412" w:right="1551"/>
        <w:jc w:val="both"/>
      </w:pPr>
      <w:r>
        <w:rPr>
          <w:color w:val="231F20"/>
        </w:rPr>
        <w:t>El Estado de México, a pesar de ser el principal productor, no ha logrado difundir la producción en todo su territorio, ya que ésta se desarrolla prin- cipalmente en la zona norte y centro de la enti- dad, y en otras zonas muy localizadas, como la suroriente, donde existen unidades de producción de conejo de tipo familiar que cuentan con un in- ventario de 5 a 50   conejas.</w:t>
      </w:r>
    </w:p>
    <w:p>
      <w:pPr>
        <w:pStyle w:val="BodyText"/>
        <w:spacing w:line="261" w:lineRule="auto" w:before="113"/>
        <w:ind w:left="412" w:right="1551"/>
        <w:jc w:val="both"/>
      </w:pPr>
      <w:r>
        <w:rPr>
          <w:color w:val="231F20"/>
        </w:rPr>
        <w:t>La zona suroriente del Estado de México es una región donde la carne de conejo se consume de</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w:t>
      </w:r>
      <w:r>
        <w:rPr>
          <w:color w:val="231F20"/>
          <w:spacing w:val="-3"/>
          <w:sz w:val="18"/>
        </w:rPr>
        <w:t>16.   </w:t>
      </w:r>
      <w:r>
        <w:rPr>
          <w:color w:val="231F20"/>
          <w:sz w:val="18"/>
        </w:rPr>
        <w:t>La cunicultura familiar, una opción para la obtención de  </w:t>
      </w:r>
      <w:r>
        <w:rPr>
          <w:color w:val="231F20"/>
          <w:spacing w:val="39"/>
          <w:sz w:val="18"/>
        </w:rPr>
        <w:t> </w:t>
      </w:r>
      <w:r>
        <w:rPr>
          <w:color w:val="231F20"/>
          <w:sz w:val="18"/>
        </w:rPr>
        <w:t>ingresos</w:t>
      </w:r>
      <w:r>
        <w:rPr>
          <w:color w:val="231F20"/>
          <w:spacing w:val="12"/>
          <w:sz w:val="18"/>
        </w:rPr>
        <w:t> </w:t>
      </w:r>
      <w:r>
        <w:rPr>
          <w:color w:val="231F20"/>
          <w:sz w:val="18"/>
        </w:rPr>
        <w:t>económicos...</w:t>
      </w:r>
      <w:r>
        <w:rPr>
          <w:color w:val="231F20"/>
          <w:sz w:val="22"/>
        </w:rPr>
        <w:tab/>
      </w:r>
      <w:r>
        <w:rPr>
          <w:color w:val="231F20"/>
          <w:spacing w:val="-5"/>
          <w:sz w:val="22"/>
        </w:rPr>
        <w:t>235</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71" w:lineRule="auto"/>
        <w:ind w:left="1553"/>
        <w:jc w:val="both"/>
      </w:pPr>
      <w:r>
        <w:rPr>
          <w:color w:val="231F20"/>
        </w:rPr>
        <w:t>una manera considerable gracias al corredor turís- tico que es visitado los fines de semana y en las temporadas vacacionales (invierno, verano y Se- mana Santa). Esta situación potencia la cunicultura y la hace una actividad atractiva, que puede ser una herramienta para el desarrollo de esta zona integrada por </w:t>
      </w:r>
      <w:r>
        <w:rPr>
          <w:color w:val="231F20"/>
          <w:spacing w:val="-5"/>
        </w:rPr>
        <w:t>13 </w:t>
      </w:r>
      <w:r>
        <w:rPr>
          <w:color w:val="231F20"/>
        </w:rPr>
        <w:t>municipios, entre los cuales los principales productores son </w:t>
      </w:r>
      <w:r>
        <w:rPr>
          <w:color w:val="231F20"/>
          <w:spacing w:val="-3"/>
        </w:rPr>
        <w:t>Temamatla, </w:t>
      </w:r>
      <w:r>
        <w:rPr>
          <w:color w:val="231F20"/>
        </w:rPr>
        <w:t>Chalco y Amecameca.</w:t>
      </w:r>
    </w:p>
    <w:p>
      <w:pPr>
        <w:pStyle w:val="BodyText"/>
        <w:spacing w:line="271" w:lineRule="auto" w:before="112"/>
        <w:ind w:left="1553"/>
        <w:jc w:val="both"/>
      </w:pPr>
      <w:r>
        <w:rPr>
          <w:color w:val="231F20"/>
        </w:rPr>
        <w:t>Considerando lo anterior, el objetivo del trabajo es determinar si la producción de conejo en sistemas familiares bajo un enfoque de sistemas agroali- mentarios es una opción para la generación de ingresos económicos, y si ayuda a garantizar la se- guridad alimentaria de la población dedicada a la actividad. Para ello se tomó como caso de estudio la producción de conejos en la zona suroriente del Estado de México.</w:t>
      </w:r>
    </w:p>
    <w:p>
      <w:pPr>
        <w:pStyle w:val="BodyText"/>
      </w:pPr>
    </w:p>
    <w:p>
      <w:pPr>
        <w:pStyle w:val="BodyText"/>
        <w:spacing w:before="151"/>
        <w:ind w:left="1553"/>
        <w:jc w:val="both"/>
      </w:pPr>
      <w:r>
        <w:rPr>
          <w:color w:val="231F20"/>
          <w:w w:val="110"/>
        </w:rPr>
        <w:t>MATERIALES Y MÉTODOS</w:t>
      </w:r>
    </w:p>
    <w:p>
      <w:pPr>
        <w:pStyle w:val="BodyText"/>
        <w:spacing w:line="271" w:lineRule="auto" w:before="144"/>
        <w:ind w:left="1553"/>
        <w:jc w:val="both"/>
      </w:pPr>
      <w:r>
        <w:rPr>
          <w:color w:val="231F20"/>
        </w:rPr>
        <w:t>La población objetivo fueron las unidades de pro- ducción cunícola ubicadas en la zona  suroriente del Estado de México (conformada por Chalco, </w:t>
      </w:r>
      <w:r>
        <w:rPr>
          <w:color w:val="231F20"/>
          <w:spacing w:val="-3"/>
        </w:rPr>
        <w:t>Va- </w:t>
      </w:r>
      <w:r>
        <w:rPr>
          <w:color w:val="231F20"/>
        </w:rPr>
        <w:t>lle de Chalco, Tlalmanalco, Cocotitlán, </w:t>
      </w:r>
      <w:r>
        <w:rPr>
          <w:color w:val="231F20"/>
          <w:spacing w:val="-3"/>
        </w:rPr>
        <w:t>Temamatla, Tenango </w:t>
      </w:r>
      <w:r>
        <w:rPr>
          <w:color w:val="231F20"/>
        </w:rPr>
        <w:t>del Aire, Juchitepec, Amecameca, Aya- pango, Atlautla, Ozumba, </w:t>
      </w:r>
      <w:r>
        <w:rPr>
          <w:color w:val="231F20"/>
          <w:spacing w:val="-3"/>
        </w:rPr>
        <w:t>Tepetlixpa </w:t>
      </w:r>
      <w:r>
        <w:rPr>
          <w:color w:val="231F20"/>
        </w:rPr>
        <w:t>y Ecatzingo) que contaran con un mínimo de cinco conejas de vientre y que comercializaran  la  carne  de  cone- jo en mercados formales e informales. Según el Censo  Nacional  Agropecuario  (INEGI,  </w:t>
      </w:r>
      <w:r>
        <w:rPr>
          <w:color w:val="231F20"/>
          <w:spacing w:val="-4"/>
        </w:rPr>
        <w:t>2010),  </w:t>
      </w:r>
      <w:r>
        <w:rPr>
          <w:color w:val="231F20"/>
        </w:rPr>
        <w:t>en  la zona existen </w:t>
      </w:r>
      <w:r>
        <w:rPr>
          <w:color w:val="231F20"/>
          <w:spacing w:val="-3"/>
        </w:rPr>
        <w:t>339 </w:t>
      </w:r>
      <w:r>
        <w:rPr>
          <w:color w:val="231F20"/>
        </w:rPr>
        <w:t>unidades de producción con conejos.</w:t>
      </w:r>
    </w:p>
    <w:p>
      <w:pPr>
        <w:pStyle w:val="BodyText"/>
        <w:spacing w:line="271" w:lineRule="auto" w:before="112"/>
        <w:ind w:left="1553"/>
        <w:jc w:val="both"/>
      </w:pPr>
      <w:r>
        <w:rPr>
          <w:color w:val="231F20"/>
        </w:rPr>
        <w:t>Se muestreó el </w:t>
      </w:r>
      <w:r>
        <w:rPr>
          <w:color w:val="231F20"/>
          <w:spacing w:val="-3"/>
        </w:rPr>
        <w:t>10,32% </w:t>
      </w:r>
      <w:r>
        <w:rPr>
          <w:color w:val="231F20"/>
        </w:rPr>
        <w:t>de la población objetivo mediante un muestreo por  intención.  Finalmen- te se trabajó  con  36  unidades  de  producción  y  a los propietarios se les entrevistó empleando un cuestionario con la finalidad de caracterizar las uni- dades productivas y posteriormente determinar el impacto económico que tiene la </w:t>
      </w:r>
      <w:r>
        <w:rPr>
          <w:color w:val="231F20"/>
          <w:spacing w:val="31"/>
        </w:rPr>
        <w:t> </w:t>
      </w:r>
      <w:r>
        <w:rPr>
          <w:color w:val="231F20"/>
        </w:rPr>
        <w:t>actividad.</w:t>
      </w:r>
    </w:p>
    <w:p>
      <w:pPr>
        <w:pStyle w:val="BodyText"/>
        <w:spacing w:before="3"/>
        <w:rPr>
          <w:sz w:val="28"/>
        </w:rPr>
      </w:pPr>
      <w:r>
        <w:rPr/>
        <w:br w:type="column"/>
      </w:r>
      <w:r>
        <w:rPr>
          <w:sz w:val="28"/>
        </w:rPr>
      </w:r>
    </w:p>
    <w:p>
      <w:pPr>
        <w:pStyle w:val="BodyText"/>
        <w:spacing w:line="264" w:lineRule="auto"/>
        <w:ind w:left="413" w:right="1551"/>
        <w:jc w:val="both"/>
      </w:pPr>
      <w:r>
        <w:rPr>
          <w:color w:val="231F20"/>
        </w:rPr>
        <w:t>El análisis económico se realizó siguiendo la meto- dología de presupuestos por actividad, propuesta en la </w:t>
      </w:r>
      <w:r>
        <w:rPr>
          <w:color w:val="231F20"/>
          <w:spacing w:val="-6"/>
        </w:rPr>
        <w:t>FAO </w:t>
      </w:r>
      <w:r>
        <w:rPr>
          <w:color w:val="231F20"/>
        </w:rPr>
        <w:t>en </w:t>
      </w:r>
      <w:r>
        <w:rPr>
          <w:color w:val="231F20"/>
          <w:spacing w:val="-3"/>
        </w:rPr>
        <w:t>1993  </w:t>
      </w:r>
      <w:r>
        <w:rPr>
          <w:color w:val="231F20"/>
        </w:rPr>
        <w:t>por Dillon y Hardaker (1993).  Los presupuestos por actividad se utilizan en  la </w:t>
      </w:r>
      <w:r>
        <w:rPr>
          <w:color w:val="231F20"/>
          <w:spacing w:val="-6"/>
        </w:rPr>
        <w:t>FAO </w:t>
      </w:r>
      <w:r>
        <w:rPr>
          <w:color w:val="231F20"/>
        </w:rPr>
        <w:t>para realizar análisis económicos en fincas o unidades de producción en pequeña escala. Los objetivos que pretenden los presupuestos por ac- tividad son calcular los ingresos de la unidad de producción para comparar una actividad con una nueva alternativa, tomar decisiones con respecto a una actividad, simular el efecto de cambios dentro y fuera de la actividad, y el más importante para este trabajo, que es obtener medidas de producti- vidad y costos. Las medidas obtenidas  </w:t>
      </w:r>
      <w:r>
        <w:rPr>
          <w:color w:val="231F20"/>
          <w:spacing w:val="31"/>
        </w:rPr>
        <w:t> </w:t>
      </w:r>
      <w:r>
        <w:rPr>
          <w:color w:val="231F20"/>
        </w:rPr>
        <w:t>son:</w:t>
      </w:r>
    </w:p>
    <w:p>
      <w:pPr>
        <w:pStyle w:val="ListParagraph"/>
        <w:numPr>
          <w:ilvl w:val="0"/>
          <w:numId w:val="8"/>
        </w:numPr>
        <w:tabs>
          <w:tab w:pos="697" w:val="left" w:leader="none"/>
        </w:tabs>
        <w:spacing w:line="264" w:lineRule="auto" w:before="114" w:after="0"/>
        <w:ind w:left="696" w:right="1551" w:hanging="283"/>
        <w:jc w:val="both"/>
        <w:rPr>
          <w:sz w:val="20"/>
        </w:rPr>
      </w:pPr>
      <w:r>
        <w:rPr>
          <w:color w:val="231F20"/>
          <w:sz w:val="20"/>
        </w:rPr>
        <w:t>Ingresos: incluyen el valor de la producción obtenida en las unidades de producción de conejos (venta de animales de engorda, abo-  no y pieles) y de los movimientos de animales (venta de conejas y sementales de   </w:t>
      </w:r>
      <w:r>
        <w:rPr>
          <w:color w:val="231F20"/>
          <w:spacing w:val="37"/>
          <w:sz w:val="20"/>
        </w:rPr>
        <w:t> </w:t>
      </w:r>
      <w:r>
        <w:rPr>
          <w:color w:val="231F20"/>
          <w:sz w:val="20"/>
        </w:rPr>
        <w:t>desecho).</w:t>
      </w:r>
    </w:p>
    <w:p>
      <w:pPr>
        <w:pStyle w:val="ListParagraph"/>
        <w:numPr>
          <w:ilvl w:val="0"/>
          <w:numId w:val="8"/>
        </w:numPr>
        <w:tabs>
          <w:tab w:pos="697" w:val="left" w:leader="none"/>
        </w:tabs>
        <w:spacing w:line="264" w:lineRule="auto" w:before="114" w:after="0"/>
        <w:ind w:left="696" w:right="1551" w:hanging="283"/>
        <w:jc w:val="both"/>
        <w:rPr>
          <w:sz w:val="20"/>
        </w:rPr>
      </w:pPr>
      <w:r>
        <w:rPr>
          <w:color w:val="231F20"/>
          <w:sz w:val="20"/>
        </w:rPr>
        <w:t>Costos: gastos requeridos para producir  car-  ne de conejo y sus derivados, incluyendo ali- mentos concentrados y suplementos, forrajes, gastos para los cultivos relacionados, gastos ve- terinarios, mano de obra y costos de los reem- plazos, entre</w:t>
      </w:r>
      <w:r>
        <w:rPr>
          <w:color w:val="231F20"/>
          <w:spacing w:val="-5"/>
          <w:sz w:val="20"/>
        </w:rPr>
        <w:t> </w:t>
      </w:r>
      <w:r>
        <w:rPr>
          <w:color w:val="231F20"/>
          <w:sz w:val="20"/>
        </w:rPr>
        <w:t>otros.</w:t>
      </w:r>
    </w:p>
    <w:p>
      <w:pPr>
        <w:pStyle w:val="ListParagraph"/>
        <w:numPr>
          <w:ilvl w:val="0"/>
          <w:numId w:val="8"/>
        </w:numPr>
        <w:tabs>
          <w:tab w:pos="697" w:val="left" w:leader="none"/>
        </w:tabs>
        <w:spacing w:line="264" w:lineRule="auto" w:before="114" w:after="0"/>
        <w:ind w:left="696" w:right="1551" w:hanging="283"/>
        <w:jc w:val="both"/>
        <w:rPr>
          <w:sz w:val="20"/>
        </w:rPr>
      </w:pPr>
      <w:r>
        <w:rPr>
          <w:color w:val="231F20"/>
          <w:sz w:val="20"/>
        </w:rPr>
        <w:t>Margen bruto: valor de los ingresos de produc- ción menos los costos de  </w:t>
      </w:r>
      <w:r>
        <w:rPr>
          <w:color w:val="231F20"/>
          <w:spacing w:val="25"/>
          <w:sz w:val="20"/>
        </w:rPr>
        <w:t> </w:t>
      </w:r>
      <w:r>
        <w:rPr>
          <w:color w:val="231F20"/>
          <w:sz w:val="20"/>
        </w:rPr>
        <w:t>producción.</w:t>
      </w:r>
    </w:p>
    <w:p>
      <w:pPr>
        <w:pStyle w:val="ListParagraph"/>
        <w:numPr>
          <w:ilvl w:val="0"/>
          <w:numId w:val="8"/>
        </w:numPr>
        <w:tabs>
          <w:tab w:pos="697" w:val="left" w:leader="none"/>
        </w:tabs>
        <w:spacing w:line="264" w:lineRule="auto" w:before="114" w:after="0"/>
        <w:ind w:left="696" w:right="1551" w:hanging="283"/>
        <w:jc w:val="both"/>
        <w:rPr>
          <w:sz w:val="20"/>
        </w:rPr>
      </w:pPr>
      <w:r>
        <w:rPr>
          <w:color w:val="231F20"/>
          <w:sz w:val="20"/>
        </w:rPr>
        <w:t>Margen por día de trabajo familiar: margen</w:t>
      </w:r>
      <w:r>
        <w:rPr>
          <w:color w:val="231F20"/>
          <w:spacing w:val="-26"/>
          <w:sz w:val="20"/>
        </w:rPr>
        <w:t> </w:t>
      </w:r>
      <w:r>
        <w:rPr>
          <w:color w:val="231F20"/>
          <w:sz w:val="20"/>
        </w:rPr>
        <w:t>bru- to más los costos atribuidos a la mano de obra familiar dividido entre el número de días traba- jados por los</w:t>
      </w:r>
      <w:r>
        <w:rPr>
          <w:color w:val="231F20"/>
          <w:spacing w:val="23"/>
          <w:sz w:val="20"/>
        </w:rPr>
        <w:t> </w:t>
      </w:r>
      <w:r>
        <w:rPr>
          <w:color w:val="231F20"/>
          <w:sz w:val="20"/>
        </w:rPr>
        <w:t>familiares.</w:t>
      </w:r>
    </w:p>
    <w:p>
      <w:pPr>
        <w:pStyle w:val="ListParagraph"/>
        <w:numPr>
          <w:ilvl w:val="0"/>
          <w:numId w:val="8"/>
        </w:numPr>
        <w:tabs>
          <w:tab w:pos="697" w:val="left" w:leader="none"/>
        </w:tabs>
        <w:spacing w:line="264" w:lineRule="auto" w:before="114" w:after="0"/>
        <w:ind w:left="696" w:right="1551" w:hanging="283"/>
        <w:jc w:val="both"/>
        <w:rPr>
          <w:sz w:val="20"/>
        </w:rPr>
      </w:pPr>
      <w:r>
        <w:rPr>
          <w:color w:val="231F20"/>
          <w:sz w:val="20"/>
        </w:rPr>
        <w:t>Retorno al capital de trabajo: expresado como la razón de ingresos en efectivo entre los </w:t>
      </w:r>
      <w:r>
        <w:rPr>
          <w:color w:val="231F20"/>
          <w:spacing w:val="-2"/>
          <w:sz w:val="20"/>
        </w:rPr>
        <w:t>costos </w:t>
      </w:r>
      <w:r>
        <w:rPr>
          <w:color w:val="231F20"/>
          <w:sz w:val="20"/>
        </w:rPr>
        <w:t>en efectivo (razón ingresos en efectivo/egresos en efectivo) y margen por coneja (margen bru- to/número de</w:t>
      </w:r>
      <w:r>
        <w:rPr>
          <w:color w:val="231F20"/>
          <w:spacing w:val="27"/>
          <w:sz w:val="20"/>
        </w:rPr>
        <w:t> </w:t>
      </w:r>
      <w:r>
        <w:rPr>
          <w:color w:val="231F20"/>
          <w:sz w:val="20"/>
        </w:rPr>
        <w:t>conejas).</w:t>
      </w:r>
    </w:p>
    <w:p>
      <w:pPr>
        <w:pStyle w:val="ListParagraph"/>
        <w:numPr>
          <w:ilvl w:val="0"/>
          <w:numId w:val="8"/>
        </w:numPr>
        <w:tabs>
          <w:tab w:pos="697" w:val="left" w:leader="none"/>
        </w:tabs>
        <w:spacing w:line="264" w:lineRule="auto" w:before="114" w:after="0"/>
        <w:ind w:left="696" w:right="1551" w:hanging="283"/>
        <w:jc w:val="both"/>
        <w:rPr>
          <w:sz w:val="20"/>
        </w:rPr>
      </w:pPr>
      <w:r>
        <w:rPr>
          <w:color w:val="231F20"/>
          <w:sz w:val="20"/>
        </w:rPr>
        <w:t>Margen por kilo de carne producido (margen bruto/kilo de carne de conejo producida en las unidades  de</w:t>
      </w:r>
      <w:r>
        <w:rPr>
          <w:color w:val="231F20"/>
          <w:spacing w:val="26"/>
          <w:sz w:val="20"/>
        </w:rPr>
        <w:t> </w:t>
      </w:r>
      <w:r>
        <w:rPr>
          <w:color w:val="231F20"/>
          <w:sz w:val="20"/>
        </w:rPr>
        <w:t>producción).</w:t>
      </w:r>
    </w:p>
    <w:p>
      <w:pPr>
        <w:spacing w:after="0" w:line="264" w:lineRule="auto"/>
        <w:jc w:val="both"/>
        <w:rPr>
          <w:sz w:val="20"/>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spacing w:val="-4"/>
          <w:w w:val="130"/>
          <w:sz w:val="22"/>
        </w:rPr>
        <w:t>236</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ListParagraph"/>
        <w:numPr>
          <w:ilvl w:val="1"/>
          <w:numId w:val="8"/>
        </w:numPr>
        <w:tabs>
          <w:tab w:pos="1838" w:val="left" w:leader="none"/>
        </w:tabs>
        <w:spacing w:line="256" w:lineRule="auto" w:before="67" w:after="0"/>
        <w:ind w:left="1837" w:right="0" w:hanging="284"/>
        <w:jc w:val="both"/>
        <w:rPr>
          <w:sz w:val="20"/>
        </w:rPr>
      </w:pPr>
      <w:r>
        <w:rPr>
          <w:color w:val="231F20"/>
          <w:sz w:val="20"/>
        </w:rPr>
        <w:t>Razón de ingresos/egresos, que indica la ren- tabilidad de las unidades de producción de la zona suroriente del Estado de </w:t>
      </w:r>
      <w:r>
        <w:rPr>
          <w:color w:val="231F20"/>
          <w:spacing w:val="13"/>
          <w:sz w:val="20"/>
        </w:rPr>
        <w:t> </w:t>
      </w:r>
      <w:r>
        <w:rPr>
          <w:color w:val="231F20"/>
          <w:sz w:val="20"/>
        </w:rPr>
        <w:t>México.</w:t>
      </w:r>
    </w:p>
    <w:p>
      <w:pPr>
        <w:pStyle w:val="BodyText"/>
        <w:spacing w:line="256" w:lineRule="auto" w:before="113"/>
        <w:ind w:left="1553"/>
        <w:jc w:val="both"/>
      </w:pPr>
      <w:r>
        <w:rPr>
          <w:color w:val="231F20"/>
        </w:rPr>
        <w:t>Una vez obtenidos los datos para el desarrollo del análisis económico, la información se introdujo en una base de datos, en una hoja de cálculo Mi- </w:t>
      </w:r>
      <w:r>
        <w:rPr>
          <w:color w:val="231F20"/>
          <w:w w:val="97"/>
        </w:rPr>
        <w:t>crosoft</w:t>
      </w:r>
      <w:r>
        <w:rPr>
          <w:color w:val="231F20"/>
        </w:rPr>
        <w:t> </w:t>
      </w:r>
      <w:r>
        <w:rPr>
          <w:color w:val="231F20"/>
          <w:spacing w:val="-9"/>
        </w:rPr>
        <w:t> </w:t>
      </w:r>
      <w:r>
        <w:rPr>
          <w:color w:val="231F20"/>
          <w:w w:val="100"/>
        </w:rPr>
        <w:t>Excel</w:t>
      </w:r>
      <w:r>
        <w:rPr>
          <w:color w:val="231F20"/>
          <w:w w:val="174"/>
          <w:position w:val="7"/>
          <w:sz w:val="11"/>
        </w:rPr>
        <w:t>®</w:t>
      </w:r>
      <w:r>
        <w:rPr>
          <w:color w:val="231F20"/>
          <w:w w:val="83"/>
        </w:rPr>
        <w:t>,</w:t>
      </w:r>
      <w:r>
        <w:rPr>
          <w:color w:val="231F20"/>
        </w:rPr>
        <w:t> </w:t>
      </w:r>
      <w:r>
        <w:rPr>
          <w:color w:val="231F20"/>
          <w:spacing w:val="-9"/>
        </w:rPr>
        <w:t> </w:t>
      </w:r>
      <w:r>
        <w:rPr>
          <w:color w:val="231F20"/>
          <w:w w:val="97"/>
        </w:rPr>
        <w:t>para</w:t>
      </w:r>
      <w:r>
        <w:rPr>
          <w:color w:val="231F20"/>
        </w:rPr>
        <w:t> </w:t>
      </w:r>
      <w:r>
        <w:rPr>
          <w:color w:val="231F20"/>
          <w:spacing w:val="-9"/>
        </w:rPr>
        <w:t> </w:t>
      </w:r>
      <w:r>
        <w:rPr>
          <w:color w:val="231F20"/>
          <w:w w:val="97"/>
        </w:rPr>
        <w:t>tener</w:t>
      </w:r>
      <w:r>
        <w:rPr>
          <w:color w:val="231F20"/>
        </w:rPr>
        <w:t> </w:t>
      </w:r>
      <w:r>
        <w:rPr>
          <w:color w:val="231F20"/>
          <w:spacing w:val="-9"/>
        </w:rPr>
        <w:t> </w:t>
      </w:r>
      <w:r>
        <w:rPr>
          <w:color w:val="231F20"/>
          <w:w w:val="96"/>
        </w:rPr>
        <w:t>fácil</w:t>
      </w:r>
      <w:r>
        <w:rPr>
          <w:color w:val="231F20"/>
        </w:rPr>
        <w:t> </w:t>
      </w:r>
      <w:r>
        <w:rPr>
          <w:color w:val="231F20"/>
          <w:spacing w:val="-9"/>
        </w:rPr>
        <w:t> </w:t>
      </w:r>
      <w:r>
        <w:rPr>
          <w:color w:val="231F20"/>
          <w:w w:val="103"/>
        </w:rPr>
        <w:t>acceso</w:t>
      </w:r>
      <w:r>
        <w:rPr>
          <w:color w:val="231F20"/>
        </w:rPr>
        <w:t> </w:t>
      </w:r>
      <w:r>
        <w:rPr>
          <w:color w:val="231F20"/>
          <w:spacing w:val="-9"/>
        </w:rPr>
        <w:t> </w:t>
      </w:r>
      <w:r>
        <w:rPr>
          <w:color w:val="231F20"/>
        </w:rPr>
        <w:t>a </w:t>
      </w:r>
      <w:r>
        <w:rPr>
          <w:color w:val="231F20"/>
          <w:spacing w:val="-9"/>
        </w:rPr>
        <w:t> </w:t>
      </w:r>
      <w:r>
        <w:rPr>
          <w:color w:val="231F20"/>
          <w:w w:val="98"/>
        </w:rPr>
        <w:t>ellos.</w:t>
      </w:r>
      <w:r>
        <w:rPr>
          <w:color w:val="231F20"/>
        </w:rPr>
        <w:t> </w:t>
      </w:r>
      <w:r>
        <w:rPr>
          <w:color w:val="231F20"/>
          <w:spacing w:val="-9"/>
        </w:rPr>
        <w:t> </w:t>
      </w:r>
      <w:r>
        <w:rPr>
          <w:color w:val="231F20"/>
          <w:w w:val="108"/>
        </w:rPr>
        <w:t>Se </w:t>
      </w:r>
      <w:r>
        <w:rPr>
          <w:color w:val="231F20"/>
        </w:rPr>
        <w:t>obtuvieron los valores promedio y la desviación estándar.</w:t>
      </w:r>
    </w:p>
    <w:p>
      <w:pPr>
        <w:pStyle w:val="BodyText"/>
      </w:pPr>
    </w:p>
    <w:p>
      <w:pPr>
        <w:pStyle w:val="BodyText"/>
        <w:spacing w:before="153"/>
        <w:ind w:left="1553"/>
        <w:jc w:val="both"/>
      </w:pPr>
      <w:r>
        <w:rPr>
          <w:color w:val="231F20"/>
          <w:w w:val="110"/>
        </w:rPr>
        <w:t>RESULTADOS</w:t>
      </w:r>
    </w:p>
    <w:p>
      <w:pPr>
        <w:spacing w:before="131"/>
        <w:ind w:left="1553" w:right="0" w:firstLine="0"/>
        <w:jc w:val="both"/>
        <w:rPr>
          <w:rFonts w:ascii="Cambria" w:hAnsi="Cambria"/>
          <w:i/>
          <w:sz w:val="20"/>
        </w:rPr>
      </w:pPr>
      <w:r>
        <w:rPr>
          <w:rFonts w:ascii="Cambria" w:hAnsi="Cambria"/>
          <w:i/>
          <w:color w:val="231F20"/>
          <w:w w:val="105"/>
          <w:sz w:val="20"/>
        </w:rPr>
        <w:t>Características de la cunicultura</w:t>
      </w:r>
    </w:p>
    <w:p>
      <w:pPr>
        <w:spacing w:before="27"/>
        <w:ind w:left="1553" w:right="0" w:firstLine="0"/>
        <w:jc w:val="both"/>
        <w:rPr>
          <w:rFonts w:ascii="Cambria" w:hAnsi="Cambria"/>
          <w:i/>
          <w:sz w:val="20"/>
        </w:rPr>
      </w:pPr>
      <w:r>
        <w:rPr>
          <w:rFonts w:ascii="Cambria" w:hAnsi="Cambria"/>
          <w:i/>
          <w:color w:val="231F20"/>
          <w:w w:val="105"/>
          <w:sz w:val="20"/>
        </w:rPr>
        <w:t>en la zona suroriente del Estado de    México</w:t>
      </w:r>
    </w:p>
    <w:p>
      <w:pPr>
        <w:pStyle w:val="BodyText"/>
        <w:spacing w:line="256" w:lineRule="auto" w:before="140"/>
        <w:ind w:left="1553"/>
        <w:jc w:val="both"/>
      </w:pPr>
      <w:r>
        <w:rPr>
          <w:color w:val="231F20"/>
        </w:rPr>
        <w:t>La actividad cunícola es realizada por personas en su mayoría adultas en plenitud, generalmente pa- dres de familia, de 45 años de edad en promedio, aunque hay cunicultores jóvenes (con  una  edad de </w:t>
      </w:r>
      <w:r>
        <w:rPr>
          <w:color w:val="231F20"/>
          <w:spacing w:val="-5"/>
        </w:rPr>
        <w:t>17 </w:t>
      </w:r>
      <w:r>
        <w:rPr>
          <w:color w:val="231F20"/>
        </w:rPr>
        <w:t>años) y adultos mayores (con una edad de  </w:t>
      </w:r>
      <w:r>
        <w:rPr>
          <w:color w:val="231F20"/>
          <w:spacing w:val="-5"/>
        </w:rPr>
        <w:t>74 </w:t>
      </w:r>
      <w:r>
        <w:rPr>
          <w:color w:val="231F20"/>
        </w:rPr>
        <w:t>años). Cabe mencionar que la amplitud en el rango de edad se debe a que la actividad no impli- ca</w:t>
      </w:r>
      <w:r>
        <w:rPr>
          <w:color w:val="231F20"/>
          <w:spacing w:val="-11"/>
        </w:rPr>
        <w:t> </w:t>
      </w:r>
      <w:r>
        <w:rPr>
          <w:color w:val="231F20"/>
        </w:rPr>
        <w:t>un</w:t>
      </w:r>
      <w:r>
        <w:rPr>
          <w:color w:val="231F20"/>
          <w:spacing w:val="-11"/>
        </w:rPr>
        <w:t> </w:t>
      </w:r>
      <w:r>
        <w:rPr>
          <w:color w:val="231F20"/>
        </w:rPr>
        <w:t>esfuerzo</w:t>
      </w:r>
      <w:r>
        <w:rPr>
          <w:color w:val="231F20"/>
          <w:spacing w:val="-11"/>
        </w:rPr>
        <w:t> </w:t>
      </w:r>
      <w:r>
        <w:rPr>
          <w:color w:val="231F20"/>
        </w:rPr>
        <w:t>físico</w:t>
      </w:r>
      <w:r>
        <w:rPr>
          <w:color w:val="231F20"/>
          <w:spacing w:val="-11"/>
        </w:rPr>
        <w:t> </w:t>
      </w:r>
      <w:r>
        <w:rPr>
          <w:color w:val="231F20"/>
        </w:rPr>
        <w:t>importante.</w:t>
      </w:r>
      <w:r>
        <w:rPr>
          <w:color w:val="231F20"/>
          <w:spacing w:val="-11"/>
        </w:rPr>
        <w:t> </w:t>
      </w:r>
      <w:r>
        <w:rPr>
          <w:color w:val="231F20"/>
        </w:rPr>
        <w:t>Por</w:t>
      </w:r>
      <w:r>
        <w:rPr>
          <w:color w:val="231F20"/>
          <w:spacing w:val="-11"/>
        </w:rPr>
        <w:t> </w:t>
      </w:r>
      <w:r>
        <w:rPr>
          <w:color w:val="231F20"/>
        </w:rPr>
        <w:t>otro</w:t>
      </w:r>
      <w:r>
        <w:rPr>
          <w:color w:val="231F20"/>
          <w:spacing w:val="-11"/>
        </w:rPr>
        <w:t> </w:t>
      </w:r>
      <w:r>
        <w:rPr>
          <w:color w:val="231F20"/>
        </w:rPr>
        <w:t>lado,</w:t>
      </w:r>
      <w:r>
        <w:rPr>
          <w:color w:val="231F20"/>
          <w:spacing w:val="-11"/>
        </w:rPr>
        <w:t> </w:t>
      </w:r>
      <w:r>
        <w:rPr>
          <w:color w:val="231F20"/>
        </w:rPr>
        <w:t>en</w:t>
      </w:r>
      <w:r>
        <w:rPr>
          <w:color w:val="231F20"/>
          <w:spacing w:val="-11"/>
        </w:rPr>
        <w:t> </w:t>
      </w:r>
      <w:r>
        <w:rPr>
          <w:color w:val="231F20"/>
        </w:rPr>
        <w:t>la mayoría de las unidades de producción los varones son considerados como los responsables de la acti- vidad, aunque las mujeres y los niños se involucran de manera activa en la producción. La cunicultura se desarrolla como una actividad secundaria que aporta un ingreso económico y alimenticio extra a las</w:t>
      </w:r>
      <w:r>
        <w:rPr>
          <w:color w:val="231F20"/>
          <w:spacing w:val="-12"/>
        </w:rPr>
        <w:t> </w:t>
      </w:r>
      <w:r>
        <w:rPr>
          <w:color w:val="231F20"/>
        </w:rPr>
        <w:t>familias.</w:t>
      </w:r>
    </w:p>
    <w:p>
      <w:pPr>
        <w:pStyle w:val="BodyText"/>
        <w:spacing w:line="256" w:lineRule="auto" w:before="113"/>
        <w:ind w:left="1553"/>
        <w:jc w:val="both"/>
      </w:pPr>
      <w:r>
        <w:rPr>
          <w:color w:val="231F20"/>
        </w:rPr>
        <w:t>Las familias cunicultoras están integradas en pro- medio por cuatro miembros. El nodo familiar está conformado por los padres de familia y dos hijos,   y tres miembros suelen ser dependientes econó- micos. En algunos casos las familias están confor- madas sólo por un integrante, pero también hay familias grandes de hasta siete miembros, que dependen de los ingresos obtenidos de las distin- tas actividades que se realizan en el interior de la unidad</w:t>
      </w:r>
      <w:r>
        <w:rPr>
          <w:color w:val="231F20"/>
          <w:spacing w:val="-3"/>
        </w:rPr>
        <w:t> </w:t>
      </w:r>
      <w:r>
        <w:rPr>
          <w:color w:val="231F20"/>
        </w:rPr>
        <w:t>productiva.</w:t>
      </w:r>
    </w:p>
    <w:p>
      <w:pPr>
        <w:pStyle w:val="BodyText"/>
        <w:spacing w:line="256" w:lineRule="auto" w:before="113"/>
        <w:ind w:left="1553"/>
        <w:jc w:val="both"/>
      </w:pPr>
      <w:r>
        <w:rPr>
          <w:color w:val="231F20"/>
        </w:rPr>
        <w:t>El nivel educativo de los cunicultores es de 9 años de  escolaridad  en  promedio,  lo  que  indica    que</w:t>
      </w:r>
    </w:p>
    <w:p>
      <w:pPr>
        <w:pStyle w:val="BodyText"/>
        <w:spacing w:line="259" w:lineRule="auto" w:before="67"/>
        <w:ind w:left="412" w:right="1551"/>
        <w:jc w:val="both"/>
      </w:pPr>
      <w:r>
        <w:rPr/>
        <w:br w:type="column"/>
      </w:r>
      <w:r>
        <w:rPr>
          <w:color w:val="231F20"/>
        </w:rPr>
        <w:t>han concluido la educación secundaria. Entre los cunicultores más viejos se observó algún analfabe- tismo, mientras que los productores menores de 40 años han concluido estudios de nivel medio y superior.</w:t>
      </w:r>
    </w:p>
    <w:p>
      <w:pPr>
        <w:pStyle w:val="BodyText"/>
        <w:spacing w:line="259" w:lineRule="auto" w:before="114"/>
        <w:ind w:left="412" w:right="1551"/>
        <w:jc w:val="both"/>
      </w:pPr>
      <w:r>
        <w:rPr>
          <w:color w:val="231F20"/>
        </w:rPr>
        <w:t>Los productores tienen una antigüedad en la acti- vidad de 9 años y 8 meses en promedio, con un intervalo en el momento de aplicar las encuestas de 2 meses de antigüedad y de 54 años desarro- llando la cunicultura. El hecho de que exista una antigüedad promedio de casi </w:t>
      </w:r>
      <w:r>
        <w:rPr>
          <w:color w:val="231F20"/>
          <w:spacing w:val="-5"/>
        </w:rPr>
        <w:t>10  </w:t>
      </w:r>
      <w:r>
        <w:rPr>
          <w:color w:val="231F20"/>
        </w:rPr>
        <w:t>años indica que  se cuenta con experiencia para producir carne de conejo. El saber hacer se ha adquirido por línea directa de padres a hijos como un conocimiento  de tipo tradicional, pero a pesar de ello algunos productores utilizan nuevas tecnologías, como la inseminación artificial y la producción</w:t>
      </w:r>
      <w:r>
        <w:rPr>
          <w:color w:val="231F20"/>
          <w:spacing w:val="30"/>
        </w:rPr>
        <w:t> </w:t>
      </w:r>
      <w:r>
        <w:rPr>
          <w:color w:val="231F20"/>
        </w:rPr>
        <w:t>tecnificada.</w:t>
      </w:r>
    </w:p>
    <w:p>
      <w:pPr>
        <w:pStyle w:val="BodyText"/>
        <w:spacing w:line="259" w:lineRule="auto" w:before="114"/>
        <w:ind w:left="412" w:right="1551"/>
        <w:jc w:val="both"/>
      </w:pPr>
      <w:r>
        <w:rPr>
          <w:color w:val="231F20"/>
        </w:rPr>
        <w:t>Cabe mencionar que para desarrollar la actividad cunícola se emplea exclusivamente fuerza de tra- bajo familiar. Sólo se requiere en torno a 1 hora para atender a </w:t>
      </w:r>
      <w:r>
        <w:rPr>
          <w:color w:val="231F20"/>
          <w:spacing w:val="-5"/>
        </w:rPr>
        <w:t>10 </w:t>
      </w:r>
      <w:r>
        <w:rPr>
          <w:color w:val="231F20"/>
        </w:rPr>
        <w:t>conejas y su producción, lo que indica que es una actividad poco demandante de tiempo y por ello es considerada por los produc- tores como un complemento al ingreso familiar. Muchas unidades de producción realizan otras ac- tividades, ya sean de tipo agropecuario o bien en otros sectores de la economía, entre ellas las de comerciantes, campesinos, obreros y empleados. Sólo el </w:t>
      </w:r>
      <w:r>
        <w:rPr>
          <w:color w:val="231F20"/>
          <w:spacing w:val="-5"/>
        </w:rPr>
        <w:t>21% </w:t>
      </w:r>
      <w:r>
        <w:rPr>
          <w:color w:val="231F20"/>
        </w:rPr>
        <w:t>de los cunicultores se dedican en exclusiva a la actividad, lo que se explica porque    la cunicultura no es una actividad exigente y deja tiempo para otro trabajo; por tal motivo, los ingre- sos obtenidos por la venta de conejos pueden considerarse como un ingreso extra a la economía familiar.</w:t>
      </w:r>
    </w:p>
    <w:p>
      <w:pPr>
        <w:pStyle w:val="BodyText"/>
        <w:spacing w:line="259" w:lineRule="auto" w:before="114"/>
        <w:ind w:left="412" w:right="1551"/>
        <w:jc w:val="both"/>
      </w:pPr>
      <w:r>
        <w:rPr>
          <w:color w:val="231F20"/>
        </w:rPr>
        <w:t>En la zona predomina la cunicultura de tipo fami- liar, con un mínimo de 5 y un máximo de 50 co- nejas, más la engorda y reemplazos. Las unidades de producción entrevistadas contaban con </w:t>
      </w:r>
      <w:r>
        <w:rPr>
          <w:color w:val="231F20"/>
          <w:spacing w:val="-5"/>
        </w:rPr>
        <w:t>15 </w:t>
      </w:r>
      <w:r>
        <w:rPr>
          <w:color w:val="231F20"/>
        </w:rPr>
        <w:t>co- nejas reproductoras en promedio, principalmente de la raza Nueva Zelanda, además de     </w:t>
      </w:r>
      <w:r>
        <w:rPr>
          <w:color w:val="231F20"/>
          <w:spacing w:val="-5"/>
        </w:rPr>
        <w:t>47  </w:t>
      </w:r>
      <w:r>
        <w:rPr>
          <w:color w:val="231F20"/>
        </w:rPr>
        <w:t>gazapos</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w:t>
      </w:r>
      <w:r>
        <w:rPr>
          <w:color w:val="231F20"/>
          <w:spacing w:val="-3"/>
          <w:sz w:val="18"/>
        </w:rPr>
        <w:t>16.   </w:t>
      </w:r>
      <w:r>
        <w:rPr>
          <w:color w:val="231F20"/>
          <w:sz w:val="18"/>
        </w:rPr>
        <w:t>La cunicultura familiar, una opción para la obtención de  </w:t>
      </w:r>
      <w:r>
        <w:rPr>
          <w:color w:val="231F20"/>
          <w:spacing w:val="39"/>
          <w:sz w:val="18"/>
        </w:rPr>
        <w:t> </w:t>
      </w:r>
      <w:r>
        <w:rPr>
          <w:color w:val="231F20"/>
          <w:sz w:val="18"/>
        </w:rPr>
        <w:t>ingresos</w:t>
      </w:r>
      <w:r>
        <w:rPr>
          <w:color w:val="231F20"/>
          <w:spacing w:val="12"/>
          <w:sz w:val="18"/>
        </w:rPr>
        <w:t> </w:t>
      </w:r>
      <w:r>
        <w:rPr>
          <w:color w:val="231F20"/>
          <w:sz w:val="18"/>
        </w:rPr>
        <w:t>económicos...</w:t>
      </w:r>
      <w:r>
        <w:rPr>
          <w:color w:val="231F20"/>
          <w:sz w:val="22"/>
        </w:rPr>
        <w:tab/>
      </w:r>
      <w:r>
        <w:rPr>
          <w:color w:val="231F20"/>
          <w:spacing w:val="-5"/>
          <w:sz w:val="22"/>
        </w:rPr>
        <w:t>237</w:t>
      </w:r>
    </w:p>
    <w:p>
      <w:pPr>
        <w:spacing w:after="0"/>
        <w:jc w:val="left"/>
        <w:rPr>
          <w:sz w:val="22"/>
        </w:rPr>
        <w:sectPr>
          <w:pgSz w:w="11900" w:h="14450"/>
          <w:pgMar w:header="0" w:footer="222" w:top="420" w:bottom="420" w:left="0" w:right="0"/>
        </w:sectPr>
      </w:pPr>
    </w:p>
    <w:p>
      <w:pPr>
        <w:pStyle w:val="BodyText"/>
        <w:rPr>
          <w:sz w:val="18"/>
        </w:rPr>
      </w:pPr>
    </w:p>
    <w:p>
      <w:pPr>
        <w:spacing w:line="283" w:lineRule="auto" w:before="129"/>
        <w:ind w:left="1556" w:right="1" w:firstLine="0"/>
        <w:jc w:val="both"/>
        <w:rPr>
          <w:sz w:val="18"/>
        </w:rPr>
      </w:pPr>
      <w:r>
        <w:rPr>
          <w:color w:val="231F20"/>
          <w:sz w:val="18"/>
        </w:rPr>
        <w:t>Cuadro 2. Estructura del conejar en las unidades de producción.</w:t>
      </w:r>
    </w:p>
    <w:p>
      <w:pPr>
        <w:pStyle w:val="BodyText"/>
        <w:spacing w:before="7" w:after="1"/>
        <w:rPr>
          <w:sz w:val="8"/>
        </w:rPr>
      </w:pPr>
    </w:p>
    <w:tbl>
      <w:tblPr>
        <w:tblW w:w="0" w:type="auto"/>
        <w:jc w:val="left"/>
        <w:tblInd w:w="155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79"/>
        <w:gridCol w:w="2178"/>
      </w:tblGrid>
      <w:tr>
        <w:trPr>
          <w:trHeight w:val="629" w:hRule="exact"/>
        </w:trPr>
        <w:tc>
          <w:tcPr>
            <w:tcW w:w="1979" w:type="dxa"/>
            <w:tcBorders>
              <w:left w:val="nil"/>
            </w:tcBorders>
          </w:tcPr>
          <w:p>
            <w:pPr>
              <w:pStyle w:val="TableParagraph"/>
              <w:spacing w:before="2"/>
              <w:rPr>
                <w:sz w:val="17"/>
              </w:rPr>
            </w:pPr>
          </w:p>
          <w:p>
            <w:pPr>
              <w:pStyle w:val="TableParagraph"/>
              <w:spacing w:before="0"/>
              <w:ind w:left="734" w:right="729"/>
              <w:jc w:val="center"/>
              <w:rPr>
                <w:rFonts w:ascii="Cambria"/>
                <w:i/>
                <w:sz w:val="18"/>
              </w:rPr>
            </w:pPr>
            <w:r>
              <w:rPr>
                <w:rFonts w:ascii="Cambria"/>
                <w:i/>
                <w:color w:val="231F20"/>
                <w:w w:val="105"/>
                <w:sz w:val="18"/>
              </w:rPr>
              <w:t>Etapa</w:t>
            </w:r>
          </w:p>
        </w:tc>
        <w:tc>
          <w:tcPr>
            <w:tcW w:w="2178" w:type="dxa"/>
            <w:tcBorders>
              <w:right w:val="nil"/>
            </w:tcBorders>
          </w:tcPr>
          <w:p>
            <w:pPr>
              <w:pStyle w:val="TableParagraph"/>
              <w:spacing w:line="295" w:lineRule="auto" w:before="79"/>
              <w:ind w:left="77" w:firstLine="131"/>
              <w:rPr>
                <w:rFonts w:ascii="Cambria" w:hAnsi="Cambria"/>
                <w:i/>
                <w:sz w:val="18"/>
              </w:rPr>
            </w:pPr>
            <w:r>
              <w:rPr>
                <w:rFonts w:ascii="Cambria" w:hAnsi="Cambria"/>
                <w:i/>
                <w:color w:val="231F20"/>
                <w:spacing w:val="-4"/>
                <w:w w:val="110"/>
                <w:sz w:val="18"/>
              </w:rPr>
              <w:t>Promedio </w:t>
            </w:r>
            <w:r>
              <w:rPr>
                <w:rFonts w:ascii="Cambria" w:hAnsi="Cambria"/>
                <w:i/>
                <w:color w:val="231F20"/>
                <w:w w:val="110"/>
                <w:sz w:val="18"/>
              </w:rPr>
              <w:t>de </w:t>
            </w:r>
            <w:r>
              <w:rPr>
                <w:rFonts w:ascii="Cambria" w:hAnsi="Cambria"/>
                <w:i/>
                <w:color w:val="231F20"/>
                <w:spacing w:val="-4"/>
                <w:w w:val="110"/>
                <w:sz w:val="18"/>
              </w:rPr>
              <w:t>animales </w:t>
            </w:r>
            <w:r>
              <w:rPr>
                <w:rFonts w:ascii="Cambria" w:hAnsi="Cambria"/>
                <w:i/>
                <w:color w:val="231F20"/>
                <w:spacing w:val="-3"/>
                <w:w w:val="110"/>
                <w:sz w:val="18"/>
              </w:rPr>
              <w:t>por </w:t>
            </w:r>
            <w:r>
              <w:rPr>
                <w:rFonts w:ascii="Cambria" w:hAnsi="Cambria"/>
                <w:i/>
                <w:color w:val="231F20"/>
                <w:spacing w:val="-4"/>
                <w:w w:val="110"/>
                <w:sz w:val="18"/>
              </w:rPr>
              <w:t>unidad </w:t>
            </w:r>
            <w:r>
              <w:rPr>
                <w:rFonts w:ascii="Cambria" w:hAnsi="Cambria"/>
                <w:i/>
                <w:color w:val="231F20"/>
                <w:w w:val="110"/>
                <w:sz w:val="18"/>
              </w:rPr>
              <w:t>de </w:t>
            </w:r>
            <w:r>
              <w:rPr>
                <w:rFonts w:ascii="Cambria" w:hAnsi="Cambria"/>
                <w:i/>
                <w:color w:val="231F20"/>
                <w:spacing w:val="-4"/>
                <w:w w:val="110"/>
                <w:sz w:val="18"/>
              </w:rPr>
              <w:t>producción</w:t>
            </w:r>
          </w:p>
        </w:tc>
      </w:tr>
      <w:tr>
        <w:trPr>
          <w:trHeight w:val="354" w:hRule="exact"/>
        </w:trPr>
        <w:tc>
          <w:tcPr>
            <w:tcW w:w="1979" w:type="dxa"/>
            <w:tcBorders>
              <w:left w:val="nil"/>
            </w:tcBorders>
          </w:tcPr>
          <w:p>
            <w:pPr>
              <w:pStyle w:val="TableParagraph"/>
              <w:ind w:left="113"/>
              <w:rPr>
                <w:sz w:val="17"/>
              </w:rPr>
            </w:pPr>
            <w:r>
              <w:rPr>
                <w:color w:val="231F20"/>
                <w:sz w:val="17"/>
              </w:rPr>
              <w:t>Vientres</w:t>
            </w:r>
          </w:p>
        </w:tc>
        <w:tc>
          <w:tcPr>
            <w:tcW w:w="2178" w:type="dxa"/>
            <w:tcBorders>
              <w:right w:val="nil"/>
            </w:tcBorders>
          </w:tcPr>
          <w:p>
            <w:pPr>
              <w:pStyle w:val="TableParagraph"/>
              <w:ind w:left="646"/>
              <w:rPr>
                <w:sz w:val="17"/>
              </w:rPr>
            </w:pPr>
            <w:r>
              <w:rPr>
                <w:color w:val="231F20"/>
                <w:w w:val="110"/>
                <w:sz w:val="17"/>
              </w:rPr>
              <w:t>15 conejas</w:t>
            </w:r>
          </w:p>
        </w:tc>
      </w:tr>
      <w:tr>
        <w:trPr>
          <w:trHeight w:val="354" w:hRule="exact"/>
        </w:trPr>
        <w:tc>
          <w:tcPr>
            <w:tcW w:w="1979" w:type="dxa"/>
            <w:tcBorders>
              <w:left w:val="nil"/>
            </w:tcBorders>
          </w:tcPr>
          <w:p>
            <w:pPr>
              <w:pStyle w:val="TableParagraph"/>
              <w:ind w:left="113"/>
              <w:rPr>
                <w:sz w:val="17"/>
              </w:rPr>
            </w:pPr>
            <w:r>
              <w:rPr>
                <w:color w:val="231F20"/>
                <w:w w:val="105"/>
                <w:sz w:val="17"/>
              </w:rPr>
              <w:t>Sementales</w:t>
            </w:r>
          </w:p>
        </w:tc>
        <w:tc>
          <w:tcPr>
            <w:tcW w:w="2178" w:type="dxa"/>
            <w:tcBorders>
              <w:right w:val="nil"/>
            </w:tcBorders>
          </w:tcPr>
          <w:p>
            <w:pPr>
              <w:pStyle w:val="TableParagraph"/>
              <w:ind w:right="609"/>
              <w:jc w:val="right"/>
              <w:rPr>
                <w:sz w:val="17"/>
              </w:rPr>
            </w:pPr>
            <w:r>
              <w:rPr>
                <w:color w:val="231F20"/>
                <w:w w:val="105"/>
                <w:sz w:val="17"/>
              </w:rPr>
              <w:t>2,5 conejos</w:t>
            </w:r>
          </w:p>
        </w:tc>
      </w:tr>
      <w:tr>
        <w:trPr>
          <w:trHeight w:val="383" w:hRule="exact"/>
        </w:trPr>
        <w:tc>
          <w:tcPr>
            <w:tcW w:w="1979" w:type="dxa"/>
            <w:tcBorders>
              <w:left w:val="nil"/>
            </w:tcBorders>
          </w:tcPr>
          <w:p>
            <w:pPr>
              <w:pStyle w:val="TableParagraph"/>
              <w:ind w:left="113"/>
              <w:rPr>
                <w:sz w:val="17"/>
              </w:rPr>
            </w:pPr>
            <w:r>
              <w:rPr>
                <w:color w:val="231F20"/>
                <w:sz w:val="17"/>
              </w:rPr>
              <w:t>Reemplazos  de vientres</w:t>
            </w:r>
          </w:p>
        </w:tc>
        <w:tc>
          <w:tcPr>
            <w:tcW w:w="2178" w:type="dxa"/>
            <w:tcBorders>
              <w:right w:val="nil"/>
            </w:tcBorders>
          </w:tcPr>
          <w:p>
            <w:pPr>
              <w:pStyle w:val="TableParagraph"/>
              <w:ind w:right="627"/>
              <w:jc w:val="right"/>
              <w:rPr>
                <w:sz w:val="17"/>
              </w:rPr>
            </w:pPr>
            <w:r>
              <w:rPr>
                <w:color w:val="231F20"/>
                <w:w w:val="105"/>
                <w:sz w:val="17"/>
              </w:rPr>
              <w:t>6,7 conejas</w:t>
            </w:r>
          </w:p>
        </w:tc>
      </w:tr>
      <w:tr>
        <w:trPr>
          <w:trHeight w:val="372" w:hRule="exact"/>
        </w:trPr>
        <w:tc>
          <w:tcPr>
            <w:tcW w:w="1979" w:type="dxa"/>
            <w:tcBorders>
              <w:left w:val="nil"/>
            </w:tcBorders>
          </w:tcPr>
          <w:p>
            <w:pPr>
              <w:pStyle w:val="TableParagraph"/>
              <w:ind w:left="113"/>
              <w:rPr>
                <w:sz w:val="17"/>
              </w:rPr>
            </w:pPr>
            <w:r>
              <w:rPr>
                <w:color w:val="231F20"/>
                <w:spacing w:val="-4"/>
                <w:w w:val="105"/>
                <w:sz w:val="17"/>
              </w:rPr>
              <w:t>Reemplazo </w:t>
            </w:r>
            <w:r>
              <w:rPr>
                <w:color w:val="231F20"/>
                <w:w w:val="105"/>
                <w:sz w:val="17"/>
              </w:rPr>
              <w:t>de </w:t>
            </w:r>
            <w:r>
              <w:rPr>
                <w:color w:val="231F20"/>
                <w:spacing w:val="-4"/>
                <w:w w:val="105"/>
                <w:sz w:val="17"/>
              </w:rPr>
              <w:t>sementales</w:t>
            </w:r>
          </w:p>
        </w:tc>
        <w:tc>
          <w:tcPr>
            <w:tcW w:w="2178" w:type="dxa"/>
            <w:tcBorders>
              <w:right w:val="nil"/>
            </w:tcBorders>
          </w:tcPr>
          <w:p>
            <w:pPr>
              <w:pStyle w:val="TableParagraph"/>
              <w:ind w:right="609"/>
              <w:jc w:val="right"/>
              <w:rPr>
                <w:sz w:val="17"/>
              </w:rPr>
            </w:pPr>
            <w:r>
              <w:rPr>
                <w:color w:val="231F20"/>
                <w:w w:val="105"/>
                <w:sz w:val="17"/>
              </w:rPr>
              <w:t>1,4 conejos</w:t>
            </w:r>
          </w:p>
        </w:tc>
      </w:tr>
      <w:tr>
        <w:trPr>
          <w:trHeight w:val="354" w:hRule="exact"/>
        </w:trPr>
        <w:tc>
          <w:tcPr>
            <w:tcW w:w="1979" w:type="dxa"/>
            <w:tcBorders>
              <w:left w:val="nil"/>
            </w:tcBorders>
          </w:tcPr>
          <w:p>
            <w:pPr>
              <w:pStyle w:val="TableParagraph"/>
              <w:ind w:left="113"/>
              <w:rPr>
                <w:sz w:val="17"/>
              </w:rPr>
            </w:pPr>
            <w:r>
              <w:rPr>
                <w:color w:val="231F20"/>
                <w:w w:val="105"/>
                <w:sz w:val="17"/>
              </w:rPr>
              <w:t>Conejos en engorda</w:t>
            </w:r>
          </w:p>
        </w:tc>
        <w:tc>
          <w:tcPr>
            <w:tcW w:w="2178" w:type="dxa"/>
            <w:tcBorders>
              <w:right w:val="nil"/>
            </w:tcBorders>
          </w:tcPr>
          <w:p>
            <w:pPr>
              <w:pStyle w:val="TableParagraph"/>
              <w:ind w:right="595"/>
              <w:jc w:val="right"/>
              <w:rPr>
                <w:sz w:val="17"/>
              </w:rPr>
            </w:pPr>
            <w:r>
              <w:rPr>
                <w:color w:val="231F20"/>
                <w:w w:val="105"/>
                <w:sz w:val="17"/>
              </w:rPr>
              <w:t>44,6 conejos</w:t>
            </w:r>
          </w:p>
        </w:tc>
      </w:tr>
      <w:tr>
        <w:trPr>
          <w:trHeight w:val="354" w:hRule="exact"/>
        </w:trPr>
        <w:tc>
          <w:tcPr>
            <w:tcW w:w="1979" w:type="dxa"/>
            <w:tcBorders>
              <w:left w:val="nil"/>
            </w:tcBorders>
          </w:tcPr>
          <w:p>
            <w:pPr>
              <w:pStyle w:val="TableParagraph"/>
              <w:ind w:left="113"/>
              <w:rPr>
                <w:sz w:val="17"/>
              </w:rPr>
            </w:pPr>
            <w:r>
              <w:rPr>
                <w:color w:val="231F20"/>
                <w:sz w:val="17"/>
              </w:rPr>
              <w:t>Gazapos destetados</w:t>
            </w:r>
          </w:p>
        </w:tc>
        <w:tc>
          <w:tcPr>
            <w:tcW w:w="2178" w:type="dxa"/>
            <w:tcBorders>
              <w:right w:val="nil"/>
            </w:tcBorders>
          </w:tcPr>
          <w:p>
            <w:pPr>
              <w:pStyle w:val="TableParagraph"/>
              <w:ind w:right="571"/>
              <w:jc w:val="right"/>
              <w:rPr>
                <w:sz w:val="17"/>
              </w:rPr>
            </w:pPr>
            <w:r>
              <w:rPr>
                <w:color w:val="231F20"/>
                <w:w w:val="105"/>
                <w:sz w:val="17"/>
              </w:rPr>
              <w:t>44,6 gazapos</w:t>
            </w:r>
          </w:p>
        </w:tc>
      </w:tr>
      <w:tr>
        <w:trPr>
          <w:trHeight w:val="354" w:hRule="exact"/>
        </w:trPr>
        <w:tc>
          <w:tcPr>
            <w:tcW w:w="1979" w:type="dxa"/>
            <w:tcBorders>
              <w:left w:val="nil"/>
            </w:tcBorders>
          </w:tcPr>
          <w:p>
            <w:pPr>
              <w:pStyle w:val="TableParagraph"/>
              <w:ind w:left="113"/>
              <w:rPr>
                <w:sz w:val="17"/>
              </w:rPr>
            </w:pPr>
            <w:r>
              <w:rPr>
                <w:color w:val="231F20"/>
                <w:sz w:val="17"/>
              </w:rPr>
              <w:t>Gazapos  en lactancia</w:t>
            </w:r>
          </w:p>
        </w:tc>
        <w:tc>
          <w:tcPr>
            <w:tcW w:w="2178" w:type="dxa"/>
            <w:tcBorders>
              <w:right w:val="nil"/>
            </w:tcBorders>
          </w:tcPr>
          <w:p>
            <w:pPr>
              <w:pStyle w:val="TableParagraph"/>
              <w:ind w:right="574"/>
              <w:jc w:val="right"/>
              <w:rPr>
                <w:sz w:val="17"/>
              </w:rPr>
            </w:pPr>
            <w:r>
              <w:rPr>
                <w:color w:val="231F20"/>
                <w:w w:val="105"/>
                <w:sz w:val="17"/>
              </w:rPr>
              <w:t>31,5 gazapos</w:t>
            </w:r>
          </w:p>
        </w:tc>
      </w:tr>
      <w:tr>
        <w:trPr>
          <w:trHeight w:val="574" w:hRule="exact"/>
        </w:trPr>
        <w:tc>
          <w:tcPr>
            <w:tcW w:w="1979" w:type="dxa"/>
            <w:tcBorders>
              <w:left w:val="nil"/>
            </w:tcBorders>
          </w:tcPr>
          <w:p>
            <w:pPr>
              <w:pStyle w:val="TableParagraph"/>
              <w:spacing w:line="254" w:lineRule="auto"/>
              <w:ind w:left="113" w:right="295"/>
              <w:rPr>
                <w:sz w:val="17"/>
              </w:rPr>
            </w:pPr>
            <w:r>
              <w:rPr>
                <w:color w:val="231F20"/>
                <w:sz w:val="17"/>
              </w:rPr>
              <w:t>Total de animales por unidad  de producción</w:t>
            </w:r>
          </w:p>
        </w:tc>
        <w:tc>
          <w:tcPr>
            <w:tcW w:w="2178" w:type="dxa"/>
            <w:tcBorders>
              <w:right w:val="nil"/>
            </w:tcBorders>
          </w:tcPr>
          <w:p>
            <w:pPr>
              <w:pStyle w:val="TableParagraph"/>
              <w:spacing w:before="0"/>
              <w:rPr>
                <w:sz w:val="15"/>
              </w:rPr>
            </w:pPr>
          </w:p>
          <w:p>
            <w:pPr>
              <w:pStyle w:val="TableParagraph"/>
              <w:spacing w:before="0"/>
              <w:ind w:right="591"/>
              <w:jc w:val="right"/>
              <w:rPr>
                <w:sz w:val="17"/>
              </w:rPr>
            </w:pPr>
            <w:r>
              <w:rPr>
                <w:color w:val="231F20"/>
                <w:w w:val="105"/>
                <w:sz w:val="17"/>
              </w:rPr>
              <w:t>121,8 conejos</w:t>
            </w:r>
          </w:p>
        </w:tc>
      </w:tr>
    </w:tbl>
    <w:p>
      <w:pPr>
        <w:spacing w:before="94"/>
        <w:ind w:left="1556" w:right="0" w:firstLine="0"/>
        <w:jc w:val="both"/>
        <w:rPr>
          <w:sz w:val="15"/>
        </w:rPr>
      </w:pPr>
      <w:r>
        <w:rPr>
          <w:color w:val="231F20"/>
          <w:sz w:val="15"/>
        </w:rPr>
        <w:t>Fuente: trabajo de campo.</w:t>
      </w:r>
    </w:p>
    <w:p>
      <w:pPr>
        <w:pStyle w:val="BodyText"/>
        <w:rPr>
          <w:sz w:val="14"/>
        </w:rPr>
      </w:pPr>
    </w:p>
    <w:p>
      <w:pPr>
        <w:pStyle w:val="BodyText"/>
        <w:rPr>
          <w:sz w:val="14"/>
        </w:rPr>
      </w:pPr>
    </w:p>
    <w:p>
      <w:pPr>
        <w:pStyle w:val="BodyText"/>
        <w:rPr>
          <w:sz w:val="14"/>
        </w:rPr>
      </w:pPr>
    </w:p>
    <w:p>
      <w:pPr>
        <w:pStyle w:val="BodyText"/>
        <w:spacing w:before="5"/>
        <w:rPr>
          <w:sz w:val="13"/>
        </w:rPr>
      </w:pPr>
    </w:p>
    <w:p>
      <w:pPr>
        <w:pStyle w:val="BodyText"/>
        <w:spacing w:line="264" w:lineRule="auto"/>
        <w:ind w:left="1553"/>
        <w:jc w:val="both"/>
      </w:pPr>
      <w:r>
        <w:rPr>
          <w:color w:val="231F20"/>
          <w:w w:val="105"/>
        </w:rPr>
        <w:t>en producción y engorda. Con respecto a los pa- rámetros productivos, la relación</w:t>
      </w:r>
      <w:r>
        <w:rPr>
          <w:color w:val="231F20"/>
          <w:spacing w:val="-28"/>
          <w:w w:val="105"/>
        </w:rPr>
        <w:t> </w:t>
      </w:r>
      <w:r>
        <w:rPr>
          <w:color w:val="231F20"/>
          <w:w w:val="105"/>
        </w:rPr>
        <w:t>macho/hembra es de 6 conejas por semental (Cuadro 2). Al año, una coneja reproductora tiene en promedio seis partos, con ocho gazapos por parto. El índice de mortalidad es del 0,4%, cifra muy baja que indi- ca la facilidad de la crianza del conejo y una alta productividad</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cunicultor</w:t>
      </w:r>
      <w:r>
        <w:rPr>
          <w:color w:val="231F20"/>
          <w:spacing w:val="-11"/>
          <w:w w:val="105"/>
        </w:rPr>
        <w:t> </w:t>
      </w:r>
      <w:r>
        <w:rPr>
          <w:color w:val="231F20"/>
          <w:w w:val="105"/>
        </w:rPr>
        <w:t>(el</w:t>
      </w:r>
      <w:r>
        <w:rPr>
          <w:color w:val="231F20"/>
          <w:spacing w:val="-11"/>
          <w:w w:val="105"/>
        </w:rPr>
        <w:t> </w:t>
      </w:r>
      <w:r>
        <w:rPr>
          <w:color w:val="231F20"/>
          <w:w w:val="105"/>
        </w:rPr>
        <w:t>tiempo</w:t>
      </w:r>
      <w:r>
        <w:rPr>
          <w:color w:val="231F20"/>
          <w:spacing w:val="-11"/>
          <w:w w:val="105"/>
        </w:rPr>
        <w:t> </w:t>
      </w:r>
      <w:r>
        <w:rPr>
          <w:color w:val="231F20"/>
          <w:w w:val="105"/>
        </w:rPr>
        <w:t>de</w:t>
      </w:r>
      <w:r>
        <w:rPr>
          <w:color w:val="231F20"/>
          <w:spacing w:val="-11"/>
          <w:w w:val="105"/>
        </w:rPr>
        <w:t> </w:t>
      </w:r>
      <w:r>
        <w:rPr>
          <w:color w:val="231F20"/>
          <w:w w:val="105"/>
        </w:rPr>
        <w:t>en- gorda de los gazapos es en promedio de 53</w:t>
      </w:r>
      <w:r>
        <w:rPr>
          <w:color w:val="231F20"/>
          <w:spacing w:val="-23"/>
          <w:w w:val="105"/>
        </w:rPr>
        <w:t> </w:t>
      </w:r>
      <w:r>
        <w:rPr>
          <w:color w:val="231F20"/>
          <w:w w:val="105"/>
        </w:rPr>
        <w:t>días).</w:t>
      </w:r>
    </w:p>
    <w:p>
      <w:pPr>
        <w:pStyle w:val="BodyText"/>
        <w:spacing w:line="264" w:lineRule="auto" w:before="112"/>
        <w:ind w:left="1553"/>
        <w:jc w:val="both"/>
      </w:pPr>
      <w:r>
        <w:rPr>
          <w:color w:val="231F20"/>
        </w:rPr>
        <w:t>La producción generada es de 44,61 conejos en engorda, 10,83 gazapos destetados y 31,45 gaza- pos en lactancia, dando un total de 86,89 conejos, con lo cual puede mantenerse una continuidad en la oferta de los productos y tener los ingresos sufi- cientes para mantener el conejar y lograr</w:t>
      </w:r>
      <w:r>
        <w:rPr>
          <w:color w:val="231F20"/>
          <w:spacing w:val="-18"/>
        </w:rPr>
        <w:t> </w:t>
      </w:r>
      <w:r>
        <w:rPr>
          <w:color w:val="231F20"/>
        </w:rPr>
        <w:t>utilidades que ayuden al gasto</w:t>
      </w:r>
      <w:r>
        <w:rPr>
          <w:color w:val="231F20"/>
          <w:spacing w:val="29"/>
        </w:rPr>
        <w:t> </w:t>
      </w:r>
      <w:r>
        <w:rPr>
          <w:color w:val="231F20"/>
        </w:rPr>
        <w:t>familiar.</w:t>
      </w:r>
    </w:p>
    <w:p>
      <w:pPr>
        <w:pStyle w:val="BodyText"/>
        <w:spacing w:line="264" w:lineRule="auto" w:before="112"/>
        <w:ind w:left="1553"/>
        <w:jc w:val="both"/>
      </w:pPr>
      <w:r>
        <w:rPr>
          <w:color w:val="231F20"/>
        </w:rPr>
        <w:t>La eficiencia productiva de cada unidad de produc- ción es variable, ya que depende del tamaño, el manejo, la dedicación y los conocimientos sobre la especie y la actividad. La producción promedio es de  685  conejos  al  año,  aunque  hay productores</w:t>
      </w:r>
    </w:p>
    <w:p>
      <w:pPr>
        <w:pStyle w:val="BodyText"/>
        <w:spacing w:before="3"/>
        <w:rPr>
          <w:sz w:val="28"/>
        </w:rPr>
      </w:pPr>
      <w:r>
        <w:rPr/>
        <w:br w:type="column"/>
      </w:r>
      <w:r>
        <w:rPr>
          <w:sz w:val="28"/>
        </w:rPr>
      </w:r>
    </w:p>
    <w:p>
      <w:pPr>
        <w:pStyle w:val="BodyText"/>
        <w:spacing w:line="259" w:lineRule="auto"/>
        <w:ind w:left="413" w:right="1551"/>
        <w:jc w:val="both"/>
      </w:pPr>
      <w:r>
        <w:rPr>
          <w:color w:val="231F20"/>
        </w:rPr>
        <w:t>que sólo llevan al mercado </w:t>
      </w:r>
      <w:r>
        <w:rPr>
          <w:color w:val="231F20"/>
          <w:spacing w:val="-5"/>
        </w:rPr>
        <w:t>132 </w:t>
      </w:r>
      <w:r>
        <w:rPr>
          <w:color w:val="231F20"/>
        </w:rPr>
        <w:t>conejos al año y otros que producen hasta 2472 conejos al año. Cabe mencionar que el autoconsumo es mínimo     y la mayor proporción se destina a los restaurantes de la</w:t>
      </w:r>
      <w:r>
        <w:rPr>
          <w:color w:val="231F20"/>
          <w:spacing w:val="31"/>
        </w:rPr>
        <w:t> </w:t>
      </w:r>
      <w:r>
        <w:rPr>
          <w:color w:val="231F20"/>
        </w:rPr>
        <w:t>zona.</w:t>
      </w:r>
    </w:p>
    <w:p>
      <w:pPr>
        <w:pStyle w:val="BodyText"/>
        <w:spacing w:line="259" w:lineRule="auto" w:before="114"/>
        <w:ind w:left="413" w:right="1551"/>
        <w:jc w:val="both"/>
      </w:pPr>
      <w:r>
        <w:rPr>
          <w:color w:val="231F20"/>
        </w:rPr>
        <w:t>Los niveles productivos se consideran adecuados para unidades de  producción  poco  tecnificadas.  A pesar de contar con parámetros adecuados, la base genética está desgastada debido a que no se cuenta con animales puros; la mayor proporción  de animales de pie de cría son híbridos, con una base de las razas California y Nueva Zelanda. Los reemplazos en los conejares se producen en el interior de las granjas, y difícilmente se compran animales de centros de mejoramiento genético  que garanticen la calidad</w:t>
      </w:r>
      <w:r>
        <w:rPr>
          <w:color w:val="231F20"/>
          <w:spacing w:val="39"/>
        </w:rPr>
        <w:t> </w:t>
      </w:r>
      <w:r>
        <w:rPr>
          <w:color w:val="231F20"/>
        </w:rPr>
        <w:t>genética.</w:t>
      </w:r>
    </w:p>
    <w:p>
      <w:pPr>
        <w:pStyle w:val="BodyText"/>
        <w:spacing w:line="259" w:lineRule="auto" w:before="114"/>
        <w:ind w:left="413" w:right="1551"/>
        <w:jc w:val="both"/>
      </w:pPr>
      <w:r>
        <w:rPr>
          <w:color w:val="231F20"/>
        </w:rPr>
        <w:t>La tecnología empleada en las unidades de pro- ducción es básica. Las jaulas son en un </w:t>
      </w:r>
      <w:r>
        <w:rPr>
          <w:color w:val="231F20"/>
          <w:spacing w:val="-3"/>
        </w:rPr>
        <w:t>79% </w:t>
      </w:r>
      <w:r>
        <w:rPr>
          <w:color w:val="231F20"/>
        </w:rPr>
        <w:t>de alambre y las paredes son de tabicón (52%), pero  el </w:t>
      </w:r>
      <w:r>
        <w:rPr>
          <w:color w:val="231F20"/>
          <w:spacing w:val="-3"/>
        </w:rPr>
        <w:t>15% </w:t>
      </w:r>
      <w:r>
        <w:rPr>
          <w:color w:val="231F20"/>
        </w:rPr>
        <w:t>no cuenta con paredes (aunque esto no repercute en los parámetros productivos y repro- ductivos dada la rusticidad de la especie). Los pi- sos son de tierra o cemento, el 46% tiene techos  de lámina galvanizada y el resto de lámina de car- tón o de materiales de reciclaje. Las unidades de producción carecen de tecnología de punta y la mayoría se encuentran al aire libre. En cuanto a bioseguridad, el 56% usan desinfectantes, el </w:t>
      </w:r>
      <w:r>
        <w:rPr>
          <w:color w:val="231F20"/>
          <w:spacing w:val="-3"/>
        </w:rPr>
        <w:t>10% </w:t>
      </w:r>
      <w:r>
        <w:rPr>
          <w:color w:val="231F20"/>
        </w:rPr>
        <w:t>tapete sanitario y el 34% no utilizan nada; a pesar de no realizar prácticas de bioseguridad, los pará- metros de mortalidad no son </w:t>
      </w:r>
      <w:r>
        <w:rPr>
          <w:color w:val="231F20"/>
          <w:spacing w:val="19"/>
        </w:rPr>
        <w:t> </w:t>
      </w:r>
      <w:r>
        <w:rPr>
          <w:color w:val="231F20"/>
        </w:rPr>
        <w:t>altos.</w:t>
      </w:r>
    </w:p>
    <w:p>
      <w:pPr>
        <w:pStyle w:val="BodyText"/>
        <w:spacing w:line="259" w:lineRule="auto" w:before="114"/>
        <w:ind w:left="413" w:right="1551"/>
        <w:jc w:val="both"/>
      </w:pPr>
      <w:r>
        <w:rPr>
          <w:color w:val="231F20"/>
        </w:rPr>
        <w:t>Aunque la cunicultura en la zona se practica en condiciones de traspatio y con un bajo nivel tec- nológico, la actividad cunícola ha crecido en las últimas tres décadas, sobre todo a partir del año 2000, y como ya se mencionó, el promedio de antigüedad en la actividad es de 9,8 años. La cuni- cultura en la zona se da por varios factores, como son el clima favorable, la rusticidad y la facilidad para criar esta especie, el apoyo por parte de los gobiernos   municipales   para   dotar   paquetes de</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spacing w:val="-4"/>
          <w:w w:val="130"/>
          <w:sz w:val="22"/>
        </w:rPr>
        <w:t>238</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rPr>
        <w:t>cuatro hembras y un semental dentro de sus pro- gramas sociales, y el hecho de que en la zona se comercialicen los conejos en los restaurantes ubi- cados en la carretera México-Cuautla, en el tramo de Chalco a Tepetlixpa. Además de lo antes citado, los productores dicen dedicarse a la actividad por gusto, pasatiempo, facilidad, interés económico y tradición.</w:t>
      </w:r>
    </w:p>
    <w:p>
      <w:pPr>
        <w:pStyle w:val="BodyText"/>
        <w:spacing w:line="259" w:lineRule="auto" w:before="114"/>
        <w:ind w:left="1553"/>
        <w:jc w:val="both"/>
      </w:pPr>
      <w:r>
        <w:rPr>
          <w:color w:val="231F20"/>
        </w:rPr>
        <w:t>A pesar de que las condiciones son favorables y    de que paulatinamente se va generando un saber hacer, la cunicultura en la zona carece de soporte técnico y la producción se basa en el conocimien- to empírico, lo cual no ha permitido detonar con mayor fuerza el potencial de esta </w:t>
      </w:r>
      <w:r>
        <w:rPr>
          <w:color w:val="231F20"/>
          <w:spacing w:val="4"/>
        </w:rPr>
        <w:t> </w:t>
      </w:r>
      <w:r>
        <w:rPr>
          <w:color w:val="231F20"/>
        </w:rPr>
        <w:t>actividad.</w:t>
      </w:r>
    </w:p>
    <w:p>
      <w:pPr>
        <w:pStyle w:val="BodyText"/>
        <w:spacing w:line="259" w:lineRule="auto" w:before="114"/>
        <w:ind w:left="1553"/>
        <w:jc w:val="both"/>
      </w:pPr>
      <w:r>
        <w:rPr>
          <w:color w:val="231F20"/>
        </w:rPr>
        <w:t>La producción de carne de  conejo  se  distribuye en diferentes tipos de mercado, según las posibi- lidades y necesidades de cada productor (Fig. 1).   El 38% de la producción se comercializa en res- taurantes de la zona, el 33% se vende en forma    de menudeo entre vecinos de los productores, el 24% se entrega a intermediarios, el 5% de la pro- ducción es para autoconsumo y la venta de ani- males para pie de cría es </w:t>
      </w:r>
      <w:r>
        <w:rPr>
          <w:color w:val="231F20"/>
          <w:spacing w:val="29"/>
        </w:rPr>
        <w:t> </w:t>
      </w:r>
      <w:r>
        <w:rPr>
          <w:color w:val="231F20"/>
        </w:rPr>
        <w:t>insignificante.</w:t>
      </w:r>
    </w:p>
    <w:p>
      <w:pPr>
        <w:pStyle w:val="BodyText"/>
        <w:spacing w:line="264" w:lineRule="auto" w:before="69"/>
        <w:ind w:left="412" w:right="1551"/>
        <w:jc w:val="both"/>
      </w:pPr>
      <w:r>
        <w:rPr/>
        <w:br w:type="column"/>
      </w:r>
      <w:r>
        <w:rPr>
          <w:color w:val="231F20"/>
        </w:rPr>
        <w:t>Al ser la mayor proporción comercializada en res- taurantes se asegura la venta, aunque por otro lado, si los restaurantes disminuyen sus ventas los cunicultores se ven afectados de manera directa. Por ello, los cunicultores, para poder enfrentar un escenario desfavorable, tendrán que idear estrate- gias más complejas de comercialización, como es   la venta al detalle o bien con diferentes presenta- ciones a una cartera de clientes </w:t>
      </w:r>
      <w:r>
        <w:rPr>
          <w:color w:val="231F20"/>
          <w:spacing w:val="14"/>
        </w:rPr>
        <w:t> </w:t>
      </w:r>
      <w:r>
        <w:rPr>
          <w:color w:val="231F20"/>
        </w:rPr>
        <w:t>diversificada.</w:t>
      </w:r>
    </w:p>
    <w:p>
      <w:pPr>
        <w:pStyle w:val="BodyText"/>
        <w:spacing w:line="264" w:lineRule="auto" w:before="114"/>
        <w:ind w:left="412" w:right="1551"/>
        <w:jc w:val="both"/>
      </w:pPr>
      <w:r>
        <w:rPr>
          <w:color w:val="231F20"/>
        </w:rPr>
        <w:t>Cabe mencionar que los conejos comercializados por los intermediarios son revendidos a los res- taurantes. Al considerar esto, los restaurantes co- mercializan el 62%  de  la  producción  local  y  son el actor que dinamiza la producción de la zona.    En ese tenor, los fenómenos que afectan a los restaurantes impactan a los intermediarios y las unidades de producción; por ejemplo, en el año </w:t>
      </w:r>
      <w:r>
        <w:rPr>
          <w:color w:val="231F20"/>
          <w:spacing w:val="-6"/>
        </w:rPr>
        <w:t>2011 </w:t>
      </w:r>
      <w:r>
        <w:rPr>
          <w:color w:val="231F20"/>
        </w:rPr>
        <w:t>se inauguró el libramiento de cuatro carriles Chalco-Amecameca, el cual no pasa  por  la  zona de restaurantes, y tal situación ha ocasionado una disminución de las ventas de platillos a base de carne de conejo que va de un </w:t>
      </w:r>
      <w:r>
        <w:rPr>
          <w:color w:val="231F20"/>
          <w:spacing w:val="-3"/>
        </w:rPr>
        <w:t>15%  </w:t>
      </w:r>
      <w:r>
        <w:rPr>
          <w:color w:val="231F20"/>
        </w:rPr>
        <w:t>a un 20%, y     los productores e intermediarios se ven </w:t>
      </w:r>
      <w:r>
        <w:rPr>
          <w:color w:val="231F20"/>
          <w:spacing w:val="15"/>
        </w:rPr>
        <w:t> </w:t>
      </w:r>
      <w:r>
        <w:rPr>
          <w:color w:val="231F20"/>
        </w:rPr>
        <w:t>afectados.</w:t>
      </w:r>
    </w:p>
    <w:p>
      <w:pPr>
        <w:spacing w:after="0" w:line="264" w:lineRule="auto"/>
        <w:jc w:val="both"/>
        <w:sectPr>
          <w:type w:val="continuous"/>
          <w:pgSz w:w="11900" w:h="14450"/>
          <w:pgMar w:top="420" w:bottom="420" w:left="0" w:right="0"/>
          <w:cols w:num="2" w:equalWidth="0">
            <w:col w:w="5722" w:space="40"/>
            <w:col w:w="6138"/>
          </w:cols>
        </w:sectPr>
      </w:pPr>
    </w:p>
    <w:p>
      <w:pPr>
        <w:pStyle w:val="BodyText"/>
      </w:pPr>
    </w:p>
    <w:p>
      <w:pPr>
        <w:pStyle w:val="BodyText"/>
        <w:spacing w:before="5"/>
      </w:pPr>
    </w:p>
    <w:p>
      <w:pPr>
        <w:pStyle w:val="BodyText"/>
        <w:ind w:left="2828"/>
      </w:pPr>
      <w:r>
        <w:rPr/>
        <w:drawing>
          <wp:inline distT="0" distB="0" distL="0" distR="0">
            <wp:extent cx="3942414" cy="2293620"/>
            <wp:effectExtent l="0" t="0" r="0" b="0"/>
            <wp:docPr id="179" name="image294.png" descr=""/>
            <wp:cNvGraphicFramePr>
              <a:graphicFrameLocks noChangeAspect="1"/>
            </wp:cNvGraphicFramePr>
            <a:graphic>
              <a:graphicData uri="http://schemas.openxmlformats.org/drawingml/2006/picture">
                <pic:pic>
                  <pic:nvPicPr>
                    <pic:cNvPr id="180" name="image294.png"/>
                    <pic:cNvPicPr/>
                  </pic:nvPicPr>
                  <pic:blipFill>
                    <a:blip r:embed="rId391" cstate="print"/>
                    <a:stretch>
                      <a:fillRect/>
                    </a:stretch>
                  </pic:blipFill>
                  <pic:spPr>
                    <a:xfrm>
                      <a:off x="0" y="0"/>
                      <a:ext cx="3942414" cy="2293620"/>
                    </a:xfrm>
                    <a:prstGeom prst="rect">
                      <a:avLst/>
                    </a:prstGeom>
                  </pic:spPr>
                </pic:pic>
              </a:graphicData>
            </a:graphic>
          </wp:inline>
        </w:drawing>
      </w:r>
      <w:r>
        <w:rPr/>
      </w:r>
    </w:p>
    <w:p>
      <w:pPr>
        <w:pStyle w:val="BodyText"/>
        <w:spacing w:before="6"/>
        <w:rPr>
          <w:sz w:val="7"/>
        </w:rPr>
      </w:pPr>
    </w:p>
    <w:p>
      <w:pPr>
        <w:spacing w:before="71"/>
        <w:ind w:left="2349" w:right="0" w:firstLine="0"/>
        <w:jc w:val="left"/>
        <w:rPr>
          <w:sz w:val="18"/>
        </w:rPr>
      </w:pPr>
      <w:r>
        <w:rPr>
          <w:color w:val="231F20"/>
          <w:sz w:val="18"/>
        </w:rPr>
        <w:t>Figura 1.         Destino de la producción de carne de conejo en la zona. (Fuente: trabajo de campo.)</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10336" w:val="right" w:leader="none"/>
        </w:tabs>
        <w:spacing w:before="64"/>
        <w:ind w:left="1553" w:right="0" w:firstLine="0"/>
        <w:jc w:val="left"/>
        <w:rPr>
          <w:sz w:val="22"/>
        </w:rPr>
      </w:pPr>
      <w:r>
        <w:rPr>
          <w:color w:val="231F20"/>
          <w:sz w:val="18"/>
        </w:rPr>
        <w:t>Capítulo </w:t>
      </w:r>
      <w:r>
        <w:rPr>
          <w:color w:val="231F20"/>
          <w:spacing w:val="-3"/>
          <w:sz w:val="18"/>
        </w:rPr>
        <w:t>16.   </w:t>
      </w:r>
      <w:r>
        <w:rPr>
          <w:color w:val="231F20"/>
          <w:sz w:val="18"/>
        </w:rPr>
        <w:t>La cunicultura familiar, una opción para la obtención de  </w:t>
      </w:r>
      <w:r>
        <w:rPr>
          <w:color w:val="231F20"/>
          <w:spacing w:val="39"/>
          <w:sz w:val="18"/>
        </w:rPr>
        <w:t> </w:t>
      </w:r>
      <w:r>
        <w:rPr>
          <w:color w:val="231F20"/>
          <w:sz w:val="18"/>
        </w:rPr>
        <w:t>ingresos</w:t>
      </w:r>
      <w:r>
        <w:rPr>
          <w:color w:val="231F20"/>
          <w:spacing w:val="12"/>
          <w:sz w:val="18"/>
        </w:rPr>
        <w:t> </w:t>
      </w:r>
      <w:r>
        <w:rPr>
          <w:color w:val="231F20"/>
          <w:sz w:val="18"/>
        </w:rPr>
        <w:t>económicos...</w:t>
      </w:r>
      <w:r>
        <w:rPr>
          <w:color w:val="231F20"/>
          <w:sz w:val="22"/>
        </w:rPr>
        <w:tab/>
      </w:r>
      <w:r>
        <w:rPr>
          <w:color w:val="231F20"/>
          <w:spacing w:val="-5"/>
          <w:sz w:val="22"/>
        </w:rPr>
        <w:t>239</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56" w:lineRule="auto"/>
        <w:ind w:left="1553"/>
        <w:jc w:val="both"/>
      </w:pPr>
      <w:r>
        <w:rPr>
          <w:color w:val="231F20"/>
        </w:rPr>
        <w:t>Se observa también la presencia de intermedia- rios entre las unidades de producción y los res- taurantes, que desempeñan un papel importante en la cadena debido a que compran conejo de las unidades de producción alejadas y son quienes realizan el faenado de las canales, aunque pagan un precio menor en contraste con la venta directa al restaurante. Los intermediarios fijan el precio, mientras que las unidades de producción sólo to- man los precios y no están en capacidad de nego- ciar, lo cual es una de las grandes desventajas de este sistema de </w:t>
      </w:r>
      <w:r>
        <w:rPr>
          <w:color w:val="231F20"/>
          <w:spacing w:val="13"/>
        </w:rPr>
        <w:t> </w:t>
      </w:r>
      <w:r>
        <w:rPr>
          <w:color w:val="231F20"/>
        </w:rPr>
        <w:t>producción.</w:t>
      </w:r>
    </w:p>
    <w:p>
      <w:pPr>
        <w:pStyle w:val="BodyText"/>
        <w:spacing w:line="256" w:lineRule="auto" w:before="114"/>
        <w:ind w:left="1553"/>
        <w:jc w:val="both"/>
      </w:pPr>
      <w:r>
        <w:rPr>
          <w:color w:val="231F20"/>
        </w:rPr>
        <w:t>Además de las características de las unidades de producción, existen deficiencias debido a la falta de capitales intangibles, como es el capital social. De manera general, los productores cunícolas no  se encuentran organizados, y por ello, a pesar de que la producción cunícola es reconocida como  una actividad ganadera por parte de la SAGARPA, el acceso a los programas del Estado está limitado  a productores organizados. Estos programas se en- focan principalmente a la compra de pie de cría de razas especializadas para la producción de carne, y también apoyan la compra de activos como jaulas, nidos  y  demás</w:t>
      </w:r>
      <w:r>
        <w:rPr>
          <w:color w:val="231F20"/>
          <w:spacing w:val="-11"/>
        </w:rPr>
        <w:t> </w:t>
      </w:r>
      <w:r>
        <w:rPr>
          <w:color w:val="231F20"/>
        </w:rPr>
        <w:t>equipos.</w:t>
      </w:r>
    </w:p>
    <w:p>
      <w:pPr>
        <w:pStyle w:val="BodyText"/>
        <w:spacing w:line="256" w:lineRule="auto" w:before="114"/>
        <w:ind w:left="1553" w:right="1"/>
        <w:jc w:val="both"/>
      </w:pPr>
      <w:r>
        <w:rPr>
          <w:color w:val="231F20"/>
        </w:rPr>
        <w:t>A pesar de no estar organizadas, algunas unidades de producción se benefician de apoyos por parte del gobierno estatal y municipal. Aunado al acceso a los subsidios, el Estado, a través de</w:t>
      </w:r>
      <w:r>
        <w:rPr>
          <w:color w:val="231F20"/>
          <w:spacing w:val="33"/>
        </w:rPr>
        <w:t> </w:t>
      </w:r>
      <w:r>
        <w:rPr>
          <w:color w:val="231F20"/>
        </w:rPr>
        <w:t>los</w:t>
      </w:r>
      <w:r>
        <w:rPr>
          <w:color w:val="231F20"/>
          <w:spacing w:val="21"/>
        </w:rPr>
        <w:t> </w:t>
      </w:r>
      <w:r>
        <w:rPr>
          <w:color w:val="231F20"/>
        </w:rPr>
        <w:t>diversos</w:t>
      </w:r>
      <w:r>
        <w:rPr>
          <w:color w:val="231F20"/>
          <w:w w:val="100"/>
        </w:rPr>
        <w:t> </w:t>
      </w:r>
      <w:r>
        <w:rPr>
          <w:color w:val="231F20"/>
        </w:rPr>
        <w:t>órdenes de gobierno, destina dinero para créditos, pero los cunicultores de la zona no los solicitan debido a que carecen de  información  o  porque no cumplen con los requisitos. La falta de apoyo impide que se acceda a tecnologías que podrían mejorar los parámetros técnicos productivos </w:t>
      </w:r>
      <w:r>
        <w:rPr>
          <w:color w:val="231F20"/>
          <w:spacing w:val="-5"/>
        </w:rPr>
        <w:t>y, </w:t>
      </w:r>
      <w:r>
        <w:rPr>
          <w:color w:val="231F20"/>
        </w:rPr>
        <w:t>por consecuencia, la</w:t>
      </w:r>
      <w:r>
        <w:rPr>
          <w:color w:val="231F20"/>
          <w:spacing w:val="23"/>
        </w:rPr>
        <w:t> </w:t>
      </w:r>
      <w:r>
        <w:rPr>
          <w:color w:val="231F20"/>
        </w:rPr>
        <w:t>productividad.</w:t>
      </w:r>
    </w:p>
    <w:p>
      <w:pPr>
        <w:pStyle w:val="BodyText"/>
        <w:spacing w:line="256" w:lineRule="auto" w:before="114"/>
        <w:ind w:left="1553"/>
        <w:jc w:val="both"/>
      </w:pPr>
      <w:r>
        <w:rPr>
          <w:color w:val="231F20"/>
        </w:rPr>
        <w:t>En la zona, la venta de subproductos es poca o   casi nula: sólo el 9,7% vende un bulto de estiércol  a la semana a un precio promedio de $15. Cabe mencionar que el resto del estiércol generado  </w:t>
      </w:r>
      <w:r>
        <w:rPr>
          <w:color w:val="231F20"/>
          <w:spacing w:val="9"/>
        </w:rPr>
        <w:t> </w:t>
      </w:r>
      <w:r>
        <w:rPr>
          <w:color w:val="231F20"/>
        </w:rPr>
        <w:t>por</w:t>
      </w:r>
    </w:p>
    <w:p>
      <w:pPr>
        <w:pStyle w:val="BodyText"/>
        <w:spacing w:before="3"/>
        <w:rPr>
          <w:sz w:val="28"/>
        </w:rPr>
      </w:pPr>
      <w:r>
        <w:rPr/>
        <w:br w:type="column"/>
      </w:r>
      <w:r>
        <w:rPr>
          <w:sz w:val="28"/>
        </w:rPr>
      </w:r>
    </w:p>
    <w:p>
      <w:pPr>
        <w:pStyle w:val="BodyText"/>
        <w:spacing w:line="266" w:lineRule="auto"/>
        <w:ind w:left="412" w:right="1550"/>
        <w:jc w:val="both"/>
      </w:pPr>
      <w:r>
        <w:rPr>
          <w:color w:val="231F20"/>
        </w:rPr>
        <w:t>la actividad se utiliza como fertilizante natural en los predios propios de los cunicultores. El 6,5% vende una piel a la semana a un precio promedio de $11,50; el resto de las pieles se tira y se des- perdicia. El pelo, el orín y las vísceras se eliminan sin generar beneficios económicos. La falta de in- terés en vender estos subproductos por parte de los productores  se  debe  a  falta  de  información  y capacitación, ya que desconocen que pueden comercializarse y las técnicas para poder recolec- tar, transformar y vender los subproductos, lo cual puede ser una fuente importante de ingresos. La venta de subproductos se ve como una oportu- nidad que los cunicultores no aprovechan. Los principales subproductos utilizables son el orín,  que puede emplearse como fijador de perfumes     y ningún cunicultor lo comercializa, pues para se- parar el orín es necesario tener jaulas tecnificadas o semitecnificadas. La piel y el pelo se utilizan en   el campo de la artesanía, para elaborar cojines, bolsas de mano, llaveros, aretes, gorros, bufandas  y accesorios para el cabello; sin embargo, sólo el 9% de los cunicultores comercializan la piel. La SAGARPA ofrece cursos para diseñar y producir artesanías con la piel y el pelo. </w:t>
      </w:r>
      <w:r>
        <w:rPr>
          <w:color w:val="231F20"/>
          <w:spacing w:val="-3"/>
        </w:rPr>
        <w:t>Tampoco </w:t>
      </w:r>
      <w:r>
        <w:rPr>
          <w:color w:val="231F20"/>
        </w:rPr>
        <w:t>se utili- zan las vísceras del conejo para la fabricación de embutidos.</w:t>
      </w:r>
    </w:p>
    <w:p>
      <w:pPr>
        <w:pStyle w:val="BodyText"/>
        <w:spacing w:line="266" w:lineRule="auto" w:before="114"/>
        <w:ind w:left="412" w:right="1551"/>
        <w:jc w:val="both"/>
      </w:pPr>
      <w:r>
        <w:rPr>
          <w:color w:val="231F20"/>
        </w:rPr>
        <w:t>El único subproducto valorado en la zona es el es- tiércol, que comercializa como abono orgánico el </w:t>
      </w:r>
      <w:r>
        <w:rPr>
          <w:color w:val="231F20"/>
          <w:spacing w:val="-3"/>
        </w:rPr>
        <w:t>9,7% </w:t>
      </w:r>
      <w:r>
        <w:rPr>
          <w:color w:val="231F20"/>
        </w:rPr>
        <w:t>de los cunicultores o lo utilizan ellos mismos  si además se dedican a las labores del   </w:t>
      </w:r>
      <w:r>
        <w:rPr>
          <w:color w:val="231F20"/>
          <w:spacing w:val="33"/>
        </w:rPr>
        <w:t> </w:t>
      </w:r>
      <w:r>
        <w:rPr>
          <w:color w:val="231F20"/>
        </w:rPr>
        <w:t>campo.</w:t>
      </w:r>
    </w:p>
    <w:p>
      <w:pPr>
        <w:pStyle w:val="BodyText"/>
        <w:spacing w:line="266" w:lineRule="auto" w:before="114"/>
        <w:ind w:left="412" w:right="1551"/>
        <w:jc w:val="both"/>
      </w:pPr>
      <w:r>
        <w:rPr>
          <w:color w:val="231F20"/>
        </w:rPr>
        <w:t>En términos generales, la cunicultura en la zona    es de tipo familiar, cuenta con un número reduci- do de animales para el pie de cría y las personas dedicadas a ella la consideran una actividad se- cundaria que permite generar un ingreso extraor- dinario para mejorar su economía familiar, dado que sólo emplean una hora por día, y además les permite acceder a proteínas de origen </w:t>
      </w:r>
      <w:r>
        <w:rPr>
          <w:color w:val="231F20"/>
          <w:spacing w:val="28"/>
        </w:rPr>
        <w:t> </w:t>
      </w:r>
      <w:r>
        <w:rPr>
          <w:color w:val="231F20"/>
        </w:rPr>
        <w:t>animal.</w:t>
      </w:r>
    </w:p>
    <w:p>
      <w:pPr>
        <w:spacing w:after="0" w:line="266" w:lineRule="auto"/>
        <w:jc w:val="both"/>
        <w:sectPr>
          <w:type w:val="continuous"/>
          <w:pgSz w:w="11900" w:h="14450"/>
          <w:pgMar w:top="420" w:bottom="420" w:left="0" w:right="0"/>
          <w:cols w:num="2" w:equalWidth="0">
            <w:col w:w="5723" w:space="40"/>
            <w:col w:w="6137"/>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w w:val="130"/>
          <w:sz w:val="22"/>
        </w:rPr>
        <w:t>240</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spacing w:before="76"/>
        <w:ind w:left="1553" w:right="0" w:firstLine="0"/>
        <w:jc w:val="both"/>
        <w:rPr>
          <w:rFonts w:ascii="Cambria" w:hAnsi="Cambria"/>
          <w:i/>
          <w:sz w:val="20"/>
        </w:rPr>
      </w:pPr>
      <w:r>
        <w:rPr>
          <w:rFonts w:ascii="Cambria" w:hAnsi="Cambria"/>
          <w:i/>
          <w:color w:val="231F20"/>
          <w:w w:val="105"/>
          <w:sz w:val="20"/>
        </w:rPr>
        <w:t>Análisis  económico</w:t>
      </w:r>
    </w:p>
    <w:p>
      <w:pPr>
        <w:spacing w:before="32"/>
        <w:ind w:left="1553" w:right="0" w:firstLine="0"/>
        <w:jc w:val="both"/>
        <w:rPr>
          <w:rFonts w:ascii="Cambria" w:hAnsi="Cambria"/>
          <w:i/>
          <w:sz w:val="20"/>
        </w:rPr>
      </w:pPr>
      <w:r>
        <w:rPr>
          <w:rFonts w:ascii="Cambria" w:hAnsi="Cambria"/>
          <w:i/>
          <w:color w:val="231F20"/>
          <w:w w:val="110"/>
          <w:sz w:val="20"/>
        </w:rPr>
        <w:t>de las unidades de producción</w:t>
      </w:r>
    </w:p>
    <w:p>
      <w:pPr>
        <w:pStyle w:val="BodyText"/>
        <w:spacing w:line="261" w:lineRule="auto" w:before="145"/>
        <w:ind w:left="1553"/>
        <w:jc w:val="both"/>
      </w:pPr>
      <w:r>
        <w:rPr>
          <w:color w:val="231F20"/>
        </w:rPr>
        <w:t>Los precios a que se comercializa el conejo en la zona son  variados  (Cuadro  3),  dependiendo  de  a quién se venda el producto. Se observaron tres canales de comercialización: venta al menudeo, venta a intermediarios y venta directa a los restau- ranteros.</w:t>
      </w:r>
      <w:r>
        <w:rPr>
          <w:color w:val="231F20"/>
          <w:spacing w:val="32"/>
        </w:rPr>
        <w:t> </w:t>
      </w:r>
      <w:r>
        <w:rPr>
          <w:color w:val="231F20"/>
        </w:rPr>
        <w:t>El</w:t>
      </w:r>
      <w:r>
        <w:rPr>
          <w:color w:val="231F20"/>
          <w:spacing w:val="32"/>
        </w:rPr>
        <w:t> </w:t>
      </w:r>
      <w:r>
        <w:rPr>
          <w:color w:val="231F20"/>
        </w:rPr>
        <w:t>precio</w:t>
      </w:r>
      <w:r>
        <w:rPr>
          <w:color w:val="231F20"/>
          <w:spacing w:val="32"/>
        </w:rPr>
        <w:t> </w:t>
      </w:r>
      <w:r>
        <w:rPr>
          <w:color w:val="231F20"/>
        </w:rPr>
        <w:t>promedio</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conejo</w:t>
      </w:r>
      <w:r>
        <w:rPr>
          <w:color w:val="231F20"/>
          <w:spacing w:val="32"/>
        </w:rPr>
        <w:t> </w:t>
      </w:r>
      <w:r>
        <w:rPr>
          <w:color w:val="231F20"/>
        </w:rPr>
        <w:t>es</w:t>
      </w:r>
      <w:r>
        <w:rPr>
          <w:color w:val="231F20"/>
          <w:spacing w:val="32"/>
        </w:rPr>
        <w:t> </w:t>
      </w:r>
      <w:r>
        <w:rPr>
          <w:color w:val="231F20"/>
        </w:rPr>
        <w:t>de</w:t>
      </w:r>
    </w:p>
    <w:p>
      <w:pPr>
        <w:pStyle w:val="BodyText"/>
        <w:spacing w:before="1"/>
        <w:ind w:left="1553"/>
        <w:jc w:val="both"/>
      </w:pPr>
      <w:r>
        <w:rPr>
          <w:color w:val="231F20"/>
          <w:w w:val="105"/>
        </w:rPr>
        <w:t>$62,61, con un peso de 1,2 kg en canal.</w:t>
      </w:r>
    </w:p>
    <w:p>
      <w:pPr>
        <w:pStyle w:val="BodyText"/>
        <w:spacing w:line="261" w:lineRule="auto" w:before="136"/>
        <w:ind w:left="1553"/>
        <w:jc w:val="both"/>
      </w:pPr>
      <w:r>
        <w:rPr>
          <w:color w:val="231F20"/>
        </w:rPr>
        <w:t>Los conejos que se venden para pie de cría se pa- gan a </w:t>
      </w:r>
      <w:r>
        <w:rPr>
          <w:color w:val="231F20"/>
          <w:spacing w:val="-3"/>
        </w:rPr>
        <w:t>$175,00. </w:t>
      </w:r>
      <w:r>
        <w:rPr>
          <w:color w:val="231F20"/>
        </w:rPr>
        <w:t>Cabe mencionar que este precio, a pesar de ser alto, no tiene un impacto importante, ya que en promedio sólo se venden dos conejos     al año por unidad de producción. Un aspecto im- portante es que los reemplazos se extraen de la propia unidad de producción y únicamente com- pran sementales una o dos veces al   </w:t>
      </w:r>
      <w:r>
        <w:rPr>
          <w:color w:val="231F20"/>
          <w:spacing w:val="1"/>
        </w:rPr>
        <w:t> </w:t>
      </w:r>
      <w:r>
        <w:rPr>
          <w:color w:val="231F20"/>
        </w:rPr>
        <w:t>año.</w:t>
      </w:r>
    </w:p>
    <w:p>
      <w:pPr>
        <w:pStyle w:val="BodyText"/>
        <w:spacing w:line="261" w:lineRule="auto" w:before="114"/>
        <w:ind w:left="1553"/>
        <w:jc w:val="both"/>
      </w:pPr>
      <w:r>
        <w:rPr>
          <w:color w:val="231F20"/>
        </w:rPr>
        <w:t>La venta al menudeo es la mejor opción de venta, ya que se paga a $66,10 por canal de conejo con  un peso promedio de 1,2 kg. A pesar de ser la mejor vía de comercialización, no es la de mayor participación en el mercado, pues supone el 33% de las ventas totales. Esta situación se debe a que en la zona existe una saturación del mercado local y los vecinos no consumen de manera cotidiana este tipo de carne, pues prefieren carnes tradicio- nales como la de pollo, res y cerdo. Para mejorar   el</w:t>
      </w:r>
      <w:r>
        <w:rPr>
          <w:color w:val="231F20"/>
          <w:spacing w:val="33"/>
        </w:rPr>
        <w:t> </w:t>
      </w:r>
      <w:r>
        <w:rPr>
          <w:color w:val="231F20"/>
        </w:rPr>
        <w:t>consumo</w:t>
      </w:r>
      <w:r>
        <w:rPr>
          <w:color w:val="231F20"/>
          <w:spacing w:val="33"/>
        </w:rPr>
        <w:t> </w:t>
      </w:r>
      <w:r>
        <w:rPr>
          <w:color w:val="231F20"/>
        </w:rPr>
        <w:t>local</w:t>
      </w:r>
      <w:r>
        <w:rPr>
          <w:color w:val="231F20"/>
          <w:spacing w:val="33"/>
        </w:rPr>
        <w:t> </w:t>
      </w:r>
      <w:r>
        <w:rPr>
          <w:color w:val="231F20"/>
        </w:rPr>
        <w:t>de</w:t>
      </w:r>
      <w:r>
        <w:rPr>
          <w:color w:val="231F20"/>
          <w:spacing w:val="33"/>
        </w:rPr>
        <w:t> </w:t>
      </w:r>
      <w:r>
        <w:rPr>
          <w:color w:val="231F20"/>
        </w:rPr>
        <w:t>carne</w:t>
      </w:r>
      <w:r>
        <w:rPr>
          <w:color w:val="231F20"/>
          <w:spacing w:val="33"/>
        </w:rPr>
        <w:t> </w:t>
      </w:r>
      <w:r>
        <w:rPr>
          <w:color w:val="231F20"/>
        </w:rPr>
        <w:t>de</w:t>
      </w:r>
      <w:r>
        <w:rPr>
          <w:color w:val="231F20"/>
          <w:spacing w:val="33"/>
        </w:rPr>
        <w:t> </w:t>
      </w:r>
      <w:r>
        <w:rPr>
          <w:color w:val="231F20"/>
        </w:rPr>
        <w:t>conejo</w:t>
      </w:r>
      <w:r>
        <w:rPr>
          <w:color w:val="231F20"/>
          <w:spacing w:val="33"/>
        </w:rPr>
        <w:t> </w:t>
      </w:r>
      <w:r>
        <w:rPr>
          <w:color w:val="231F20"/>
        </w:rPr>
        <w:t>deben</w:t>
      </w:r>
      <w:r>
        <w:rPr>
          <w:color w:val="231F20"/>
          <w:spacing w:val="33"/>
        </w:rPr>
        <w:t> </w:t>
      </w:r>
      <w:r>
        <w:rPr>
          <w:color w:val="231F20"/>
        </w:rPr>
        <w:t>pro-</w:t>
      </w:r>
    </w:p>
    <w:p>
      <w:pPr>
        <w:pStyle w:val="BodyText"/>
      </w:pPr>
    </w:p>
    <w:p>
      <w:pPr>
        <w:pStyle w:val="BodyText"/>
        <w:spacing w:before="11"/>
        <w:rPr>
          <w:sz w:val="21"/>
        </w:rPr>
      </w:pPr>
    </w:p>
    <w:p>
      <w:pPr>
        <w:spacing w:before="0"/>
        <w:ind w:left="1553" w:right="0" w:firstLine="0"/>
        <w:jc w:val="both"/>
        <w:rPr>
          <w:sz w:val="18"/>
        </w:rPr>
      </w:pPr>
      <w:r>
        <w:rPr>
          <w:color w:val="231F20"/>
          <w:sz w:val="18"/>
        </w:rPr>
        <w:t>Cuadro 3.   Precio del conejo según el destino de   venta.</w:t>
      </w:r>
    </w:p>
    <w:p>
      <w:pPr>
        <w:pStyle w:val="BodyText"/>
        <w:spacing w:before="10"/>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78"/>
        <w:gridCol w:w="2078"/>
      </w:tblGrid>
      <w:tr>
        <w:trPr>
          <w:trHeight w:val="369" w:hRule="exact"/>
        </w:trPr>
        <w:tc>
          <w:tcPr>
            <w:tcW w:w="2078" w:type="dxa"/>
            <w:tcBorders>
              <w:left w:val="nil"/>
            </w:tcBorders>
          </w:tcPr>
          <w:p>
            <w:pPr>
              <w:pStyle w:val="TableParagraph"/>
              <w:spacing w:before="79"/>
              <w:ind w:left="378" w:right="373"/>
              <w:jc w:val="center"/>
              <w:rPr>
                <w:rFonts w:ascii="Cambria"/>
                <w:i/>
                <w:sz w:val="18"/>
              </w:rPr>
            </w:pPr>
            <w:r>
              <w:rPr>
                <w:rFonts w:ascii="Cambria"/>
                <w:i/>
                <w:color w:val="231F20"/>
                <w:w w:val="105"/>
                <w:sz w:val="18"/>
              </w:rPr>
              <w:t>Destino</w:t>
            </w:r>
          </w:p>
        </w:tc>
        <w:tc>
          <w:tcPr>
            <w:tcW w:w="2078" w:type="dxa"/>
            <w:tcBorders>
              <w:right w:val="nil"/>
            </w:tcBorders>
          </w:tcPr>
          <w:p>
            <w:pPr>
              <w:pStyle w:val="TableParagraph"/>
              <w:spacing w:before="79"/>
              <w:ind w:left="378" w:right="380"/>
              <w:jc w:val="center"/>
              <w:rPr>
                <w:rFonts w:ascii="Cambria"/>
                <w:i/>
                <w:sz w:val="18"/>
              </w:rPr>
            </w:pPr>
            <w:r>
              <w:rPr>
                <w:rFonts w:ascii="Cambria"/>
                <w:i/>
                <w:color w:val="231F20"/>
                <w:w w:val="105"/>
                <w:sz w:val="18"/>
              </w:rPr>
              <w:t>Precio por pieza</w:t>
            </w:r>
          </w:p>
        </w:tc>
      </w:tr>
      <w:tr>
        <w:trPr>
          <w:trHeight w:val="354" w:hRule="exact"/>
        </w:trPr>
        <w:tc>
          <w:tcPr>
            <w:tcW w:w="2078" w:type="dxa"/>
            <w:tcBorders>
              <w:left w:val="nil"/>
            </w:tcBorders>
          </w:tcPr>
          <w:p>
            <w:pPr>
              <w:pStyle w:val="TableParagraph"/>
              <w:ind w:left="113"/>
              <w:rPr>
                <w:sz w:val="17"/>
              </w:rPr>
            </w:pPr>
            <w:r>
              <w:rPr>
                <w:color w:val="231F20"/>
                <w:sz w:val="17"/>
              </w:rPr>
              <w:t>Pie de cría</w:t>
            </w:r>
          </w:p>
        </w:tc>
        <w:tc>
          <w:tcPr>
            <w:tcW w:w="2078" w:type="dxa"/>
            <w:tcBorders>
              <w:right w:val="nil"/>
            </w:tcBorders>
          </w:tcPr>
          <w:p>
            <w:pPr>
              <w:pStyle w:val="TableParagraph"/>
              <w:ind w:left="270" w:right="380"/>
              <w:jc w:val="center"/>
              <w:rPr>
                <w:sz w:val="17"/>
              </w:rPr>
            </w:pPr>
            <w:r>
              <w:rPr>
                <w:color w:val="231F20"/>
                <w:w w:val="110"/>
                <w:sz w:val="17"/>
              </w:rPr>
              <w:t>$175,00</w:t>
            </w:r>
          </w:p>
        </w:tc>
      </w:tr>
      <w:tr>
        <w:trPr>
          <w:trHeight w:val="354" w:hRule="exact"/>
        </w:trPr>
        <w:tc>
          <w:tcPr>
            <w:tcW w:w="2078" w:type="dxa"/>
            <w:tcBorders>
              <w:left w:val="nil"/>
            </w:tcBorders>
          </w:tcPr>
          <w:p>
            <w:pPr>
              <w:pStyle w:val="TableParagraph"/>
              <w:ind w:left="113"/>
              <w:rPr>
                <w:sz w:val="17"/>
              </w:rPr>
            </w:pPr>
            <w:r>
              <w:rPr>
                <w:color w:val="231F20"/>
                <w:sz w:val="17"/>
              </w:rPr>
              <w:t>Menudeo</w:t>
            </w:r>
          </w:p>
        </w:tc>
        <w:tc>
          <w:tcPr>
            <w:tcW w:w="2078" w:type="dxa"/>
            <w:tcBorders>
              <w:right w:val="nil"/>
            </w:tcBorders>
          </w:tcPr>
          <w:p>
            <w:pPr>
              <w:pStyle w:val="TableParagraph"/>
              <w:ind w:left="362" w:right="380"/>
              <w:jc w:val="center"/>
              <w:rPr>
                <w:sz w:val="17"/>
              </w:rPr>
            </w:pPr>
            <w:r>
              <w:rPr>
                <w:color w:val="231F20"/>
                <w:w w:val="110"/>
                <w:sz w:val="17"/>
              </w:rPr>
              <w:t>$66,10</w:t>
            </w:r>
          </w:p>
        </w:tc>
      </w:tr>
      <w:tr>
        <w:trPr>
          <w:trHeight w:val="354" w:hRule="exact"/>
        </w:trPr>
        <w:tc>
          <w:tcPr>
            <w:tcW w:w="2078" w:type="dxa"/>
            <w:tcBorders>
              <w:left w:val="nil"/>
            </w:tcBorders>
          </w:tcPr>
          <w:p>
            <w:pPr>
              <w:pStyle w:val="TableParagraph"/>
              <w:ind w:left="113"/>
              <w:rPr>
                <w:sz w:val="17"/>
              </w:rPr>
            </w:pPr>
            <w:r>
              <w:rPr>
                <w:color w:val="231F20"/>
                <w:sz w:val="17"/>
              </w:rPr>
              <w:t>Autoconsumo</w:t>
            </w:r>
          </w:p>
        </w:tc>
        <w:tc>
          <w:tcPr>
            <w:tcW w:w="2078" w:type="dxa"/>
            <w:tcBorders>
              <w:right w:val="nil"/>
            </w:tcBorders>
          </w:tcPr>
          <w:p>
            <w:pPr>
              <w:pStyle w:val="TableParagraph"/>
              <w:ind w:left="362" w:right="380"/>
              <w:jc w:val="center"/>
              <w:rPr>
                <w:sz w:val="17"/>
              </w:rPr>
            </w:pPr>
            <w:r>
              <w:rPr>
                <w:color w:val="231F20"/>
                <w:w w:val="110"/>
                <w:sz w:val="17"/>
              </w:rPr>
              <w:t>$61,09</w:t>
            </w:r>
          </w:p>
        </w:tc>
      </w:tr>
      <w:tr>
        <w:trPr>
          <w:trHeight w:val="360" w:hRule="exact"/>
        </w:trPr>
        <w:tc>
          <w:tcPr>
            <w:tcW w:w="2078" w:type="dxa"/>
            <w:tcBorders>
              <w:left w:val="nil"/>
            </w:tcBorders>
          </w:tcPr>
          <w:p>
            <w:pPr>
              <w:pStyle w:val="TableParagraph"/>
              <w:ind w:left="113"/>
              <w:rPr>
                <w:sz w:val="17"/>
              </w:rPr>
            </w:pPr>
            <w:r>
              <w:rPr>
                <w:color w:val="231F20"/>
                <w:sz w:val="17"/>
              </w:rPr>
              <w:t>Restaurante</w:t>
            </w:r>
          </w:p>
        </w:tc>
        <w:tc>
          <w:tcPr>
            <w:tcW w:w="2078" w:type="dxa"/>
            <w:tcBorders>
              <w:right w:val="nil"/>
            </w:tcBorders>
          </w:tcPr>
          <w:p>
            <w:pPr>
              <w:pStyle w:val="TableParagraph"/>
              <w:ind w:left="355" w:right="380"/>
              <w:jc w:val="center"/>
              <w:rPr>
                <w:sz w:val="17"/>
              </w:rPr>
            </w:pPr>
            <w:r>
              <w:rPr>
                <w:color w:val="231F20"/>
                <w:w w:val="110"/>
                <w:sz w:val="17"/>
              </w:rPr>
              <w:t>$60,85</w:t>
            </w:r>
          </w:p>
        </w:tc>
      </w:tr>
      <w:tr>
        <w:trPr>
          <w:trHeight w:val="354" w:hRule="exact"/>
        </w:trPr>
        <w:tc>
          <w:tcPr>
            <w:tcW w:w="2078" w:type="dxa"/>
            <w:tcBorders>
              <w:left w:val="nil"/>
            </w:tcBorders>
          </w:tcPr>
          <w:p>
            <w:pPr>
              <w:pStyle w:val="TableParagraph"/>
              <w:ind w:left="113"/>
              <w:rPr>
                <w:sz w:val="17"/>
              </w:rPr>
            </w:pPr>
            <w:r>
              <w:rPr>
                <w:color w:val="231F20"/>
                <w:sz w:val="17"/>
              </w:rPr>
              <w:t>Intermediarios</w:t>
            </w:r>
          </w:p>
        </w:tc>
        <w:tc>
          <w:tcPr>
            <w:tcW w:w="2078" w:type="dxa"/>
            <w:tcBorders>
              <w:right w:val="nil"/>
            </w:tcBorders>
          </w:tcPr>
          <w:p>
            <w:pPr>
              <w:pStyle w:val="TableParagraph"/>
              <w:ind w:left="359" w:right="380"/>
              <w:jc w:val="center"/>
              <w:rPr>
                <w:sz w:val="17"/>
              </w:rPr>
            </w:pPr>
            <w:r>
              <w:rPr>
                <w:color w:val="231F20"/>
                <w:w w:val="110"/>
                <w:sz w:val="17"/>
              </w:rPr>
              <w:t>$54,46</w:t>
            </w:r>
          </w:p>
        </w:tc>
      </w:tr>
    </w:tbl>
    <w:p>
      <w:pPr>
        <w:spacing w:before="94"/>
        <w:ind w:left="1553" w:right="0" w:firstLine="0"/>
        <w:jc w:val="both"/>
        <w:rPr>
          <w:sz w:val="15"/>
        </w:rPr>
      </w:pPr>
      <w:r>
        <w:rPr>
          <w:color w:val="231F20"/>
          <w:sz w:val="15"/>
        </w:rPr>
        <w:t>Fuente: trabajo de campo.</w:t>
      </w:r>
    </w:p>
    <w:p>
      <w:pPr>
        <w:pStyle w:val="BodyText"/>
        <w:spacing w:line="266" w:lineRule="auto" w:before="67"/>
        <w:ind w:left="412" w:right="1551"/>
        <w:jc w:val="both"/>
      </w:pPr>
      <w:r>
        <w:rPr/>
        <w:br w:type="column"/>
      </w:r>
      <w:r>
        <w:rPr>
          <w:color w:val="231F20"/>
        </w:rPr>
        <w:t>mocionarse los atributos de esta carne, además de proporcionar guías para la elaboración de platillos.</w:t>
      </w:r>
    </w:p>
    <w:p>
      <w:pPr>
        <w:pStyle w:val="BodyText"/>
        <w:spacing w:line="266" w:lineRule="auto" w:before="113"/>
        <w:ind w:left="412" w:right="1551"/>
        <w:jc w:val="both"/>
      </w:pPr>
      <w:r>
        <w:rPr>
          <w:color w:val="231F20"/>
        </w:rPr>
        <w:t>Por otro lado, el autoconsumo no es significativo    y representa el 5% de la  producción  total.  Aun  así, se dio un valor a cada conejo que consumen  las familias cunicultoras de $61,09 por  canal  de 1,2 kg. Se esperaba observar un mayor autocon- sumo, ya que la </w:t>
      </w:r>
      <w:r>
        <w:rPr>
          <w:color w:val="231F20"/>
          <w:spacing w:val="-6"/>
        </w:rPr>
        <w:t>FAO </w:t>
      </w:r>
      <w:r>
        <w:rPr>
          <w:color w:val="231F20"/>
        </w:rPr>
        <w:t>establece que la producción familiar de carne de conejo se enfoca de manera importante a alimentar a las familias productoras, pero en la zona se observó que la cunicultura se realiza con fines comerciales para la obtención de ingresos</w:t>
      </w:r>
      <w:r>
        <w:rPr>
          <w:color w:val="231F20"/>
          <w:spacing w:val="17"/>
        </w:rPr>
        <w:t> </w:t>
      </w:r>
      <w:r>
        <w:rPr>
          <w:color w:val="231F20"/>
        </w:rPr>
        <w:t>monetarios.</w:t>
      </w:r>
    </w:p>
    <w:p>
      <w:pPr>
        <w:pStyle w:val="BodyText"/>
        <w:spacing w:line="266" w:lineRule="auto" w:before="113"/>
        <w:ind w:left="412" w:right="1551"/>
        <w:jc w:val="both"/>
      </w:pPr>
      <w:r>
        <w:rPr>
          <w:color w:val="231F20"/>
        </w:rPr>
        <w:t>El canal de comercialización de mayor importancia es la venta directa e indirecta a los restaurantes.   La participación de este actor en el mercado de la carne de conejo es del 62% de la producción total  y el conejo se paga a $60,85 en promedio. Este canal de venta castiga el precio del conejo, lo que ocasiona una menor utilidad para los cunicultores con respecto a la venta al menudeo. A pesar de que el precio es menor con respecto al recibido en la venta al menudeo, la dinámica de la cunicultura en la zona se basa en el turismo y el consumo de platillos elaborados por los restaurantes. Aunque los restaurantes consumen carne de conejo de la zona, esta  producción  no  cubre  sus  necesidades y también compran conejo de Puebla y  </w:t>
      </w:r>
      <w:r>
        <w:rPr>
          <w:color w:val="231F20"/>
          <w:spacing w:val="22"/>
        </w:rPr>
        <w:t> </w:t>
      </w:r>
      <w:r>
        <w:rPr>
          <w:color w:val="231F20"/>
        </w:rPr>
        <w:t>Tlaxcala.</w:t>
      </w:r>
    </w:p>
    <w:p>
      <w:pPr>
        <w:pStyle w:val="BodyText"/>
        <w:spacing w:line="266" w:lineRule="auto" w:before="113"/>
        <w:ind w:left="412" w:right="1550"/>
        <w:jc w:val="both"/>
      </w:pPr>
      <w:r>
        <w:rPr>
          <w:color w:val="231F20"/>
        </w:rPr>
        <w:t>Otro canal de comercialización es la venta indi- recta a través de intermediarios, canal menos re- comendable en términos económicos porque el conejo se paga a $54,46. Estos actores compran    el conejo al menor precio observado en la zona       y lo revenden a un precio mayor a quien lo com- pra. Sin embargo, es un canal indispensable para las unidades de producción alejadas, pues si no fuera por los  intermediarios  estos  cunicultores  no podrían ingresar a la dinámica de la zona, y además, los intermediarios realizan el faenado de los</w:t>
      </w:r>
      <w:r>
        <w:rPr>
          <w:color w:val="231F20"/>
          <w:spacing w:val="35"/>
        </w:rPr>
        <w:t> </w:t>
      </w:r>
      <w:r>
        <w:rPr>
          <w:color w:val="231F20"/>
        </w:rPr>
        <w:t>conejos.</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32" w:val="right" w:leader="none"/>
        </w:tabs>
        <w:spacing w:before="64"/>
        <w:ind w:left="1553" w:right="0" w:firstLine="0"/>
        <w:jc w:val="left"/>
        <w:rPr>
          <w:sz w:val="22"/>
        </w:rPr>
      </w:pPr>
      <w:r>
        <w:rPr>
          <w:color w:val="231F20"/>
          <w:sz w:val="18"/>
        </w:rPr>
        <w:t>Capítulo </w:t>
      </w:r>
      <w:r>
        <w:rPr>
          <w:color w:val="231F20"/>
          <w:spacing w:val="-3"/>
          <w:sz w:val="18"/>
        </w:rPr>
        <w:t>16.   </w:t>
      </w:r>
      <w:r>
        <w:rPr>
          <w:color w:val="231F20"/>
          <w:sz w:val="18"/>
        </w:rPr>
        <w:t>La cunicultura familiar, una opción para la obtención de  </w:t>
      </w:r>
      <w:r>
        <w:rPr>
          <w:color w:val="231F20"/>
          <w:spacing w:val="39"/>
          <w:sz w:val="18"/>
        </w:rPr>
        <w:t> </w:t>
      </w:r>
      <w:r>
        <w:rPr>
          <w:color w:val="231F20"/>
          <w:sz w:val="18"/>
        </w:rPr>
        <w:t>ingresos</w:t>
      </w:r>
      <w:r>
        <w:rPr>
          <w:color w:val="231F20"/>
          <w:spacing w:val="12"/>
          <w:sz w:val="18"/>
        </w:rPr>
        <w:t> </w:t>
      </w:r>
      <w:r>
        <w:rPr>
          <w:color w:val="231F20"/>
          <w:sz w:val="18"/>
        </w:rPr>
        <w:t>económicos...</w:t>
      </w:r>
      <w:r>
        <w:rPr>
          <w:color w:val="231F20"/>
          <w:sz w:val="22"/>
        </w:rPr>
        <w:tab/>
      </w:r>
      <w:r>
        <w:rPr>
          <w:color w:val="231F20"/>
          <w:spacing w:val="-8"/>
          <w:sz w:val="22"/>
        </w:rPr>
        <w:t>241</w:t>
      </w:r>
    </w:p>
    <w:p>
      <w:pPr>
        <w:spacing w:after="0"/>
        <w:jc w:val="left"/>
        <w:rPr>
          <w:sz w:val="22"/>
        </w:rPr>
        <w:sectPr>
          <w:pgSz w:w="11900" w:h="14450"/>
          <w:pgMar w:header="0" w:footer="222" w:top="420" w:bottom="420" w:left="0" w:right="0"/>
        </w:sectPr>
      </w:pPr>
    </w:p>
    <w:p>
      <w:pPr>
        <w:pStyle w:val="BodyText"/>
        <w:spacing w:before="3"/>
        <w:rPr>
          <w:sz w:val="28"/>
        </w:rPr>
      </w:pPr>
    </w:p>
    <w:p>
      <w:pPr>
        <w:pStyle w:val="BodyText"/>
        <w:spacing w:line="264" w:lineRule="auto"/>
        <w:ind w:left="1553" w:right="1"/>
        <w:jc w:val="both"/>
      </w:pPr>
      <w:r>
        <w:rPr>
          <w:color w:val="231F20"/>
        </w:rPr>
        <w:t>Con respecto a los costos totales de producción (Fig. 2), éstos fueron de $26639,83 en promedio    al año por unidad de producción. Los rubros de mayor impacto fueron la alimentación y la depre- ciación de las instalaciones y los  </w:t>
      </w:r>
      <w:r>
        <w:rPr>
          <w:color w:val="231F20"/>
          <w:spacing w:val="12"/>
        </w:rPr>
        <w:t> </w:t>
      </w:r>
      <w:r>
        <w:rPr>
          <w:color w:val="231F20"/>
        </w:rPr>
        <w:t>equipos.</w:t>
      </w:r>
    </w:p>
    <w:p>
      <w:pPr>
        <w:pStyle w:val="BodyText"/>
        <w:spacing w:line="264" w:lineRule="auto" w:before="113"/>
        <w:ind w:left="1553"/>
        <w:jc w:val="both"/>
      </w:pPr>
      <w:r>
        <w:rPr>
          <w:color w:val="231F20"/>
        </w:rPr>
        <w:t>Se observa que la  alimentación  representa  el  80% del costo </w:t>
      </w:r>
      <w:r>
        <w:rPr>
          <w:color w:val="231F20"/>
          <w:spacing w:val="2"/>
        </w:rPr>
        <w:t>($21384), </w:t>
      </w:r>
      <w:r>
        <w:rPr>
          <w:color w:val="231F20"/>
        </w:rPr>
        <w:t>debido a que en la actualidad la cunicultura depende de alimentos concentrados que tienen un precio elevado,  </w:t>
      </w:r>
      <w:r>
        <w:rPr>
          <w:color w:val="231F20"/>
          <w:spacing w:val="11"/>
        </w:rPr>
        <w:t> </w:t>
      </w:r>
      <w:r>
        <w:rPr>
          <w:color w:val="231F20"/>
        </w:rPr>
        <w:t>entre</w:t>
      </w:r>
    </w:p>
    <w:p>
      <w:pPr>
        <w:pStyle w:val="BodyText"/>
        <w:spacing w:line="264" w:lineRule="auto"/>
        <w:ind w:left="1553"/>
        <w:jc w:val="both"/>
      </w:pPr>
      <w:r>
        <w:rPr>
          <w:color w:val="231F20"/>
        </w:rPr>
        <w:t>$5,00 y $6,00 el kilo. Cabe mencionar que estas unidades de producción compran el alimento al último eslabón de la cadena de suministros y son  el primer eslabón de la cadena agroalimentaria, lo cual los pone en desventaja. A pesar de esto, no   se observaron estrategias para realizar compras consolidadas de  alimento  ni  el  diseño  de  dietas a bajo costo empleando insumos locales de me-  nor precio. Aunque los conejos transforman de manera eficiente los forrajes en proteína animal, en la zona no se emplean forrajes de ningún tipo para la alimentación, lo que genera, por una parte, la</w:t>
      </w:r>
      <w:r>
        <w:rPr>
          <w:color w:val="231F20"/>
          <w:spacing w:val="32"/>
        </w:rPr>
        <w:t> </w:t>
      </w:r>
      <w:r>
        <w:rPr>
          <w:color w:val="231F20"/>
        </w:rPr>
        <w:t>dependencia</w:t>
      </w:r>
      <w:r>
        <w:rPr>
          <w:color w:val="231F20"/>
          <w:spacing w:val="32"/>
        </w:rPr>
        <w:t> </w:t>
      </w:r>
      <w:r>
        <w:rPr>
          <w:color w:val="231F20"/>
        </w:rPr>
        <w:t>de</w:t>
      </w:r>
      <w:r>
        <w:rPr>
          <w:color w:val="231F20"/>
          <w:spacing w:val="32"/>
        </w:rPr>
        <w:t> </w:t>
      </w:r>
      <w:r>
        <w:rPr>
          <w:color w:val="231F20"/>
        </w:rPr>
        <w:t>insumos</w:t>
      </w:r>
      <w:r>
        <w:rPr>
          <w:color w:val="231F20"/>
          <w:spacing w:val="32"/>
        </w:rPr>
        <w:t> </w:t>
      </w:r>
      <w:r>
        <w:rPr>
          <w:color w:val="231F20"/>
        </w:rPr>
        <w:t>externos</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rPr>
        <w:t>unida-</w:t>
      </w:r>
    </w:p>
    <w:p>
      <w:pPr>
        <w:pStyle w:val="BodyText"/>
        <w:spacing w:before="4"/>
        <w:rPr>
          <w:sz w:val="28"/>
        </w:rPr>
      </w:pPr>
      <w:r>
        <w:rPr/>
        <w:br w:type="column"/>
      </w:r>
      <w:r>
        <w:rPr>
          <w:sz w:val="28"/>
        </w:rPr>
      </w:r>
    </w:p>
    <w:p>
      <w:pPr>
        <w:pStyle w:val="BodyText"/>
        <w:spacing w:line="256" w:lineRule="auto"/>
        <w:ind w:left="411" w:right="1551"/>
        <w:jc w:val="both"/>
      </w:pPr>
      <w:r>
        <w:rPr>
          <w:color w:val="231F20"/>
        </w:rPr>
        <w:t>des de producción, y por otra un incremento en   los</w:t>
      </w:r>
      <w:r>
        <w:rPr>
          <w:color w:val="231F20"/>
          <w:spacing w:val="25"/>
        </w:rPr>
        <w:t> </w:t>
      </w:r>
      <w:r>
        <w:rPr>
          <w:color w:val="231F20"/>
        </w:rPr>
        <w:t>costos.</w:t>
      </w:r>
    </w:p>
    <w:p>
      <w:pPr>
        <w:pStyle w:val="BodyText"/>
        <w:spacing w:line="256" w:lineRule="auto" w:before="114"/>
        <w:ind w:left="411" w:right="1551"/>
        <w:jc w:val="both"/>
      </w:pPr>
      <w:r>
        <w:rPr>
          <w:color w:val="231F20"/>
        </w:rPr>
        <w:t>Para hacer una cunicultura familiar más eficiente en términos económicos deben crearse estrate- gias de alimentación que se basen en recursos locales, como la utilización de forrajes perennes, como la alfalfa, o de forrajes de corte, como las gramíneas de ciclo corto.</w:t>
      </w:r>
    </w:p>
    <w:p>
      <w:pPr>
        <w:pStyle w:val="BodyText"/>
        <w:spacing w:line="256" w:lineRule="auto" w:before="114"/>
        <w:ind w:left="411" w:right="1551"/>
        <w:jc w:val="both"/>
      </w:pPr>
      <w:r>
        <w:rPr>
          <w:color w:val="231F20"/>
        </w:rPr>
        <w:t>La cunicultura es una actividad que se realiza en traspatios, pero en la zona se dedican lugares para tener el conejar. La depreciación de las construc- ciones genera un gasto anual de $1069,06, lo que representa el 4% de los costos de producción, atribuidos principalmente a los techados de los lugares donde están los conejos. La depreciación de implementos (bebederos, comederos, nidos, palas, carretillas, mataderos y vehículos)  genera un gasto de $2684 al año, que representa el </w:t>
      </w:r>
      <w:r>
        <w:rPr>
          <w:color w:val="231F20"/>
          <w:spacing w:val="-3"/>
        </w:rPr>
        <w:t>10% </w:t>
      </w:r>
      <w:r>
        <w:rPr>
          <w:color w:val="231F20"/>
        </w:rPr>
        <w:t>de los  costos  e  impacta  de  manera  importante, a pesar de la poca tecnificación de las unidades    de producción. Aunque se emplean subproductos industriales  para  la  fabricación  de </w:t>
      </w:r>
      <w:r>
        <w:rPr>
          <w:color w:val="231F20"/>
          <w:spacing w:val="39"/>
        </w:rPr>
        <w:t> </w:t>
      </w:r>
      <w:r>
        <w:rPr>
          <w:color w:val="231F20"/>
        </w:rPr>
        <w:t>implementos,</w:t>
      </w:r>
    </w:p>
    <w:p>
      <w:pPr>
        <w:spacing w:after="0" w:line="256" w:lineRule="auto"/>
        <w:jc w:val="both"/>
        <w:sectPr>
          <w:type w:val="continuous"/>
          <w:pgSz w:w="11900" w:h="14450"/>
          <w:pgMar w:top="420" w:bottom="420" w:left="0" w:right="0"/>
          <w:cols w:num="2" w:equalWidth="0">
            <w:col w:w="5723" w:space="40"/>
            <w:col w:w="6137"/>
          </w:cols>
        </w:sectPr>
      </w:pPr>
    </w:p>
    <w:p>
      <w:pPr>
        <w:pStyle w:val="BodyText"/>
      </w:pPr>
    </w:p>
    <w:p>
      <w:pPr>
        <w:pStyle w:val="BodyText"/>
      </w:pPr>
    </w:p>
    <w:p>
      <w:pPr>
        <w:pStyle w:val="BodyText"/>
        <w:spacing w:before="5"/>
        <w:rPr>
          <w:sz w:val="14"/>
        </w:rPr>
      </w:pPr>
    </w:p>
    <w:p>
      <w:pPr>
        <w:pStyle w:val="BodyText"/>
        <w:ind w:left="3093"/>
      </w:pPr>
      <w:r>
        <w:rPr/>
        <w:drawing>
          <wp:inline distT="0" distB="0" distL="0" distR="0">
            <wp:extent cx="3666352" cy="2636329"/>
            <wp:effectExtent l="0" t="0" r="0" b="0"/>
            <wp:docPr id="181" name="image295.png" descr=""/>
            <wp:cNvGraphicFramePr>
              <a:graphicFrameLocks noChangeAspect="1"/>
            </wp:cNvGraphicFramePr>
            <a:graphic>
              <a:graphicData uri="http://schemas.openxmlformats.org/drawingml/2006/picture">
                <pic:pic>
                  <pic:nvPicPr>
                    <pic:cNvPr id="182" name="image295.png"/>
                    <pic:cNvPicPr/>
                  </pic:nvPicPr>
                  <pic:blipFill>
                    <a:blip r:embed="rId392" cstate="print"/>
                    <a:stretch>
                      <a:fillRect/>
                    </a:stretch>
                  </pic:blipFill>
                  <pic:spPr>
                    <a:xfrm>
                      <a:off x="0" y="0"/>
                      <a:ext cx="3666352" cy="2636329"/>
                    </a:xfrm>
                    <a:prstGeom prst="rect">
                      <a:avLst/>
                    </a:prstGeom>
                  </pic:spPr>
                </pic:pic>
              </a:graphicData>
            </a:graphic>
          </wp:inline>
        </w:drawing>
      </w:r>
      <w:r>
        <w:rPr/>
      </w:r>
    </w:p>
    <w:p>
      <w:pPr>
        <w:spacing w:before="98"/>
        <w:ind w:left="2181" w:right="0" w:firstLine="0"/>
        <w:jc w:val="left"/>
        <w:rPr>
          <w:sz w:val="18"/>
        </w:rPr>
      </w:pPr>
      <w:r>
        <w:rPr>
          <w:color w:val="231F20"/>
          <w:sz w:val="18"/>
        </w:rPr>
        <w:t>Figura 2.         Costo de producción de las unidades productoras de la zona. (Fuente: trabajo de campo.)</w:t>
      </w:r>
    </w:p>
    <w:p>
      <w:pPr>
        <w:spacing w:after="0"/>
        <w:jc w:val="left"/>
        <w:rPr>
          <w:sz w:val="18"/>
        </w:rPr>
        <w:sectPr>
          <w:type w:val="continuous"/>
          <w:pgSz w:w="11900" w:h="14450"/>
          <w:pgMar w:top="420" w:bottom="420" w:left="0" w:right="0"/>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w w:val="130"/>
          <w:sz w:val="22"/>
        </w:rPr>
        <w:t>242</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71" w:lineRule="auto" w:before="67"/>
        <w:ind w:left="1553"/>
        <w:jc w:val="both"/>
      </w:pPr>
      <w:r>
        <w:rPr>
          <w:color w:val="231F20"/>
        </w:rPr>
        <w:t>cabe mencionar que esto no es lo más adecuado para mejorar los parámetros productivos y que en muchas ocasiones genera perjuicios en la produc- ción, debido a que estos materiales dificultan el lavado y la desinfección y favorecen la ocurrencia de enfermedades, lo cual impacta en la mortalidad o en un incremento de los días de    engorda.</w:t>
      </w:r>
    </w:p>
    <w:p>
      <w:pPr>
        <w:pStyle w:val="BodyText"/>
        <w:spacing w:line="271" w:lineRule="auto" w:before="112"/>
        <w:ind w:left="1553"/>
        <w:jc w:val="both"/>
      </w:pPr>
      <w:r>
        <w:rPr>
          <w:color w:val="231F20"/>
        </w:rPr>
        <w:t>Con respecto a las jaulas, el costo anual de la de- preciación fue de $618,71 al año, lo que repre- senta un 2,2%. El poco impacto de este rubro se debe a que no se emplean jaulas específicamente diseñadas para la cunicultura, sino jaulas diseña- das por los propios cunicultores, que no cumplen con los requisitos de espacio y de fácil accesibili- dad para el manejo  zootécnico.</w:t>
      </w:r>
    </w:p>
    <w:p>
      <w:pPr>
        <w:pStyle w:val="BodyText"/>
        <w:spacing w:line="271" w:lineRule="auto" w:before="112"/>
        <w:ind w:left="1553"/>
        <w:jc w:val="both"/>
      </w:pPr>
      <w:r>
        <w:rPr>
          <w:color w:val="231F20"/>
        </w:rPr>
        <w:t>Los medicamentos y los gastos veterinarios repre- sentan sólo el 1,8% de los costos de producción, con $474,58 al año. Este bajo costo se debe a la poca atención veterinaria que se solicita y a la poca</w:t>
      </w:r>
      <w:r>
        <w:rPr>
          <w:color w:val="231F20"/>
          <w:w w:val="102"/>
        </w:rPr>
        <w:t> </w:t>
      </w:r>
      <w:r>
        <w:rPr>
          <w:color w:val="231F20"/>
        </w:rPr>
        <w:t>asesoría técnica recibida.</w:t>
      </w:r>
    </w:p>
    <w:p>
      <w:pPr>
        <w:pStyle w:val="BodyText"/>
        <w:spacing w:line="271" w:lineRule="auto" w:before="112"/>
        <w:ind w:left="1553"/>
        <w:jc w:val="both"/>
      </w:pPr>
      <w:r>
        <w:rPr>
          <w:color w:val="231F20"/>
        </w:rPr>
        <w:t>En cuanto a los costos atribuidos a la reproduc- ción, no se observó un impacto porque la mayo-  ría de los productores emplean monta</w:t>
      </w:r>
      <w:r>
        <w:rPr>
          <w:color w:val="231F20"/>
          <w:spacing w:val="20"/>
        </w:rPr>
        <w:t> </w:t>
      </w:r>
      <w:r>
        <w:rPr>
          <w:color w:val="231F20"/>
        </w:rPr>
        <w:t>natural.</w:t>
      </w:r>
      <w:r>
        <w:rPr>
          <w:color w:val="231F20"/>
          <w:spacing w:val="18"/>
        </w:rPr>
        <w:t> </w:t>
      </w:r>
      <w:r>
        <w:rPr>
          <w:color w:val="231F20"/>
        </w:rPr>
        <w:t>En</w:t>
      </w:r>
      <w:r>
        <w:rPr>
          <w:color w:val="231F20"/>
          <w:w w:val="104"/>
        </w:rPr>
        <w:t> </w:t>
      </w:r>
      <w:r>
        <w:rPr>
          <w:color w:val="231F20"/>
        </w:rPr>
        <w:t>consecuencia, este costo se incluye en la alimen- tación. Sin embargo, algunos productores utilizan inseminación artificial y entonces sí se genera un gasto agregado por la</w:t>
      </w:r>
      <w:r>
        <w:rPr>
          <w:color w:val="231F20"/>
          <w:spacing w:val="40"/>
        </w:rPr>
        <w:t> </w:t>
      </w:r>
      <w:r>
        <w:rPr>
          <w:color w:val="231F20"/>
        </w:rPr>
        <w:t>reproducción.</w:t>
      </w:r>
    </w:p>
    <w:p>
      <w:pPr>
        <w:pStyle w:val="BodyText"/>
        <w:spacing w:line="271" w:lineRule="auto" w:before="112"/>
        <w:ind w:left="1553"/>
        <w:jc w:val="both"/>
      </w:pPr>
      <w:r>
        <w:rPr>
          <w:color w:val="231F20"/>
        </w:rPr>
        <w:t>Con respecto a los costos unitarios, en promedio un conejo cuesta </w:t>
      </w:r>
      <w:r>
        <w:rPr>
          <w:color w:val="231F20"/>
          <w:spacing w:val="-3"/>
        </w:rPr>
        <w:t>$38,16. </w:t>
      </w:r>
      <w:r>
        <w:rPr>
          <w:color w:val="231F20"/>
        </w:rPr>
        <w:t>El costo de producción  por conejo varía dependiendo de la eficiencia de cada unidad de producción, de sus parámetros productivos, del tipo de alimentación y de la can- tidad de animales. En la zona existen unidades de producción con una excelente eficiencia que</w:t>
      </w:r>
      <w:r>
        <w:rPr>
          <w:color w:val="231F20"/>
          <w:spacing w:val="-15"/>
        </w:rPr>
        <w:t> </w:t>
      </w:r>
      <w:r>
        <w:rPr>
          <w:color w:val="231F20"/>
        </w:rPr>
        <w:t>tienen costos de producción más bajos, de </w:t>
      </w:r>
      <w:r>
        <w:rPr>
          <w:color w:val="231F20"/>
          <w:spacing w:val="-3"/>
        </w:rPr>
        <w:t>$20,87 </w:t>
      </w:r>
      <w:r>
        <w:rPr>
          <w:color w:val="231F20"/>
        </w:rPr>
        <w:t>por co- nejo, y otras con costos elevados de hasta </w:t>
      </w:r>
      <w:r>
        <w:rPr>
          <w:color w:val="231F20"/>
          <w:spacing w:val="-4"/>
        </w:rPr>
        <w:t>$61,12 </w:t>
      </w:r>
      <w:r>
        <w:rPr>
          <w:color w:val="231F20"/>
        </w:rPr>
        <w:t>por conejo (en este caso, tal costo indica que la unidad de producción tiene problemas que deben ser corregidos para que pueda </w:t>
      </w:r>
      <w:r>
        <w:rPr>
          <w:color w:val="231F20"/>
          <w:spacing w:val="17"/>
        </w:rPr>
        <w:t> </w:t>
      </w:r>
      <w:r>
        <w:rPr>
          <w:color w:val="231F20"/>
        </w:rPr>
        <w:t>mantenerse).</w:t>
      </w:r>
    </w:p>
    <w:p>
      <w:pPr>
        <w:pStyle w:val="BodyText"/>
        <w:spacing w:line="259" w:lineRule="auto" w:before="67"/>
        <w:ind w:left="412" w:right="1551"/>
        <w:jc w:val="both"/>
      </w:pPr>
      <w:r>
        <w:rPr/>
        <w:br w:type="column"/>
      </w:r>
      <w:r>
        <w:rPr>
          <w:color w:val="231F20"/>
        </w:rPr>
        <w:t>En la zona hay familias dedicadas a la cunicultura que obtienen utilidades de hasta $103150,00 al año y otras a las que les genera un gasto, ya que tienen pérdidas de $730,00 al año. La utilidad ge- nerada por unidad de producción al año, en pro- medio, fue de $19467,84, lo que refleja que la actividad genera ingresos económicos que com- plementan al ingreso familiar, pues como ya se comentó la cunicultura en la zona es vista como una actividad secundaria que complementa el in- greso</w:t>
      </w:r>
      <w:r>
        <w:rPr>
          <w:color w:val="231F20"/>
          <w:spacing w:val="-18"/>
        </w:rPr>
        <w:t> </w:t>
      </w:r>
      <w:r>
        <w:rPr>
          <w:color w:val="231F20"/>
        </w:rPr>
        <w:t>familiar.</w:t>
      </w:r>
    </w:p>
    <w:p>
      <w:pPr>
        <w:pStyle w:val="BodyText"/>
        <w:spacing w:line="259" w:lineRule="auto" w:before="114"/>
        <w:ind w:left="412" w:right="1551"/>
        <w:jc w:val="both"/>
      </w:pPr>
      <w:r>
        <w:rPr>
          <w:color w:val="231F20"/>
        </w:rPr>
        <w:t>La utilidad promedio por conejo fue de $24,45. La ganancia depende del esfuerzo, la dedicación y la eficiencia de cada productor. La cunicultura mane- jada correctamente y con buenos canales de co- mercialización genera ganancias hasta de $46,48 por conejo, lo que la hace una actividad atractiva. En contraste, si no se desarrolla de la manera ade- cuada se generan  pérdidas  que  pueden  llevar  a la quiebra a la granja. En la zona, el margen más bajo fue de –$1,12, lo que representa ineficacia en términos económicos. A pesar de esto, los produc- tores con pérdidas no ven afectada su economía debido a que no perciben la pérdida porque en- focan su producción al autoconsumo y en menor medida a los mercados de menudeo, y  además ven la actividad como un modo de  </w:t>
      </w:r>
      <w:r>
        <w:rPr>
          <w:color w:val="231F20"/>
          <w:spacing w:val="19"/>
        </w:rPr>
        <w:t> </w:t>
      </w:r>
      <w:r>
        <w:rPr>
          <w:color w:val="231F20"/>
        </w:rPr>
        <w:t>ahorro.</w:t>
      </w:r>
    </w:p>
    <w:p>
      <w:pPr>
        <w:pStyle w:val="BodyText"/>
        <w:spacing w:line="259" w:lineRule="auto" w:before="114"/>
        <w:ind w:left="412" w:right="1551"/>
        <w:jc w:val="both"/>
      </w:pPr>
      <w:r>
        <w:rPr>
          <w:color w:val="231F20"/>
        </w:rPr>
        <w:t>La utilidad por día, en promedio, es de $54,34 por unidad de producción. Esto indica que la cunicultu- ra familiar es una actividad que aporta un ingreso de casi un salario mínimo (0,98 salarios mínimos  de</w:t>
      </w:r>
      <w:r>
        <w:rPr>
          <w:color w:val="231F20"/>
          <w:spacing w:val="16"/>
        </w:rPr>
        <w:t> </w:t>
      </w:r>
      <w:r>
        <w:rPr>
          <w:color w:val="231F20"/>
        </w:rPr>
        <w:t>la</w:t>
      </w:r>
      <w:r>
        <w:rPr>
          <w:color w:val="231F20"/>
          <w:spacing w:val="16"/>
        </w:rPr>
        <w:t> </w:t>
      </w:r>
      <w:r>
        <w:rPr>
          <w:color w:val="231F20"/>
        </w:rPr>
        <w:t>zona</w:t>
      </w:r>
      <w:r>
        <w:rPr>
          <w:color w:val="231F20"/>
          <w:spacing w:val="16"/>
        </w:rPr>
        <w:t> </w:t>
      </w:r>
      <w:r>
        <w:rPr>
          <w:color w:val="231F20"/>
        </w:rPr>
        <w:t>C,</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equivale</w:t>
      </w:r>
      <w:r>
        <w:rPr>
          <w:color w:val="231F20"/>
          <w:spacing w:val="16"/>
        </w:rPr>
        <w:t> </w:t>
      </w:r>
      <w:r>
        <w:rPr>
          <w:color w:val="231F20"/>
        </w:rPr>
        <w:t>a</w:t>
      </w:r>
      <w:r>
        <w:rPr>
          <w:color w:val="231F20"/>
          <w:spacing w:val="16"/>
        </w:rPr>
        <w:t> </w:t>
      </w:r>
      <w:r>
        <w:rPr>
          <w:color w:val="231F20"/>
        </w:rPr>
        <w:t>una</w:t>
      </w:r>
      <w:r>
        <w:rPr>
          <w:color w:val="231F20"/>
          <w:spacing w:val="16"/>
        </w:rPr>
        <w:t> </w:t>
      </w:r>
      <w:r>
        <w:rPr>
          <w:color w:val="231F20"/>
        </w:rPr>
        <w:t>percepción</w:t>
      </w:r>
      <w:r>
        <w:rPr>
          <w:color w:val="231F20"/>
          <w:spacing w:val="16"/>
        </w:rPr>
        <w:t> </w:t>
      </w:r>
      <w:r>
        <w:rPr>
          <w:color w:val="231F20"/>
        </w:rPr>
        <w:t>de</w:t>
      </w:r>
    </w:p>
    <w:p>
      <w:pPr>
        <w:pStyle w:val="BodyText"/>
        <w:spacing w:line="259" w:lineRule="auto"/>
        <w:ind w:left="412" w:right="1551"/>
        <w:jc w:val="both"/>
      </w:pPr>
      <w:r>
        <w:rPr>
          <w:color w:val="231F20"/>
        </w:rPr>
        <w:t>$55,44). Cabe mencionar que esta actividad no requiere mucho tiempo para su desarrollo, pues una persona sólo dedica una hora al día para aten- der a diez conejas más su producción; consideran- do que las unidades de producción cuentan con    </w:t>
      </w:r>
      <w:r>
        <w:rPr>
          <w:color w:val="231F20"/>
          <w:spacing w:val="-5"/>
        </w:rPr>
        <w:t>15 </w:t>
      </w:r>
      <w:r>
        <w:rPr>
          <w:color w:val="231F20"/>
        </w:rPr>
        <w:t>conejas, se necesitan 1,5  horas  para  atender los</w:t>
      </w:r>
      <w:r>
        <w:rPr>
          <w:color w:val="231F20"/>
          <w:spacing w:val="14"/>
        </w:rPr>
        <w:t> </w:t>
      </w:r>
      <w:r>
        <w:rPr>
          <w:color w:val="231F20"/>
        </w:rPr>
        <w:t>conejares.</w:t>
      </w:r>
    </w:p>
    <w:p>
      <w:pPr>
        <w:pStyle w:val="BodyText"/>
        <w:spacing w:line="259" w:lineRule="auto" w:before="114"/>
        <w:ind w:left="412" w:right="1551"/>
        <w:jc w:val="both"/>
      </w:pPr>
      <w:r>
        <w:rPr>
          <w:color w:val="231F20"/>
        </w:rPr>
        <w:t>En el Cuadro 4 se muestran los indicadores eco- nómicos de la actividad cunícola de la zona. Des-</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10341" w:val="right" w:leader="none"/>
        </w:tabs>
        <w:spacing w:before="64"/>
        <w:ind w:left="1553" w:right="0" w:firstLine="0"/>
        <w:jc w:val="left"/>
        <w:rPr>
          <w:sz w:val="22"/>
        </w:rPr>
      </w:pPr>
      <w:r>
        <w:rPr>
          <w:color w:val="231F20"/>
          <w:sz w:val="18"/>
        </w:rPr>
        <w:t>Capítulo </w:t>
      </w:r>
      <w:r>
        <w:rPr>
          <w:color w:val="231F20"/>
          <w:spacing w:val="-3"/>
          <w:sz w:val="18"/>
        </w:rPr>
        <w:t>16.   </w:t>
      </w:r>
      <w:r>
        <w:rPr>
          <w:color w:val="231F20"/>
          <w:sz w:val="18"/>
        </w:rPr>
        <w:t>La cunicultura familiar, una opción para la obtención de  </w:t>
      </w:r>
      <w:r>
        <w:rPr>
          <w:color w:val="231F20"/>
          <w:spacing w:val="37"/>
          <w:sz w:val="18"/>
        </w:rPr>
        <w:t> </w:t>
      </w:r>
      <w:r>
        <w:rPr>
          <w:color w:val="231F20"/>
          <w:sz w:val="18"/>
        </w:rPr>
        <w:t>ingresos</w:t>
      </w:r>
      <w:r>
        <w:rPr>
          <w:color w:val="231F20"/>
          <w:spacing w:val="12"/>
          <w:sz w:val="18"/>
        </w:rPr>
        <w:t> </w:t>
      </w:r>
      <w:r>
        <w:rPr>
          <w:color w:val="231F20"/>
          <w:sz w:val="18"/>
        </w:rPr>
        <w:t>económicos...</w:t>
      </w:r>
      <w:r>
        <w:rPr>
          <w:color w:val="231F20"/>
          <w:sz w:val="22"/>
        </w:rPr>
        <w:tab/>
        <w:t>243</w:t>
      </w:r>
    </w:p>
    <w:p>
      <w:pPr>
        <w:spacing w:after="0"/>
        <w:jc w:val="left"/>
        <w:rPr>
          <w:sz w:val="22"/>
        </w:rPr>
        <w:sectPr>
          <w:pgSz w:w="11900" w:h="14450"/>
          <w:pgMar w:header="0" w:footer="222" w:top="420" w:bottom="420" w:left="0" w:right="0"/>
        </w:sectPr>
      </w:pPr>
    </w:p>
    <w:p>
      <w:pPr>
        <w:pStyle w:val="BodyText"/>
        <w:rPr>
          <w:sz w:val="18"/>
        </w:rPr>
      </w:pPr>
    </w:p>
    <w:p>
      <w:pPr>
        <w:spacing w:line="283" w:lineRule="auto" w:before="129"/>
        <w:ind w:left="1553" w:right="0" w:firstLine="0"/>
        <w:jc w:val="both"/>
        <w:rPr>
          <w:sz w:val="18"/>
        </w:rPr>
      </w:pPr>
      <w:r>
        <w:rPr>
          <w:color w:val="231F20"/>
          <w:w w:val="105"/>
          <w:sz w:val="18"/>
        </w:rPr>
        <w:t>Cuadro 4. Indicadores económicos de las unidades de producción de carne de conejo.</w:t>
      </w:r>
    </w:p>
    <w:p>
      <w:pPr>
        <w:pStyle w:val="BodyText"/>
        <w:spacing w:before="7" w:after="1"/>
        <w:rPr>
          <w:sz w:val="8"/>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078"/>
        <w:gridCol w:w="2078"/>
      </w:tblGrid>
      <w:tr>
        <w:trPr>
          <w:trHeight w:val="369" w:hRule="exact"/>
        </w:trPr>
        <w:tc>
          <w:tcPr>
            <w:tcW w:w="2078" w:type="dxa"/>
            <w:tcBorders>
              <w:left w:val="nil"/>
            </w:tcBorders>
          </w:tcPr>
          <w:p>
            <w:pPr>
              <w:pStyle w:val="TableParagraph"/>
              <w:spacing w:before="79"/>
              <w:ind w:left="658"/>
              <w:rPr>
                <w:rFonts w:ascii="Cambria"/>
                <w:i/>
                <w:sz w:val="18"/>
              </w:rPr>
            </w:pPr>
            <w:r>
              <w:rPr>
                <w:rFonts w:ascii="Cambria"/>
                <w:i/>
                <w:color w:val="231F20"/>
                <w:w w:val="105"/>
                <w:sz w:val="18"/>
              </w:rPr>
              <w:t>Indicador</w:t>
            </w:r>
          </w:p>
        </w:tc>
        <w:tc>
          <w:tcPr>
            <w:tcW w:w="2078" w:type="dxa"/>
            <w:tcBorders>
              <w:right w:val="nil"/>
            </w:tcBorders>
          </w:tcPr>
          <w:p>
            <w:pPr>
              <w:pStyle w:val="TableParagraph"/>
              <w:spacing w:before="79"/>
              <w:ind w:left="445"/>
              <w:rPr>
                <w:rFonts w:ascii="Cambria"/>
                <w:i/>
                <w:sz w:val="18"/>
              </w:rPr>
            </w:pPr>
            <w:r>
              <w:rPr>
                <w:rFonts w:ascii="Cambria"/>
                <w:i/>
                <w:color w:val="231F20"/>
                <w:w w:val="110"/>
                <w:sz w:val="18"/>
              </w:rPr>
              <w:t>Valor en pesos</w:t>
            </w:r>
          </w:p>
        </w:tc>
      </w:tr>
      <w:tr>
        <w:trPr>
          <w:trHeight w:val="354" w:hRule="exact"/>
        </w:trPr>
        <w:tc>
          <w:tcPr>
            <w:tcW w:w="2078" w:type="dxa"/>
            <w:tcBorders>
              <w:left w:val="nil"/>
            </w:tcBorders>
          </w:tcPr>
          <w:p>
            <w:pPr>
              <w:pStyle w:val="TableParagraph"/>
              <w:ind w:left="113"/>
              <w:rPr>
                <w:sz w:val="17"/>
              </w:rPr>
            </w:pPr>
            <w:r>
              <w:rPr>
                <w:color w:val="231F20"/>
                <w:sz w:val="17"/>
              </w:rPr>
              <w:t>Ingresos</w:t>
            </w:r>
          </w:p>
        </w:tc>
        <w:tc>
          <w:tcPr>
            <w:tcW w:w="2078" w:type="dxa"/>
            <w:tcBorders>
              <w:right w:val="nil"/>
            </w:tcBorders>
          </w:tcPr>
          <w:p>
            <w:pPr>
              <w:pStyle w:val="TableParagraph"/>
              <w:ind w:left="681"/>
              <w:rPr>
                <w:sz w:val="17"/>
              </w:rPr>
            </w:pPr>
            <w:r>
              <w:rPr>
                <w:color w:val="231F20"/>
                <w:w w:val="110"/>
                <w:sz w:val="17"/>
              </w:rPr>
              <w:t>46107,67</w:t>
            </w:r>
          </w:p>
        </w:tc>
      </w:tr>
      <w:tr>
        <w:trPr>
          <w:trHeight w:val="354" w:hRule="exact"/>
        </w:trPr>
        <w:tc>
          <w:tcPr>
            <w:tcW w:w="2078" w:type="dxa"/>
            <w:tcBorders>
              <w:left w:val="nil"/>
            </w:tcBorders>
          </w:tcPr>
          <w:p>
            <w:pPr>
              <w:pStyle w:val="TableParagraph"/>
              <w:ind w:left="113"/>
              <w:rPr>
                <w:sz w:val="17"/>
              </w:rPr>
            </w:pPr>
            <w:r>
              <w:rPr>
                <w:color w:val="231F20"/>
                <w:sz w:val="17"/>
              </w:rPr>
              <w:t>Costos totales</w:t>
            </w:r>
          </w:p>
        </w:tc>
        <w:tc>
          <w:tcPr>
            <w:tcW w:w="2078" w:type="dxa"/>
            <w:tcBorders>
              <w:right w:val="nil"/>
            </w:tcBorders>
          </w:tcPr>
          <w:p>
            <w:pPr>
              <w:pStyle w:val="TableParagraph"/>
              <w:ind w:left="649"/>
              <w:rPr>
                <w:sz w:val="17"/>
              </w:rPr>
            </w:pPr>
            <w:r>
              <w:rPr>
                <w:color w:val="231F20"/>
                <w:w w:val="115"/>
                <w:sz w:val="17"/>
              </w:rPr>
              <w:t>26639,83</w:t>
            </w:r>
          </w:p>
        </w:tc>
      </w:tr>
      <w:tr>
        <w:trPr>
          <w:trHeight w:val="354" w:hRule="exact"/>
        </w:trPr>
        <w:tc>
          <w:tcPr>
            <w:tcW w:w="2078" w:type="dxa"/>
            <w:tcBorders>
              <w:left w:val="nil"/>
            </w:tcBorders>
          </w:tcPr>
          <w:p>
            <w:pPr>
              <w:pStyle w:val="TableParagraph"/>
              <w:ind w:left="113"/>
              <w:rPr>
                <w:sz w:val="17"/>
              </w:rPr>
            </w:pPr>
            <w:r>
              <w:rPr>
                <w:color w:val="231F20"/>
                <w:w w:val="95"/>
                <w:sz w:val="17"/>
              </w:rPr>
              <w:t>Utilidad total</w:t>
            </w:r>
          </w:p>
        </w:tc>
        <w:tc>
          <w:tcPr>
            <w:tcW w:w="2078" w:type="dxa"/>
            <w:tcBorders>
              <w:right w:val="nil"/>
            </w:tcBorders>
          </w:tcPr>
          <w:p>
            <w:pPr>
              <w:pStyle w:val="TableParagraph"/>
              <w:ind w:left="674"/>
              <w:rPr>
                <w:sz w:val="17"/>
              </w:rPr>
            </w:pPr>
            <w:r>
              <w:rPr>
                <w:color w:val="231F20"/>
                <w:w w:val="115"/>
                <w:sz w:val="17"/>
              </w:rPr>
              <w:t>19467,84</w:t>
            </w:r>
          </w:p>
        </w:tc>
      </w:tr>
      <w:tr>
        <w:trPr>
          <w:trHeight w:val="360" w:hRule="exact"/>
        </w:trPr>
        <w:tc>
          <w:tcPr>
            <w:tcW w:w="2078" w:type="dxa"/>
            <w:tcBorders>
              <w:left w:val="nil"/>
            </w:tcBorders>
          </w:tcPr>
          <w:p>
            <w:pPr>
              <w:pStyle w:val="TableParagraph"/>
              <w:ind w:left="113"/>
              <w:rPr>
                <w:sz w:val="17"/>
              </w:rPr>
            </w:pPr>
            <w:r>
              <w:rPr>
                <w:color w:val="231F20"/>
                <w:sz w:val="17"/>
              </w:rPr>
              <w:t>Razón  ingresos/egresos</w:t>
            </w:r>
          </w:p>
        </w:tc>
        <w:tc>
          <w:tcPr>
            <w:tcW w:w="2078" w:type="dxa"/>
            <w:tcBorders>
              <w:right w:val="nil"/>
            </w:tcBorders>
          </w:tcPr>
          <w:p>
            <w:pPr>
              <w:pStyle w:val="TableParagraph"/>
              <w:ind w:left="1074"/>
              <w:rPr>
                <w:sz w:val="17"/>
              </w:rPr>
            </w:pPr>
            <w:r>
              <w:rPr>
                <w:color w:val="231F20"/>
                <w:w w:val="110"/>
                <w:sz w:val="17"/>
              </w:rPr>
              <w:t>1,73</w:t>
            </w:r>
          </w:p>
        </w:tc>
      </w:tr>
      <w:tr>
        <w:trPr>
          <w:trHeight w:val="354" w:hRule="exact"/>
        </w:trPr>
        <w:tc>
          <w:tcPr>
            <w:tcW w:w="2078" w:type="dxa"/>
            <w:tcBorders>
              <w:left w:val="nil"/>
            </w:tcBorders>
          </w:tcPr>
          <w:p>
            <w:pPr>
              <w:pStyle w:val="TableParagraph"/>
              <w:ind w:left="113"/>
              <w:rPr>
                <w:sz w:val="17"/>
              </w:rPr>
            </w:pPr>
            <w:r>
              <w:rPr>
                <w:color w:val="231F20"/>
                <w:sz w:val="17"/>
              </w:rPr>
              <w:t>Precio unitario</w:t>
            </w:r>
          </w:p>
        </w:tc>
        <w:tc>
          <w:tcPr>
            <w:tcW w:w="2078" w:type="dxa"/>
            <w:tcBorders>
              <w:right w:val="nil"/>
            </w:tcBorders>
          </w:tcPr>
          <w:p>
            <w:pPr>
              <w:pStyle w:val="TableParagraph"/>
              <w:ind w:left="968"/>
              <w:rPr>
                <w:sz w:val="17"/>
              </w:rPr>
            </w:pPr>
            <w:r>
              <w:rPr>
                <w:color w:val="231F20"/>
                <w:w w:val="110"/>
                <w:sz w:val="17"/>
              </w:rPr>
              <w:t>62,61</w:t>
            </w:r>
          </w:p>
        </w:tc>
      </w:tr>
      <w:tr>
        <w:trPr>
          <w:trHeight w:val="354" w:hRule="exact"/>
        </w:trPr>
        <w:tc>
          <w:tcPr>
            <w:tcW w:w="2078" w:type="dxa"/>
            <w:tcBorders>
              <w:left w:val="nil"/>
            </w:tcBorders>
          </w:tcPr>
          <w:p>
            <w:pPr>
              <w:pStyle w:val="TableParagraph"/>
              <w:ind w:left="113"/>
              <w:rPr>
                <w:sz w:val="17"/>
              </w:rPr>
            </w:pPr>
            <w:r>
              <w:rPr>
                <w:color w:val="231F20"/>
                <w:sz w:val="17"/>
              </w:rPr>
              <w:t>Costo unitario</w:t>
            </w:r>
          </w:p>
        </w:tc>
        <w:tc>
          <w:tcPr>
            <w:tcW w:w="2078" w:type="dxa"/>
            <w:tcBorders>
              <w:right w:val="nil"/>
            </w:tcBorders>
          </w:tcPr>
          <w:p>
            <w:pPr>
              <w:pStyle w:val="TableParagraph"/>
              <w:ind w:left="971"/>
              <w:rPr>
                <w:sz w:val="17"/>
              </w:rPr>
            </w:pPr>
            <w:r>
              <w:rPr>
                <w:color w:val="231F20"/>
                <w:w w:val="110"/>
                <w:sz w:val="17"/>
              </w:rPr>
              <w:t>38,11</w:t>
            </w:r>
          </w:p>
        </w:tc>
      </w:tr>
      <w:tr>
        <w:trPr>
          <w:trHeight w:val="354" w:hRule="exact"/>
        </w:trPr>
        <w:tc>
          <w:tcPr>
            <w:tcW w:w="2078" w:type="dxa"/>
            <w:tcBorders>
              <w:left w:val="nil"/>
            </w:tcBorders>
          </w:tcPr>
          <w:p>
            <w:pPr>
              <w:pStyle w:val="TableParagraph"/>
              <w:ind w:left="113"/>
              <w:rPr>
                <w:sz w:val="17"/>
              </w:rPr>
            </w:pPr>
            <w:r>
              <w:rPr>
                <w:color w:val="231F20"/>
                <w:w w:val="95"/>
                <w:sz w:val="17"/>
              </w:rPr>
              <w:t>Utilidad unitaria</w:t>
            </w:r>
          </w:p>
        </w:tc>
        <w:tc>
          <w:tcPr>
            <w:tcW w:w="2078" w:type="dxa"/>
            <w:tcBorders>
              <w:right w:val="nil"/>
            </w:tcBorders>
          </w:tcPr>
          <w:p>
            <w:pPr>
              <w:pStyle w:val="TableParagraph"/>
              <w:ind w:left="968"/>
              <w:rPr>
                <w:sz w:val="17"/>
              </w:rPr>
            </w:pPr>
            <w:r>
              <w:rPr>
                <w:color w:val="231F20"/>
                <w:w w:val="110"/>
                <w:sz w:val="17"/>
              </w:rPr>
              <w:t>24,50</w:t>
            </w:r>
          </w:p>
        </w:tc>
      </w:tr>
    </w:tbl>
    <w:p>
      <w:pPr>
        <w:spacing w:before="94"/>
        <w:ind w:left="1553" w:right="0" w:firstLine="0"/>
        <w:jc w:val="both"/>
        <w:rPr>
          <w:sz w:val="15"/>
        </w:rPr>
      </w:pPr>
      <w:r>
        <w:rPr>
          <w:color w:val="231F20"/>
          <w:sz w:val="15"/>
        </w:rPr>
        <w:t>Fuente: trabajo de campo.</w:t>
      </w:r>
    </w:p>
    <w:p>
      <w:pPr>
        <w:pStyle w:val="BodyText"/>
        <w:rPr>
          <w:sz w:val="14"/>
        </w:rPr>
      </w:pPr>
    </w:p>
    <w:p>
      <w:pPr>
        <w:pStyle w:val="BodyText"/>
        <w:rPr>
          <w:sz w:val="14"/>
        </w:rPr>
      </w:pPr>
    </w:p>
    <w:p>
      <w:pPr>
        <w:pStyle w:val="BodyText"/>
        <w:spacing w:before="6"/>
        <w:rPr>
          <w:sz w:val="12"/>
        </w:rPr>
      </w:pPr>
    </w:p>
    <w:p>
      <w:pPr>
        <w:pStyle w:val="BodyText"/>
        <w:spacing w:line="256" w:lineRule="auto"/>
        <w:ind w:left="1553"/>
        <w:jc w:val="both"/>
      </w:pPr>
      <w:r>
        <w:rPr>
          <w:color w:val="231F20"/>
        </w:rPr>
        <w:t>taca la razón ingresos/egresos, que alcanzó un valor de 1,73 e indica que la actividad es rentable. Se recupera el 100% del costo y se obtiene una utilidad del 73%. Con dicha razón, la cunicultura puede verse como una actividad atractiva desde una perspectiva económica.</w:t>
      </w:r>
    </w:p>
    <w:p>
      <w:pPr>
        <w:pStyle w:val="BodyText"/>
      </w:pPr>
    </w:p>
    <w:p>
      <w:pPr>
        <w:pStyle w:val="BodyText"/>
        <w:spacing w:before="153"/>
        <w:ind w:left="1553"/>
        <w:jc w:val="both"/>
      </w:pPr>
      <w:r>
        <w:rPr>
          <w:color w:val="231F20"/>
          <w:w w:val="115"/>
        </w:rPr>
        <w:t>CONCLUSIÓN</w:t>
      </w:r>
    </w:p>
    <w:p>
      <w:pPr>
        <w:pStyle w:val="BodyText"/>
        <w:spacing w:line="256" w:lineRule="auto" w:before="131"/>
        <w:ind w:left="1553"/>
        <w:jc w:val="both"/>
      </w:pPr>
      <w:r>
        <w:rPr>
          <w:color w:val="231F20"/>
        </w:rPr>
        <w:t>La producción cunícola de la zona suroriente del Estado de México es una actividad que permite obtener ingresos económicos a las familias dedi- cadas a ella. Por una hora y media de trabajo se obtiene casi un salario mínimo, lo que indica que   la actividad complementa de manera significativa el ingreso de las familias. Por otro lado, permite el autoconsumo, situación benéfica para las familias ya que se accede a proteínas de buena calidad y puede verse como una opción para la seguridad alimentaria de las familias que habitan en zonas rurales y</w:t>
      </w:r>
      <w:r>
        <w:rPr>
          <w:color w:val="231F20"/>
          <w:spacing w:val="16"/>
        </w:rPr>
        <w:t> </w:t>
      </w:r>
      <w:r>
        <w:rPr>
          <w:color w:val="231F20"/>
        </w:rPr>
        <w:t>suburbanas.</w:t>
      </w:r>
    </w:p>
    <w:p>
      <w:pPr>
        <w:pStyle w:val="BodyText"/>
        <w:spacing w:line="256" w:lineRule="auto" w:before="114"/>
        <w:ind w:left="1553"/>
        <w:jc w:val="both"/>
      </w:pPr>
      <w:r>
        <w:rPr>
          <w:color w:val="231F20"/>
        </w:rPr>
        <w:t>En términos económicos, la cunicultura familiar de la zona mostró indicadores económicos positivos. Esto indica que el dinero invertido se recupera y se obtienen ganancias que se emplean en el interior de la estructura familiar de la unidad de produc-</w:t>
      </w:r>
    </w:p>
    <w:p>
      <w:pPr>
        <w:pStyle w:val="BodyText"/>
        <w:spacing w:before="3"/>
        <w:rPr>
          <w:sz w:val="28"/>
        </w:rPr>
      </w:pPr>
      <w:r>
        <w:rPr/>
        <w:br w:type="column"/>
      </w:r>
      <w:r>
        <w:rPr>
          <w:sz w:val="28"/>
        </w:rPr>
      </w:r>
    </w:p>
    <w:p>
      <w:pPr>
        <w:pStyle w:val="BodyText"/>
        <w:spacing w:line="264" w:lineRule="auto"/>
        <w:ind w:left="412" w:right="1551"/>
        <w:jc w:val="both"/>
      </w:pPr>
      <w:r>
        <w:rPr>
          <w:color w:val="231F20"/>
        </w:rPr>
        <w:t>ción, generando un ingreso extraordinario, lo cual puede ser una herramienta para aliviar la pobreza de los territorios rurales y suburbanos.</w:t>
      </w:r>
    </w:p>
    <w:p>
      <w:pPr>
        <w:pStyle w:val="BodyText"/>
        <w:spacing w:line="264" w:lineRule="auto" w:before="112"/>
        <w:ind w:left="412" w:right="1551"/>
        <w:jc w:val="both"/>
      </w:pPr>
      <w:r>
        <w:rPr>
          <w:color w:val="231F20"/>
        </w:rPr>
        <w:t>Un aspecto relevante es que la cunicultura familiar se considera una actividad secundaria a pesar de generar ingresos y permitir el autoconsumo. Cabe señalar que la cunicultura familiar puede ser una solución a diversos problemas en el medio rural y suburbano: de salud, porque la carne de conejo es considerada como una carne de las más sanas; de eliminación de carencias alimentarias, ya que por  el potencial biológico de los conejos la actividad genera grandes cantidades de alimento para la so- ciedad; y de pobreza, porque se ha demostrado que potencia la economía en la zona y además cualquier persona y de cualquier edad puede de- sarrollarla sin ningún</w:t>
      </w:r>
      <w:r>
        <w:rPr>
          <w:color w:val="231F20"/>
          <w:spacing w:val="15"/>
        </w:rPr>
        <w:t> </w:t>
      </w:r>
      <w:r>
        <w:rPr>
          <w:color w:val="231F20"/>
        </w:rPr>
        <w:t>problema.</w:t>
      </w:r>
    </w:p>
    <w:p>
      <w:pPr>
        <w:pStyle w:val="BodyText"/>
      </w:pPr>
    </w:p>
    <w:p>
      <w:pPr>
        <w:pStyle w:val="BodyText"/>
        <w:spacing w:before="151"/>
        <w:ind w:left="412"/>
        <w:jc w:val="both"/>
      </w:pPr>
      <w:r>
        <w:rPr>
          <w:color w:val="231F20"/>
          <w:w w:val="110"/>
        </w:rPr>
        <w:t>AGRADECIMIENTOS</w:t>
      </w:r>
    </w:p>
    <w:p>
      <w:pPr>
        <w:pStyle w:val="BodyText"/>
        <w:spacing w:line="264" w:lineRule="auto" w:before="136"/>
        <w:ind w:left="412" w:right="1551"/>
        <w:jc w:val="both"/>
      </w:pPr>
      <w:r>
        <w:rPr>
          <w:color w:val="231F20"/>
          <w:w w:val="105"/>
        </w:rPr>
        <w:t>Se</w:t>
      </w:r>
      <w:r>
        <w:rPr>
          <w:color w:val="231F20"/>
          <w:spacing w:val="-14"/>
          <w:w w:val="105"/>
        </w:rPr>
        <w:t> </w:t>
      </w:r>
      <w:r>
        <w:rPr>
          <w:color w:val="231F20"/>
          <w:w w:val="105"/>
        </w:rPr>
        <w:t>agradece</w:t>
      </w:r>
      <w:r>
        <w:rPr>
          <w:color w:val="231F20"/>
          <w:spacing w:val="-14"/>
          <w:w w:val="105"/>
        </w:rPr>
        <w:t> </w:t>
      </w:r>
      <w:r>
        <w:rPr>
          <w:color w:val="231F20"/>
          <w:w w:val="105"/>
        </w:rPr>
        <w:t>al</w:t>
      </w:r>
      <w:r>
        <w:rPr>
          <w:color w:val="231F20"/>
          <w:spacing w:val="-14"/>
          <w:w w:val="105"/>
        </w:rPr>
        <w:t> </w:t>
      </w:r>
      <w:r>
        <w:rPr>
          <w:color w:val="231F20"/>
          <w:w w:val="105"/>
        </w:rPr>
        <w:t>Programa</w:t>
      </w:r>
      <w:r>
        <w:rPr>
          <w:color w:val="231F20"/>
          <w:spacing w:val="-14"/>
          <w:w w:val="105"/>
        </w:rPr>
        <w:t> </w:t>
      </w:r>
      <w:r>
        <w:rPr>
          <w:color w:val="231F20"/>
          <w:w w:val="105"/>
        </w:rPr>
        <w:t>de</w:t>
      </w:r>
      <w:r>
        <w:rPr>
          <w:color w:val="231F20"/>
          <w:spacing w:val="-14"/>
          <w:w w:val="105"/>
        </w:rPr>
        <w:t> </w:t>
      </w:r>
      <w:r>
        <w:rPr>
          <w:color w:val="231F20"/>
          <w:w w:val="105"/>
        </w:rPr>
        <w:t>Apoyo</w:t>
      </w:r>
      <w:r>
        <w:rPr>
          <w:color w:val="231F20"/>
          <w:spacing w:val="-14"/>
          <w:w w:val="105"/>
        </w:rPr>
        <w:t> </w:t>
      </w:r>
      <w:r>
        <w:rPr>
          <w:color w:val="231F20"/>
          <w:w w:val="105"/>
        </w:rPr>
        <w:t>al</w:t>
      </w:r>
      <w:r>
        <w:rPr>
          <w:color w:val="231F20"/>
          <w:spacing w:val="-14"/>
          <w:w w:val="105"/>
        </w:rPr>
        <w:t> </w:t>
      </w:r>
      <w:r>
        <w:rPr>
          <w:color w:val="231F20"/>
          <w:w w:val="105"/>
        </w:rPr>
        <w:t>Profesorado (PROMEP) de la Secretaría de Educación Pública (SEP)</w:t>
      </w:r>
      <w:r>
        <w:rPr>
          <w:color w:val="231F20"/>
          <w:spacing w:val="-22"/>
          <w:w w:val="105"/>
        </w:rPr>
        <w:t> </w:t>
      </w:r>
      <w:r>
        <w:rPr>
          <w:color w:val="231F20"/>
          <w:w w:val="105"/>
        </w:rPr>
        <w:t>por</w:t>
      </w:r>
      <w:r>
        <w:rPr>
          <w:color w:val="231F20"/>
          <w:spacing w:val="-22"/>
          <w:w w:val="105"/>
        </w:rPr>
        <w:t> </w:t>
      </w:r>
      <w:r>
        <w:rPr>
          <w:color w:val="231F20"/>
          <w:w w:val="105"/>
        </w:rPr>
        <w:t>el</w:t>
      </w:r>
      <w:r>
        <w:rPr>
          <w:color w:val="231F20"/>
          <w:spacing w:val="-22"/>
          <w:w w:val="105"/>
        </w:rPr>
        <w:t> </w:t>
      </w:r>
      <w:r>
        <w:rPr>
          <w:color w:val="231F20"/>
          <w:w w:val="105"/>
        </w:rPr>
        <w:t>financiamiento</w:t>
      </w:r>
      <w:r>
        <w:rPr>
          <w:color w:val="231F20"/>
          <w:spacing w:val="-22"/>
          <w:w w:val="105"/>
        </w:rPr>
        <w:t> </w:t>
      </w:r>
      <w:r>
        <w:rPr>
          <w:color w:val="231F20"/>
          <w:w w:val="105"/>
        </w:rPr>
        <w:t>otorgado</w:t>
      </w:r>
      <w:r>
        <w:rPr>
          <w:color w:val="231F20"/>
          <w:spacing w:val="-22"/>
          <w:w w:val="105"/>
        </w:rPr>
        <w:t> </w:t>
      </w:r>
      <w:r>
        <w:rPr>
          <w:color w:val="231F20"/>
          <w:w w:val="105"/>
        </w:rPr>
        <w:t>para</w:t>
      </w:r>
      <w:r>
        <w:rPr>
          <w:color w:val="231F20"/>
          <w:spacing w:val="-22"/>
          <w:w w:val="105"/>
        </w:rPr>
        <w:t> </w:t>
      </w:r>
      <w:r>
        <w:rPr>
          <w:color w:val="231F20"/>
          <w:w w:val="105"/>
        </w:rPr>
        <w:t>la</w:t>
      </w:r>
      <w:r>
        <w:rPr>
          <w:color w:val="231F20"/>
          <w:spacing w:val="-22"/>
          <w:w w:val="105"/>
        </w:rPr>
        <w:t> </w:t>
      </w:r>
      <w:r>
        <w:rPr>
          <w:color w:val="231F20"/>
          <w:w w:val="105"/>
        </w:rPr>
        <w:t>inves- tigación. Convenio PROMEP/103.5/10/4368, “La competitividad de los sistemas agroalimentarios productores</w:t>
      </w:r>
      <w:r>
        <w:rPr>
          <w:color w:val="231F20"/>
          <w:spacing w:val="-18"/>
          <w:w w:val="105"/>
        </w:rPr>
        <w:t> </w:t>
      </w:r>
      <w:r>
        <w:rPr>
          <w:color w:val="231F20"/>
          <w:w w:val="105"/>
        </w:rPr>
        <w:t>de</w:t>
      </w:r>
      <w:r>
        <w:rPr>
          <w:color w:val="231F20"/>
          <w:spacing w:val="-18"/>
          <w:w w:val="105"/>
        </w:rPr>
        <w:t> </w:t>
      </w:r>
      <w:r>
        <w:rPr>
          <w:color w:val="231F20"/>
          <w:w w:val="105"/>
        </w:rPr>
        <w:t>conejo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sur</w:t>
      </w:r>
      <w:r>
        <w:rPr>
          <w:color w:val="231F20"/>
          <w:spacing w:val="-18"/>
          <w:w w:val="105"/>
        </w:rPr>
        <w:t> </w:t>
      </w:r>
      <w:r>
        <w:rPr>
          <w:color w:val="231F20"/>
          <w:w w:val="105"/>
        </w:rPr>
        <w:t>oriente</w:t>
      </w:r>
      <w:r>
        <w:rPr>
          <w:color w:val="231F20"/>
          <w:spacing w:val="-18"/>
          <w:w w:val="105"/>
        </w:rPr>
        <w:t> </w:t>
      </w:r>
      <w:r>
        <w:rPr>
          <w:color w:val="231F20"/>
          <w:w w:val="105"/>
        </w:rPr>
        <w:t>del</w:t>
      </w:r>
      <w:r>
        <w:rPr>
          <w:color w:val="231F20"/>
          <w:spacing w:val="-18"/>
          <w:w w:val="105"/>
        </w:rPr>
        <w:t> </w:t>
      </w:r>
      <w:r>
        <w:rPr>
          <w:color w:val="231F20"/>
          <w:w w:val="105"/>
        </w:rPr>
        <w:t>Estado </w:t>
      </w:r>
      <w:r>
        <w:rPr>
          <w:color w:val="231F20"/>
        </w:rPr>
        <w:t>de</w:t>
      </w:r>
      <w:r>
        <w:rPr>
          <w:color w:val="231F20"/>
          <w:spacing w:val="-8"/>
        </w:rPr>
        <w:t> </w:t>
      </w:r>
      <w:r>
        <w:rPr>
          <w:color w:val="231F20"/>
          <w:spacing w:val="-3"/>
        </w:rPr>
        <w:t>México”.</w:t>
      </w:r>
    </w:p>
    <w:p>
      <w:pPr>
        <w:pStyle w:val="BodyText"/>
      </w:pPr>
    </w:p>
    <w:p>
      <w:pPr>
        <w:pStyle w:val="BodyText"/>
        <w:spacing w:before="151"/>
        <w:ind w:left="412"/>
        <w:jc w:val="both"/>
      </w:pPr>
      <w:r>
        <w:rPr>
          <w:color w:val="231F20"/>
          <w:w w:val="110"/>
        </w:rPr>
        <w:t>BIBLIOGRAFÍA</w:t>
      </w:r>
    </w:p>
    <w:p>
      <w:pPr>
        <w:spacing w:line="271" w:lineRule="auto" w:before="136"/>
        <w:ind w:left="696" w:right="1551" w:hanging="284"/>
        <w:jc w:val="both"/>
        <w:rPr>
          <w:sz w:val="18"/>
        </w:rPr>
      </w:pPr>
      <w:r>
        <w:rPr>
          <w:color w:val="231F20"/>
          <w:w w:val="105"/>
          <w:sz w:val="18"/>
        </w:rPr>
        <w:t>Branckaert R. (1999). La </w:t>
      </w:r>
      <w:r>
        <w:rPr>
          <w:color w:val="231F20"/>
          <w:spacing w:val="-6"/>
          <w:w w:val="105"/>
          <w:sz w:val="18"/>
        </w:rPr>
        <w:t>FAO </w:t>
      </w:r>
      <w:r>
        <w:rPr>
          <w:color w:val="231F20"/>
          <w:w w:val="105"/>
          <w:sz w:val="18"/>
        </w:rPr>
        <w:t>ayuda a los países del Mediterráneo</w:t>
      </w:r>
      <w:r>
        <w:rPr>
          <w:color w:val="231F20"/>
          <w:spacing w:val="-8"/>
          <w:w w:val="105"/>
          <w:sz w:val="18"/>
        </w:rPr>
        <w:t> </w:t>
      </w:r>
      <w:r>
        <w:rPr>
          <w:color w:val="231F20"/>
          <w:w w:val="105"/>
          <w:sz w:val="18"/>
        </w:rPr>
        <w:t>a</w:t>
      </w:r>
      <w:r>
        <w:rPr>
          <w:color w:val="231F20"/>
          <w:spacing w:val="-8"/>
          <w:w w:val="105"/>
          <w:sz w:val="18"/>
        </w:rPr>
        <w:t> </w:t>
      </w:r>
      <w:r>
        <w:rPr>
          <w:color w:val="231F20"/>
          <w:w w:val="105"/>
          <w:sz w:val="18"/>
        </w:rPr>
        <w:t>fomentar</w:t>
      </w:r>
      <w:r>
        <w:rPr>
          <w:color w:val="231F20"/>
          <w:spacing w:val="-8"/>
          <w:w w:val="105"/>
          <w:sz w:val="18"/>
        </w:rPr>
        <w:t> </w:t>
      </w:r>
      <w:r>
        <w:rPr>
          <w:color w:val="231F20"/>
          <w:w w:val="105"/>
          <w:sz w:val="18"/>
        </w:rPr>
        <w:t>la</w:t>
      </w:r>
      <w:r>
        <w:rPr>
          <w:color w:val="231F20"/>
          <w:spacing w:val="-8"/>
          <w:w w:val="105"/>
          <w:sz w:val="18"/>
        </w:rPr>
        <w:t> </w:t>
      </w:r>
      <w:r>
        <w:rPr>
          <w:color w:val="231F20"/>
          <w:w w:val="105"/>
          <w:sz w:val="18"/>
        </w:rPr>
        <w:t>cría</w:t>
      </w:r>
      <w:r>
        <w:rPr>
          <w:color w:val="231F20"/>
          <w:spacing w:val="-8"/>
          <w:w w:val="105"/>
          <w:sz w:val="18"/>
        </w:rPr>
        <w:t> </w:t>
      </w:r>
      <w:r>
        <w:rPr>
          <w:color w:val="231F20"/>
          <w:w w:val="105"/>
          <w:sz w:val="18"/>
        </w:rPr>
        <w:t>de</w:t>
      </w:r>
      <w:r>
        <w:rPr>
          <w:color w:val="231F20"/>
          <w:spacing w:val="-8"/>
          <w:w w:val="105"/>
          <w:sz w:val="18"/>
        </w:rPr>
        <w:t> </w:t>
      </w:r>
      <w:r>
        <w:rPr>
          <w:color w:val="231F20"/>
          <w:w w:val="105"/>
          <w:sz w:val="18"/>
        </w:rPr>
        <w:t>conejos.</w:t>
      </w:r>
      <w:r>
        <w:rPr>
          <w:color w:val="231F20"/>
          <w:spacing w:val="-8"/>
          <w:w w:val="105"/>
          <w:sz w:val="18"/>
        </w:rPr>
        <w:t> </w:t>
      </w:r>
      <w:r>
        <w:rPr>
          <w:color w:val="231F20"/>
          <w:w w:val="105"/>
          <w:sz w:val="18"/>
        </w:rPr>
        <w:t>Comu- nicados de prensa </w:t>
      </w:r>
      <w:r>
        <w:rPr>
          <w:color w:val="231F20"/>
          <w:spacing w:val="-4"/>
          <w:w w:val="105"/>
          <w:sz w:val="18"/>
        </w:rPr>
        <w:t>FAO. </w:t>
      </w:r>
      <w:r>
        <w:rPr>
          <w:color w:val="231F20"/>
          <w:w w:val="105"/>
          <w:sz w:val="18"/>
        </w:rPr>
        <w:t>Archivo 1999. Comunicado de prensa 99/13. Responsable: experto de la </w:t>
      </w:r>
      <w:r>
        <w:rPr>
          <w:color w:val="231F20"/>
          <w:spacing w:val="-4"/>
          <w:w w:val="105"/>
          <w:sz w:val="18"/>
        </w:rPr>
        <w:t>FAO, </w:t>
      </w:r>
      <w:r>
        <w:rPr>
          <w:color w:val="231F20"/>
          <w:sz w:val="18"/>
        </w:rPr>
        <w:t>René</w:t>
      </w:r>
      <w:r>
        <w:rPr>
          <w:color w:val="231F20"/>
          <w:spacing w:val="2"/>
          <w:sz w:val="18"/>
        </w:rPr>
        <w:t> </w:t>
      </w:r>
      <w:r>
        <w:rPr>
          <w:color w:val="231F20"/>
          <w:sz w:val="18"/>
        </w:rPr>
        <w:t>Branckaert.</w:t>
      </w:r>
    </w:p>
    <w:p>
      <w:pPr>
        <w:spacing w:line="271" w:lineRule="auto" w:before="56"/>
        <w:ind w:left="696" w:right="1551" w:hanging="284"/>
        <w:jc w:val="both"/>
        <w:rPr>
          <w:sz w:val="18"/>
        </w:rPr>
      </w:pPr>
      <w:r>
        <w:rPr>
          <w:color w:val="231F20"/>
          <w:sz w:val="18"/>
        </w:rPr>
        <w:t>Boucher </w:t>
      </w:r>
      <w:r>
        <w:rPr>
          <w:color w:val="231F20"/>
          <w:spacing w:val="-5"/>
          <w:sz w:val="18"/>
        </w:rPr>
        <w:t>F., </w:t>
      </w:r>
      <w:r>
        <w:rPr>
          <w:color w:val="231F20"/>
          <w:sz w:val="18"/>
        </w:rPr>
        <w:t>Requier-Desjardins D. (2006). Los LAFS, sis- temas agroalimentarios localizados: un nuevo mo- delo</w:t>
      </w:r>
      <w:r>
        <w:rPr>
          <w:color w:val="231F20"/>
          <w:spacing w:val="-6"/>
          <w:sz w:val="18"/>
        </w:rPr>
        <w:t> </w:t>
      </w:r>
      <w:r>
        <w:rPr>
          <w:color w:val="231F20"/>
          <w:sz w:val="18"/>
        </w:rPr>
        <w:t>de</w:t>
      </w:r>
      <w:r>
        <w:rPr>
          <w:color w:val="231F20"/>
          <w:spacing w:val="-6"/>
          <w:sz w:val="18"/>
        </w:rPr>
        <w:t> </w:t>
      </w:r>
      <w:r>
        <w:rPr>
          <w:color w:val="231F20"/>
          <w:sz w:val="18"/>
        </w:rPr>
        <w:t>desarrollo</w:t>
      </w:r>
      <w:r>
        <w:rPr>
          <w:color w:val="231F20"/>
          <w:spacing w:val="-6"/>
          <w:sz w:val="18"/>
        </w:rPr>
        <w:t> </w:t>
      </w:r>
      <w:r>
        <w:rPr>
          <w:color w:val="231F20"/>
          <w:sz w:val="18"/>
        </w:rPr>
        <w:t>para</w:t>
      </w:r>
      <w:r>
        <w:rPr>
          <w:color w:val="231F20"/>
          <w:spacing w:val="-6"/>
          <w:sz w:val="18"/>
        </w:rPr>
        <w:t> </w:t>
      </w:r>
      <w:r>
        <w:rPr>
          <w:color w:val="231F20"/>
          <w:sz w:val="18"/>
        </w:rPr>
        <w:t>articular</w:t>
      </w:r>
      <w:r>
        <w:rPr>
          <w:color w:val="231F20"/>
          <w:spacing w:val="-6"/>
          <w:sz w:val="18"/>
        </w:rPr>
        <w:t> </w:t>
      </w:r>
      <w:r>
        <w:rPr>
          <w:color w:val="231F20"/>
          <w:sz w:val="18"/>
        </w:rPr>
        <w:t>la</w:t>
      </w:r>
      <w:r>
        <w:rPr>
          <w:color w:val="231F20"/>
          <w:spacing w:val="-6"/>
          <w:sz w:val="18"/>
        </w:rPr>
        <w:t> </w:t>
      </w:r>
      <w:r>
        <w:rPr>
          <w:color w:val="231F20"/>
          <w:sz w:val="18"/>
        </w:rPr>
        <w:t>agroindustria</w:t>
      </w:r>
      <w:r>
        <w:rPr>
          <w:color w:val="231F20"/>
          <w:spacing w:val="-6"/>
          <w:sz w:val="18"/>
        </w:rPr>
        <w:t> </w:t>
      </w:r>
      <w:r>
        <w:rPr>
          <w:color w:val="231F20"/>
          <w:sz w:val="18"/>
        </w:rPr>
        <w:t>rural y el territorio. </w:t>
      </w:r>
      <w:r>
        <w:rPr>
          <w:i/>
          <w:color w:val="231F20"/>
          <w:sz w:val="18"/>
        </w:rPr>
        <w:t>Perspectivas Rurales, </w:t>
      </w:r>
      <w:r>
        <w:rPr>
          <w:color w:val="231F20"/>
          <w:spacing w:val="-4"/>
          <w:sz w:val="18"/>
        </w:rPr>
        <w:t>17-18:  </w:t>
      </w:r>
      <w:r>
        <w:rPr>
          <w:color w:val="231F20"/>
          <w:spacing w:val="29"/>
          <w:sz w:val="18"/>
        </w:rPr>
        <w:t> </w:t>
      </w:r>
      <w:r>
        <w:rPr>
          <w:color w:val="231F20"/>
          <w:sz w:val="18"/>
        </w:rPr>
        <w:t>5-12.</w:t>
      </w:r>
    </w:p>
    <w:p>
      <w:pPr>
        <w:spacing w:line="271" w:lineRule="auto" w:before="56"/>
        <w:ind w:left="696" w:right="1551" w:hanging="284"/>
        <w:jc w:val="both"/>
        <w:rPr>
          <w:sz w:val="18"/>
        </w:rPr>
      </w:pPr>
      <w:r>
        <w:rPr>
          <w:color w:val="231F20"/>
          <w:sz w:val="18"/>
        </w:rPr>
        <w:t>CONEVAL (2012). Consejo Nacional de Evaluación de la Política de Desarrollo Social, México. Disponible en línea en: </w:t>
      </w:r>
      <w:hyperlink r:id="rId393">
        <w:r>
          <w:rPr>
            <w:color w:val="231F20"/>
            <w:sz w:val="18"/>
          </w:rPr>
          <w:t>www.coneval.gob.mx</w:t>
        </w:r>
      </w:hyperlink>
    </w:p>
    <w:p>
      <w:pPr>
        <w:spacing w:after="0" w:line="271"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w w:val="130"/>
          <w:sz w:val="22"/>
        </w:rPr>
        <w:t>244</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10"/>
        <w:rPr>
          <w:sz w:val="22"/>
        </w:rPr>
      </w:pPr>
    </w:p>
    <w:p>
      <w:pPr>
        <w:spacing w:after="0"/>
        <w:rPr>
          <w:sz w:val="22"/>
        </w:rPr>
        <w:sectPr>
          <w:footerReference w:type="default" r:id="rId394"/>
          <w:pgSz w:w="11900" w:h="14450"/>
          <w:pgMar w:footer="222" w:header="0" w:top="420" w:bottom="420" w:left="0" w:right="0"/>
        </w:sectPr>
      </w:pPr>
    </w:p>
    <w:p>
      <w:pPr>
        <w:spacing w:line="264" w:lineRule="auto" w:before="70"/>
        <w:ind w:left="1837" w:right="0" w:hanging="284"/>
        <w:jc w:val="both"/>
        <w:rPr>
          <w:sz w:val="18"/>
        </w:rPr>
      </w:pPr>
      <w:r>
        <w:rPr>
          <w:color w:val="231F20"/>
          <w:sz w:val="18"/>
        </w:rPr>
        <w:t>Dillon J., Hardaker F. (1993). Farm management re- search for small farmer development. Food and</w:t>
      </w:r>
      <w:r>
        <w:rPr>
          <w:color w:val="231F20"/>
          <w:w w:val="102"/>
          <w:sz w:val="18"/>
        </w:rPr>
        <w:t> </w:t>
      </w:r>
      <w:r>
        <w:rPr>
          <w:color w:val="231F20"/>
          <w:sz w:val="18"/>
        </w:rPr>
        <w:t>Agriculture Organization of the United Nations. Rome, Italy.</w:t>
      </w:r>
    </w:p>
    <w:p>
      <w:pPr>
        <w:spacing w:line="264" w:lineRule="auto" w:before="56"/>
        <w:ind w:left="1837" w:right="0" w:hanging="284"/>
        <w:jc w:val="both"/>
        <w:rPr>
          <w:sz w:val="18"/>
        </w:rPr>
      </w:pPr>
      <w:r>
        <w:rPr>
          <w:color w:val="231F20"/>
          <w:sz w:val="18"/>
        </w:rPr>
        <w:t>Espinosa A.E. (2009). La competitividad del sistema agroalimentario localizado productor de quesos tra- dicionales. Tesis de Doctorado en Ciencias Agrope- cuarias y Recursos Naturales. Universidad Autónoma del Estado de México, México.</w:t>
      </w:r>
    </w:p>
    <w:p>
      <w:pPr>
        <w:spacing w:line="264" w:lineRule="auto" w:before="56"/>
        <w:ind w:left="1837" w:right="0" w:hanging="284"/>
        <w:jc w:val="both"/>
        <w:rPr>
          <w:sz w:val="18"/>
        </w:rPr>
      </w:pPr>
      <w:r>
        <w:rPr>
          <w:color w:val="231F20"/>
          <w:spacing w:val="-6"/>
          <w:sz w:val="18"/>
        </w:rPr>
        <w:t>FAO </w:t>
      </w:r>
      <w:r>
        <w:rPr>
          <w:color w:val="231F20"/>
          <w:sz w:val="18"/>
        </w:rPr>
        <w:t>(2009). El estado de los mercados de productos básicos agrícolas. Los precios altos de los alimentos   y la crisis alimentaria: experiencias y lecciones</w:t>
      </w:r>
      <w:r>
        <w:rPr>
          <w:color w:val="231F20"/>
          <w:spacing w:val="-12"/>
          <w:sz w:val="18"/>
        </w:rPr>
        <w:t> </w:t>
      </w:r>
      <w:r>
        <w:rPr>
          <w:color w:val="231F20"/>
          <w:sz w:val="18"/>
        </w:rPr>
        <w:t>apren- didas. </w:t>
      </w:r>
      <w:r>
        <w:rPr>
          <w:color w:val="231F20"/>
          <w:spacing w:val="-4"/>
          <w:sz w:val="18"/>
        </w:rPr>
        <w:t>FAO, </w:t>
      </w:r>
      <w:r>
        <w:rPr>
          <w:color w:val="231F20"/>
          <w:sz w:val="18"/>
        </w:rPr>
        <w:t>Roma, Italia. p. </w:t>
      </w:r>
      <w:r>
        <w:rPr>
          <w:color w:val="231F20"/>
          <w:spacing w:val="17"/>
          <w:sz w:val="18"/>
        </w:rPr>
        <w:t> </w:t>
      </w:r>
      <w:r>
        <w:rPr>
          <w:color w:val="231F20"/>
          <w:spacing w:val="-4"/>
          <w:sz w:val="18"/>
        </w:rPr>
        <w:t>71</w:t>
      </w:r>
    </w:p>
    <w:p>
      <w:pPr>
        <w:spacing w:line="264" w:lineRule="auto" w:before="56"/>
        <w:ind w:left="1837" w:right="0" w:hanging="284"/>
        <w:jc w:val="both"/>
        <w:rPr>
          <w:sz w:val="18"/>
        </w:rPr>
      </w:pPr>
      <w:r>
        <w:rPr>
          <w:color w:val="231F20"/>
          <w:sz w:val="18"/>
        </w:rPr>
        <w:t>FAO (2011). Panorama de la seguridad alimentaria y nutricional en América Latina y el Caribe. Altos pre- cios de los alimentos: oportunidades y riesgos. FAO, Roma, Italia. p. 91.</w:t>
      </w:r>
    </w:p>
    <w:p>
      <w:pPr>
        <w:spacing w:line="264" w:lineRule="auto" w:before="56"/>
        <w:ind w:left="1123" w:right="0" w:firstLine="0"/>
        <w:jc w:val="right"/>
        <w:rPr>
          <w:sz w:val="18"/>
        </w:rPr>
      </w:pPr>
      <w:r>
        <w:rPr>
          <w:color w:val="231F20"/>
          <w:sz w:val="18"/>
        </w:rPr>
        <w:t>FAOSTATA (2011). Consulta de estadísticas en FAOSTATA.</w:t>
      </w:r>
      <w:r>
        <w:rPr>
          <w:color w:val="231F20"/>
          <w:w w:val="92"/>
          <w:sz w:val="18"/>
        </w:rPr>
        <w:t> </w:t>
      </w:r>
      <w:r>
        <w:rPr>
          <w:color w:val="231F20"/>
          <w:sz w:val="18"/>
        </w:rPr>
        <w:t>2011.  Disponible en línea en:  </w:t>
      </w:r>
      <w:hyperlink r:id="rId395">
        <w:r>
          <w:rPr>
            <w:color w:val="231F20"/>
            <w:sz w:val="18"/>
          </w:rPr>
          <w:t>www.fao.org/faostata</w:t>
        </w:r>
      </w:hyperlink>
    </w:p>
    <w:p>
      <w:pPr>
        <w:spacing w:line="264" w:lineRule="auto" w:before="56"/>
        <w:ind w:left="1837" w:right="0" w:hanging="284"/>
        <w:jc w:val="both"/>
        <w:rPr>
          <w:sz w:val="18"/>
        </w:rPr>
      </w:pPr>
      <w:r>
        <w:rPr>
          <w:color w:val="231F20"/>
          <w:w w:val="105"/>
          <w:sz w:val="18"/>
        </w:rPr>
        <w:t>INEGI (2010). Censo nacional agropecuario 2007. Re- </w:t>
      </w:r>
      <w:r>
        <w:rPr>
          <w:color w:val="231F20"/>
          <w:sz w:val="18"/>
        </w:rPr>
        <w:t>sultados finales.</w:t>
      </w:r>
    </w:p>
    <w:p>
      <w:pPr>
        <w:spacing w:line="264" w:lineRule="auto" w:before="56"/>
        <w:ind w:left="1837" w:right="0" w:hanging="284"/>
        <w:jc w:val="both"/>
        <w:rPr>
          <w:sz w:val="18"/>
        </w:rPr>
      </w:pPr>
      <w:r>
        <w:rPr>
          <w:color w:val="231F20"/>
          <w:w w:val="105"/>
          <w:sz w:val="18"/>
        </w:rPr>
        <w:t>Jiménez M.R. </w:t>
      </w:r>
      <w:r>
        <w:rPr>
          <w:color w:val="231F20"/>
          <w:spacing w:val="-3"/>
          <w:w w:val="105"/>
          <w:sz w:val="18"/>
        </w:rPr>
        <w:t>(2011). </w:t>
      </w:r>
      <w:r>
        <w:rPr>
          <w:color w:val="231F20"/>
          <w:w w:val="105"/>
          <w:sz w:val="18"/>
        </w:rPr>
        <w:t>Estudio económico de la produc- ción de conejo en la zona sur oriente del Estado</w:t>
      </w:r>
      <w:r>
        <w:rPr>
          <w:color w:val="231F20"/>
          <w:spacing w:val="-21"/>
          <w:w w:val="105"/>
          <w:sz w:val="18"/>
        </w:rPr>
        <w:t> </w:t>
      </w:r>
      <w:r>
        <w:rPr>
          <w:color w:val="231F20"/>
          <w:w w:val="105"/>
          <w:sz w:val="18"/>
        </w:rPr>
        <w:t>de</w:t>
      </w:r>
    </w:p>
    <w:p>
      <w:pPr>
        <w:spacing w:line="292" w:lineRule="auto" w:before="70"/>
        <w:ind w:left="696" w:right="1551" w:firstLine="0"/>
        <w:jc w:val="both"/>
        <w:rPr>
          <w:sz w:val="18"/>
        </w:rPr>
      </w:pPr>
      <w:r>
        <w:rPr/>
        <w:br w:type="column"/>
      </w:r>
      <w:r>
        <w:rPr>
          <w:color w:val="231F20"/>
          <w:sz w:val="18"/>
        </w:rPr>
        <w:t>México. Tesis de Licenciatura de Médico Veterinario Zootecnista, Centro Universitario UAEM Amecameca de la Universidad Autónoma del Estado de México, México.</w:t>
      </w:r>
    </w:p>
    <w:p>
      <w:pPr>
        <w:spacing w:line="292" w:lineRule="auto" w:before="57"/>
        <w:ind w:left="696" w:right="1551" w:hanging="284"/>
        <w:jc w:val="both"/>
        <w:rPr>
          <w:sz w:val="18"/>
        </w:rPr>
      </w:pPr>
      <w:r>
        <w:rPr>
          <w:color w:val="231F20"/>
          <w:w w:val="105"/>
          <w:sz w:val="18"/>
        </w:rPr>
        <w:t>Lipton M. (2006). Can small farmers survive, prosper, or be the key channel to cut mass poverty?</w:t>
      </w:r>
      <w:r>
        <w:rPr>
          <w:color w:val="231F20"/>
          <w:spacing w:val="-24"/>
          <w:w w:val="105"/>
          <w:sz w:val="18"/>
        </w:rPr>
        <w:t> </w:t>
      </w:r>
      <w:r>
        <w:rPr>
          <w:i/>
          <w:color w:val="231F20"/>
          <w:w w:val="105"/>
          <w:sz w:val="18"/>
        </w:rPr>
        <w:t>Journal </w:t>
      </w:r>
      <w:r>
        <w:rPr>
          <w:i/>
          <w:color w:val="231F20"/>
          <w:w w:val="105"/>
          <w:sz w:val="18"/>
        </w:rPr>
        <w:t>of Agricultural Development Economics</w:t>
      </w:r>
      <w:r>
        <w:rPr>
          <w:color w:val="231F20"/>
          <w:w w:val="105"/>
          <w:sz w:val="18"/>
        </w:rPr>
        <w:t>, 3:</w:t>
      </w:r>
      <w:r>
        <w:rPr>
          <w:color w:val="231F20"/>
          <w:spacing w:val="-6"/>
          <w:w w:val="105"/>
          <w:sz w:val="18"/>
        </w:rPr>
        <w:t> </w:t>
      </w:r>
      <w:r>
        <w:rPr>
          <w:color w:val="231F20"/>
          <w:w w:val="105"/>
          <w:sz w:val="18"/>
        </w:rPr>
        <w:t>58-85.</w:t>
      </w:r>
    </w:p>
    <w:p>
      <w:pPr>
        <w:spacing w:line="292" w:lineRule="auto" w:before="57"/>
        <w:ind w:left="696" w:right="1551" w:hanging="284"/>
        <w:jc w:val="both"/>
        <w:rPr>
          <w:sz w:val="18"/>
        </w:rPr>
      </w:pPr>
      <w:r>
        <w:rPr>
          <w:color w:val="231F20"/>
          <w:w w:val="105"/>
          <w:sz w:val="18"/>
        </w:rPr>
        <w:t>Mendoza A.B. (2001). Situación de la cunicultura en México. </w:t>
      </w:r>
      <w:r>
        <w:rPr>
          <w:i/>
          <w:color w:val="231F20"/>
          <w:w w:val="105"/>
          <w:sz w:val="18"/>
        </w:rPr>
        <w:t>Lagomorpha. </w:t>
      </w:r>
      <w:r>
        <w:rPr>
          <w:color w:val="231F20"/>
          <w:w w:val="105"/>
          <w:sz w:val="18"/>
        </w:rPr>
        <w:t>117: 60-68.</w:t>
      </w:r>
    </w:p>
    <w:p>
      <w:pPr>
        <w:spacing w:line="292" w:lineRule="auto" w:before="57"/>
        <w:ind w:left="357" w:right="1551" w:firstLine="0"/>
        <w:jc w:val="right"/>
        <w:rPr>
          <w:sz w:val="18"/>
        </w:rPr>
      </w:pPr>
      <w:r>
        <w:rPr>
          <w:color w:val="231F20"/>
          <w:sz w:val="18"/>
        </w:rPr>
        <w:t>SAGARPA (2012). Consulta de series estadísticas en In-</w:t>
      </w:r>
      <w:r>
        <w:rPr>
          <w:color w:val="231F20"/>
          <w:w w:val="95"/>
          <w:sz w:val="18"/>
        </w:rPr>
        <w:t> </w:t>
      </w:r>
      <w:r>
        <w:rPr>
          <w:color w:val="231F20"/>
          <w:sz w:val="18"/>
        </w:rPr>
        <w:t>ternet. Disponible en línea en: </w:t>
      </w:r>
      <w:hyperlink r:id="rId396">
        <w:r>
          <w:rPr>
            <w:color w:val="231F20"/>
            <w:sz w:val="18"/>
          </w:rPr>
          <w:t>www.sagarpa.gob.mx</w:t>
        </w:r>
      </w:hyperlink>
    </w:p>
    <w:p>
      <w:pPr>
        <w:spacing w:before="57"/>
        <w:ind w:left="357" w:right="1551" w:firstLine="0"/>
        <w:jc w:val="right"/>
        <w:rPr>
          <w:sz w:val="18"/>
        </w:rPr>
      </w:pPr>
      <w:r>
        <w:rPr>
          <w:color w:val="231F20"/>
          <w:sz w:val="18"/>
        </w:rPr>
        <w:t>Sigüenza  O.Y.C.,  Márquez  M.O.,  Brunett  P.L.,  Espinosa</w:t>
      </w:r>
    </w:p>
    <w:p>
      <w:pPr>
        <w:spacing w:line="292" w:lineRule="auto" w:before="48"/>
        <w:ind w:left="696" w:right="1551" w:firstLine="0"/>
        <w:jc w:val="both"/>
        <w:rPr>
          <w:sz w:val="18"/>
        </w:rPr>
      </w:pPr>
      <w:r>
        <w:rPr>
          <w:color w:val="231F20"/>
          <w:sz w:val="18"/>
        </w:rPr>
        <w:t>A.E. </w:t>
      </w:r>
      <w:r>
        <w:rPr>
          <w:color w:val="231F20"/>
          <w:spacing w:val="-3"/>
          <w:sz w:val="18"/>
        </w:rPr>
        <w:t>(2010). </w:t>
      </w:r>
      <w:r>
        <w:rPr>
          <w:color w:val="231F20"/>
          <w:sz w:val="18"/>
        </w:rPr>
        <w:t>Desarrollo sustentable asociado a la salud y nutrición de las poblaciones. En: Moreno Espinosa R., editor. Gobierno, gestión y profesionali- zación en el ámbito local ante los grandes restos de nuestro tiempo. Universidad Autónoma del Estado de México, México. pp.  </w:t>
      </w:r>
      <w:r>
        <w:rPr>
          <w:color w:val="231F20"/>
          <w:spacing w:val="11"/>
          <w:sz w:val="18"/>
        </w:rPr>
        <w:t> </w:t>
      </w:r>
      <w:r>
        <w:rPr>
          <w:color w:val="231F20"/>
          <w:spacing w:val="-5"/>
          <w:sz w:val="18"/>
        </w:rPr>
        <w:t>111-126.</w:t>
      </w:r>
    </w:p>
    <w:p>
      <w:pPr>
        <w:spacing w:line="292" w:lineRule="auto" w:before="57"/>
        <w:ind w:left="696" w:right="1551" w:hanging="284"/>
        <w:jc w:val="both"/>
        <w:rPr>
          <w:sz w:val="18"/>
        </w:rPr>
      </w:pPr>
      <w:r>
        <w:rPr>
          <w:color w:val="231F20"/>
          <w:w w:val="105"/>
          <w:sz w:val="18"/>
        </w:rPr>
        <w:t>Torres C.G. (2008). La Ley de desarrollo rural susten- table y el campo Mexicano. </w:t>
      </w:r>
      <w:r>
        <w:rPr>
          <w:i/>
          <w:color w:val="231F20"/>
          <w:w w:val="105"/>
          <w:sz w:val="18"/>
        </w:rPr>
        <w:t>Revista de Geografía </w:t>
      </w:r>
      <w:r>
        <w:rPr>
          <w:i/>
          <w:color w:val="231F20"/>
          <w:w w:val="105"/>
          <w:sz w:val="18"/>
        </w:rPr>
        <w:t>Agrícola. </w:t>
      </w:r>
      <w:r>
        <w:rPr>
          <w:color w:val="231F20"/>
          <w:w w:val="105"/>
          <w:sz w:val="18"/>
        </w:rPr>
        <w:t>40: 55-72.</w:t>
      </w:r>
    </w:p>
    <w:p>
      <w:pPr>
        <w:spacing w:after="0" w:line="292"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pPr>
    </w:p>
    <w:p>
      <w:pPr>
        <w:pStyle w:val="BodyText"/>
      </w:pPr>
    </w:p>
    <w:p>
      <w:pPr>
        <w:pStyle w:val="BodyText"/>
        <w:spacing w:before="8"/>
        <w:rPr>
          <w:sz w:val="27"/>
        </w:rPr>
      </w:pPr>
    </w:p>
    <w:p>
      <w:pPr>
        <w:pStyle w:val="Heading3"/>
        <w:spacing w:before="5"/>
        <w:rPr>
          <w:sz w:val="60"/>
        </w:rPr>
      </w:pPr>
      <w:bookmarkStart w:name="_TOC_250000" w:id="12"/>
      <w:r>
        <w:rPr>
          <w:color w:val="231F20"/>
          <w:w w:val="110"/>
        </w:rPr>
        <w:t>CAPÍTULO </w:t>
      </w:r>
      <w:bookmarkEnd w:id="12"/>
      <w:r>
        <w:rPr>
          <w:color w:val="231F20"/>
          <w:spacing w:val="-25"/>
          <w:w w:val="110"/>
          <w:sz w:val="60"/>
        </w:rPr>
        <w:t>17</w:t>
      </w:r>
    </w:p>
    <w:p>
      <w:pPr>
        <w:spacing w:before="219"/>
        <w:ind w:left="1553" w:right="1758" w:firstLine="0"/>
        <w:jc w:val="both"/>
        <w:rPr>
          <w:sz w:val="36"/>
        </w:rPr>
      </w:pPr>
      <w:r>
        <w:rPr>
          <w:color w:val="231F20"/>
          <w:spacing w:val="-8"/>
          <w:w w:val="105"/>
          <w:sz w:val="36"/>
        </w:rPr>
        <w:t>DESARROLLO </w:t>
      </w:r>
      <w:r>
        <w:rPr>
          <w:color w:val="231F20"/>
          <w:spacing w:val="-4"/>
          <w:w w:val="105"/>
          <w:sz w:val="36"/>
        </w:rPr>
        <w:t>DE </w:t>
      </w:r>
      <w:r>
        <w:rPr>
          <w:color w:val="231F20"/>
          <w:w w:val="105"/>
          <w:sz w:val="36"/>
        </w:rPr>
        <w:t>LA </w:t>
      </w:r>
      <w:r>
        <w:rPr>
          <w:color w:val="231F20"/>
          <w:spacing w:val="-8"/>
          <w:w w:val="105"/>
          <w:sz w:val="36"/>
        </w:rPr>
        <w:t>PRODUCCIÓN </w:t>
      </w:r>
      <w:r>
        <w:rPr>
          <w:color w:val="231F20"/>
          <w:spacing w:val="-4"/>
          <w:w w:val="105"/>
          <w:sz w:val="36"/>
        </w:rPr>
        <w:t>DE </w:t>
      </w:r>
      <w:r>
        <w:rPr>
          <w:color w:val="231F20"/>
          <w:spacing w:val="-6"/>
          <w:w w:val="105"/>
          <w:sz w:val="36"/>
        </w:rPr>
        <w:t>TRUCHA ARCOÍRIS</w:t>
      </w:r>
      <w:r>
        <w:rPr>
          <w:color w:val="231F20"/>
          <w:spacing w:val="73"/>
          <w:w w:val="105"/>
          <w:sz w:val="36"/>
        </w:rPr>
        <w:t> </w:t>
      </w:r>
      <w:r>
        <w:rPr>
          <w:color w:val="231F20"/>
          <w:spacing w:val="-6"/>
          <w:w w:val="105"/>
          <w:sz w:val="36"/>
        </w:rPr>
        <w:t>(</w:t>
      </w:r>
      <w:r>
        <w:rPr>
          <w:rFonts w:ascii="Cambria" w:hAnsi="Cambria"/>
          <w:i/>
          <w:color w:val="231F20"/>
          <w:spacing w:val="-6"/>
          <w:w w:val="105"/>
          <w:sz w:val="36"/>
        </w:rPr>
        <w:t>ONCORHYNCHUS MYKISS</w:t>
      </w:r>
      <w:r>
        <w:rPr>
          <w:color w:val="231F20"/>
          <w:spacing w:val="-6"/>
          <w:w w:val="105"/>
          <w:sz w:val="36"/>
        </w:rPr>
        <w:t>) </w:t>
      </w:r>
      <w:r>
        <w:rPr>
          <w:color w:val="231F20"/>
          <w:spacing w:val="-4"/>
          <w:w w:val="105"/>
          <w:sz w:val="36"/>
        </w:rPr>
        <w:t>EN </w:t>
      </w:r>
      <w:r>
        <w:rPr>
          <w:color w:val="231F20"/>
          <w:spacing w:val="-7"/>
          <w:w w:val="105"/>
          <w:sz w:val="36"/>
        </w:rPr>
        <w:t>COMUNIDADES </w:t>
      </w:r>
      <w:r>
        <w:rPr>
          <w:color w:val="231F20"/>
          <w:spacing w:val="-5"/>
          <w:w w:val="105"/>
          <w:sz w:val="36"/>
        </w:rPr>
        <w:t>RURALES </w:t>
      </w:r>
      <w:r>
        <w:rPr>
          <w:color w:val="231F20"/>
          <w:spacing w:val="-6"/>
          <w:w w:val="105"/>
          <w:sz w:val="36"/>
        </w:rPr>
        <w:t>DEL </w:t>
      </w:r>
      <w:r>
        <w:rPr>
          <w:color w:val="231F20"/>
          <w:spacing w:val="-13"/>
          <w:w w:val="105"/>
          <w:sz w:val="36"/>
        </w:rPr>
        <w:t>ESTADO </w:t>
      </w:r>
      <w:r>
        <w:rPr>
          <w:color w:val="231F20"/>
          <w:spacing w:val="-4"/>
          <w:w w:val="105"/>
          <w:sz w:val="36"/>
        </w:rPr>
        <w:t>DE </w:t>
      </w:r>
      <w:r>
        <w:rPr>
          <w:color w:val="231F20"/>
          <w:spacing w:val="-8"/>
          <w:w w:val="105"/>
          <w:sz w:val="36"/>
        </w:rPr>
        <w:t>MÉXICO: </w:t>
      </w:r>
      <w:r>
        <w:rPr>
          <w:color w:val="231F20"/>
          <w:w w:val="105"/>
          <w:sz w:val="36"/>
        </w:rPr>
        <w:t>UN </w:t>
      </w:r>
      <w:r>
        <w:rPr>
          <w:color w:val="231F20"/>
          <w:spacing w:val="-6"/>
          <w:w w:val="105"/>
          <w:sz w:val="36"/>
        </w:rPr>
        <w:t>CASO </w:t>
      </w:r>
      <w:r>
        <w:rPr>
          <w:color w:val="231F20"/>
          <w:spacing w:val="-4"/>
          <w:w w:val="105"/>
          <w:sz w:val="36"/>
        </w:rPr>
        <w:t>DE </w:t>
      </w:r>
      <w:r>
        <w:rPr>
          <w:color w:val="231F20"/>
          <w:spacing w:val="50"/>
          <w:w w:val="105"/>
          <w:sz w:val="36"/>
        </w:rPr>
        <w:t> </w:t>
      </w:r>
      <w:r>
        <w:rPr>
          <w:color w:val="231F20"/>
          <w:spacing w:val="-11"/>
          <w:w w:val="105"/>
          <w:sz w:val="36"/>
        </w:rPr>
        <w:t>ÉXITO</w:t>
      </w:r>
    </w:p>
    <w:p>
      <w:pPr>
        <w:pStyle w:val="Heading4"/>
        <w:spacing w:before="307"/>
        <w:ind w:right="3906"/>
        <w:jc w:val="left"/>
        <w:rPr>
          <w:rFonts w:ascii="Cambria" w:hAnsi="Cambria"/>
          <w:sz w:val="16"/>
        </w:rPr>
      </w:pPr>
      <w:r>
        <w:rPr>
          <w:rFonts w:ascii="Cambria" w:hAnsi="Cambria"/>
          <w:i/>
          <w:color w:val="231F20"/>
        </w:rPr>
        <w:t>David García-Mondragón</w:t>
      </w:r>
      <w:r>
        <w:rPr>
          <w:rFonts w:ascii="Cambria" w:hAnsi="Cambria"/>
          <w:i/>
          <w:color w:val="231F20"/>
          <w:position w:val="9"/>
          <w:sz w:val="16"/>
        </w:rPr>
        <w:t>a</w:t>
      </w:r>
      <w:r>
        <w:rPr>
          <w:rFonts w:ascii="Cambria" w:hAnsi="Cambria"/>
          <w:i/>
          <w:color w:val="231F20"/>
        </w:rPr>
        <w:t>, Iván Gallego-Alarcón</w:t>
      </w:r>
      <w:r>
        <w:rPr>
          <w:rFonts w:ascii="Cambria" w:hAnsi="Cambria"/>
          <w:i/>
          <w:color w:val="231F20"/>
          <w:position w:val="9"/>
          <w:sz w:val="16"/>
        </w:rPr>
        <w:t>a,</w:t>
      </w:r>
      <w:r>
        <w:rPr>
          <w:rFonts w:ascii="Cambria" w:hAnsi="Cambria"/>
          <w:i/>
          <w:color w:val="231F20"/>
        </w:rPr>
        <w:t>*, </w:t>
      </w:r>
      <w:r>
        <w:rPr>
          <w:rFonts w:ascii="Cambria" w:hAnsi="Cambria"/>
          <w:color w:val="231F20"/>
        </w:rPr>
        <w:t>Angélica Espinoza-Ortega</w:t>
      </w:r>
      <w:r>
        <w:rPr>
          <w:rFonts w:ascii="Cambria" w:hAnsi="Cambria"/>
          <w:color w:val="231F20"/>
          <w:position w:val="9"/>
          <w:sz w:val="16"/>
        </w:rPr>
        <w:t>b</w:t>
      </w:r>
      <w:r>
        <w:rPr>
          <w:rFonts w:ascii="Cambria" w:hAnsi="Cambria"/>
          <w:color w:val="231F20"/>
        </w:rPr>
        <w:t>, Anastacio García-Martínez</w:t>
      </w:r>
      <w:r>
        <w:rPr>
          <w:rFonts w:ascii="Cambria" w:hAnsi="Cambria"/>
          <w:color w:val="231F20"/>
          <w:position w:val="9"/>
          <w:sz w:val="16"/>
        </w:rPr>
        <w:t>c </w:t>
      </w:r>
      <w:r>
        <w:rPr>
          <w:rFonts w:ascii="Cambria" w:hAnsi="Cambria"/>
          <w:color w:val="231F20"/>
        </w:rPr>
        <w:t>y Carlos M. Arriaga-Jordán</w:t>
      </w:r>
      <w:r>
        <w:rPr>
          <w:rFonts w:ascii="Cambria" w:hAnsi="Cambria"/>
          <w:color w:val="231F20"/>
          <w:position w:val="9"/>
          <w:sz w:val="16"/>
        </w:rPr>
        <w:t>b</w:t>
      </w:r>
    </w:p>
    <w:p>
      <w:pPr>
        <w:pStyle w:val="BodyText"/>
        <w:spacing w:line="254" w:lineRule="auto" w:before="175"/>
        <w:ind w:left="1553" w:right="1557"/>
      </w:pPr>
      <w:r>
        <w:rPr>
          <w:color w:val="231F20"/>
          <w:position w:val="7"/>
          <w:sz w:val="11"/>
        </w:rPr>
        <w:t>a </w:t>
      </w:r>
      <w:r>
        <w:rPr>
          <w:color w:val="231F20"/>
        </w:rPr>
        <w:t>Centro de Investigación en Recursos Bióticos (CIRB, Facultad de Ciencias, Universidad Autónoma del  Estado de México.) Km. </w:t>
      </w:r>
      <w:r>
        <w:rPr>
          <w:color w:val="231F20"/>
          <w:spacing w:val="-3"/>
        </w:rPr>
        <w:t>13,5  </w:t>
      </w:r>
      <w:r>
        <w:rPr>
          <w:color w:val="231F20"/>
        </w:rPr>
        <w:t>Carretera Toluca-Atlacomulco. </w:t>
      </w:r>
      <w:r>
        <w:rPr>
          <w:color w:val="231F20"/>
          <w:spacing w:val="-3"/>
        </w:rPr>
        <w:t>Toluca,  </w:t>
      </w:r>
      <w:r>
        <w:rPr>
          <w:color w:val="231F20"/>
        </w:rPr>
        <w:t>Estado de México, México, </w:t>
      </w:r>
      <w:r>
        <w:rPr>
          <w:color w:val="231F20"/>
          <w:spacing w:val="-5"/>
        </w:rPr>
        <w:t>C.P.    </w:t>
      </w:r>
      <w:r>
        <w:rPr>
          <w:color w:val="231F20"/>
        </w:rPr>
        <w:t> 50000</w:t>
      </w:r>
    </w:p>
    <w:p>
      <w:pPr>
        <w:pStyle w:val="BodyText"/>
        <w:spacing w:before="114"/>
        <w:ind w:left="1553"/>
        <w:jc w:val="both"/>
      </w:pPr>
      <w:r>
        <w:rPr>
          <w:color w:val="231F20"/>
          <w:position w:val="7"/>
          <w:sz w:val="11"/>
        </w:rPr>
        <w:t>b  </w:t>
      </w:r>
      <w:r>
        <w:rPr>
          <w:color w:val="231F20"/>
        </w:rPr>
        <w:t>Instituto de Ciencias Agropecuarias y Rurales (ICAR). Universidad Autónoma del Estado de México.</w:t>
      </w:r>
    </w:p>
    <w:p>
      <w:pPr>
        <w:pStyle w:val="BodyText"/>
        <w:spacing w:before="16"/>
        <w:ind w:left="1553"/>
        <w:jc w:val="both"/>
      </w:pPr>
      <w:r>
        <w:rPr>
          <w:color w:val="231F20"/>
        </w:rPr>
        <w:t>Instituto Literario #100, Col. Centro. Toluca, Estado de México, México,    C.P.  50000</w:t>
      </w:r>
    </w:p>
    <w:p>
      <w:pPr>
        <w:pStyle w:val="BodyText"/>
        <w:spacing w:line="254" w:lineRule="auto" w:before="129"/>
        <w:ind w:left="1553" w:right="3345"/>
      </w:pPr>
      <w:r>
        <w:rPr>
          <w:color w:val="231F20"/>
          <w:position w:val="7"/>
          <w:sz w:val="11"/>
        </w:rPr>
        <w:t>c </w:t>
      </w:r>
      <w:r>
        <w:rPr>
          <w:color w:val="231F20"/>
        </w:rPr>
        <w:t>Centro Universitario UAEM Temascaltepec. Km. 67,5 Carretera Toluca-Tejupilco. Temascaltepec de González. Estado de México. CP     51300.</w:t>
      </w:r>
    </w:p>
    <w:p>
      <w:pPr>
        <w:pStyle w:val="BodyText"/>
        <w:spacing w:before="11"/>
      </w:pPr>
      <w:r>
        <w:rPr/>
        <w:pict>
          <v:line style="position:absolute;mso-position-horizontal-relative:page;mso-position-vertical-relative:paragraph;z-index:6520;mso-wrap-distance-left:0;mso-wrap-distance-right:0" from="77.692902pt,15.001319pt" to="517.062902pt,15.001319pt" stroked="true" strokeweight=".5pt" strokecolor="#231f20">
            <w10:wrap type="topAndBottom"/>
          </v:line>
        </w:pict>
      </w:r>
    </w:p>
    <w:p>
      <w:pPr>
        <w:pStyle w:val="BodyText"/>
        <w:spacing w:before="2"/>
        <w:rPr>
          <w:sz w:val="19"/>
        </w:rPr>
      </w:pPr>
    </w:p>
    <w:p>
      <w:pPr>
        <w:pStyle w:val="BodyText"/>
        <w:ind w:left="1553"/>
        <w:jc w:val="both"/>
      </w:pPr>
      <w:r>
        <w:rPr>
          <w:color w:val="231F20"/>
          <w:w w:val="110"/>
        </w:rPr>
        <w:t>RESUMEN</w:t>
      </w:r>
    </w:p>
    <w:p>
      <w:pPr>
        <w:pStyle w:val="BodyText"/>
        <w:spacing w:line="254" w:lineRule="auto" w:before="129"/>
        <w:ind w:left="1553" w:right="1551"/>
        <w:jc w:val="both"/>
      </w:pPr>
      <w:r>
        <w:rPr>
          <w:color w:val="231F20"/>
        </w:rPr>
        <w:t>La acuicultura es el sector productor de alimentos de más rápido crecimiento en el mundo, con un papel importante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seguridad</w:t>
      </w:r>
      <w:r>
        <w:rPr>
          <w:color w:val="231F20"/>
          <w:spacing w:val="-6"/>
        </w:rPr>
        <w:t> </w:t>
      </w:r>
      <w:r>
        <w:rPr>
          <w:color w:val="231F20"/>
        </w:rPr>
        <w:t>alimentaria</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diversificación</w:t>
      </w:r>
      <w:r>
        <w:rPr>
          <w:color w:val="231F20"/>
          <w:spacing w:val="-6"/>
        </w:rPr>
        <w:t> </w:t>
      </w:r>
      <w:r>
        <w:rPr>
          <w:color w:val="231F20"/>
        </w:rPr>
        <w:t>económica</w:t>
      </w:r>
      <w:r>
        <w:rPr>
          <w:color w:val="231F20"/>
          <w:spacing w:val="-6"/>
        </w:rPr>
        <w:t> </w:t>
      </w:r>
      <w:r>
        <w:rPr>
          <w:color w:val="231F20"/>
        </w:rPr>
        <w:t>para</w:t>
      </w:r>
      <w:r>
        <w:rPr>
          <w:color w:val="231F20"/>
          <w:spacing w:val="-6"/>
        </w:rPr>
        <w:t> </w:t>
      </w:r>
      <w:r>
        <w:rPr>
          <w:color w:val="231F20"/>
        </w:rPr>
        <w:t>países</w:t>
      </w:r>
      <w:r>
        <w:rPr>
          <w:color w:val="231F20"/>
          <w:spacing w:val="-6"/>
        </w:rPr>
        <w:t> </w:t>
      </w:r>
      <w:r>
        <w:rPr>
          <w:color w:val="231F20"/>
        </w:rPr>
        <w:t>en</w:t>
      </w:r>
      <w:r>
        <w:rPr>
          <w:color w:val="231F20"/>
          <w:spacing w:val="-6"/>
        </w:rPr>
        <w:t> </w:t>
      </w:r>
      <w:r>
        <w:rPr>
          <w:color w:val="231F20"/>
        </w:rPr>
        <w:t>desarrollo.</w:t>
      </w:r>
      <w:r>
        <w:rPr>
          <w:color w:val="231F20"/>
          <w:spacing w:val="-6"/>
        </w:rPr>
        <w:t> </w:t>
      </w:r>
      <w:r>
        <w:rPr>
          <w:color w:val="231F20"/>
        </w:rPr>
        <w:t>La</w:t>
      </w:r>
      <w:r>
        <w:rPr>
          <w:color w:val="231F20"/>
          <w:spacing w:val="-6"/>
        </w:rPr>
        <w:t> </w:t>
      </w:r>
      <w:r>
        <w:rPr>
          <w:color w:val="231F20"/>
        </w:rPr>
        <w:t>política sobre</w:t>
      </w:r>
      <w:r>
        <w:rPr>
          <w:color w:val="231F20"/>
          <w:spacing w:val="-9"/>
        </w:rPr>
        <w:t> </w:t>
      </w:r>
      <w:r>
        <w:rPr>
          <w:color w:val="231F20"/>
        </w:rPr>
        <w:t>la</w:t>
      </w:r>
      <w:r>
        <w:rPr>
          <w:color w:val="231F20"/>
          <w:spacing w:val="-10"/>
        </w:rPr>
        <w:t> </w:t>
      </w:r>
      <w:r>
        <w:rPr>
          <w:color w:val="231F20"/>
        </w:rPr>
        <w:t>actividad</w:t>
      </w:r>
      <w:r>
        <w:rPr>
          <w:color w:val="231F20"/>
          <w:spacing w:val="-10"/>
        </w:rPr>
        <w:t> </w:t>
      </w:r>
      <w:r>
        <w:rPr>
          <w:color w:val="231F20"/>
        </w:rPr>
        <w:t>trutícola</w:t>
      </w:r>
      <w:r>
        <w:rPr>
          <w:color w:val="231F20"/>
          <w:spacing w:val="-10"/>
        </w:rPr>
        <w:t> </w:t>
      </w:r>
      <w:r>
        <w:rPr>
          <w:color w:val="231F20"/>
        </w:rPr>
        <w:t>en</w:t>
      </w:r>
      <w:r>
        <w:rPr>
          <w:color w:val="231F20"/>
          <w:spacing w:val="-10"/>
        </w:rPr>
        <w:t> </w:t>
      </w:r>
      <w:r>
        <w:rPr>
          <w:color w:val="231F20"/>
        </w:rPr>
        <w:t>México</w:t>
      </w:r>
      <w:r>
        <w:rPr>
          <w:color w:val="231F20"/>
          <w:spacing w:val="-9"/>
        </w:rPr>
        <w:t> </w:t>
      </w:r>
      <w:r>
        <w:rPr>
          <w:color w:val="231F20"/>
        </w:rPr>
        <w:t>se</w:t>
      </w:r>
      <w:r>
        <w:rPr>
          <w:color w:val="231F20"/>
          <w:spacing w:val="-10"/>
        </w:rPr>
        <w:t> </w:t>
      </w:r>
      <w:r>
        <w:rPr>
          <w:color w:val="231F20"/>
        </w:rPr>
        <w:t>ha</w:t>
      </w:r>
      <w:r>
        <w:rPr>
          <w:color w:val="231F20"/>
          <w:spacing w:val="-10"/>
        </w:rPr>
        <w:t> </w:t>
      </w:r>
      <w:r>
        <w:rPr>
          <w:color w:val="231F20"/>
        </w:rPr>
        <w:t>dirigido</w:t>
      </w:r>
      <w:r>
        <w:rPr>
          <w:color w:val="231F20"/>
          <w:spacing w:val="-10"/>
        </w:rPr>
        <w:t> </w:t>
      </w:r>
      <w:r>
        <w:rPr>
          <w:color w:val="231F20"/>
        </w:rPr>
        <w:t>a</w:t>
      </w:r>
      <w:r>
        <w:rPr>
          <w:color w:val="231F20"/>
          <w:spacing w:val="-10"/>
        </w:rPr>
        <w:t> </w:t>
      </w:r>
      <w:r>
        <w:rPr>
          <w:color w:val="231F20"/>
        </w:rPr>
        <w:t>aumentar</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mediante</w:t>
      </w:r>
      <w:r>
        <w:rPr>
          <w:color w:val="231F20"/>
          <w:spacing w:val="-10"/>
        </w:rPr>
        <w:t> </w:t>
      </w:r>
      <w:r>
        <w:rPr>
          <w:color w:val="231F20"/>
        </w:rPr>
        <w:t>modelos</w:t>
      </w:r>
      <w:r>
        <w:rPr>
          <w:color w:val="231F20"/>
          <w:spacing w:val="-10"/>
        </w:rPr>
        <w:t> </w:t>
      </w:r>
      <w:r>
        <w:rPr>
          <w:color w:val="231F20"/>
          <w:spacing w:val="-2"/>
        </w:rPr>
        <w:t>sustentables </w:t>
      </w:r>
      <w:r>
        <w:rPr>
          <w:color w:val="231F20"/>
        </w:rPr>
        <w:t>y buenas prácticas. El crecimiento promedio anual entre </w:t>
      </w:r>
      <w:r>
        <w:rPr>
          <w:color w:val="231F20"/>
          <w:spacing w:val="-4"/>
        </w:rPr>
        <w:t>1993 </w:t>
      </w:r>
      <w:r>
        <w:rPr>
          <w:color w:val="231F20"/>
        </w:rPr>
        <w:t>y </w:t>
      </w:r>
      <w:r>
        <w:rPr>
          <w:color w:val="231F20"/>
          <w:spacing w:val="-3"/>
        </w:rPr>
        <w:t>2005 </w:t>
      </w:r>
      <w:r>
        <w:rPr>
          <w:color w:val="231F20"/>
        </w:rPr>
        <w:t>fue del </w:t>
      </w:r>
      <w:r>
        <w:rPr>
          <w:color w:val="231F20"/>
          <w:spacing w:val="-3"/>
        </w:rPr>
        <w:t>22%, </w:t>
      </w:r>
      <w:r>
        <w:rPr>
          <w:color w:val="231F20"/>
        </w:rPr>
        <w:t>lo que se traduce en el </w:t>
      </w:r>
      <w:r>
        <w:rPr>
          <w:color w:val="231F20"/>
          <w:spacing w:val="-5"/>
        </w:rPr>
        <w:t>16% </w:t>
      </w:r>
      <w:r>
        <w:rPr>
          <w:color w:val="231F20"/>
        </w:rPr>
        <w:t>de la producción pesquera nacional. El cultivo de la trucha arcoíris en el Estado de México es una evi- dencia de este incremento. En </w:t>
      </w:r>
      <w:r>
        <w:rPr>
          <w:color w:val="231F20"/>
          <w:spacing w:val="-4"/>
        </w:rPr>
        <w:t>1983 </w:t>
      </w:r>
      <w:r>
        <w:rPr>
          <w:color w:val="231F20"/>
        </w:rPr>
        <w:t>había 7 unidades de producción trutícola y </w:t>
      </w:r>
      <w:r>
        <w:rPr>
          <w:color w:val="231F20"/>
          <w:spacing w:val="-3"/>
        </w:rPr>
        <w:t>284 </w:t>
      </w:r>
      <w:r>
        <w:rPr>
          <w:color w:val="231F20"/>
        </w:rPr>
        <w:t>en </w:t>
      </w:r>
      <w:r>
        <w:rPr>
          <w:color w:val="231F20"/>
          <w:spacing w:val="-3"/>
        </w:rPr>
        <w:t>2009, </w:t>
      </w:r>
      <w:r>
        <w:rPr>
          <w:color w:val="231F20"/>
        </w:rPr>
        <w:t>con una pro- ducción de más de </w:t>
      </w:r>
      <w:r>
        <w:rPr>
          <w:color w:val="231F20"/>
          <w:spacing w:val="-3"/>
        </w:rPr>
        <w:t>3000 </w:t>
      </w:r>
      <w:r>
        <w:rPr>
          <w:color w:val="231F20"/>
        </w:rPr>
        <w:t>toneladas, ubicadas en comunidades rurales con algún grado de marginación. Este crecimiento se debe a programas de los gobiernos federal, estatales y municipales: desde la publicación   del libro </w:t>
      </w:r>
      <w:r>
        <w:rPr>
          <w:rFonts w:ascii="Cambria" w:hAnsi="Cambria"/>
          <w:i/>
          <w:color w:val="231F20"/>
        </w:rPr>
        <w:t>Piscicultura de agua dulce </w:t>
      </w:r>
      <w:r>
        <w:rPr>
          <w:color w:val="231F20"/>
        </w:rPr>
        <w:t>por Esteban Cházari en </w:t>
      </w:r>
      <w:r>
        <w:rPr>
          <w:color w:val="231F20"/>
          <w:spacing w:val="-4"/>
        </w:rPr>
        <w:t>1884, </w:t>
      </w:r>
      <w:r>
        <w:rPr>
          <w:color w:val="231F20"/>
        </w:rPr>
        <w:t>la etapa de repoblamiento de embalses (conocida como piscicultura agrícola), hasta el fomento del ecoturismo y la creación de corredores turísticos con</w:t>
      </w:r>
      <w:r>
        <w:rPr>
          <w:color w:val="231F20"/>
          <w:spacing w:val="-5"/>
        </w:rPr>
        <w:t> </w:t>
      </w:r>
      <w:r>
        <w:rPr>
          <w:color w:val="231F20"/>
        </w:rPr>
        <w:t>restaurantes</w:t>
      </w:r>
      <w:r>
        <w:rPr>
          <w:color w:val="231F20"/>
          <w:spacing w:val="-5"/>
        </w:rPr>
        <w:t> </w:t>
      </w:r>
      <w:r>
        <w:rPr>
          <w:color w:val="231F20"/>
        </w:rPr>
        <w:t>dedicados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trucha.</w:t>
      </w:r>
      <w:r>
        <w:rPr>
          <w:color w:val="231F20"/>
          <w:spacing w:val="-5"/>
        </w:rPr>
        <w:t> </w:t>
      </w:r>
      <w:r>
        <w:rPr>
          <w:color w:val="231F20"/>
        </w:rPr>
        <w:t>Las</w:t>
      </w:r>
      <w:r>
        <w:rPr>
          <w:color w:val="231F20"/>
          <w:spacing w:val="-5"/>
        </w:rPr>
        <w:t> </w:t>
      </w:r>
      <w:r>
        <w:rPr>
          <w:color w:val="231F20"/>
        </w:rPr>
        <w:t>políticas</w:t>
      </w:r>
      <w:r>
        <w:rPr>
          <w:color w:val="231F20"/>
          <w:spacing w:val="-5"/>
        </w:rPr>
        <w:t> </w:t>
      </w:r>
      <w:r>
        <w:rPr>
          <w:color w:val="231F20"/>
        </w:rPr>
        <w:t>han</w:t>
      </w:r>
      <w:r>
        <w:rPr>
          <w:color w:val="231F20"/>
          <w:spacing w:val="-5"/>
        </w:rPr>
        <w:t> </w:t>
      </w:r>
      <w:r>
        <w:rPr>
          <w:color w:val="231F20"/>
        </w:rPr>
        <w:t>sido</w:t>
      </w:r>
      <w:r>
        <w:rPr>
          <w:color w:val="231F20"/>
          <w:spacing w:val="-5"/>
        </w:rPr>
        <w:t> </w:t>
      </w:r>
      <w:r>
        <w:rPr>
          <w:color w:val="231F20"/>
        </w:rPr>
        <w:t>exitosas</w:t>
      </w:r>
      <w:r>
        <w:rPr>
          <w:color w:val="231F20"/>
          <w:spacing w:val="-5"/>
        </w:rPr>
        <w:t> </w:t>
      </w:r>
      <w:r>
        <w:rPr>
          <w:color w:val="231F20"/>
        </w:rPr>
        <w:t>y</w:t>
      </w:r>
      <w:r>
        <w:rPr>
          <w:color w:val="231F20"/>
          <w:spacing w:val="-5"/>
        </w:rPr>
        <w:t> </w:t>
      </w:r>
      <w:r>
        <w:rPr>
          <w:color w:val="231F20"/>
        </w:rPr>
        <w:t>han</w:t>
      </w:r>
      <w:r>
        <w:rPr>
          <w:color w:val="231F20"/>
          <w:spacing w:val="-5"/>
        </w:rPr>
        <w:t> </w:t>
      </w:r>
      <w:r>
        <w:rPr>
          <w:color w:val="231F20"/>
        </w:rPr>
        <w:t>impactado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desarrollo</w:t>
      </w:r>
      <w:r>
        <w:rPr>
          <w:color w:val="231F20"/>
          <w:spacing w:val="-5"/>
        </w:rPr>
        <w:t> </w:t>
      </w:r>
      <w:r>
        <w:rPr>
          <w:color w:val="231F20"/>
        </w:rPr>
        <w:t>de</w:t>
      </w:r>
      <w:r>
        <w:rPr>
          <w:color w:val="231F20"/>
          <w:spacing w:val="-5"/>
        </w:rPr>
        <w:t> </w:t>
      </w:r>
      <w:r>
        <w:rPr>
          <w:color w:val="231F20"/>
          <w:spacing w:val="-2"/>
        </w:rPr>
        <w:t>las </w:t>
      </w:r>
      <w:r>
        <w:rPr>
          <w:color w:val="231F20"/>
        </w:rPr>
        <w:t>comunidades rurales y de la actividad trutícola, generando unos </w:t>
      </w:r>
      <w:r>
        <w:rPr>
          <w:color w:val="231F20"/>
          <w:spacing w:val="-3"/>
        </w:rPr>
        <w:t>6560 </w:t>
      </w:r>
      <w:r>
        <w:rPr>
          <w:color w:val="231F20"/>
        </w:rPr>
        <w:t>empleos en el Estado de México </w:t>
      </w:r>
      <w:r>
        <w:rPr>
          <w:color w:val="231F20"/>
          <w:spacing w:val="-2"/>
        </w:rPr>
        <w:t>que </w:t>
      </w:r>
      <w:r>
        <w:rPr>
          <w:color w:val="231F20"/>
        </w:rPr>
        <w:t>fomentan el núcleo familiar y el cambio de cultura hacia la mejora del</w:t>
      </w:r>
      <w:r>
        <w:rPr>
          <w:color w:val="231F20"/>
          <w:spacing w:val="14"/>
        </w:rPr>
        <w:t> </w:t>
      </w:r>
      <w:r>
        <w:rPr>
          <w:color w:val="231F20"/>
        </w:rPr>
        <w:t>ambiente.</w:t>
      </w:r>
    </w:p>
    <w:p>
      <w:pPr>
        <w:pStyle w:val="BodyText"/>
        <w:spacing w:line="254" w:lineRule="auto" w:before="114"/>
        <w:ind w:left="1553" w:right="1655"/>
      </w:pPr>
      <w:r>
        <w:rPr>
          <w:color w:val="231F20"/>
        </w:rPr>
        <w:t>Palabras clave: Trucha arcoíris </w:t>
      </w:r>
      <w:r>
        <w:rPr>
          <w:rFonts w:ascii="Cambria" w:hAnsi="Cambria"/>
          <w:i/>
          <w:color w:val="231F20"/>
        </w:rPr>
        <w:t>(Oncorhynchus mykiss) </w:t>
      </w:r>
      <w:r>
        <w:rPr>
          <w:color w:val="231F20"/>
        </w:rPr>
        <w:t>- Unidad de producción trutícola - Producción acuí- cola - Políticas de desarrollo - Estado de  México.</w:t>
      </w:r>
    </w:p>
    <w:p>
      <w:pPr>
        <w:pStyle w:val="BodyText"/>
        <w:rPr>
          <w:sz w:val="19"/>
        </w:rPr>
      </w:pPr>
      <w:r>
        <w:rPr/>
        <w:pict>
          <v:line style="position:absolute;mso-position-horizontal-relative:page;mso-position-vertical-relative:paragraph;z-index:6544;mso-wrap-distance-left:0;mso-wrap-distance-right:0" from="77.692902pt,13.839929pt" to="517.062902pt,13.839929pt" stroked="true" strokeweight=".5pt" strokecolor="#231f20">
            <w10:wrap type="topAndBottom"/>
          </v:line>
        </w:pict>
      </w:r>
      <w:r>
        <w:rPr/>
        <w:pict>
          <v:group style="position:absolute;margin-left:77.692902pt;margin-top:21.743229pt;width:70.9pt;height:.5pt;mso-position-horizontal-relative:page;mso-position-vertical-relative:paragraph;z-index:6568;mso-wrap-distance-left:0;mso-wrap-distance-right:0" coordorigin="1554,435" coordsize="1418,10">
            <v:line style="position:absolute" from="1589,440" to="2951,440" stroked="true" strokeweight=".5pt" strokecolor="#231f20">
              <v:stroke dashstyle="dash"/>
            </v:line>
            <v:line style="position:absolute" from="1559,440" to="1559,440" stroked="true" strokeweight=".5pt" strokecolor="#231f20"/>
            <v:line style="position:absolute" from="2966,440" to="2966,440" stroked="true" strokeweight=".5pt" strokecolor="#231f20"/>
            <w10:wrap type="topAndBottom"/>
          </v:group>
        </w:pict>
      </w:r>
    </w:p>
    <w:p>
      <w:pPr>
        <w:pStyle w:val="BodyText"/>
        <w:spacing w:before="11"/>
        <w:rPr>
          <w:sz w:val="6"/>
        </w:rPr>
      </w:pPr>
    </w:p>
    <w:p>
      <w:pPr>
        <w:spacing w:after="0"/>
        <w:rPr>
          <w:sz w:val="6"/>
        </w:rPr>
        <w:sectPr>
          <w:pgSz w:w="11900" w:h="14450"/>
          <w:pgMar w:header="0" w:footer="222" w:top="420" w:bottom="420" w:left="0" w:right="0"/>
        </w:sectPr>
      </w:pPr>
    </w:p>
    <w:p>
      <w:pPr>
        <w:spacing w:before="70"/>
        <w:ind w:left="1553" w:right="0" w:firstLine="0"/>
        <w:jc w:val="left"/>
        <w:rPr>
          <w:sz w:val="16"/>
        </w:rPr>
      </w:pPr>
      <w:r>
        <w:rPr>
          <w:color w:val="231F20"/>
          <w:sz w:val="16"/>
        </w:rPr>
        <w:t>* Para correspondencia: </w:t>
      </w:r>
      <w:hyperlink r:id="rId397">
        <w:r>
          <w:rPr>
            <w:color w:val="231F20"/>
            <w:sz w:val="16"/>
          </w:rPr>
          <w:t>iga@uaemex.mx</w:t>
        </w:r>
      </w:hyperlink>
    </w:p>
    <w:p>
      <w:pPr>
        <w:pStyle w:val="BodyText"/>
        <w:spacing w:before="4"/>
        <w:rPr>
          <w:sz w:val="32"/>
        </w:rPr>
      </w:pPr>
      <w:r>
        <w:rPr/>
        <w:br w:type="column"/>
      </w:r>
      <w:r>
        <w:rPr>
          <w:sz w:val="32"/>
        </w:rPr>
      </w:r>
    </w:p>
    <w:p>
      <w:pPr>
        <w:pStyle w:val="Heading5"/>
        <w:ind w:left="1534" w:right="1534"/>
        <w:jc w:val="center"/>
      </w:pPr>
      <w:r>
        <w:rPr>
          <w:color w:val="231F20"/>
          <w:w w:val="115"/>
        </w:rPr>
        <w:t>245</w:t>
      </w:r>
    </w:p>
    <w:p>
      <w:pPr>
        <w:spacing w:after="0"/>
        <w:jc w:val="center"/>
        <w:sectPr>
          <w:type w:val="continuous"/>
          <w:pgSz w:w="11900" w:h="14450"/>
          <w:pgMar w:top="420" w:bottom="420" w:left="0" w:right="0"/>
          <w:cols w:num="2" w:equalWidth="0">
            <w:col w:w="4279" w:space="4128"/>
            <w:col w:w="3493"/>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w w:val="130"/>
          <w:sz w:val="22"/>
        </w:rPr>
        <w:t>246</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76"/>
        <w:ind w:left="1553"/>
        <w:jc w:val="both"/>
      </w:pPr>
      <w:r>
        <w:rPr>
          <w:color w:val="231F20"/>
          <w:w w:val="110"/>
        </w:rPr>
        <w:t>INTRODUCCIÓN</w:t>
      </w:r>
    </w:p>
    <w:p>
      <w:pPr>
        <w:pStyle w:val="BodyText"/>
        <w:spacing w:line="271" w:lineRule="auto" w:before="144"/>
        <w:ind w:left="1553"/>
        <w:jc w:val="both"/>
      </w:pPr>
      <w:r>
        <w:rPr>
          <w:color w:val="231F20"/>
        </w:rPr>
        <w:t>La acuicultura es el sector productor de alimen-  tos de más rápido crecimiento en todo el mundo. Actualmente constituye casi el 50% del alimento acuático mundial y se percibe como la actividad con el potencial más grande para satisfacer la cre- ciente demanda de alimentos </w:t>
      </w:r>
      <w:r>
        <w:rPr>
          <w:color w:val="231F20"/>
          <w:spacing w:val="-4"/>
        </w:rPr>
        <w:t>(FAO, </w:t>
      </w:r>
      <w:r>
        <w:rPr>
          <w:color w:val="231F20"/>
          <w:spacing w:val="-3"/>
        </w:rPr>
        <w:t>2006-2010). </w:t>
      </w:r>
      <w:r>
        <w:rPr>
          <w:color w:val="231F20"/>
        </w:rPr>
        <w:t>Desempeña un papel importante en la seguridad alimentaria, en la diversificación de oportunida- des económicas de los países en desarrollo y en     la generación de empleos, reduce la migración y contribuye a mejorar la calidad de vida, principal- mente en las comunidades rurales (Vâradi, </w:t>
      </w:r>
      <w:r>
        <w:rPr>
          <w:color w:val="231F20"/>
          <w:spacing w:val="-3"/>
        </w:rPr>
        <w:t>2001; </w:t>
      </w:r>
      <w:r>
        <w:rPr>
          <w:color w:val="231F20"/>
        </w:rPr>
        <w:t>Bozo</w:t>
      </w:r>
      <w:r>
        <w:rPr>
          <w:rFonts w:ascii="Arial" w:hAnsi="Arial"/>
          <w:color w:val="231F20"/>
        </w:rPr>
        <w:t>ğ</w:t>
      </w:r>
      <w:r>
        <w:rPr>
          <w:color w:val="231F20"/>
        </w:rPr>
        <w:t>lu  </w:t>
      </w:r>
      <w:r>
        <w:rPr>
          <w:rFonts w:ascii="Cambria" w:hAnsi="Cambria"/>
          <w:i/>
          <w:color w:val="231F20"/>
        </w:rPr>
        <w:t>et  al.,</w:t>
      </w:r>
      <w:r>
        <w:rPr>
          <w:rFonts w:ascii="Cambria" w:hAnsi="Cambria"/>
          <w:i/>
          <w:color w:val="231F20"/>
          <w:spacing w:val="33"/>
        </w:rPr>
        <w:t> </w:t>
      </w:r>
      <w:r>
        <w:rPr>
          <w:color w:val="231F20"/>
          <w:spacing w:val="-3"/>
        </w:rPr>
        <w:t>2007).</w:t>
      </w:r>
    </w:p>
    <w:p>
      <w:pPr>
        <w:pStyle w:val="BodyText"/>
        <w:spacing w:line="271" w:lineRule="auto" w:before="112"/>
        <w:ind w:left="1553"/>
        <w:jc w:val="both"/>
      </w:pPr>
      <w:r>
        <w:rPr>
          <w:color w:val="231F20"/>
        </w:rPr>
        <w:t>El éxito de la acuicultura y su crecimiento acele- rado se deben en gran medida a la percepción generada por los sectores públicos y privados de que es una fuente  favorable  y  provechosa  para el desarrollo económico de los países (Subasin-  ghe </w:t>
      </w:r>
      <w:r>
        <w:rPr>
          <w:rFonts w:ascii="Cambria" w:hAnsi="Cambria"/>
          <w:i/>
          <w:color w:val="231F20"/>
        </w:rPr>
        <w:t>et al</w:t>
      </w:r>
      <w:r>
        <w:rPr>
          <w:color w:val="231F20"/>
        </w:rPr>
        <w:t>., </w:t>
      </w:r>
      <w:r>
        <w:rPr>
          <w:color w:val="231F20"/>
          <w:spacing w:val="-3"/>
        </w:rPr>
        <w:t>2001). </w:t>
      </w:r>
      <w:r>
        <w:rPr>
          <w:color w:val="231F20"/>
        </w:rPr>
        <w:t>Así mismo, los cambios en las políticas macroeconómicas, las estructuras insti- tucionales, las cuestiones legales y los mercados domésticos e internacionales han permitido que el ambiente para el desarrollo de la acuicultura haya experimentado una tendencia positiva (Morales y Morales, </w:t>
      </w:r>
      <w:r>
        <w:rPr>
          <w:color w:val="231F20"/>
          <w:spacing w:val="14"/>
        </w:rPr>
        <w:t> </w:t>
      </w:r>
      <w:r>
        <w:rPr>
          <w:color w:val="231F20"/>
        </w:rPr>
        <w:t>2005).</w:t>
      </w:r>
    </w:p>
    <w:p>
      <w:pPr>
        <w:pStyle w:val="BodyText"/>
        <w:spacing w:line="271" w:lineRule="auto" w:before="112"/>
        <w:ind w:left="1553"/>
        <w:jc w:val="both"/>
      </w:pPr>
      <w:r>
        <w:rPr>
          <w:color w:val="231F20"/>
        </w:rPr>
        <w:t>En México, tanto la pesca como la acuicultura son parte esencial del quehacer económico y  social  del país. Sin embargo, estudios realizados por el Instituto Nacional de la Pesca muestran que, del total de las pesquerías existentes, sólo el  20%  tiene posibilidades de aumentar la producción. El evidente estado de deterioro en que se encuentra la pesquería en el país ha ocasionado que la acui- cultura se convierta en una alternativa real para ampliar</w:t>
      </w:r>
      <w:r>
        <w:rPr>
          <w:color w:val="231F20"/>
          <w:spacing w:val="-6"/>
        </w:rPr>
        <w:t> </w:t>
      </w:r>
      <w:r>
        <w:rPr>
          <w:color w:val="231F20"/>
        </w:rPr>
        <w:t>y</w:t>
      </w:r>
      <w:r>
        <w:rPr>
          <w:color w:val="231F20"/>
          <w:spacing w:val="-6"/>
        </w:rPr>
        <w:t> </w:t>
      </w:r>
      <w:r>
        <w:rPr>
          <w:color w:val="231F20"/>
        </w:rPr>
        <w:t>contribuir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oferta</w:t>
      </w:r>
      <w:r>
        <w:rPr>
          <w:color w:val="231F20"/>
          <w:spacing w:val="-6"/>
        </w:rPr>
        <w:t> </w:t>
      </w:r>
      <w:r>
        <w:rPr>
          <w:color w:val="231F20"/>
        </w:rPr>
        <w:t>alimentaria,</w:t>
      </w:r>
      <w:r>
        <w:rPr>
          <w:color w:val="231F20"/>
          <w:spacing w:val="-6"/>
        </w:rPr>
        <w:t> </w:t>
      </w:r>
      <w:r>
        <w:rPr>
          <w:color w:val="231F20"/>
        </w:rPr>
        <w:t>creando</w:t>
      </w:r>
      <w:r>
        <w:rPr>
          <w:color w:val="231F20"/>
          <w:w w:val="100"/>
        </w:rPr>
        <w:t> </w:t>
      </w:r>
      <w:r>
        <w:rPr>
          <w:color w:val="231F20"/>
        </w:rPr>
        <w:t>fuentes permanentes de empleo y estimulando el desarrollo regional y la generación de divisas </w:t>
      </w:r>
      <w:r>
        <w:rPr>
          <w:color w:val="231F20"/>
          <w:spacing w:val="-4"/>
        </w:rPr>
        <w:t>(FAO, </w:t>
      </w:r>
      <w:r>
        <w:rPr>
          <w:color w:val="231F20"/>
          <w:spacing w:val="-3"/>
        </w:rPr>
        <w:t>2006-2010).</w:t>
      </w:r>
    </w:p>
    <w:p>
      <w:pPr>
        <w:pStyle w:val="BodyText"/>
        <w:spacing w:line="256" w:lineRule="auto" w:before="67"/>
        <w:ind w:left="413" w:right="1551"/>
        <w:jc w:val="both"/>
      </w:pPr>
      <w:r>
        <w:rPr/>
        <w:br w:type="column"/>
      </w:r>
      <w:r>
        <w:rPr>
          <w:color w:val="231F20"/>
        </w:rPr>
        <w:t>La política sobre la actividad trutícola en México se ha dirigido a incrementar la producción acuícola mediante la aplicación de modelos  sustentables  de producción y la promoción de buenas prácti-  cas de manejo en los cultivos  (SAGARPA,  2006). Así lo demuestra el crecimiento que se ha logrado durante los últimos años: entre </w:t>
      </w:r>
      <w:r>
        <w:rPr>
          <w:color w:val="231F20"/>
          <w:spacing w:val="-3"/>
        </w:rPr>
        <w:t>1993 </w:t>
      </w:r>
      <w:r>
        <w:rPr>
          <w:color w:val="231F20"/>
        </w:rPr>
        <w:t>y 2005 el crecimiento promedio anual fue del 22%, alcan- zando en este último año las </w:t>
      </w:r>
      <w:r>
        <w:rPr>
          <w:color w:val="231F20"/>
          <w:spacing w:val="2"/>
        </w:rPr>
        <w:t>235845 </w:t>
      </w:r>
      <w:r>
        <w:rPr>
          <w:color w:val="231F20"/>
        </w:rPr>
        <w:t>toneladas,    lo que se traduce en  una  participación  del  </w:t>
      </w:r>
      <w:r>
        <w:rPr>
          <w:color w:val="231F20"/>
          <w:spacing w:val="-3"/>
        </w:rPr>
        <w:t>16% </w:t>
      </w:r>
      <w:r>
        <w:rPr>
          <w:color w:val="231F20"/>
        </w:rPr>
        <w:t>en la producción pesquera nacional (CONAPESCA, 2005;   SAGARPA, </w:t>
      </w:r>
      <w:r>
        <w:rPr>
          <w:color w:val="231F20"/>
          <w:spacing w:val="11"/>
        </w:rPr>
        <w:t> </w:t>
      </w:r>
      <w:r>
        <w:rPr>
          <w:color w:val="231F20"/>
        </w:rPr>
        <w:t>2006).</w:t>
      </w:r>
    </w:p>
    <w:p>
      <w:pPr>
        <w:pStyle w:val="BodyText"/>
        <w:spacing w:line="256" w:lineRule="auto" w:before="114"/>
        <w:ind w:left="413" w:right="1551"/>
        <w:jc w:val="both"/>
      </w:pPr>
      <w:r>
        <w:rPr>
          <w:color w:val="231F20"/>
        </w:rPr>
        <w:t>El cultivo de trucha arcoíris </w:t>
      </w:r>
      <w:r>
        <w:rPr>
          <w:rFonts w:ascii="Cambria" w:hAnsi="Cambria"/>
          <w:i/>
          <w:color w:val="231F20"/>
        </w:rPr>
        <w:t>(Oncorhynchus</w:t>
      </w:r>
      <w:r>
        <w:rPr>
          <w:rFonts w:ascii="Cambria" w:hAnsi="Cambria"/>
          <w:i/>
          <w:color w:val="231F20"/>
          <w:spacing w:val="-10"/>
        </w:rPr>
        <w:t> </w:t>
      </w:r>
      <w:r>
        <w:rPr>
          <w:rFonts w:ascii="Cambria" w:hAnsi="Cambria"/>
          <w:i/>
          <w:color w:val="231F20"/>
        </w:rPr>
        <w:t>mykiss) </w:t>
      </w:r>
      <w:r>
        <w:rPr>
          <w:color w:val="231F20"/>
        </w:rPr>
        <w:t>es un claro ejemplo del crecimiento y el desarro-  llo de la acuicultura en México. Su participación  por volumen en la  producción  acuícola  nacional es del 48,1%, con un crecimiento promedio anual del  </w:t>
      </w:r>
      <w:r>
        <w:rPr>
          <w:color w:val="231F20"/>
          <w:spacing w:val="-3"/>
        </w:rPr>
        <w:t>180%   </w:t>
      </w:r>
      <w:r>
        <w:rPr>
          <w:color w:val="231F20"/>
        </w:rPr>
        <w:t>(48  veces),  pasando  de  </w:t>
      </w:r>
      <w:r>
        <w:rPr>
          <w:color w:val="231F20"/>
          <w:spacing w:val="-5"/>
        </w:rPr>
        <w:t>97   </w:t>
      </w:r>
      <w:r>
        <w:rPr>
          <w:color w:val="231F20"/>
          <w:spacing w:val="17"/>
        </w:rPr>
        <w:t> </w:t>
      </w:r>
      <w:r>
        <w:rPr>
          <w:color w:val="231F20"/>
        </w:rPr>
        <w:t>toneladas</w:t>
      </w:r>
    </w:p>
    <w:p>
      <w:pPr>
        <w:pStyle w:val="BodyText"/>
        <w:ind w:left="413"/>
        <w:jc w:val="both"/>
      </w:pPr>
      <w:r>
        <w:rPr>
          <w:color w:val="231F20"/>
          <w:w w:val="105"/>
        </w:rPr>
        <w:t>producidas en 1983  a 4698 toneladas en     2008</w:t>
      </w:r>
    </w:p>
    <w:p>
      <w:pPr>
        <w:pStyle w:val="BodyText"/>
        <w:spacing w:before="17"/>
        <w:ind w:left="413"/>
        <w:jc w:val="both"/>
      </w:pPr>
      <w:r>
        <w:rPr>
          <w:color w:val="231F20"/>
          <w:w w:val="110"/>
        </w:rPr>
        <w:t>(CONAPESCA, 2009; SAGARPA, 2009).</w:t>
      </w:r>
    </w:p>
    <w:p>
      <w:pPr>
        <w:pStyle w:val="BodyText"/>
        <w:spacing w:line="256" w:lineRule="auto" w:before="131"/>
        <w:ind w:left="413" w:right="1551"/>
        <w:jc w:val="both"/>
      </w:pPr>
      <w:r>
        <w:rPr>
          <w:color w:val="231F20"/>
        </w:rPr>
        <w:t>En 2009 se tenían registradas 777 unidades de producción trutícola, las cuales generaron 14000 empleos totales, 3600 de ellos directos. Destaca la participación de por lo menos una mujer en cada unidad de producción (Sistema Producto Trucha Nacional,  2009).</w:t>
      </w:r>
    </w:p>
    <w:p>
      <w:pPr>
        <w:pStyle w:val="BodyText"/>
        <w:spacing w:line="256" w:lineRule="auto" w:before="114"/>
        <w:ind w:left="413" w:right="1551"/>
        <w:jc w:val="both"/>
      </w:pPr>
      <w:r>
        <w:rPr>
          <w:color w:val="231F20"/>
        </w:rPr>
        <w:t>La actividad trutícola ha crecido exponencialmen- te, sobre todo en regiones donde las condiciones climáticas y de los ecosistemas contribuyen al de- sarrollo del sector </w:t>
      </w:r>
      <w:r>
        <w:rPr>
          <w:color w:val="231F20"/>
          <w:spacing w:val="-4"/>
        </w:rPr>
        <w:t>(FAO, </w:t>
      </w:r>
      <w:r>
        <w:rPr>
          <w:color w:val="231F20"/>
          <w:spacing w:val="-3"/>
        </w:rPr>
        <w:t>2006-2010).  </w:t>
      </w:r>
      <w:r>
        <w:rPr>
          <w:color w:val="231F20"/>
        </w:rPr>
        <w:t>En  particu- </w:t>
      </w:r>
      <w:r>
        <w:rPr>
          <w:color w:val="231F20"/>
          <w:spacing w:val="-3"/>
        </w:rPr>
        <w:t>lar, </w:t>
      </w:r>
      <w:r>
        <w:rPr>
          <w:color w:val="231F20"/>
        </w:rPr>
        <w:t>en el Estado de México la producción anual promedio ha sido de </w:t>
      </w:r>
      <w:r>
        <w:rPr>
          <w:color w:val="231F20"/>
          <w:spacing w:val="-3"/>
        </w:rPr>
        <w:t>1880 </w:t>
      </w:r>
      <w:r>
        <w:rPr>
          <w:color w:val="231F20"/>
        </w:rPr>
        <w:t>toneladas durante los últimos </w:t>
      </w:r>
      <w:r>
        <w:rPr>
          <w:color w:val="231F20"/>
          <w:spacing w:val="-5"/>
        </w:rPr>
        <w:t>12 </w:t>
      </w:r>
      <w:r>
        <w:rPr>
          <w:color w:val="231F20"/>
        </w:rPr>
        <w:t>años, convirtiéndolo en el principal pro- ductor con una participación equivalente al 52%  de la producción nacional (SAGARPA, 2009). Una clara evidencia del desarrollo estatal de esta activi- dad es el incremento de las unidades de produc- ción trutícola, que han pasado de siete en </w:t>
      </w:r>
      <w:r>
        <w:rPr>
          <w:color w:val="231F20"/>
          <w:spacing w:val="-3"/>
        </w:rPr>
        <w:t>1983 </w:t>
      </w:r>
      <w:r>
        <w:rPr>
          <w:color w:val="231F20"/>
        </w:rPr>
        <w:t>(SAGARPA, 1998) a 284 en 2009 (Sistema Pro- ducto </w:t>
      </w:r>
      <w:r>
        <w:rPr>
          <w:color w:val="231F20"/>
          <w:spacing w:val="-4"/>
        </w:rPr>
        <w:t>Trucha </w:t>
      </w:r>
      <w:r>
        <w:rPr>
          <w:color w:val="231F20"/>
        </w:rPr>
        <w:t>Nacional, 2009), con las cuales en varios  años  se  han  superado  las  3000</w:t>
      </w:r>
      <w:r>
        <w:rPr>
          <w:color w:val="231F20"/>
          <w:spacing w:val="36"/>
        </w:rPr>
        <w:t> </w:t>
      </w:r>
      <w:r>
        <w:rPr>
          <w:color w:val="231F20"/>
        </w:rPr>
        <w:t>toneladas</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9969" w:val="left" w:leader="none"/>
        </w:tabs>
        <w:spacing w:before="64"/>
        <w:ind w:left="1553" w:right="0" w:firstLine="0"/>
        <w:jc w:val="left"/>
        <w:rPr>
          <w:sz w:val="22"/>
        </w:rPr>
      </w:pPr>
      <w:r>
        <w:rPr>
          <w:color w:val="231F20"/>
          <w:sz w:val="18"/>
        </w:rPr>
        <w:t>Capítulo </w:t>
      </w:r>
      <w:r>
        <w:rPr>
          <w:color w:val="231F20"/>
          <w:spacing w:val="-11"/>
          <w:sz w:val="18"/>
        </w:rPr>
        <w:t>17.    </w:t>
      </w:r>
      <w:r>
        <w:rPr>
          <w:color w:val="231F20"/>
          <w:sz w:val="18"/>
        </w:rPr>
        <w:t>Desarrollo de la producción de trucha arcoíris </w:t>
      </w:r>
      <w:r>
        <w:rPr>
          <w:rFonts w:ascii="Cambria" w:hAnsi="Cambria"/>
          <w:i/>
          <w:color w:val="231F20"/>
          <w:sz w:val="18"/>
        </w:rPr>
        <w:t>(Oncorhynchus mykiss) </w:t>
      </w:r>
      <w:r>
        <w:rPr>
          <w:color w:val="231F20"/>
          <w:sz w:val="18"/>
        </w:rPr>
        <w:t>en   </w:t>
      </w:r>
      <w:r>
        <w:rPr>
          <w:color w:val="231F20"/>
          <w:spacing w:val="16"/>
          <w:sz w:val="18"/>
        </w:rPr>
        <w:t> </w:t>
      </w:r>
      <w:r>
        <w:rPr>
          <w:color w:val="231F20"/>
          <w:sz w:val="18"/>
        </w:rPr>
        <w:t>comunidades</w:t>
      </w:r>
      <w:r>
        <w:rPr>
          <w:color w:val="231F20"/>
          <w:spacing w:val="13"/>
          <w:sz w:val="18"/>
        </w:rPr>
        <w:t> </w:t>
      </w:r>
      <w:r>
        <w:rPr>
          <w:color w:val="231F20"/>
          <w:sz w:val="18"/>
        </w:rPr>
        <w:t>rurales...</w:t>
        <w:tab/>
      </w:r>
      <w:r>
        <w:rPr>
          <w:color w:val="231F20"/>
          <w:spacing w:val="-8"/>
          <w:sz w:val="22"/>
        </w:rPr>
        <w:t>247</w:t>
      </w:r>
    </w:p>
    <w:p>
      <w:pPr>
        <w:pStyle w:val="BodyText"/>
        <w:spacing w:before="9"/>
        <w:rPr>
          <w:sz w:val="22"/>
        </w:rPr>
      </w:pPr>
    </w:p>
    <w:p>
      <w:pPr>
        <w:spacing w:after="0"/>
        <w:rPr>
          <w:sz w:val="22"/>
        </w:rPr>
        <w:sectPr>
          <w:pgSz w:w="11900" w:h="14450"/>
          <w:pgMar w:header="0" w:footer="222" w:top="420" w:bottom="420" w:left="0" w:right="0"/>
        </w:sectPr>
      </w:pPr>
    </w:p>
    <w:p>
      <w:pPr>
        <w:pStyle w:val="BodyText"/>
        <w:spacing w:before="67"/>
        <w:ind w:left="1553"/>
        <w:jc w:val="both"/>
      </w:pPr>
      <w:r>
        <w:rPr>
          <w:color w:val="231F20"/>
          <w:w w:val="105"/>
        </w:rPr>
        <w:t>(SAGARPA  2008;  CONAPESCA,  2009).  No   obs-</w:t>
      </w:r>
    </w:p>
    <w:p>
      <w:pPr>
        <w:pStyle w:val="BodyText"/>
        <w:spacing w:line="261" w:lineRule="auto" w:before="22"/>
        <w:ind w:left="1553"/>
        <w:jc w:val="both"/>
      </w:pPr>
      <w:r>
        <w:rPr>
          <w:color w:val="231F20"/>
        </w:rPr>
        <w:t>tante los volúmenes de producción que se han alcanzado históricamente, las unidades de pro- ducción trutícola deben ser consideradas como de pequeña escala en comparación con las unidades de los países líderes en la producción de trucha arcoíris, como Dinamarca, Chile, Estados Unidos y Noruega, entre otros. Sin embargo, en su mayoría se encuentran ubicadas en municipios con un alto grado de marginación y el cultivo se ha convertido en la principal actividad económica para muchos de los productores, siendo fuente de empleos di- rectos e indirectos en los diferentes eslabones de  la cadena productiva y contribuyendo a aliviar la pobreza en el medio rural al generar ingresos y oportunidades  de</w:t>
      </w:r>
      <w:r>
        <w:rPr>
          <w:color w:val="231F20"/>
          <w:spacing w:val="5"/>
        </w:rPr>
        <w:t> </w:t>
      </w:r>
      <w:r>
        <w:rPr>
          <w:color w:val="231F20"/>
        </w:rPr>
        <w:t>ocupación.</w:t>
      </w:r>
    </w:p>
    <w:p>
      <w:pPr>
        <w:pStyle w:val="BodyText"/>
      </w:pPr>
    </w:p>
    <w:p>
      <w:pPr>
        <w:pStyle w:val="BodyText"/>
        <w:spacing w:before="2"/>
        <w:rPr>
          <w:sz w:val="17"/>
        </w:rPr>
      </w:pPr>
    </w:p>
    <w:p>
      <w:pPr>
        <w:pStyle w:val="BodyText"/>
        <w:ind w:left="1553"/>
        <w:jc w:val="both"/>
      </w:pPr>
      <w:r>
        <w:rPr>
          <w:color w:val="231F20"/>
          <w:w w:val="110"/>
        </w:rPr>
        <w:t>ANTECEDENTES</w:t>
      </w:r>
    </w:p>
    <w:p>
      <w:pPr>
        <w:pStyle w:val="BodyText"/>
        <w:spacing w:line="261" w:lineRule="auto" w:before="135"/>
        <w:ind w:left="1553"/>
        <w:jc w:val="both"/>
      </w:pPr>
      <w:r>
        <w:rPr>
          <w:color w:val="231F20"/>
        </w:rPr>
        <w:t>La acuicultura mundial ha crecido enormemente durante los últimos 50 años, desde una produc- ción menor de un millón de toneladas a comien- zos del decenio de </w:t>
      </w:r>
      <w:r>
        <w:rPr>
          <w:color w:val="231F20"/>
          <w:spacing w:val="-4"/>
        </w:rPr>
        <w:t>1950 </w:t>
      </w:r>
      <w:r>
        <w:rPr>
          <w:color w:val="231F20"/>
        </w:rPr>
        <w:t>hasta 59,4 millones de toneladas en 2004 </w:t>
      </w:r>
      <w:r>
        <w:rPr>
          <w:color w:val="231F20"/>
          <w:spacing w:val="-4"/>
        </w:rPr>
        <w:t>(FAO, 2010). </w:t>
      </w:r>
      <w:r>
        <w:rPr>
          <w:color w:val="231F20"/>
        </w:rPr>
        <w:t>Además, se ha convertido en una área de inversión y es punto crucial para el desarrollo social a partir la produc- ción de alimentos, desarrollo rural, nutrición,</w:t>
      </w:r>
      <w:r>
        <w:rPr>
          <w:color w:val="231F20"/>
          <w:spacing w:val="-5"/>
        </w:rPr>
        <w:t> </w:t>
      </w:r>
      <w:r>
        <w:rPr>
          <w:color w:val="231F20"/>
        </w:rPr>
        <w:t>gene- ración de empleo y gestión del medio ambiente (Vâradi,  </w:t>
      </w:r>
      <w:r>
        <w:rPr>
          <w:color w:val="231F20"/>
          <w:spacing w:val="-3"/>
        </w:rPr>
        <w:t>2001;  </w:t>
      </w:r>
      <w:r>
        <w:rPr>
          <w:color w:val="231F20"/>
        </w:rPr>
        <w:t>Lazard  </w:t>
      </w:r>
      <w:r>
        <w:rPr>
          <w:rFonts w:ascii="Cambria" w:hAnsi="Cambria"/>
          <w:i/>
          <w:color w:val="231F20"/>
        </w:rPr>
        <w:t>et  al</w:t>
      </w:r>
      <w:r>
        <w:rPr>
          <w:color w:val="231F20"/>
        </w:rPr>
        <w:t>.,</w:t>
      </w:r>
      <w:r>
        <w:rPr>
          <w:color w:val="231F20"/>
          <w:spacing w:val="-7"/>
        </w:rPr>
        <w:t> </w:t>
      </w:r>
      <w:r>
        <w:rPr>
          <w:color w:val="231F20"/>
          <w:spacing w:val="-4"/>
        </w:rPr>
        <w:t>2010).</w:t>
      </w:r>
    </w:p>
    <w:p>
      <w:pPr>
        <w:pStyle w:val="BodyText"/>
        <w:spacing w:line="261" w:lineRule="auto" w:before="113"/>
        <w:ind w:left="1553"/>
        <w:jc w:val="both"/>
      </w:pPr>
      <w:r>
        <w:rPr>
          <w:color w:val="231F20"/>
        </w:rPr>
        <w:t>La mayor parte de la acuicultura comercial se con- centra en países en desarrollo; Asia es el mayor productor del mundo,  con  un  84%  (China,  con  el 60% de la producción actual, supone casi la mitad de la acuicultura mundial).  La  acuicultura de los países asiáticos se  basa  tradicionalmente en pequeñas explotaciones familiares donde se explotan especies de muy poco valor comercial, principalmente la carpa común </w:t>
      </w:r>
      <w:r>
        <w:rPr>
          <w:rFonts w:ascii="Cambria" w:hAnsi="Cambria"/>
          <w:i/>
          <w:color w:val="231F20"/>
        </w:rPr>
        <w:t>(Cyprinus carpio) </w:t>
      </w:r>
      <w:r>
        <w:rPr>
          <w:color w:val="231F20"/>
        </w:rPr>
        <w:t>(Carretero, 2002). En contraste, Europa ocupa el segundo lugar mundial en la</w:t>
      </w:r>
      <w:r>
        <w:rPr>
          <w:color w:val="231F20"/>
          <w:spacing w:val="38"/>
        </w:rPr>
        <w:t> </w:t>
      </w:r>
      <w:r>
        <w:rPr>
          <w:color w:val="231F20"/>
        </w:rPr>
        <w:t>producción</w:t>
      </w:r>
      <w:r>
        <w:rPr>
          <w:color w:val="231F20"/>
          <w:spacing w:val="25"/>
        </w:rPr>
        <w:t> </w:t>
      </w:r>
      <w:r>
        <w:rPr>
          <w:color w:val="231F20"/>
        </w:rPr>
        <w:t>acuícola,</w:t>
      </w:r>
      <w:r>
        <w:rPr>
          <w:color w:val="231F20"/>
          <w:w w:val="99"/>
        </w:rPr>
        <w:t> </w:t>
      </w:r>
      <w:r>
        <w:rPr>
          <w:color w:val="231F20"/>
        </w:rPr>
        <w:t>con el 8,5%, y se caracteriza por la explotación   </w:t>
      </w:r>
      <w:r>
        <w:rPr>
          <w:color w:val="231F20"/>
          <w:spacing w:val="8"/>
        </w:rPr>
        <w:t> </w:t>
      </w:r>
      <w:r>
        <w:rPr>
          <w:color w:val="231F20"/>
        </w:rPr>
        <w:t>de</w:t>
      </w:r>
    </w:p>
    <w:p>
      <w:pPr>
        <w:pStyle w:val="BodyText"/>
        <w:spacing w:line="271" w:lineRule="auto" w:before="67"/>
        <w:ind w:left="412" w:right="1551"/>
        <w:jc w:val="both"/>
      </w:pPr>
      <w:r>
        <w:rPr/>
        <w:br w:type="column"/>
      </w:r>
      <w:r>
        <w:rPr>
          <w:color w:val="231F20"/>
        </w:rPr>
        <w:t>especies que alcanzan altos valores  económicos  en el mercado. En América destaca el cultivo del salmón, principalmente en Chile, especie de alto valor  comercial  (Carretero,</w:t>
      </w:r>
      <w:r>
        <w:rPr>
          <w:color w:val="231F20"/>
          <w:spacing w:val="-6"/>
        </w:rPr>
        <w:t> </w:t>
      </w:r>
      <w:r>
        <w:rPr>
          <w:color w:val="231F20"/>
        </w:rPr>
        <w:t>2002).</w:t>
      </w:r>
    </w:p>
    <w:p>
      <w:pPr>
        <w:pStyle w:val="BodyText"/>
        <w:spacing w:line="271" w:lineRule="auto" w:before="113"/>
        <w:ind w:left="412" w:right="1551"/>
        <w:jc w:val="both"/>
      </w:pPr>
      <w:r>
        <w:rPr>
          <w:color w:val="231F20"/>
        </w:rPr>
        <w:t>Las estadísticas demuestran que, de ser una acti- vidad principalmente asiática, la acuicultura se ha extendido ahora a todos los continentes, incluyen- do la mayoría de los ambientes acuáticos y una gran diversidad de especies </w:t>
      </w:r>
      <w:r>
        <w:rPr>
          <w:color w:val="231F20"/>
          <w:spacing w:val="-4"/>
        </w:rPr>
        <w:t>(FAO, </w:t>
      </w:r>
      <w:r>
        <w:rPr>
          <w:color w:val="231F20"/>
        </w:rPr>
        <w:t>2006). No obs- tante esta diversificación, la acuicultura mundial mantiene dos factores en común: primero, que la mayor parte de la producción proviene de países en desarrollo debido a que  proporciona  medios de subsistencia e ingresos, especialmente para los grupos marginales (Bozo</w:t>
      </w:r>
      <w:r>
        <w:rPr>
          <w:rFonts w:ascii="Arial" w:hAnsi="Arial"/>
          <w:color w:val="231F20"/>
        </w:rPr>
        <w:t>ğ</w:t>
      </w:r>
      <w:r>
        <w:rPr>
          <w:color w:val="231F20"/>
        </w:rPr>
        <w:t>lu </w:t>
      </w:r>
      <w:r>
        <w:rPr>
          <w:rFonts w:ascii="Cambria" w:hAnsi="Cambria"/>
          <w:i/>
          <w:color w:val="231F20"/>
        </w:rPr>
        <w:t>et al</w:t>
      </w:r>
      <w:r>
        <w:rPr>
          <w:color w:val="231F20"/>
        </w:rPr>
        <w:t>., </w:t>
      </w:r>
      <w:r>
        <w:rPr>
          <w:color w:val="231F20"/>
          <w:spacing w:val="-3"/>
        </w:rPr>
        <w:t>2007) </w:t>
      </w:r>
      <w:r>
        <w:rPr>
          <w:color w:val="231F20"/>
        </w:rPr>
        <w:t>que tie- nen acceso limitado a recursos tales como tierra agrícola y capital financiero (Pemsl </w:t>
      </w:r>
      <w:r>
        <w:rPr>
          <w:rFonts w:ascii="Cambria" w:hAnsi="Cambria"/>
          <w:i/>
          <w:color w:val="231F20"/>
        </w:rPr>
        <w:t>et al</w:t>
      </w:r>
      <w:r>
        <w:rPr>
          <w:color w:val="231F20"/>
        </w:rPr>
        <w:t>., 2006), y segundo, que el éxito de los cultivos se debe en mayor medida a la riqueza de ambientes naturales que favorecen el establecimiento de la actividad (Raí </w:t>
      </w:r>
      <w:r>
        <w:rPr>
          <w:rFonts w:ascii="Cambria" w:hAnsi="Cambria"/>
          <w:i/>
          <w:color w:val="231F20"/>
        </w:rPr>
        <w:t>et al</w:t>
      </w:r>
      <w:r>
        <w:rPr>
          <w:color w:val="231F20"/>
        </w:rPr>
        <w:t>., 2005). Un ejemplo de ello es México, donde el crecimiento de la producción acuícola ha sido  del  22%,  hasta  alcanzar  las  </w:t>
      </w:r>
      <w:r>
        <w:rPr>
          <w:color w:val="231F20"/>
          <w:spacing w:val="2"/>
        </w:rPr>
        <w:t>235845 </w:t>
      </w:r>
      <w:r>
        <w:rPr>
          <w:color w:val="231F20"/>
          <w:spacing w:val="11"/>
        </w:rPr>
        <w:t> </w:t>
      </w:r>
      <w:r>
        <w:rPr>
          <w:color w:val="231F20"/>
        </w:rPr>
        <w:t>tonela-</w:t>
      </w:r>
    </w:p>
    <w:p>
      <w:pPr>
        <w:pStyle w:val="BodyText"/>
        <w:spacing w:line="244" w:lineRule="exact"/>
        <w:ind w:left="412"/>
        <w:jc w:val="both"/>
      </w:pPr>
      <w:r>
        <w:rPr>
          <w:color w:val="231F20"/>
          <w:w w:val="105"/>
        </w:rPr>
        <w:t>das (CONAPESCA, 2005; SAGARPA,  2006).</w:t>
      </w:r>
    </w:p>
    <w:p>
      <w:pPr>
        <w:pStyle w:val="BodyText"/>
        <w:spacing w:line="271" w:lineRule="auto" w:before="144"/>
        <w:ind w:left="412" w:right="1551"/>
        <w:jc w:val="both"/>
      </w:pPr>
      <w:r>
        <w:rPr>
          <w:color w:val="231F20"/>
        </w:rPr>
        <w:t>El cultivo de trucha arcoíris participa con un 48% en el volumen de producción nacional, siendo el Estado de México el principal productor durante  los últimos </w:t>
      </w:r>
      <w:r>
        <w:rPr>
          <w:color w:val="231F20"/>
          <w:spacing w:val="-5"/>
        </w:rPr>
        <w:t>12 </w:t>
      </w:r>
      <w:r>
        <w:rPr>
          <w:color w:val="231F20"/>
        </w:rPr>
        <w:t>años, con una participación prome- dio  del  52%</w:t>
      </w:r>
      <w:r>
        <w:rPr>
          <w:color w:val="231F20"/>
          <w:spacing w:val="14"/>
        </w:rPr>
        <w:t> </w:t>
      </w:r>
      <w:r>
        <w:rPr>
          <w:color w:val="231F20"/>
        </w:rPr>
        <w:t>anual.</w:t>
      </w:r>
    </w:p>
    <w:p>
      <w:pPr>
        <w:pStyle w:val="BodyText"/>
        <w:spacing w:line="271" w:lineRule="auto" w:before="113"/>
        <w:ind w:left="412" w:right="1551"/>
        <w:jc w:val="both"/>
      </w:pPr>
      <w:r>
        <w:rPr>
          <w:color w:val="231F20"/>
        </w:rPr>
        <w:t>No obstante la importancia económica que ha adquirido en años recientes, la truticultura en el país  surge  como  una  actividad  complementaria  a la agricultura y la ganadería con la finalidad de mejorar las condiciones de vida de la población rural (Rojas-Carrillo y Fernández-Méndez, 2006). Su fomento y desarrollo se han caracterizado por depender del establecimiento de políticas de de- sarrollo social (Cifuentes-Lemus </w:t>
      </w:r>
      <w:r>
        <w:rPr>
          <w:rFonts w:ascii="Cambria" w:hAnsi="Cambria"/>
          <w:i/>
          <w:color w:val="231F20"/>
        </w:rPr>
        <w:t>et al</w:t>
      </w:r>
      <w:r>
        <w:rPr>
          <w:color w:val="231F20"/>
        </w:rPr>
        <w:t>., </w:t>
      </w:r>
      <w:r>
        <w:rPr>
          <w:color w:val="231F20"/>
          <w:spacing w:val="-4"/>
        </w:rPr>
        <w:t>1997; </w:t>
      </w:r>
      <w:r>
        <w:rPr>
          <w:color w:val="231F20"/>
        </w:rPr>
        <w:t>Arre- dondo  y  Lozano,</w:t>
      </w:r>
      <w:r>
        <w:rPr>
          <w:color w:val="231F20"/>
          <w:spacing w:val="36"/>
        </w:rPr>
        <w:t> </w:t>
      </w:r>
      <w:r>
        <w:rPr>
          <w:color w:val="231F20"/>
        </w:rPr>
        <w:t>2003).</w:t>
      </w:r>
    </w:p>
    <w:p>
      <w:pPr>
        <w:spacing w:after="0" w:line="27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w w:val="130"/>
          <w:sz w:val="22"/>
        </w:rPr>
        <w:t>248</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spacing w:before="76"/>
        <w:ind w:left="1553" w:right="0" w:firstLine="0"/>
        <w:jc w:val="both"/>
        <w:rPr>
          <w:rFonts w:ascii="Cambria" w:hAnsi="Cambria"/>
          <w:i/>
          <w:sz w:val="20"/>
        </w:rPr>
      </w:pPr>
      <w:r>
        <w:rPr>
          <w:rFonts w:ascii="Cambria" w:hAnsi="Cambria"/>
          <w:i/>
          <w:color w:val="231F20"/>
          <w:w w:val="105"/>
          <w:sz w:val="20"/>
        </w:rPr>
        <w:t>Inicio de la acuicultura en  México</w:t>
      </w:r>
    </w:p>
    <w:p>
      <w:pPr>
        <w:pStyle w:val="BodyText"/>
        <w:spacing w:line="259" w:lineRule="auto" w:before="142"/>
        <w:ind w:left="1553"/>
        <w:jc w:val="both"/>
      </w:pPr>
      <w:r>
        <w:rPr>
          <w:color w:val="231F20"/>
        </w:rPr>
        <w:t>En América Latina, el primer registro de actividad acuícola fue la realización y la publicación del li-  bro </w:t>
      </w:r>
      <w:r>
        <w:rPr>
          <w:rFonts w:ascii="Cambria" w:hAnsi="Cambria"/>
          <w:i/>
          <w:color w:val="231F20"/>
        </w:rPr>
        <w:t>Piscicultura de agua dulce </w:t>
      </w:r>
      <w:r>
        <w:rPr>
          <w:color w:val="231F20"/>
        </w:rPr>
        <w:t>por el legislador mexicano Esteban Cházari en </w:t>
      </w:r>
      <w:r>
        <w:rPr>
          <w:color w:val="231F20"/>
          <w:spacing w:val="-3"/>
        </w:rPr>
        <w:t>1884 </w:t>
      </w:r>
      <w:r>
        <w:rPr>
          <w:color w:val="231F20"/>
        </w:rPr>
        <w:t>(Arredondo y Lozano, 2003), a petición del Gral. Porfirio Díaz, entonces presidente de México (Cifuentes, </w:t>
      </w:r>
      <w:r>
        <w:rPr>
          <w:color w:val="231F20"/>
          <w:spacing w:val="-3"/>
        </w:rPr>
        <w:t>1997). También </w:t>
      </w:r>
      <w:r>
        <w:rPr>
          <w:color w:val="231F20"/>
        </w:rPr>
        <w:t>fue en México el primer reporte sobre cultivo de peces en América Latina, a finales del siglo </w:t>
      </w:r>
      <w:r>
        <w:rPr>
          <w:color w:val="231F20"/>
          <w:sz w:val="14"/>
        </w:rPr>
        <w:t>xix </w:t>
      </w:r>
      <w:r>
        <w:rPr>
          <w:color w:val="231F20"/>
        </w:rPr>
        <w:t>(Morales y  Morales,  2005),  con  un  lote de huevos de trucha arcoíris proveniente de Esta- dos Unidos que fue sembrado en una laguna del Estado de México (Arredondo y Lozano, 2003). Posteriormente, las primeras estaciones piscícolas en Chimaleapan construidas por el biólogo Alfre- do </w:t>
      </w:r>
      <w:r>
        <w:rPr>
          <w:color w:val="231F20"/>
          <w:spacing w:val="-9"/>
        </w:rPr>
        <w:t>V. </w:t>
      </w:r>
      <w:r>
        <w:rPr>
          <w:color w:val="231F20"/>
        </w:rPr>
        <w:t>Lamotte, y más  tarde  la  estación  piscícola de la Condesa en el Distrito Federal, iniciaron sus operaciones con un lote de </w:t>
      </w:r>
      <w:r>
        <w:rPr>
          <w:color w:val="231F20"/>
          <w:spacing w:val="3"/>
        </w:rPr>
        <w:t>500000 </w:t>
      </w:r>
      <w:r>
        <w:rPr>
          <w:color w:val="231F20"/>
        </w:rPr>
        <w:t>huevos de trucha arcoíris proveniente de Estados Unidos, con los cuales se realizaron las primeras siembras en lagunas y bordos. Sin embargo, no fue hasta </w:t>
      </w:r>
      <w:r>
        <w:rPr>
          <w:color w:val="231F20"/>
          <w:spacing w:val="-3"/>
        </w:rPr>
        <w:t>1886 </w:t>
      </w:r>
      <w:r>
        <w:rPr>
          <w:color w:val="231F20"/>
        </w:rPr>
        <w:t>cuando en el Congreso se aprobó de manera ofi- cial la introducción de la piscicultura en México,      y en </w:t>
      </w:r>
      <w:r>
        <w:rPr>
          <w:color w:val="231F20"/>
          <w:spacing w:val="-5"/>
        </w:rPr>
        <w:t>1891 </w:t>
      </w:r>
      <w:r>
        <w:rPr>
          <w:color w:val="231F20"/>
        </w:rPr>
        <w:t>se creó la Oficina de Piscicultura, de- pendiente de la Secretaría de Fomento (Cifuentes- Lemus </w:t>
      </w:r>
      <w:r>
        <w:rPr>
          <w:rFonts w:ascii="Cambria" w:hAnsi="Cambria"/>
          <w:i/>
          <w:color w:val="231F20"/>
        </w:rPr>
        <w:t>et al</w:t>
      </w:r>
      <w:r>
        <w:rPr>
          <w:color w:val="231F20"/>
        </w:rPr>
        <w:t>., </w:t>
      </w:r>
      <w:r>
        <w:rPr>
          <w:color w:val="231F20"/>
          <w:spacing w:val="-4"/>
        </w:rPr>
        <w:t>1997; </w:t>
      </w:r>
      <w:r>
        <w:rPr>
          <w:color w:val="231F20"/>
        </w:rPr>
        <w:t>Arredondo y Lozano, 2003). Durante los siguientes 30 años no hubo avances significativos en la acuicultura debido al inicio de   la revolución mexicana. Algunos datos indican que se iniciaron estudios más formales que contribu- yeron a ampliar el conocimiento de la biodiver- sidad de especies de agua salada (Arredondo y Lozano, 2003).  A  partir  de  </w:t>
      </w:r>
      <w:r>
        <w:rPr>
          <w:color w:val="231F20"/>
          <w:spacing w:val="-3"/>
        </w:rPr>
        <w:t>1930,  </w:t>
      </w:r>
      <w:r>
        <w:rPr>
          <w:color w:val="231F20"/>
        </w:rPr>
        <w:t>la  acuicultura  se dirigió al repoblamiento de embalses (Álvarez, 1999) principalmente con carpa </w:t>
      </w:r>
      <w:r>
        <w:rPr>
          <w:rFonts w:ascii="Cambria" w:hAnsi="Cambria"/>
          <w:i/>
          <w:color w:val="231F20"/>
        </w:rPr>
        <w:t>(Cyprinus car- </w:t>
      </w:r>
      <w:r>
        <w:rPr>
          <w:rFonts w:ascii="Cambria" w:hAnsi="Cambria"/>
          <w:i/>
          <w:color w:val="231F20"/>
        </w:rPr>
        <w:t>pio), </w:t>
      </w:r>
      <w:r>
        <w:rPr>
          <w:color w:val="231F20"/>
        </w:rPr>
        <w:t>lobina </w:t>
      </w:r>
      <w:r>
        <w:rPr>
          <w:rFonts w:ascii="Cambria" w:hAnsi="Cambria"/>
          <w:i/>
          <w:color w:val="231F20"/>
        </w:rPr>
        <w:t>(Micropterus salmoides) </w:t>
      </w:r>
      <w:r>
        <w:rPr>
          <w:color w:val="231F20"/>
        </w:rPr>
        <w:t>y trucha ar- coíris </w:t>
      </w:r>
      <w:r>
        <w:rPr>
          <w:rFonts w:ascii="Cambria" w:hAnsi="Cambria"/>
          <w:i/>
          <w:color w:val="231F20"/>
        </w:rPr>
        <w:t>(Oncorhynchus mykiss)</w:t>
      </w:r>
      <w:r>
        <w:rPr>
          <w:color w:val="231F20"/>
        </w:rPr>
        <w:t>. Durante esta época la actividad fue llamada “piscicultura agrícola” y su desarrollo estuvo ligado a la construcción de obras hidráulicas promovidas por la Comisión Nacional de   Irrigación   (Ibáñez   y   García-Calderón,</w:t>
      </w:r>
      <w:r>
        <w:rPr>
          <w:color w:val="231F20"/>
          <w:spacing w:val="40"/>
        </w:rPr>
        <w:t> </w:t>
      </w:r>
      <w:r>
        <w:rPr>
          <w:color w:val="231F20"/>
        </w:rPr>
        <w:t>2006).</w:t>
      </w:r>
    </w:p>
    <w:p>
      <w:pPr>
        <w:pStyle w:val="BodyText"/>
        <w:spacing w:line="261" w:lineRule="auto" w:before="67"/>
        <w:ind w:left="413" w:right="1551"/>
        <w:jc w:val="both"/>
      </w:pPr>
      <w:r>
        <w:rPr/>
        <w:br w:type="column"/>
      </w:r>
      <w:r>
        <w:rPr>
          <w:color w:val="231F20"/>
        </w:rPr>
        <w:t>Los esfuerzos institucionales para el desarrollo de  la acuicultura en México se orientaron al impul-    so de la acuicultura rural y al repoblamiento de    los embalses, en particular de las grandes presas (Álvarez, 1999). Como consecuencia de estas po- líticas se inició la creación de numerosos centros acuícolas, cuya finalidad era proveer crías para la repoblación de cuerpos de agua continentales, principalmente de carpa, lobina y trucha. En la década de 1940, con la creación de la estación acuícola “El Zarco” en la región central del país, se da una clara preferencia institucional a la trucha (Ibáñez  y  García-Calderón, </w:t>
      </w:r>
      <w:r>
        <w:rPr>
          <w:color w:val="231F20"/>
          <w:spacing w:val="1"/>
        </w:rPr>
        <w:t> </w:t>
      </w:r>
      <w:r>
        <w:rPr>
          <w:color w:val="231F20"/>
        </w:rPr>
        <w:t>2006).</w:t>
      </w:r>
    </w:p>
    <w:p>
      <w:pPr>
        <w:pStyle w:val="BodyText"/>
        <w:spacing w:line="261" w:lineRule="auto" w:before="112"/>
        <w:ind w:left="413" w:right="1551"/>
        <w:jc w:val="both"/>
      </w:pPr>
      <w:r>
        <w:rPr>
          <w:color w:val="231F20"/>
        </w:rPr>
        <w:t>Si bien a partir de </w:t>
      </w:r>
      <w:r>
        <w:rPr>
          <w:color w:val="231F20"/>
          <w:spacing w:val="-4"/>
        </w:rPr>
        <w:t>1858 </w:t>
      </w:r>
      <w:r>
        <w:rPr>
          <w:color w:val="231F20"/>
        </w:rPr>
        <w:t>se registran antecedentes jurídicos en materia de acuicultura, prácticamente es a partir de  </w:t>
      </w:r>
      <w:r>
        <w:rPr>
          <w:color w:val="231F20"/>
          <w:spacing w:val="-4"/>
        </w:rPr>
        <w:t>1950  </w:t>
      </w:r>
      <w:r>
        <w:rPr>
          <w:color w:val="231F20"/>
        </w:rPr>
        <w:t>cuando  se  inicia  el  desarro- llo formal de esta biotecnia. Aunque entre </w:t>
      </w:r>
      <w:r>
        <w:rPr>
          <w:color w:val="231F20"/>
          <w:spacing w:val="-4"/>
        </w:rPr>
        <w:t>1950       </w:t>
      </w:r>
      <w:r>
        <w:rPr>
          <w:color w:val="231F20"/>
        </w:rPr>
        <w:t>y </w:t>
      </w:r>
      <w:r>
        <w:rPr>
          <w:color w:val="231F20"/>
          <w:spacing w:val="-7"/>
        </w:rPr>
        <w:t>1976 </w:t>
      </w:r>
      <w:r>
        <w:rPr>
          <w:color w:val="231F20"/>
        </w:rPr>
        <w:t>las acciones institucionales, así como un gran número de acciones gubernamentales (Cua- dro 1) y de esfuerzos individuales de técnicos nacionales, demostraron el importante potencial de la acuicultura, no pudo superarse la etapa de  los cultivos extensivos o de carácter experimental (Juárez  Palacios  </w:t>
      </w:r>
      <w:r>
        <w:rPr>
          <w:rFonts w:ascii="Cambria" w:hAnsi="Cambria"/>
          <w:i/>
          <w:color w:val="231F20"/>
        </w:rPr>
        <w:t>et  al</w:t>
      </w:r>
      <w:r>
        <w:rPr>
          <w:color w:val="231F20"/>
        </w:rPr>
        <w:t>.,</w:t>
      </w:r>
      <w:r>
        <w:rPr>
          <w:color w:val="231F20"/>
          <w:spacing w:val="-17"/>
        </w:rPr>
        <w:t> </w:t>
      </w:r>
      <w:r>
        <w:rPr>
          <w:color w:val="231F20"/>
          <w:spacing w:val="-3"/>
        </w:rPr>
        <w:t>1987).</w:t>
      </w:r>
    </w:p>
    <w:p>
      <w:pPr>
        <w:pStyle w:val="BodyText"/>
        <w:spacing w:line="261" w:lineRule="auto" w:before="112"/>
        <w:ind w:left="413" w:right="1551"/>
        <w:jc w:val="both"/>
      </w:pPr>
      <w:r>
        <w:rPr>
          <w:color w:val="231F20"/>
        </w:rPr>
        <w:t>Cuando en 1936 se construyó la estación acuícola “El Zarco”, ubicada en el Parque Nacional Insur- gente Miguel Hidalgo, en los límites del Estado de México y el Distrito Federal (Arredondo y Lozano, 2003), el Estado se convirtió en la primera entidad federativa productora de crías de trucha arcoíris con fines de repoblación (Velásquez y Espinoza, 1989).</w:t>
      </w:r>
    </w:p>
    <w:p>
      <w:pPr>
        <w:pStyle w:val="BodyText"/>
        <w:spacing w:line="261" w:lineRule="auto" w:before="112"/>
        <w:ind w:left="413" w:right="1551"/>
        <w:jc w:val="both"/>
      </w:pPr>
      <w:r>
        <w:rPr>
          <w:color w:val="231F20"/>
        </w:rPr>
        <w:t>En la etapa de la piscicultura agrícola (1930-1970), la política gubernamental se enfocó al aprovecha- miento integral de los recursos naturales para el mejoramiento del nivel alimenticio de los naciona- les (Banco Nacional de Crédito Ejidal, 1966) me- diante la creación de numerosos centros acuícolas y la repoblación de cuerpos de agua continentales (Ibáñez  y  García-Calderón,  2006).</w:t>
      </w:r>
    </w:p>
    <w:p>
      <w:pPr>
        <w:spacing w:after="0" w:line="261"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9960" w:val="left" w:leader="none"/>
        </w:tabs>
        <w:spacing w:before="64"/>
        <w:ind w:left="1553" w:right="0" w:firstLine="0"/>
        <w:jc w:val="left"/>
        <w:rPr>
          <w:sz w:val="22"/>
        </w:rPr>
      </w:pPr>
      <w:r>
        <w:rPr>
          <w:color w:val="231F20"/>
          <w:sz w:val="18"/>
        </w:rPr>
        <w:t>Capítulo </w:t>
      </w:r>
      <w:r>
        <w:rPr>
          <w:color w:val="231F20"/>
          <w:spacing w:val="-11"/>
          <w:sz w:val="18"/>
        </w:rPr>
        <w:t>17.    </w:t>
      </w:r>
      <w:r>
        <w:rPr>
          <w:color w:val="231F20"/>
          <w:sz w:val="18"/>
        </w:rPr>
        <w:t>Desarrollo de la producción de trucha arcoíris </w:t>
      </w:r>
      <w:r>
        <w:rPr>
          <w:rFonts w:ascii="Cambria" w:hAnsi="Cambria"/>
          <w:i/>
          <w:color w:val="231F20"/>
          <w:sz w:val="18"/>
        </w:rPr>
        <w:t>(Oncorhynchus mykiss) </w:t>
      </w:r>
      <w:r>
        <w:rPr>
          <w:color w:val="231F20"/>
          <w:sz w:val="18"/>
        </w:rPr>
        <w:t>en   </w:t>
      </w:r>
      <w:r>
        <w:rPr>
          <w:color w:val="231F20"/>
          <w:spacing w:val="16"/>
          <w:sz w:val="18"/>
        </w:rPr>
        <w:t> </w:t>
      </w:r>
      <w:r>
        <w:rPr>
          <w:color w:val="231F20"/>
          <w:sz w:val="18"/>
        </w:rPr>
        <w:t>comunidades</w:t>
      </w:r>
      <w:r>
        <w:rPr>
          <w:color w:val="231F20"/>
          <w:spacing w:val="13"/>
          <w:sz w:val="18"/>
        </w:rPr>
        <w:t> </w:t>
      </w:r>
      <w:r>
        <w:rPr>
          <w:color w:val="231F20"/>
          <w:sz w:val="18"/>
        </w:rPr>
        <w:t>rurales...</w:t>
        <w:tab/>
      </w:r>
      <w:r>
        <w:rPr>
          <w:color w:val="231F20"/>
          <w:sz w:val="22"/>
        </w:rPr>
        <w:t>249</w:t>
      </w:r>
    </w:p>
    <w:p>
      <w:pPr>
        <w:pStyle w:val="BodyText"/>
        <w:spacing w:before="7"/>
        <w:rPr>
          <w:sz w:val="28"/>
        </w:rPr>
      </w:pPr>
    </w:p>
    <w:p>
      <w:pPr>
        <w:spacing w:before="0"/>
        <w:ind w:left="1553" w:right="2503" w:firstLine="0"/>
        <w:jc w:val="left"/>
        <w:rPr>
          <w:sz w:val="18"/>
        </w:rPr>
      </w:pPr>
      <w:r>
        <w:rPr>
          <w:color w:val="231F20"/>
          <w:sz w:val="18"/>
        </w:rPr>
        <w:t>Cuadro 1.      Acciones gubernamentales y su impacto en la truticultura del Estado de México.</w:t>
      </w:r>
    </w:p>
    <w:p>
      <w:pPr>
        <w:pStyle w:val="BodyText"/>
        <w:spacing w:before="11"/>
        <w:rPr>
          <w:sz w:val="11"/>
        </w:rPr>
      </w:pPr>
    </w:p>
    <w:tbl>
      <w:tblPr>
        <w:tblW w:w="0" w:type="auto"/>
        <w:jc w:val="left"/>
        <w:tblInd w:w="15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74"/>
        <w:gridCol w:w="2268"/>
        <w:gridCol w:w="2410"/>
        <w:gridCol w:w="2635"/>
      </w:tblGrid>
      <w:tr>
        <w:trPr>
          <w:trHeight w:val="369" w:hRule="exact"/>
        </w:trPr>
        <w:tc>
          <w:tcPr>
            <w:tcW w:w="1474" w:type="dxa"/>
            <w:tcBorders>
              <w:left w:val="nil"/>
            </w:tcBorders>
          </w:tcPr>
          <w:p>
            <w:pPr>
              <w:pStyle w:val="TableParagraph"/>
              <w:spacing w:before="79"/>
              <w:ind w:left="331" w:right="326"/>
              <w:jc w:val="center"/>
              <w:rPr>
                <w:rFonts w:ascii="Cambria"/>
                <w:i/>
                <w:sz w:val="18"/>
              </w:rPr>
            </w:pPr>
            <w:r>
              <w:rPr>
                <w:rFonts w:ascii="Cambria"/>
                <w:i/>
                <w:color w:val="231F20"/>
                <w:w w:val="105"/>
                <w:sz w:val="18"/>
              </w:rPr>
              <w:t>Etapa</w:t>
            </w:r>
          </w:p>
        </w:tc>
        <w:tc>
          <w:tcPr>
            <w:tcW w:w="2268" w:type="dxa"/>
          </w:tcPr>
          <w:p>
            <w:pPr>
              <w:pStyle w:val="TableParagraph"/>
              <w:spacing w:before="79"/>
              <w:ind w:left="217" w:right="42"/>
              <w:rPr>
                <w:rFonts w:ascii="Cambria" w:hAnsi="Cambria"/>
                <w:i/>
                <w:sz w:val="18"/>
              </w:rPr>
            </w:pPr>
            <w:r>
              <w:rPr>
                <w:rFonts w:ascii="Cambria" w:hAnsi="Cambria"/>
                <w:i/>
                <w:color w:val="231F20"/>
                <w:w w:val="105"/>
                <w:sz w:val="18"/>
              </w:rPr>
              <w:t>Acción gubernamental</w:t>
            </w:r>
          </w:p>
        </w:tc>
        <w:tc>
          <w:tcPr>
            <w:tcW w:w="2410" w:type="dxa"/>
          </w:tcPr>
          <w:p>
            <w:pPr>
              <w:pStyle w:val="TableParagraph"/>
              <w:spacing w:before="79"/>
              <w:ind w:left="180"/>
              <w:rPr>
                <w:rFonts w:ascii="Cambria"/>
                <w:i/>
                <w:sz w:val="18"/>
              </w:rPr>
            </w:pPr>
            <w:r>
              <w:rPr>
                <w:rFonts w:ascii="Cambria"/>
                <w:i/>
                <w:color w:val="231F20"/>
                <w:w w:val="105"/>
                <w:sz w:val="18"/>
              </w:rPr>
              <w:t>Impacto en la truticultura</w:t>
            </w:r>
          </w:p>
        </w:tc>
        <w:tc>
          <w:tcPr>
            <w:tcW w:w="2635" w:type="dxa"/>
            <w:tcBorders>
              <w:right w:val="nil"/>
            </w:tcBorders>
          </w:tcPr>
          <w:p>
            <w:pPr>
              <w:pStyle w:val="TableParagraph"/>
              <w:spacing w:before="79"/>
              <w:ind w:left="866" w:right="644"/>
              <w:rPr>
                <w:rFonts w:ascii="Cambria" w:hAnsi="Cambria"/>
                <w:i/>
                <w:sz w:val="18"/>
              </w:rPr>
            </w:pPr>
            <w:r>
              <w:rPr>
                <w:rFonts w:ascii="Cambria" w:hAnsi="Cambria"/>
                <w:i/>
                <w:color w:val="231F20"/>
                <w:w w:val="105"/>
                <w:sz w:val="18"/>
              </w:rPr>
              <w:t>Producción</w:t>
            </w:r>
          </w:p>
        </w:tc>
      </w:tr>
      <w:tr>
        <w:trPr>
          <w:trHeight w:val="794" w:hRule="exact"/>
        </w:trPr>
        <w:tc>
          <w:tcPr>
            <w:tcW w:w="1474" w:type="dxa"/>
            <w:vMerge w:val="restart"/>
            <w:tcBorders>
              <w:left w:val="nil"/>
            </w:tcBorders>
          </w:tcPr>
          <w:p>
            <w:pPr>
              <w:pStyle w:val="TableParagraph"/>
              <w:spacing w:line="254" w:lineRule="auto"/>
              <w:ind w:left="113" w:right="239"/>
              <w:rPr>
                <w:sz w:val="17"/>
              </w:rPr>
            </w:pPr>
            <w:r>
              <w:rPr>
                <w:color w:val="231F20"/>
                <w:w w:val="95"/>
                <w:sz w:val="17"/>
              </w:rPr>
              <w:t>Piscicultura </w:t>
            </w:r>
            <w:r>
              <w:rPr>
                <w:color w:val="231F20"/>
                <w:sz w:val="17"/>
              </w:rPr>
              <w:t>agrícola</w:t>
            </w:r>
          </w:p>
        </w:tc>
        <w:tc>
          <w:tcPr>
            <w:tcW w:w="2268" w:type="dxa"/>
          </w:tcPr>
          <w:p>
            <w:pPr>
              <w:pStyle w:val="TableParagraph"/>
              <w:spacing w:line="254" w:lineRule="auto"/>
              <w:ind w:left="108" w:right="42"/>
              <w:rPr>
                <w:sz w:val="17"/>
              </w:rPr>
            </w:pPr>
            <w:r>
              <w:rPr>
                <w:color w:val="231F20"/>
                <w:sz w:val="17"/>
              </w:rPr>
              <w:t>Se aprueba la acuicultura como actividad</w:t>
            </w:r>
          </w:p>
        </w:tc>
        <w:tc>
          <w:tcPr>
            <w:tcW w:w="2410" w:type="dxa"/>
          </w:tcPr>
          <w:p>
            <w:pPr>
              <w:pStyle w:val="TableParagraph"/>
              <w:spacing w:line="254" w:lineRule="auto"/>
              <w:ind w:left="108" w:right="587"/>
              <w:rPr>
                <w:sz w:val="17"/>
              </w:rPr>
            </w:pPr>
            <w:r>
              <w:rPr>
                <w:color w:val="231F20"/>
                <w:sz w:val="17"/>
              </w:rPr>
              <w:t>Inicio de la acuicultura en México</w:t>
            </w:r>
          </w:p>
        </w:tc>
        <w:tc>
          <w:tcPr>
            <w:tcW w:w="2635" w:type="dxa"/>
            <w:tcBorders>
              <w:right w:val="nil"/>
            </w:tcBorders>
          </w:tcPr>
          <w:p>
            <w:pPr>
              <w:pStyle w:val="TableParagraph"/>
              <w:spacing w:line="259" w:lineRule="auto"/>
              <w:ind w:left="108" w:right="644"/>
              <w:rPr>
                <w:sz w:val="17"/>
              </w:rPr>
            </w:pPr>
            <w:r>
              <w:rPr>
                <w:color w:val="231F20"/>
                <w:sz w:val="17"/>
              </w:rPr>
              <w:t>Publicación del libro </w:t>
            </w:r>
            <w:r>
              <w:rPr>
                <w:rFonts w:ascii="Cambria" w:hAnsi="Cambria"/>
                <w:i/>
                <w:color w:val="231F20"/>
                <w:sz w:val="17"/>
              </w:rPr>
              <w:t>Piscicultura de agua dulce </w:t>
            </w:r>
            <w:r>
              <w:rPr>
                <w:color w:val="231F20"/>
                <w:sz w:val="17"/>
              </w:rPr>
              <w:t>por Esteban Cházari</w:t>
            </w:r>
          </w:p>
        </w:tc>
      </w:tr>
      <w:tr>
        <w:trPr>
          <w:trHeight w:val="574" w:hRule="exact"/>
        </w:trPr>
        <w:tc>
          <w:tcPr>
            <w:tcW w:w="1474" w:type="dxa"/>
            <w:vMerge/>
            <w:tcBorders>
              <w:left w:val="nil"/>
            </w:tcBorders>
          </w:tcPr>
          <w:p>
            <w:pPr/>
          </w:p>
        </w:tc>
        <w:tc>
          <w:tcPr>
            <w:tcW w:w="2268" w:type="dxa"/>
          </w:tcPr>
          <w:p>
            <w:pPr>
              <w:pStyle w:val="TableParagraph"/>
              <w:spacing w:line="254" w:lineRule="auto"/>
              <w:ind w:left="108" w:right="42"/>
              <w:rPr>
                <w:sz w:val="17"/>
              </w:rPr>
            </w:pPr>
            <w:r>
              <w:rPr>
                <w:color w:val="231F20"/>
                <w:sz w:val="17"/>
              </w:rPr>
              <w:t>Construcción de las primeras estaciones piscícolas</w:t>
            </w:r>
          </w:p>
        </w:tc>
        <w:tc>
          <w:tcPr>
            <w:tcW w:w="2410" w:type="dxa"/>
          </w:tcPr>
          <w:p>
            <w:pPr>
              <w:pStyle w:val="TableParagraph"/>
              <w:ind w:left="108"/>
              <w:rPr>
                <w:sz w:val="17"/>
              </w:rPr>
            </w:pPr>
            <w:r>
              <w:rPr>
                <w:color w:val="231F20"/>
                <w:sz w:val="17"/>
              </w:rPr>
              <w:t>Primeras siembras</w:t>
            </w:r>
          </w:p>
        </w:tc>
        <w:tc>
          <w:tcPr>
            <w:tcW w:w="2635" w:type="dxa"/>
            <w:tcBorders>
              <w:right w:val="nil"/>
            </w:tcBorders>
          </w:tcPr>
          <w:p>
            <w:pPr>
              <w:pStyle w:val="TableParagraph"/>
              <w:spacing w:line="254" w:lineRule="auto"/>
              <w:ind w:left="108" w:right="1297"/>
              <w:rPr>
                <w:sz w:val="17"/>
              </w:rPr>
            </w:pPr>
            <w:r>
              <w:rPr>
                <w:color w:val="231F20"/>
                <w:w w:val="105"/>
                <w:sz w:val="17"/>
              </w:rPr>
              <w:t>500000 huevos </w:t>
            </w:r>
            <w:r>
              <w:rPr>
                <w:color w:val="231F20"/>
                <w:sz w:val="17"/>
              </w:rPr>
              <w:t>de trucha arcoíris</w:t>
            </w:r>
          </w:p>
        </w:tc>
      </w:tr>
      <w:tr>
        <w:trPr>
          <w:trHeight w:val="574" w:hRule="exact"/>
        </w:trPr>
        <w:tc>
          <w:tcPr>
            <w:tcW w:w="1474" w:type="dxa"/>
            <w:vMerge/>
            <w:tcBorders>
              <w:left w:val="nil"/>
            </w:tcBorders>
          </w:tcPr>
          <w:p>
            <w:pPr/>
          </w:p>
        </w:tc>
        <w:tc>
          <w:tcPr>
            <w:tcW w:w="2268" w:type="dxa"/>
          </w:tcPr>
          <w:p>
            <w:pPr>
              <w:pStyle w:val="TableParagraph"/>
              <w:spacing w:line="254" w:lineRule="auto"/>
              <w:ind w:left="108" w:right="42"/>
              <w:rPr>
                <w:sz w:val="17"/>
              </w:rPr>
            </w:pPr>
            <w:r>
              <w:rPr>
                <w:color w:val="231F20"/>
                <w:sz w:val="17"/>
              </w:rPr>
              <w:t>Construcción de obras hidráulicas</w:t>
            </w:r>
          </w:p>
        </w:tc>
        <w:tc>
          <w:tcPr>
            <w:tcW w:w="2410" w:type="dxa"/>
          </w:tcPr>
          <w:p>
            <w:pPr>
              <w:pStyle w:val="TableParagraph"/>
              <w:ind w:left="108"/>
              <w:rPr>
                <w:sz w:val="17"/>
              </w:rPr>
            </w:pPr>
            <w:r>
              <w:rPr>
                <w:color w:val="231F20"/>
                <w:w w:val="105"/>
                <w:sz w:val="17"/>
              </w:rPr>
              <w:t>Repoblamiento de embalses</w:t>
            </w:r>
          </w:p>
        </w:tc>
        <w:tc>
          <w:tcPr>
            <w:tcW w:w="2635" w:type="dxa"/>
            <w:tcBorders>
              <w:right w:val="nil"/>
            </w:tcBorders>
          </w:tcPr>
          <w:p>
            <w:pPr>
              <w:pStyle w:val="TableParagraph"/>
              <w:ind w:left="108" w:right="644"/>
              <w:rPr>
                <w:sz w:val="17"/>
              </w:rPr>
            </w:pPr>
            <w:r>
              <w:rPr>
                <w:color w:val="231F20"/>
                <w:sz w:val="17"/>
              </w:rPr>
              <w:t>Sin datos</w:t>
            </w:r>
          </w:p>
        </w:tc>
      </w:tr>
      <w:tr>
        <w:trPr>
          <w:trHeight w:val="574" w:hRule="exact"/>
        </w:trPr>
        <w:tc>
          <w:tcPr>
            <w:tcW w:w="1474" w:type="dxa"/>
            <w:vMerge/>
            <w:tcBorders>
              <w:left w:val="nil"/>
            </w:tcBorders>
          </w:tcPr>
          <w:p>
            <w:pPr/>
          </w:p>
        </w:tc>
        <w:tc>
          <w:tcPr>
            <w:tcW w:w="2268" w:type="dxa"/>
          </w:tcPr>
          <w:p>
            <w:pPr>
              <w:pStyle w:val="TableParagraph"/>
              <w:spacing w:line="254" w:lineRule="auto"/>
              <w:ind w:left="108" w:right="42"/>
              <w:rPr>
                <w:sz w:val="17"/>
              </w:rPr>
            </w:pPr>
            <w:r>
              <w:rPr>
                <w:color w:val="231F20"/>
                <w:sz w:val="17"/>
              </w:rPr>
              <w:t>Construcción de la estación acuícola “El Zarco”</w:t>
            </w:r>
          </w:p>
        </w:tc>
        <w:tc>
          <w:tcPr>
            <w:tcW w:w="2410" w:type="dxa"/>
          </w:tcPr>
          <w:p>
            <w:pPr>
              <w:pStyle w:val="TableParagraph"/>
              <w:ind w:left="108"/>
              <w:rPr>
                <w:sz w:val="17"/>
              </w:rPr>
            </w:pPr>
            <w:r>
              <w:rPr>
                <w:color w:val="231F20"/>
                <w:w w:val="105"/>
                <w:sz w:val="17"/>
              </w:rPr>
              <w:t>Repoblamiento de embalses</w:t>
            </w:r>
          </w:p>
        </w:tc>
        <w:tc>
          <w:tcPr>
            <w:tcW w:w="2635" w:type="dxa"/>
            <w:tcBorders>
              <w:right w:val="nil"/>
            </w:tcBorders>
          </w:tcPr>
          <w:p>
            <w:pPr>
              <w:pStyle w:val="TableParagraph"/>
              <w:spacing w:line="254" w:lineRule="auto"/>
              <w:ind w:left="108" w:right="92"/>
              <w:rPr>
                <w:sz w:val="17"/>
              </w:rPr>
            </w:pPr>
            <w:r>
              <w:rPr>
                <w:color w:val="231F20"/>
                <w:w w:val="105"/>
                <w:sz w:val="17"/>
              </w:rPr>
              <w:t>En 1983-1987 se producen más de 23 millones de crías</w:t>
            </w:r>
          </w:p>
        </w:tc>
      </w:tr>
      <w:tr>
        <w:trPr>
          <w:trHeight w:val="794" w:hRule="exact"/>
        </w:trPr>
        <w:tc>
          <w:tcPr>
            <w:tcW w:w="1474" w:type="dxa"/>
            <w:vMerge w:val="restart"/>
            <w:tcBorders>
              <w:left w:val="nil"/>
            </w:tcBorders>
          </w:tcPr>
          <w:p>
            <w:pPr>
              <w:pStyle w:val="TableParagraph"/>
              <w:spacing w:line="254" w:lineRule="auto"/>
              <w:ind w:left="113" w:right="239"/>
              <w:rPr>
                <w:sz w:val="17"/>
              </w:rPr>
            </w:pPr>
            <w:r>
              <w:rPr>
                <w:color w:val="231F20"/>
                <w:sz w:val="17"/>
              </w:rPr>
              <w:t>Establecimiento y  fomento  de </w:t>
            </w:r>
            <w:r>
              <w:rPr>
                <w:color w:val="231F20"/>
                <w:w w:val="95"/>
                <w:sz w:val="17"/>
              </w:rPr>
              <w:t>la truticultura</w:t>
            </w:r>
          </w:p>
        </w:tc>
        <w:tc>
          <w:tcPr>
            <w:tcW w:w="2268" w:type="dxa"/>
          </w:tcPr>
          <w:p>
            <w:pPr>
              <w:pStyle w:val="TableParagraph"/>
              <w:spacing w:line="254" w:lineRule="auto"/>
              <w:ind w:left="108" w:right="124"/>
              <w:rPr>
                <w:sz w:val="17"/>
              </w:rPr>
            </w:pPr>
            <w:r>
              <w:rPr>
                <w:color w:val="231F20"/>
                <w:sz w:val="17"/>
              </w:rPr>
              <w:t>Creación del Fideicomiso para el Desarrollo de la Flora y Fauna Acuáticas</w:t>
            </w:r>
          </w:p>
        </w:tc>
        <w:tc>
          <w:tcPr>
            <w:tcW w:w="2410" w:type="dxa"/>
          </w:tcPr>
          <w:p>
            <w:pPr>
              <w:pStyle w:val="TableParagraph"/>
              <w:spacing w:line="254" w:lineRule="auto"/>
              <w:ind w:left="108"/>
              <w:rPr>
                <w:sz w:val="17"/>
              </w:rPr>
            </w:pPr>
            <w:r>
              <w:rPr>
                <w:color w:val="231F20"/>
                <w:sz w:val="17"/>
              </w:rPr>
              <w:t>Establecimiento de las tres primeras granjas</w:t>
            </w:r>
          </w:p>
        </w:tc>
        <w:tc>
          <w:tcPr>
            <w:tcW w:w="2635" w:type="dxa"/>
            <w:tcBorders>
              <w:right w:val="nil"/>
            </w:tcBorders>
          </w:tcPr>
          <w:p>
            <w:pPr>
              <w:pStyle w:val="TableParagraph"/>
              <w:spacing w:line="254" w:lineRule="auto"/>
              <w:ind w:left="108" w:right="479"/>
              <w:rPr>
                <w:sz w:val="17"/>
              </w:rPr>
            </w:pPr>
            <w:r>
              <w:rPr>
                <w:color w:val="231F20"/>
                <w:w w:val="105"/>
                <w:sz w:val="17"/>
              </w:rPr>
              <w:t>Se producen 84 toneladas de trucha en 1984</w:t>
            </w:r>
          </w:p>
        </w:tc>
      </w:tr>
      <w:tr>
        <w:trPr>
          <w:trHeight w:val="794" w:hRule="exact"/>
        </w:trPr>
        <w:tc>
          <w:tcPr>
            <w:tcW w:w="1474" w:type="dxa"/>
            <w:vMerge/>
            <w:tcBorders>
              <w:left w:val="nil"/>
            </w:tcBorders>
          </w:tcPr>
          <w:p>
            <w:pPr/>
          </w:p>
        </w:tc>
        <w:tc>
          <w:tcPr>
            <w:tcW w:w="2268" w:type="dxa"/>
          </w:tcPr>
          <w:p>
            <w:pPr>
              <w:pStyle w:val="TableParagraph"/>
              <w:spacing w:line="254" w:lineRule="auto"/>
              <w:ind w:left="108" w:right="42"/>
              <w:rPr>
                <w:sz w:val="17"/>
              </w:rPr>
            </w:pPr>
            <w:r>
              <w:rPr>
                <w:color w:val="231F20"/>
                <w:sz w:val="17"/>
              </w:rPr>
              <w:t>Se crea la Protectora e Industrializados de Bosques del Estado de  México</w:t>
            </w:r>
          </w:p>
        </w:tc>
        <w:tc>
          <w:tcPr>
            <w:tcW w:w="2410" w:type="dxa"/>
          </w:tcPr>
          <w:p>
            <w:pPr>
              <w:pStyle w:val="TableParagraph"/>
              <w:ind w:left="108"/>
              <w:rPr>
                <w:sz w:val="17"/>
              </w:rPr>
            </w:pPr>
            <w:r>
              <w:rPr>
                <w:color w:val="231F20"/>
                <w:sz w:val="17"/>
              </w:rPr>
              <w:t>Se  establecen  granjas en</w:t>
            </w:r>
          </w:p>
          <w:p>
            <w:pPr>
              <w:pStyle w:val="TableParagraph"/>
              <w:spacing w:line="254" w:lineRule="auto" w:before="12"/>
              <w:ind w:left="108" w:right="305"/>
              <w:rPr>
                <w:sz w:val="17"/>
              </w:rPr>
            </w:pPr>
            <w:r>
              <w:rPr>
                <w:color w:val="231F20"/>
                <w:sz w:val="17"/>
              </w:rPr>
              <w:t>la región de Amanalco-Valle de Bravo</w:t>
            </w:r>
          </w:p>
        </w:tc>
        <w:tc>
          <w:tcPr>
            <w:tcW w:w="2635" w:type="dxa"/>
            <w:tcBorders>
              <w:right w:val="nil"/>
            </w:tcBorders>
          </w:tcPr>
          <w:p>
            <w:pPr>
              <w:pStyle w:val="TableParagraph"/>
              <w:spacing w:line="254" w:lineRule="auto"/>
              <w:ind w:left="108" w:right="713"/>
              <w:rPr>
                <w:sz w:val="17"/>
              </w:rPr>
            </w:pPr>
            <w:r>
              <w:rPr>
                <w:color w:val="231F20"/>
                <w:w w:val="105"/>
                <w:sz w:val="17"/>
              </w:rPr>
              <w:t>La producción supera las 1000 toneladas en  1993</w:t>
            </w:r>
          </w:p>
        </w:tc>
      </w:tr>
      <w:tr>
        <w:trPr>
          <w:trHeight w:val="794" w:hRule="exact"/>
        </w:trPr>
        <w:tc>
          <w:tcPr>
            <w:tcW w:w="1474" w:type="dxa"/>
            <w:vMerge/>
            <w:tcBorders>
              <w:left w:val="nil"/>
            </w:tcBorders>
          </w:tcPr>
          <w:p>
            <w:pPr/>
          </w:p>
        </w:tc>
        <w:tc>
          <w:tcPr>
            <w:tcW w:w="2268" w:type="dxa"/>
          </w:tcPr>
          <w:p>
            <w:pPr>
              <w:pStyle w:val="TableParagraph"/>
              <w:spacing w:line="254" w:lineRule="auto"/>
              <w:ind w:left="108" w:right="585"/>
              <w:rPr>
                <w:sz w:val="17"/>
              </w:rPr>
            </w:pPr>
            <w:r>
              <w:rPr>
                <w:color w:val="231F20"/>
                <w:sz w:val="17"/>
              </w:rPr>
              <w:t>SEMARNAT   impulsa el manejo sustentable</w:t>
            </w:r>
          </w:p>
          <w:p>
            <w:pPr>
              <w:pStyle w:val="TableParagraph"/>
              <w:spacing w:before="0"/>
              <w:ind w:left="108" w:right="42"/>
              <w:rPr>
                <w:sz w:val="17"/>
              </w:rPr>
            </w:pPr>
            <w:r>
              <w:rPr>
                <w:color w:val="231F20"/>
                <w:sz w:val="17"/>
              </w:rPr>
              <w:t>de los recursos naturales</w:t>
            </w:r>
          </w:p>
        </w:tc>
        <w:tc>
          <w:tcPr>
            <w:tcW w:w="2410" w:type="dxa"/>
          </w:tcPr>
          <w:p>
            <w:pPr>
              <w:pStyle w:val="TableParagraph"/>
              <w:spacing w:line="254" w:lineRule="auto"/>
              <w:ind w:left="108" w:right="393"/>
              <w:rPr>
                <w:sz w:val="17"/>
              </w:rPr>
            </w:pPr>
            <w:r>
              <w:rPr>
                <w:color w:val="231F20"/>
                <w:sz w:val="17"/>
              </w:rPr>
              <w:t>Inician actividad las granjas en la zona norte</w:t>
            </w:r>
          </w:p>
          <w:p>
            <w:pPr>
              <w:pStyle w:val="TableParagraph"/>
              <w:spacing w:before="0"/>
              <w:ind w:left="108"/>
              <w:rPr>
                <w:sz w:val="17"/>
              </w:rPr>
            </w:pPr>
            <w:r>
              <w:rPr>
                <w:color w:val="231F20"/>
                <w:sz w:val="17"/>
              </w:rPr>
              <w:t>del Estado de  México</w:t>
            </w:r>
          </w:p>
        </w:tc>
        <w:tc>
          <w:tcPr>
            <w:tcW w:w="2635" w:type="dxa"/>
            <w:tcBorders>
              <w:right w:val="nil"/>
            </w:tcBorders>
          </w:tcPr>
          <w:p>
            <w:pPr>
              <w:pStyle w:val="TableParagraph"/>
              <w:spacing w:line="254" w:lineRule="auto"/>
              <w:ind w:left="108" w:right="312"/>
              <w:rPr>
                <w:sz w:val="17"/>
              </w:rPr>
            </w:pPr>
            <w:r>
              <w:rPr>
                <w:color w:val="231F20"/>
                <w:w w:val="105"/>
                <w:sz w:val="17"/>
              </w:rPr>
              <w:t>Se superan las 2000 toneladas de producción</w:t>
            </w:r>
          </w:p>
        </w:tc>
      </w:tr>
      <w:tr>
        <w:trPr>
          <w:trHeight w:val="794" w:hRule="exact"/>
        </w:trPr>
        <w:tc>
          <w:tcPr>
            <w:tcW w:w="1474" w:type="dxa"/>
            <w:tcBorders>
              <w:left w:val="nil"/>
            </w:tcBorders>
          </w:tcPr>
          <w:p>
            <w:pPr>
              <w:pStyle w:val="TableParagraph"/>
              <w:spacing w:line="254" w:lineRule="auto"/>
              <w:ind w:left="113" w:right="339"/>
              <w:rPr>
                <w:sz w:val="17"/>
              </w:rPr>
            </w:pPr>
            <w:r>
              <w:rPr>
                <w:color w:val="231F20"/>
                <w:sz w:val="17"/>
              </w:rPr>
              <w:t>Consolidación de la actividad</w:t>
            </w:r>
          </w:p>
        </w:tc>
        <w:tc>
          <w:tcPr>
            <w:tcW w:w="2268" w:type="dxa"/>
          </w:tcPr>
          <w:p>
            <w:pPr>
              <w:pStyle w:val="TableParagraph"/>
              <w:spacing w:line="254" w:lineRule="auto"/>
              <w:ind w:left="108" w:right="585"/>
              <w:rPr>
                <w:sz w:val="17"/>
              </w:rPr>
            </w:pPr>
            <w:r>
              <w:rPr>
                <w:color w:val="231F20"/>
                <w:sz w:val="17"/>
              </w:rPr>
              <w:t>Ordenamiento de la actividad acuícola</w:t>
            </w:r>
          </w:p>
        </w:tc>
        <w:tc>
          <w:tcPr>
            <w:tcW w:w="2410" w:type="dxa"/>
          </w:tcPr>
          <w:p>
            <w:pPr>
              <w:pStyle w:val="TableParagraph"/>
              <w:spacing w:line="254" w:lineRule="auto"/>
              <w:ind w:left="108" w:right="305"/>
              <w:rPr>
                <w:sz w:val="17"/>
              </w:rPr>
            </w:pPr>
            <w:r>
              <w:rPr>
                <w:color w:val="231F20"/>
                <w:sz w:val="17"/>
              </w:rPr>
              <w:t>Comité de Sanidad Acuícola y Sistema Producto Trucha Mexiquense A.C.</w:t>
            </w:r>
          </w:p>
        </w:tc>
        <w:tc>
          <w:tcPr>
            <w:tcW w:w="2635" w:type="dxa"/>
            <w:tcBorders>
              <w:right w:val="nil"/>
            </w:tcBorders>
          </w:tcPr>
          <w:p>
            <w:pPr>
              <w:pStyle w:val="TableParagraph"/>
              <w:spacing w:line="254" w:lineRule="auto"/>
              <w:ind w:left="108" w:right="92"/>
              <w:rPr>
                <w:sz w:val="17"/>
              </w:rPr>
            </w:pPr>
            <w:r>
              <w:rPr>
                <w:color w:val="231F20"/>
                <w:sz w:val="17"/>
              </w:rPr>
              <w:t>Durante este periodo se superan las  3000 toneladas</w:t>
            </w:r>
          </w:p>
        </w:tc>
      </w:tr>
    </w:tbl>
    <w:p>
      <w:pPr>
        <w:pStyle w:val="BodyText"/>
      </w:pPr>
    </w:p>
    <w:p>
      <w:pPr>
        <w:pStyle w:val="BodyText"/>
      </w:pPr>
    </w:p>
    <w:p>
      <w:pPr>
        <w:spacing w:after="0"/>
        <w:sectPr>
          <w:pgSz w:w="11900" w:h="14450"/>
          <w:pgMar w:header="0" w:footer="222" w:top="420" w:bottom="420" w:left="0" w:right="0"/>
        </w:sectPr>
      </w:pPr>
    </w:p>
    <w:p>
      <w:pPr>
        <w:pStyle w:val="BodyText"/>
        <w:spacing w:before="7"/>
        <w:rPr>
          <w:sz w:val="19"/>
        </w:rPr>
      </w:pPr>
    </w:p>
    <w:p>
      <w:pPr>
        <w:pStyle w:val="BodyText"/>
        <w:spacing w:line="256" w:lineRule="auto"/>
        <w:ind w:left="1553"/>
        <w:jc w:val="both"/>
      </w:pPr>
      <w:r>
        <w:rPr>
          <w:color w:val="231F20"/>
          <w:w w:val="105"/>
        </w:rPr>
        <w:t>La función de “El Zarco” y otros centros acuíco- las fue producir crías de trucha, carpa y lobina para realizar siembras en bordos y lagunas (Ca- sas y Dettmer, </w:t>
      </w:r>
      <w:r>
        <w:rPr>
          <w:color w:val="231F20"/>
          <w:spacing w:val="-3"/>
          <w:w w:val="105"/>
        </w:rPr>
        <w:t>2007), </w:t>
      </w:r>
      <w:r>
        <w:rPr>
          <w:color w:val="231F20"/>
          <w:w w:val="105"/>
        </w:rPr>
        <w:t>con la finalidad de proveer alimento de calidad para el pueblo, según cita el presidente</w:t>
      </w:r>
      <w:r>
        <w:rPr>
          <w:color w:val="231F20"/>
          <w:spacing w:val="-28"/>
          <w:w w:val="105"/>
        </w:rPr>
        <w:t> </w:t>
      </w:r>
      <w:r>
        <w:rPr>
          <w:color w:val="231F20"/>
          <w:w w:val="105"/>
        </w:rPr>
        <w:t>Francisco</w:t>
      </w:r>
      <w:r>
        <w:rPr>
          <w:color w:val="231F20"/>
          <w:spacing w:val="-29"/>
          <w:w w:val="105"/>
        </w:rPr>
        <w:t> </w:t>
      </w:r>
      <w:r>
        <w:rPr>
          <w:color w:val="231F20"/>
          <w:w w:val="105"/>
        </w:rPr>
        <w:t>I.</w:t>
      </w:r>
      <w:r>
        <w:rPr>
          <w:color w:val="231F20"/>
          <w:spacing w:val="-28"/>
          <w:w w:val="105"/>
        </w:rPr>
        <w:t> </w:t>
      </w:r>
      <w:r>
        <w:rPr>
          <w:color w:val="231F20"/>
          <w:w w:val="105"/>
        </w:rPr>
        <w:t>Madero:</w:t>
      </w:r>
      <w:r>
        <w:rPr>
          <w:color w:val="231F20"/>
          <w:spacing w:val="-28"/>
          <w:w w:val="105"/>
        </w:rPr>
        <w:t> </w:t>
      </w:r>
      <w:r>
        <w:rPr>
          <w:color w:val="231F20"/>
          <w:w w:val="105"/>
        </w:rPr>
        <w:t>«El</w:t>
      </w:r>
      <w:r>
        <w:rPr>
          <w:color w:val="231F20"/>
          <w:spacing w:val="-28"/>
          <w:w w:val="105"/>
        </w:rPr>
        <w:t> </w:t>
      </w:r>
      <w:r>
        <w:rPr>
          <w:color w:val="231F20"/>
          <w:w w:val="105"/>
        </w:rPr>
        <w:t>gobierno</w:t>
      </w:r>
      <w:r>
        <w:rPr>
          <w:color w:val="231F20"/>
          <w:spacing w:val="-28"/>
          <w:w w:val="105"/>
        </w:rPr>
        <w:t> </w:t>
      </w:r>
      <w:r>
        <w:rPr>
          <w:color w:val="231F20"/>
          <w:w w:val="105"/>
        </w:rPr>
        <w:t>espe-</w:t>
      </w:r>
      <w:r>
        <w:rPr>
          <w:color w:val="231F20"/>
          <w:w w:val="95"/>
        </w:rPr>
        <w:t> </w:t>
      </w:r>
      <w:r>
        <w:rPr>
          <w:color w:val="231F20"/>
          <w:w w:val="105"/>
        </w:rPr>
        <w:t>ra tener en la explotación de la pesca la base de la alimentación del pueblo» (Cifuentes-Lemus y Cupul-Magaña,</w:t>
      </w:r>
      <w:r>
        <w:rPr>
          <w:color w:val="231F20"/>
          <w:spacing w:val="-6"/>
          <w:w w:val="105"/>
        </w:rPr>
        <w:t> </w:t>
      </w:r>
      <w:r>
        <w:rPr>
          <w:color w:val="231F20"/>
          <w:w w:val="105"/>
        </w:rPr>
        <w:t>2002).</w:t>
      </w:r>
    </w:p>
    <w:p>
      <w:pPr>
        <w:pStyle w:val="BodyText"/>
        <w:spacing w:line="256" w:lineRule="auto" w:before="113"/>
        <w:ind w:left="1553"/>
        <w:jc w:val="both"/>
      </w:pPr>
      <w:r>
        <w:rPr>
          <w:color w:val="231F20"/>
        </w:rPr>
        <w:t>Así pues, la acuicultura en el país surgió como una actividad complementaria a la agricultura y la ga- nadería con la finalidad de mejorar las condicio- nes de  vida  de  la  población  rural  (Rojas-Carrillo y   Fernández-Méndez,   2006).   El   Banco Nacional</w:t>
      </w:r>
    </w:p>
    <w:p>
      <w:pPr>
        <w:pStyle w:val="BodyText"/>
        <w:spacing w:before="7"/>
        <w:rPr>
          <w:sz w:val="19"/>
        </w:rPr>
      </w:pPr>
      <w:r>
        <w:rPr/>
        <w:br w:type="column"/>
      </w:r>
      <w:r>
        <w:rPr>
          <w:sz w:val="19"/>
        </w:rPr>
      </w:r>
    </w:p>
    <w:p>
      <w:pPr>
        <w:pStyle w:val="BodyText"/>
        <w:spacing w:line="256" w:lineRule="auto"/>
        <w:ind w:left="413" w:right="1551"/>
        <w:jc w:val="both"/>
      </w:pPr>
      <w:r>
        <w:rPr>
          <w:color w:val="231F20"/>
        </w:rPr>
        <w:t>de Crédito Ejidal fue el principal impulsor de la Campaña Nacional de Piscicultura Agrícola, cuyo objetivo era «obtener carne de pescado en bordos dedicados a otros usos» (Banco Nacional de Cré- dito  Ejidal, 1966).</w:t>
      </w:r>
    </w:p>
    <w:p>
      <w:pPr>
        <w:pStyle w:val="BodyText"/>
        <w:spacing w:line="256" w:lineRule="auto" w:before="113"/>
        <w:ind w:left="413" w:right="1551"/>
        <w:jc w:val="both"/>
      </w:pPr>
      <w:r>
        <w:rPr>
          <w:color w:val="231F20"/>
        </w:rPr>
        <w:t>Retomando los registros que permitieron estable- cer las bases de la acuicultura mexicana, con la pu- blicación del libro de Cházari se inicia en México la acuicultura institucional y consecuentemente una dependencia total de los apoyos gubernamentales vigentes para el desarrollo de la actividad. La in- tervención por parte del gobierno como principal promotor de la acuicultura no es una</w:t>
      </w:r>
      <w:r>
        <w:rPr>
          <w:color w:val="231F20"/>
          <w:spacing w:val="-23"/>
        </w:rPr>
        <w:t> </w:t>
      </w:r>
      <w:r>
        <w:rPr>
          <w:color w:val="231F20"/>
        </w:rPr>
        <w:t>particularidad de</w:t>
      </w:r>
      <w:r>
        <w:rPr>
          <w:color w:val="231F20"/>
          <w:spacing w:val="20"/>
        </w:rPr>
        <w:t> </w:t>
      </w:r>
      <w:r>
        <w:rPr>
          <w:color w:val="231F20"/>
        </w:rPr>
        <w:t>México;</w:t>
      </w:r>
      <w:r>
        <w:rPr>
          <w:color w:val="231F20"/>
          <w:spacing w:val="20"/>
        </w:rPr>
        <w:t> </w:t>
      </w:r>
      <w:r>
        <w:rPr>
          <w:color w:val="231F20"/>
        </w:rPr>
        <w:t>más</w:t>
      </w:r>
      <w:r>
        <w:rPr>
          <w:color w:val="231F20"/>
          <w:spacing w:val="20"/>
        </w:rPr>
        <w:t> </w:t>
      </w:r>
      <w:r>
        <w:rPr>
          <w:color w:val="231F20"/>
        </w:rPr>
        <w:t>bien</w:t>
      </w:r>
      <w:r>
        <w:rPr>
          <w:color w:val="231F20"/>
          <w:spacing w:val="20"/>
        </w:rPr>
        <w:t> </w:t>
      </w:r>
      <w:r>
        <w:rPr>
          <w:color w:val="231F20"/>
        </w:rPr>
        <w:t>es</w:t>
      </w:r>
      <w:r>
        <w:rPr>
          <w:color w:val="231F20"/>
          <w:spacing w:val="20"/>
        </w:rPr>
        <w:t> </w:t>
      </w:r>
      <w:r>
        <w:rPr>
          <w:color w:val="231F20"/>
        </w:rPr>
        <w:t>una</w:t>
      </w:r>
      <w:r>
        <w:rPr>
          <w:color w:val="231F20"/>
          <w:spacing w:val="20"/>
        </w:rPr>
        <w:t> </w:t>
      </w:r>
      <w:r>
        <w:rPr>
          <w:color w:val="231F20"/>
        </w:rPr>
        <w:t>constante</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paí-</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spacing w:val="-4"/>
          <w:w w:val="130"/>
          <w:sz w:val="22"/>
        </w:rPr>
        <w:t>250</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1" w:lineRule="auto" w:before="67"/>
        <w:ind w:left="1553"/>
        <w:jc w:val="both"/>
      </w:pPr>
      <w:r>
        <w:rPr>
          <w:color w:val="231F20"/>
        </w:rPr>
        <w:t>ses en desarrollo (Varadi, </w:t>
      </w:r>
      <w:r>
        <w:rPr>
          <w:color w:val="231F20"/>
          <w:spacing w:val="-3"/>
        </w:rPr>
        <w:t>2001; </w:t>
      </w:r>
      <w:r>
        <w:rPr>
          <w:color w:val="231F20"/>
        </w:rPr>
        <w:t>Rai </w:t>
      </w:r>
      <w:r>
        <w:rPr>
          <w:rFonts w:ascii="Cambria" w:hAnsi="Cambria"/>
          <w:i/>
          <w:color w:val="231F20"/>
        </w:rPr>
        <w:t>et al</w:t>
      </w:r>
      <w:r>
        <w:rPr>
          <w:color w:val="231F20"/>
        </w:rPr>
        <w:t>., 2005; Gurung, 2008) que han encontrado en la acui- cultura una alternativa de alimentación (Cifuentes- Lemus y Cupul-Magaña, 2002; Bozo</w:t>
      </w:r>
      <w:r>
        <w:rPr>
          <w:rFonts w:ascii="Arial" w:hAnsi="Arial"/>
          <w:color w:val="231F20"/>
        </w:rPr>
        <w:t>ğ</w:t>
      </w:r>
      <w:r>
        <w:rPr>
          <w:color w:val="231F20"/>
        </w:rPr>
        <w:t>lu </w:t>
      </w:r>
      <w:r>
        <w:rPr>
          <w:rFonts w:ascii="Cambria" w:hAnsi="Cambria"/>
          <w:i/>
          <w:color w:val="231F20"/>
        </w:rPr>
        <w:t>et  al</w:t>
      </w:r>
      <w:r>
        <w:rPr>
          <w:color w:val="231F20"/>
        </w:rPr>
        <w:t>.,  </w:t>
      </w:r>
      <w:r>
        <w:rPr>
          <w:color w:val="231F20"/>
          <w:spacing w:val="-3"/>
        </w:rPr>
        <w:t>2007) </w:t>
      </w:r>
      <w:r>
        <w:rPr>
          <w:color w:val="231F20"/>
        </w:rPr>
        <w:t>y mejora de los modos de vida en poblacio- nes con índices de marginación y pobreza (Sheriff </w:t>
      </w:r>
      <w:r>
        <w:rPr>
          <w:rFonts w:ascii="Cambria" w:hAnsi="Cambria"/>
          <w:i/>
          <w:color w:val="231F20"/>
        </w:rPr>
        <w:t>et  al</w:t>
      </w:r>
      <w:r>
        <w:rPr>
          <w:color w:val="231F20"/>
        </w:rPr>
        <w:t>.,</w:t>
      </w:r>
      <w:r>
        <w:rPr>
          <w:color w:val="231F20"/>
          <w:spacing w:val="21"/>
        </w:rPr>
        <w:t> </w:t>
      </w:r>
      <w:r>
        <w:rPr>
          <w:color w:val="231F20"/>
        </w:rPr>
        <w:t>2008).</w:t>
      </w:r>
    </w:p>
    <w:p>
      <w:pPr>
        <w:pStyle w:val="BodyText"/>
      </w:pPr>
    </w:p>
    <w:p>
      <w:pPr>
        <w:spacing w:before="153"/>
        <w:ind w:left="1553" w:right="0" w:firstLine="0"/>
        <w:jc w:val="both"/>
        <w:rPr>
          <w:rFonts w:ascii="Cambria"/>
          <w:i/>
          <w:sz w:val="20"/>
        </w:rPr>
      </w:pPr>
      <w:r>
        <w:rPr>
          <w:rFonts w:ascii="Cambria"/>
          <w:i/>
          <w:color w:val="231F20"/>
          <w:w w:val="105"/>
          <w:sz w:val="20"/>
        </w:rPr>
        <w:t>Establecimiento y fomento de la truticultura</w:t>
      </w:r>
    </w:p>
    <w:p>
      <w:pPr>
        <w:pStyle w:val="BodyText"/>
        <w:spacing w:line="261" w:lineRule="auto" w:before="145"/>
        <w:ind w:left="1553"/>
        <w:jc w:val="both"/>
      </w:pPr>
      <w:r>
        <w:rPr>
          <w:color w:val="231F20"/>
        </w:rPr>
        <w:t>Durante su desarrollo, la truticultura en el Estado de México ha pasado por dos etapas principales: en una primera instancia, el establecimiento y el fomento del cultivo de la trucha arcoíris, y luego    la consolidación de la actividad trutícola con fines empresariales (Fig. 1). La primera etapa </w:t>
      </w:r>
      <w:r>
        <w:rPr>
          <w:color w:val="231F20"/>
          <w:spacing w:val="-5"/>
        </w:rPr>
        <w:t>(1976- </w:t>
      </w:r>
      <w:r>
        <w:rPr>
          <w:color w:val="231F20"/>
        </w:rPr>
        <w:t>1995) se inicia con el establecimiento de unida- des de producción trutícola a partir del apoyo de dos programas de desarrollo: el primero de orden federal responsabilidad del Fideicomiso para el Desarrollo de la Flora y Fauna Acuáticas (FIDEFA) (Rojas-Carrillo y Fernández-Méndez, 2006), cuyo objetivo era acelerar la producción de animales acuáticos, especialmente en agua dulce (Idyll, </w:t>
      </w:r>
      <w:r>
        <w:rPr>
          <w:color w:val="231F20"/>
          <w:spacing w:val="-5"/>
        </w:rPr>
        <w:t>1974), </w:t>
      </w:r>
      <w:r>
        <w:rPr>
          <w:color w:val="231F20"/>
        </w:rPr>
        <w:t>y el segundo estatal a cargo de la Protec-  tora e Industrializadora de Bosques del Estado de México (PROTIMBOS), con la finalidad de detener  la tala clandestina en pequeña escala y el dete- rioro de los bosques por la agricultura, y ofrecer alternativas de desarrollo </w:t>
      </w:r>
      <w:r>
        <w:rPr>
          <w:color w:val="231F20"/>
          <w:spacing w:val="-3"/>
        </w:rPr>
        <w:t>(SEMARNAT, </w:t>
      </w:r>
      <w:r>
        <w:rPr>
          <w:color w:val="231F20"/>
        </w:rPr>
        <w:t>2002). La implementación de estos planes gubernamentales marcó todo un parteaguas en el nuevo paradigma productivo en el Estado de México, con el inicio   de la actividad comercial. A finales de </w:t>
      </w:r>
      <w:r>
        <w:rPr>
          <w:color w:val="231F20"/>
          <w:spacing w:val="-7"/>
        </w:rPr>
        <w:t>1970</w:t>
      </w:r>
      <w:r>
        <w:rPr>
          <w:color w:val="231F20"/>
          <w:spacing w:val="31"/>
        </w:rPr>
        <w:t> </w:t>
      </w:r>
      <w:r>
        <w:rPr>
          <w:color w:val="231F20"/>
        </w:rPr>
        <w:t>se construyeron las primeras granjas ubicadas en los municipios de Ocoyoacac, </w:t>
      </w:r>
      <w:r>
        <w:rPr>
          <w:color w:val="231F20"/>
          <w:spacing w:val="-3"/>
        </w:rPr>
        <w:t>Temoaya </w:t>
      </w:r>
      <w:r>
        <w:rPr>
          <w:color w:val="231F20"/>
        </w:rPr>
        <w:t>y Texcaltitlán, establecidas con apoyo del FIDEFA al interior de la Subsecretaría de Pesca. A partir de entonces, y por primera vez, se estableció un plan para la cons- trucción de granjas de producción intensiva con presupuesto federal (Rojas-Carrillo y Fernández- Méndez, </w:t>
      </w:r>
      <w:r>
        <w:rPr>
          <w:color w:val="231F20"/>
          <w:spacing w:val="34"/>
        </w:rPr>
        <w:t> </w:t>
      </w:r>
      <w:r>
        <w:rPr>
          <w:color w:val="231F20"/>
        </w:rPr>
        <w:t>2006).</w:t>
      </w:r>
    </w:p>
    <w:p>
      <w:pPr>
        <w:pStyle w:val="BodyText"/>
        <w:spacing w:line="256" w:lineRule="auto" w:before="67"/>
        <w:ind w:left="413" w:right="1551"/>
        <w:jc w:val="both"/>
      </w:pPr>
      <w:r>
        <w:rPr/>
        <w:br w:type="column"/>
      </w:r>
      <w:r>
        <w:rPr>
          <w:color w:val="231F20"/>
        </w:rPr>
        <w:t>En </w:t>
      </w:r>
      <w:r>
        <w:rPr>
          <w:color w:val="231F20"/>
          <w:spacing w:val="-7"/>
        </w:rPr>
        <w:t>1976 </w:t>
      </w:r>
      <w:r>
        <w:rPr>
          <w:color w:val="231F20"/>
        </w:rPr>
        <w:t>se creó la  Protectora  e  Industrializados de Bosques del Estado de México (PROTIMBOS), instancia que en principio tuvo como objetivo rea- lizar acciones de protección y fomento forestal y  de industrialización de madera. Sin embargo, den- tro de sus actividades también consideró acciones no específicas de la actividad forestal y se involu- cró en proyectos productivos diversos, como pro- gramas hortícolas, florícolas, acuícolas y apícolas, entre otros </w:t>
      </w:r>
      <w:r>
        <w:rPr>
          <w:color w:val="231F20"/>
          <w:spacing w:val="-3"/>
        </w:rPr>
        <w:t>(SEMARNAT,  </w:t>
      </w:r>
      <w:r>
        <w:rPr>
          <w:color w:val="231F20"/>
        </w:rPr>
        <w:t>2002).  Los  planes  para  la preservación de los bosques fueron fundamen- tales para el desarrollo de  la  actividad  trutícola. En </w:t>
      </w:r>
      <w:r>
        <w:rPr>
          <w:color w:val="231F20"/>
          <w:spacing w:val="-3"/>
        </w:rPr>
        <w:t>1989 </w:t>
      </w:r>
      <w:r>
        <w:rPr>
          <w:color w:val="231F20"/>
        </w:rPr>
        <w:t>se inició un programa para cambiar la actividad silvícola-agrícola por el cultivo de trucha, con la finalidad de detener la tala clandestina en pequeña escala y el deterioro de los bosques por   la</w:t>
      </w:r>
      <w:r>
        <w:rPr>
          <w:color w:val="231F20"/>
          <w:spacing w:val="-10"/>
        </w:rPr>
        <w:t> </w:t>
      </w:r>
      <w:r>
        <w:rPr>
          <w:color w:val="231F20"/>
        </w:rPr>
        <w:t>agricultura,</w:t>
      </w:r>
      <w:r>
        <w:rPr>
          <w:color w:val="231F20"/>
          <w:spacing w:val="-10"/>
        </w:rPr>
        <w:t> </w:t>
      </w:r>
      <w:r>
        <w:rPr>
          <w:color w:val="231F20"/>
        </w:rPr>
        <w:t>y</w:t>
      </w:r>
      <w:r>
        <w:rPr>
          <w:color w:val="231F20"/>
          <w:spacing w:val="-10"/>
        </w:rPr>
        <w:t> </w:t>
      </w:r>
      <w:r>
        <w:rPr>
          <w:color w:val="231F20"/>
        </w:rPr>
        <w:t>ofrecer</w:t>
      </w:r>
      <w:r>
        <w:rPr>
          <w:color w:val="231F20"/>
          <w:spacing w:val="-10"/>
        </w:rPr>
        <w:t> </w:t>
      </w:r>
      <w:r>
        <w:rPr>
          <w:color w:val="231F20"/>
        </w:rPr>
        <w:t>una</w:t>
      </w:r>
      <w:r>
        <w:rPr>
          <w:color w:val="231F20"/>
          <w:spacing w:val="-10"/>
        </w:rPr>
        <w:t> </w:t>
      </w:r>
      <w:r>
        <w:rPr>
          <w:color w:val="231F20"/>
        </w:rPr>
        <w:t>alternativa</w:t>
      </w:r>
      <w:r>
        <w:rPr>
          <w:color w:val="231F20"/>
          <w:spacing w:val="-10"/>
        </w:rPr>
        <w:t> </w:t>
      </w:r>
      <w:r>
        <w:rPr>
          <w:color w:val="231F20"/>
        </w:rPr>
        <w:t>alimenticia</w:t>
      </w:r>
      <w:r>
        <w:rPr>
          <w:color w:val="231F20"/>
          <w:spacing w:val="-10"/>
        </w:rPr>
        <w:t> </w:t>
      </w:r>
      <w:r>
        <w:rPr>
          <w:color w:val="231F20"/>
        </w:rPr>
        <w:t>a las comunidades rurales. El programa consideraba estudios de factibilidad para el establecimiento de las granjas, la construcción de las unidades de pro- ducción y el abastecimiento de crías provenientes de la estación acuícola “El</w:t>
      </w:r>
      <w:r>
        <w:rPr>
          <w:color w:val="231F20"/>
          <w:spacing w:val="42"/>
        </w:rPr>
        <w:t> </w:t>
      </w:r>
      <w:r>
        <w:rPr>
          <w:color w:val="231F20"/>
          <w:spacing w:val="-3"/>
        </w:rPr>
        <w:t>Zarco”.</w:t>
      </w:r>
    </w:p>
    <w:p>
      <w:pPr>
        <w:pStyle w:val="BodyText"/>
        <w:spacing w:line="256" w:lineRule="auto" w:before="112"/>
        <w:ind w:left="413" w:right="1551"/>
        <w:jc w:val="both"/>
      </w:pPr>
      <w:r>
        <w:rPr>
          <w:color w:val="231F20"/>
        </w:rPr>
        <w:t>A partir este programa, entre </w:t>
      </w:r>
      <w:r>
        <w:rPr>
          <w:color w:val="231F20"/>
          <w:spacing w:val="-4"/>
        </w:rPr>
        <w:t>1988 </w:t>
      </w:r>
      <w:r>
        <w:rPr>
          <w:color w:val="231F20"/>
        </w:rPr>
        <w:t>y </w:t>
      </w:r>
      <w:r>
        <w:rPr>
          <w:color w:val="231F20"/>
          <w:spacing w:val="-6"/>
        </w:rPr>
        <w:t>1991, </w:t>
      </w:r>
      <w:r>
        <w:rPr>
          <w:color w:val="231F20"/>
        </w:rPr>
        <w:t>ejida- tarios de los municipios de Amanalco de Becerra, </w:t>
      </w:r>
      <w:r>
        <w:rPr>
          <w:color w:val="231F20"/>
          <w:spacing w:val="-4"/>
        </w:rPr>
        <w:t>Temascaltepec </w:t>
      </w:r>
      <w:r>
        <w:rPr>
          <w:color w:val="231F20"/>
        </w:rPr>
        <w:t>y </w:t>
      </w:r>
      <w:r>
        <w:rPr>
          <w:color w:val="231F20"/>
          <w:spacing w:val="-4"/>
        </w:rPr>
        <w:t>Valle </w:t>
      </w:r>
      <w:r>
        <w:rPr>
          <w:color w:val="231F20"/>
        </w:rPr>
        <w:t>de Bravo se iniciaron en la actividad. Esto fue el punto de partida para la ac- tividad, ya que a partir de entonces se observó un aumento significativo de la producción de truchas, superando las </w:t>
      </w:r>
      <w:r>
        <w:rPr>
          <w:color w:val="231F20"/>
          <w:spacing w:val="-4"/>
        </w:rPr>
        <w:t>1000 </w:t>
      </w:r>
      <w:r>
        <w:rPr>
          <w:color w:val="231F20"/>
        </w:rPr>
        <w:t>toneladas en </w:t>
      </w:r>
      <w:r>
        <w:rPr>
          <w:color w:val="231F20"/>
          <w:spacing w:val="-4"/>
        </w:rPr>
        <w:t>1993 </w:t>
      </w:r>
      <w:r>
        <w:rPr>
          <w:color w:val="231F20"/>
        </w:rPr>
        <w:t>(Fig. 1). La mayoría de los productores coinciden en que este programa</w:t>
      </w:r>
      <w:r>
        <w:rPr>
          <w:color w:val="231F20"/>
          <w:spacing w:val="-13"/>
        </w:rPr>
        <w:t> </w:t>
      </w:r>
      <w:r>
        <w:rPr>
          <w:color w:val="231F20"/>
        </w:rPr>
        <w:t>fue</w:t>
      </w:r>
      <w:r>
        <w:rPr>
          <w:color w:val="231F20"/>
          <w:spacing w:val="-13"/>
        </w:rPr>
        <w:t> </w:t>
      </w:r>
      <w:r>
        <w:rPr>
          <w:color w:val="231F20"/>
        </w:rPr>
        <w:t>la</w:t>
      </w:r>
      <w:r>
        <w:rPr>
          <w:color w:val="231F20"/>
          <w:spacing w:val="-13"/>
        </w:rPr>
        <w:t> </w:t>
      </w:r>
      <w:r>
        <w:rPr>
          <w:color w:val="231F20"/>
        </w:rPr>
        <w:t>base</w:t>
      </w:r>
      <w:r>
        <w:rPr>
          <w:color w:val="231F20"/>
          <w:spacing w:val="-13"/>
        </w:rPr>
        <w:t> </w:t>
      </w:r>
      <w:r>
        <w:rPr>
          <w:color w:val="231F20"/>
        </w:rPr>
        <w:t>del</w:t>
      </w:r>
      <w:r>
        <w:rPr>
          <w:color w:val="231F20"/>
          <w:spacing w:val="-13"/>
        </w:rPr>
        <w:t> </w:t>
      </w:r>
      <w:r>
        <w:rPr>
          <w:color w:val="231F20"/>
        </w:rPr>
        <w:t>desarrollo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2"/>
        </w:rPr>
        <w:t>truticultura </w:t>
      </w:r>
      <w:r>
        <w:rPr>
          <w:color w:val="231F20"/>
        </w:rPr>
        <w:t>estatal, y además consideran que en la actualidad ha fomentado la participación activa de los</w:t>
      </w:r>
      <w:r>
        <w:rPr>
          <w:color w:val="231F20"/>
          <w:spacing w:val="-19"/>
        </w:rPr>
        <w:t> </w:t>
      </w:r>
      <w:r>
        <w:rPr>
          <w:color w:val="231F20"/>
        </w:rPr>
        <w:t>truticul- tores en el manejo y la conservación de los bos- ques,</w:t>
      </w:r>
      <w:r>
        <w:rPr>
          <w:color w:val="231F20"/>
          <w:spacing w:val="-25"/>
        </w:rPr>
        <w:t> </w:t>
      </w:r>
      <w:r>
        <w:rPr>
          <w:color w:val="231F20"/>
        </w:rPr>
        <w:t>con</w:t>
      </w:r>
      <w:r>
        <w:rPr>
          <w:color w:val="231F20"/>
          <w:spacing w:val="-25"/>
        </w:rPr>
        <w:t> </w:t>
      </w:r>
      <w:r>
        <w:rPr>
          <w:color w:val="231F20"/>
        </w:rPr>
        <w:t>actividades</w:t>
      </w:r>
      <w:r>
        <w:rPr>
          <w:color w:val="231F20"/>
          <w:spacing w:val="-25"/>
        </w:rPr>
        <w:t> </w:t>
      </w:r>
      <w:r>
        <w:rPr>
          <w:color w:val="231F20"/>
        </w:rPr>
        <w:t>ecoturísticas,</w:t>
      </w:r>
      <w:r>
        <w:rPr>
          <w:color w:val="231F20"/>
          <w:spacing w:val="-25"/>
        </w:rPr>
        <w:t> </w:t>
      </w:r>
      <w:r>
        <w:rPr>
          <w:color w:val="231F20"/>
        </w:rPr>
        <w:t>de</w:t>
      </w:r>
      <w:r>
        <w:rPr>
          <w:color w:val="231F20"/>
          <w:spacing w:val="-25"/>
        </w:rPr>
        <w:t> </w:t>
      </w:r>
      <w:r>
        <w:rPr>
          <w:color w:val="231F20"/>
        </w:rPr>
        <w:t>reforestación, brigadas</w:t>
      </w:r>
      <w:r>
        <w:rPr>
          <w:color w:val="231F20"/>
          <w:spacing w:val="-26"/>
        </w:rPr>
        <w:t> </w:t>
      </w:r>
      <w:r>
        <w:rPr>
          <w:color w:val="231F20"/>
        </w:rPr>
        <w:t>antiincendios,</w:t>
      </w:r>
      <w:r>
        <w:rPr>
          <w:color w:val="231F20"/>
          <w:spacing w:val="-26"/>
        </w:rPr>
        <w:t> </w:t>
      </w:r>
      <w:r>
        <w:rPr>
          <w:color w:val="231F20"/>
        </w:rPr>
        <w:t>etc.</w:t>
      </w:r>
    </w:p>
    <w:p>
      <w:pPr>
        <w:pStyle w:val="BodyText"/>
        <w:spacing w:line="256" w:lineRule="auto" w:before="112"/>
        <w:ind w:left="413" w:right="1551"/>
        <w:jc w:val="both"/>
      </w:pPr>
      <w:r>
        <w:rPr>
          <w:color w:val="231F20"/>
        </w:rPr>
        <w:t>Es claro que esta política de conservación se ha convertido en un caso de éxito a partir del estable- cimiento de las primeras granjas de trucha en la región de Amanalco-Valle de Bravo, siendo punto medular en el rumbo de la truticultura que en los objetivos planteados de los programas se    cambió</w:t>
      </w:r>
    </w:p>
    <w:p>
      <w:pPr>
        <w:spacing w:after="0" w:line="25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9965" w:val="left" w:leader="none"/>
        </w:tabs>
        <w:spacing w:before="64"/>
        <w:ind w:left="1553" w:right="0" w:firstLine="0"/>
        <w:jc w:val="left"/>
        <w:rPr>
          <w:sz w:val="22"/>
        </w:rPr>
      </w:pPr>
      <w:r>
        <w:rPr>
          <w:color w:val="231F20"/>
          <w:sz w:val="18"/>
        </w:rPr>
        <w:t>Capítulo </w:t>
      </w:r>
      <w:r>
        <w:rPr>
          <w:color w:val="231F20"/>
          <w:spacing w:val="-11"/>
          <w:sz w:val="18"/>
        </w:rPr>
        <w:t>17.    </w:t>
      </w:r>
      <w:r>
        <w:rPr>
          <w:color w:val="231F20"/>
          <w:sz w:val="18"/>
        </w:rPr>
        <w:t>Desarrollo de la producción de trucha arcoíris </w:t>
      </w:r>
      <w:r>
        <w:rPr>
          <w:rFonts w:ascii="Cambria" w:hAnsi="Cambria"/>
          <w:i/>
          <w:color w:val="231F20"/>
          <w:sz w:val="18"/>
        </w:rPr>
        <w:t>(Oncorhynchus mykiss) </w:t>
      </w:r>
      <w:r>
        <w:rPr>
          <w:color w:val="231F20"/>
          <w:sz w:val="18"/>
        </w:rPr>
        <w:t>en   </w:t>
      </w:r>
      <w:r>
        <w:rPr>
          <w:color w:val="231F20"/>
          <w:spacing w:val="16"/>
          <w:sz w:val="18"/>
        </w:rPr>
        <w:t> </w:t>
      </w:r>
      <w:r>
        <w:rPr>
          <w:color w:val="231F20"/>
          <w:sz w:val="18"/>
        </w:rPr>
        <w:t>comunidades</w:t>
      </w:r>
      <w:r>
        <w:rPr>
          <w:color w:val="231F20"/>
          <w:spacing w:val="13"/>
          <w:sz w:val="18"/>
        </w:rPr>
        <w:t> </w:t>
      </w:r>
      <w:r>
        <w:rPr>
          <w:color w:val="231F20"/>
          <w:sz w:val="18"/>
        </w:rPr>
        <w:t>rurales...</w:t>
        <w:tab/>
      </w:r>
      <w:r>
        <w:rPr>
          <w:color w:val="231F20"/>
          <w:spacing w:val="-5"/>
          <w:sz w:val="22"/>
        </w:rPr>
        <w:t>251</w:t>
      </w:r>
    </w:p>
    <w:p>
      <w:pPr>
        <w:pStyle w:val="BodyText"/>
        <w:spacing w:before="2"/>
        <w:rPr>
          <w:sz w:val="27"/>
        </w:rPr>
      </w:pPr>
    </w:p>
    <w:p>
      <w:pPr>
        <w:spacing w:before="69"/>
        <w:ind w:left="2627" w:right="2503" w:firstLine="0"/>
        <w:jc w:val="left"/>
        <w:rPr>
          <w:sz w:val="16"/>
        </w:rPr>
      </w:pPr>
      <w:r>
        <w:rPr/>
        <w:pict>
          <v:group style="position:absolute;margin-left:152.179993pt;margin-top:6.96136pt;width:312.650pt;height:174.6pt;mso-position-horizontal-relative:page;mso-position-vertical-relative:paragraph;z-index:6640" coordorigin="3044,139" coordsize="6253,3492">
            <v:shape style="position:absolute;left:3051;top:177;width:6214;height:3447" coordorigin="3051,177" coordsize="6214,3447" path="m3101,177l3101,3624m3051,3574l3101,3574m3051,3234l3101,3234m3051,2894l3101,2894m3051,2554l3101,2554m3051,2214l3101,2214m3051,1874l3101,1874m3051,1535l3101,1535m3051,1195l3101,1195m3051,855l3101,855m3051,515l3101,515m3051,177l3101,177m3101,3574l9264,3574e" filled="false" stroked="true" strokeweight=".72pt" strokecolor="#989a9d">
              <v:path arrowok="t"/>
            </v:shape>
            <v:shape style="position:absolute;left:3332;top:3599;width:5940;height:2" coordorigin="3332,3599" coordsize="5940,0" path="m3332,3599l3346,3599m3568,3599l3582,3599m3806,3599l3821,3599m4042,3599l4057,3599m4280,3599l4295,3599m4517,3599l4531,3599m4753,3599l4767,3599m4991,3599l5005,3599m5227,3599l5241,3599m5465,3599l5479,3599m5701,3599l5716,3599m5939,3599l5954,3599m6175,3599l6190,3599m6413,3599l6428,3599m6650,3599l6664,3599m6888,3599l6902,3599m7124,3599l7138,3599m7362,3599l7376,3599m7598,3599l7613,3599m7836,3599l7851,3599m8072,3599l8087,3599m8310,3599l8325,3599m8547,3599l8561,3599m8783,3599l8797,3599m9021,3599l9035,3599m9257,3599l9271,3599e" filled="false" stroked="true" strokeweight="2.496pt" strokecolor="#989a9d">
              <v:path arrowok="t"/>
            </v:shape>
            <v:shape style="position:absolute;left:3197;top:356;width:5975;height:3182" coordorigin="3197,356" coordsize="5975,3182" path="m3843,3463l3841,3440,3831,3431,3693,3441,3691,3441,3676,3444,3668,3455,3672,3478,3683,3486,3697,3484,3834,3474,3843,3463m4012,3420l4001,3398,3988,3394,3967,3404,3962,3417,3973,3438,3985,3443,4007,3433,4012,3420m4449,3238l4441,3226,4418,3221,4406,3228,4401,3251,4408,3263,4431,3268,4443,3261,4449,3238m4744,3291l4735,3280,4646,3274,4586,3260,4575,3267,4569,3290,4577,3302,4588,3305,4638,3316,4641,3317,4731,3323,4742,3314,4742,3305,4744,3291m4917,3311l4909,3289,4896,3283,4874,3291,4868,3304,4876,3326,4889,3332,4911,3324,4917,3311m5203,3218l5193,3208,5115,3204,5112,3205,5036,3232,5031,3245,5039,3267,5051,3273,5120,3248,5192,3251,5195,3248,5202,3242,5203,3218m5378,3238l5375,3224,5355,3211,5342,3214,5329,3233,5331,3247,5351,3260,5364,3258,5378,3238m5547,2988l5545,2974,5525,2961,5512,2963,5426,3090,5428,3104,5448,3117,5461,3115,5547,2988m5657,2852l5644,2833,5630,2831,5611,2844,5608,2858,5622,2877,5636,2880,5655,2866,5657,2852m5888,2666l5885,2653,5865,2640,5852,2642,5812,2702,5752,2744,5749,2758,5763,2777,5777,2780,5842,2734,5844,2732,5888,2666m5984,2523l5981,2509,5961,2496,5948,2499,5935,2519,5937,2532,5957,2545,5971,2543,5984,2523m6156,2449l6092,2362,6079,2344,6072,2340,6058,2341,6051,2344,6031,2375,6034,2388,6053,2402,6066,2399,6122,2474,6135,2476,6154,2462,6156,2449m6259,2587l6245,2568,6232,2566,6212,2580,6210,2594,6225,2613,6238,2615,6257,2601,6259,2587m6392,2863l6339,2719,6326,2713,6304,2721,6298,2734,6351,2878,6363,2884,6386,2876,6392,2863m6451,3025l6443,3003,6430,2997,6408,3005,6402,3018,6411,3040,6423,3046,6445,3038,6451,3025m6555,3309l6502,3165,6490,3159,6468,3168,6462,3180,6515,3324,6527,3330,6549,3322,6555,3309m6700,3275l6690,3253,6678,3248,6656,3257,6650,3270,6660,3292,6672,3297,6694,3288,6700,3275m6882,3054l6878,3041,6856,3031,6843,3035,6778,3174,6783,3187,6804,3197,6817,3193,6882,3054m6956,2897l6951,2885,6930,2874,6917,2879,6907,2901,6911,2913,6933,2924,6946,2919,6956,2897m7144,2751l7138,2739,7094,2727,7008,2703,6997,2708,6980,2744,6985,2757,7006,2767,7019,2763,7024,2753,7126,2781,7138,2774,7144,2751m7294,2760l7291,2747,7270,2735,7257,2738,7245,2759,7248,2772,7269,2784,7282,2780,7294,2760m7446,2498l7443,2485,7422,2473,7409,2477,7332,2609,7335,2623,7356,2635,7369,2631,7446,2498m7546,2356l7532,2337,7518,2336,7499,2350,7497,2364,7512,2383,7525,2384,7544,2370,7546,2356m7792,2187l7782,2165,7769,2160,7715,2185,7711,2188,7636,2245,7634,2259,7649,2278,7663,2279,7736,2223,7787,2200,7792,2187m7948,2114l7938,2092,7926,2088,7904,2098,7899,2111,7909,2132,7922,2137,7944,2127,7948,2114m8070,1843l8064,1831,8041,1823,8029,1829,7979,1974,7985,1987,8008,1994,8020,1988,8070,1843m8126,1680l8120,1667,8097,1660,8085,1666,8077,1688,8083,1701,8106,1708,8118,1702,8126,1680m8224,1406l8222,1400,8216,1384,8207,1378,8189,1379,8181,1385,8133,1525,8139,1537,8162,1545,8174,1539,8212,1427,8215,1420,8218,1418,8224,1406m8286,1567l8277,1545,8265,1539,8242,1548,8237,1560,8245,1583,8258,1588,8280,1580,8286,1567m8394,1850l8339,1706,8326,1701,8304,1709,8298,1722,8353,1865,8366,1871,8388,1862,8394,1850m8455,2011l8447,1989,8434,1983,8412,1992,8406,2004,8415,2027,8427,2032,8450,2024,8455,2011m8683,1828l8668,1810,8654,1808,8536,1906,8535,1920,8550,1938,8564,1940,8682,1842,8683,1828m8823,1729l8810,1709,8796,1707,8777,1721,8774,1734,8788,1754,8802,1756,8821,1742,8823,1729m8952,682l8898,682,8668,680,8663,682,8442,870,8249,468,8214,396,8206,391,8189,392,8182,398,7942,1028,7713,1212,7473,1309,7469,1313,7233,1778,6996,1963,6994,1966,6761,2474,6555,2528,6331,1758,6319,1718,6309,1711,6056,1747,6049,1751,5834,2176,5637,1387,5610,1280,5601,1273,5581,1273,5572,1280,5336,2296,5122,2291,5001,2238,4882,2186,4875,2186,4864,2192,4860,2196,4628,2977,4587,2967,4401,2919,4392,2922,4156,3290,3928,3316,3926,3316,3690,3370,3688,3371,3451,3449,3205,3489,3197,3500,3198,3508,3199,3529,3209,3538,3362,3531,3372,3521,3371,3506,3460,3491,3463,3490,3503,3477,3498,3485,3502,3509,3513,3516,3537,3512,3545,3501,3540,3478,3529,3470,3522,3471,3700,3412,3934,3359,4120,3338,4118,3342,4129,3364,4142,3369,4177,3352,4282,3311,4287,3298,4279,3276,4266,3270,4204,3295,4414,2967,4649,3027,4660,3021,4673,2977,4893,2238,5111,2333,5114,2334,5363,2340,5372,2333,5380,2296,5592,1387,5809,2251,5816,2258,5834,2260,5843,2255,5883,2176,6080,1787,6286,1758,6522,2571,6534,2578,6726,2528,6788,2512,6793,2508,7030,1992,7266,1807,7268,1805,7502,1344,7735,1250,7736,1249,7977,1056,7979,1052,8201,468,8418,920,8424,925,8437,927,8444,926,8509,870,8681,723,8916,725,8920,723,8922,722,8952,682m9083,1579l9072,1557,9059,1553,8922,1623,8918,1636,8929,1657,8942,1661,9079,1592,9083,1579m9172,384l9170,370,9150,356,9137,358,8898,682,8952,682,9172,384e" filled="true" fillcolor="#231f20" stroked="false">
              <v:path arrowok="t"/>
              <v:fill type="solid"/>
            </v:shape>
            <v:line style="position:absolute" from="3107,158" to="5455,158" stroked="true" strokeweight="1.896pt" strokecolor="#d4d4d4"/>
            <v:shape style="position:absolute;left:3108;top:177;width:2347;height:3335" coordorigin="3108,177" coordsize="2347,3335" path="m5455,177l3108,177,3108,3512,3199,3512,3197,3500,3205,3489,3451,3449,3688,3371,3690,3370,3926,3316,3928,3316,4156,3290,4391,2924,4397,2920,4645,2920,4860,2196,4864,2192,4873,2188,4876,2187,5361,2187,5455,1785,5455,177xm3509,3475l3463,3490,3460,3491,3371,3506,3371,3512,3510,3512,3505,3508,3501,3503,3498,3488,3502,3480,3509,3475xm4122,3338l3934,3359,3700,3412,3521,3471,3531,3471,3541,3479,3544,3498,3540,3507,3532,3512,5455,3512,5455,3484,3681,3484,3672,3477,3668,3455,3676,3444,3691,3441,3693,3441,3819,3432,3821,3431,3969,3431,3962,3417,3967,3404,3981,3397,3984,3397,5455,3397,5455,3366,4135,3366,4127,3361,4121,3348,4121,3343,4122,3338xm3969,3431l3832,3431,3841,3440,3843,3463,3834,3474,3697,3484,3694,3484,3681,3484,5455,3484,5455,3440,3979,3440,3971,3435,3969,3431xm5455,3397l3995,3397,4003,3401,4012,3420,4007,3433,3993,3439,3990,3440,5455,3440,5455,3397xm4573,3273l4272,3273,4280,3279,4287,3298,4282,3311,4177,3352,4149,3365,4146,3366,5455,3366,5455,3329,4884,3329,4875,3324,4875,3323,4732,3323,4720,3323,4641,3317,4638,3316,4576,3302,4569,3290,4573,3273xm5455,3286l4901,3286,4910,3291,4917,3311,4911,3324,4898,3329,4895,3329,5455,3329,5455,3286xm5037,3262l4583,3262,4596,3262,4646,3274,4735,3280,4743,3291,4742,3314,4732,3323,4875,3323,4868,3304,4874,3291,4888,3286,4890,3286,5455,3286,5455,3270,5046,3270,5038,3265,5037,3262xm4588,3305l4588,3305,4588,3305,4588,3305xm4414,2967l4205,3295,4258,3274,4260,3273,4573,3273,4574,3269,4578,3266,4435,3266,4422,3266,4408,3263,4401,3251,4406,3229,4415,3223,5063,3223,5112,3205,5114,3205,5455,3205,5455,3114,5446,3114,5442,3113,5428,3104,5426,3090,5455,3047,5455,3025,4641,3025,4639,3025,4414,2967xm5120,3248l5060,3270,5057,3270,5455,3270,5455,3257,5349,3257,5345,3256,5336,3250,5180,3250,5120,3248xm5063,3223l4425,3223,4428,3223,4441,3226,4449,3238,4443,3259,4435,3266,4578,3266,4583,3262,5037,3262,5031,3245,5036,3232,5063,3223xm5455,3214l5357,3214,5362,3215,5375,3224,5378,3238,5367,3254,5360,3257,5455,3257,5455,3214xm5455,3205l5117,3205,5193,3208,5203,3218,5202,3241,5192,3250,5336,3250,5331,3247,5329,3233,5340,3217,5346,3214,5455,3214,5455,3205xm5455,3114l5453,3114,5446,3114,5455,3114,5455,3114xm4893,2238l4661,3019,4652,3025,5455,3025,5455,2340,5353,2340,5114,2334,5111,2333,4893,2238xm4645,2920l4406,2920,4408,2921,4628,2977,4645,2920xm5455,1976l5372,2333,5363,2340,5455,2340,5455,1976xm5361,2187l4882,2187,4885,2188,5122,2291,5336,2296,5361,2187xe" filled="true" fillcolor="#d4d4d4" stroked="false">
              <v:path arrowok="t"/>
              <v:fill type="solid"/>
            </v:shape>
            <v:line style="position:absolute" from="3108,177" to="3108,3512" stroked="true" strokeweight=".064pt" strokecolor="#9f9f9f"/>
            <v:shape style="position:absolute;left:3197;top:1785;width:2259;height:1727" coordorigin="3197,1785" coordsize="2259,1727" path="m3843,3463l3841,3440,3832,3431,3819,3432,3693,3441,3691,3441,3676,3444,3668,3455,3672,3477,3681,3484,3691,3484,3694,3484,3697,3484,3834,3474,3843,3463m4012,3420l4003,3401,3995,3397,3984,3397,3981,3397,3967,3404,3962,3417,3971,3435,3979,3440,3990,3440,3993,3439,4007,3433,4012,3420m4449,3238l4441,3226,4428,3223,4415,3223,4406,3229,4401,3251,4408,3263,4422,3266,4425,3266,4435,3266,4443,3259,4449,3238m4744,3291l4735,3280,4646,3274,4596,3262,4583,3262,4574,3269,4569,3290,4577,3302,4588,3305,4638,3316,4641,3317,4720,3323,4721,3323,4732,3323,4742,3314,4742,3305,4744,3291m4917,3311l4910,3291,4901,3286,4890,3286,4888,3286,4874,3291,4868,3304,4875,3324,4884,3329,4895,3329,4898,3329,4911,3324,4917,3311m5203,3218l5193,3208,5118,3205,5114,3205,5112,3205,5036,3232,5031,3245,5038,3265,5046,3270,5057,3270,5060,3270,5120,3248,5180,3250,5192,3250,5195,3248,5202,3241,5203,3218m5378,3238l5375,3224,5362,3215,5357,3214,5346,3214,5340,3217,5329,3233,5331,3247,5345,3256,5349,3257,5360,3257,5367,3254,5378,3238m5455,1785l5336,2296,5122,2291,5001,2238,4885,2188,4882,2187,4876,2187,4873,2188,4864,2192,4860,2196,4628,2977,4587,2967,4408,2921,4406,2920,4397,2920,4391,2924,4156,3290,3928,3316,3926,3316,3690,3370,3688,3371,3517,3427,3517,3472,3514,3472,3517,3472,3517,3472,3517,3427,3451,3449,3348,3466,3348,3488,3209,3495,3201,3502,3209,3495,3209,3495,3348,3488,3348,3488,3348,3466,3205,3489,3197,3500,3199,3512,3199,3512,3371,3512,3371,3508,3371,3506,3460,3491,3463,3490,3470,3488,3509,3475,3502,3480,3498,3488,3501,3503,3505,3508,3510,3512,3532,3512,3540,3507,3544,3498,3541,3479,3531,3471,3520,3471,3521,3471,3700,3412,3934,3359,4122,3338,4121,3343,4121,3348,4127,3361,4135,3366,4146,3366,4149,3365,4177,3352,4282,3311,4287,3298,4280,3279,4272,3273,4260,3273,4258,3274,4205,3295,4414,2967,4639,3025,4641,3025,4652,3025,4661,3019,4673,2977,4893,2238,5111,2333,5114,2334,5353,2340,5363,2340,5372,2333,5380,2296,5455,1976,5455,1785m5455,3047l5426,3090,5428,3104,5442,3113,5446,3114,5450,3114,5453,3114,5455,3114,5455,3047e" filled="true" fillcolor="#6e6e6e" stroked="false">
              <v:path arrowok="t"/>
              <v:fill type="solid"/>
            </v:shape>
            <v:shape style="position:absolute;left:3473;top:854;width:565;height:376" type="#_x0000_t202" filled="false" stroked="false">
              <v:textbox inset="0,0,0,0">
                <w:txbxContent>
                  <w:p>
                    <w:pPr>
                      <w:spacing w:line="164" w:lineRule="exact" w:before="0"/>
                      <w:ind w:left="0" w:right="-17" w:firstLine="0"/>
                      <w:jc w:val="left"/>
                      <w:rPr>
                        <w:sz w:val="16"/>
                      </w:rPr>
                    </w:pPr>
                    <w:r>
                      <w:rPr>
                        <w:color w:val="231F20"/>
                        <w:sz w:val="16"/>
                      </w:rPr>
                      <w:t>Etapa</w:t>
                    </w:r>
                    <w:r>
                      <w:rPr>
                        <w:color w:val="231F20"/>
                        <w:spacing w:val="-7"/>
                        <w:sz w:val="16"/>
                      </w:rPr>
                      <w:t> </w:t>
                    </w:r>
                    <w:r>
                      <w:rPr>
                        <w:color w:val="231F20"/>
                        <w:sz w:val="16"/>
                      </w:rPr>
                      <w:t>de</w:t>
                    </w:r>
                  </w:p>
                  <w:p>
                    <w:pPr>
                      <w:spacing w:line="191" w:lineRule="exact" w:before="19"/>
                      <w:ind w:left="0" w:right="-18" w:firstLine="0"/>
                      <w:jc w:val="left"/>
                      <w:rPr>
                        <w:sz w:val="16"/>
                      </w:rPr>
                    </w:pPr>
                    <w:r>
                      <w:rPr>
                        <w:color w:val="231F20"/>
                        <w:sz w:val="16"/>
                      </w:rPr>
                      <w:t>fomento</w:t>
                    </w:r>
                  </w:p>
                </w:txbxContent>
              </v:textbox>
              <w10:wrap type="none"/>
            </v:shape>
            <v:shape style="position:absolute;left:5976;top:843;width:890;height:376" type="#_x0000_t202" filled="false" stroked="false">
              <v:textbox inset="0,0,0,0">
                <w:txbxContent>
                  <w:p>
                    <w:pPr>
                      <w:spacing w:line="164" w:lineRule="exact" w:before="0"/>
                      <w:ind w:left="0" w:right="0" w:firstLine="0"/>
                      <w:jc w:val="left"/>
                      <w:rPr>
                        <w:sz w:val="16"/>
                      </w:rPr>
                    </w:pPr>
                    <w:r>
                      <w:rPr>
                        <w:color w:val="231F20"/>
                        <w:sz w:val="16"/>
                      </w:rPr>
                      <w:t>Etapa de</w:t>
                    </w:r>
                  </w:p>
                  <w:p>
                    <w:pPr>
                      <w:spacing w:line="191" w:lineRule="exact" w:before="19"/>
                      <w:ind w:left="0" w:right="0" w:firstLine="0"/>
                      <w:jc w:val="left"/>
                      <w:rPr>
                        <w:sz w:val="16"/>
                      </w:rPr>
                    </w:pPr>
                    <w:r>
                      <w:rPr>
                        <w:color w:val="231F20"/>
                        <w:w w:val="95"/>
                        <w:sz w:val="16"/>
                      </w:rPr>
                      <w:t>consolidación</w:t>
                    </w:r>
                  </w:p>
                </w:txbxContent>
              </v:textbox>
              <w10:wrap type="none"/>
            </v:shape>
            <w10:wrap type="none"/>
          </v:group>
        </w:pict>
      </w:r>
      <w:r>
        <w:rPr>
          <w:color w:val="231F20"/>
          <w:sz w:val="16"/>
        </w:rPr>
        <w:t>5000</w:t>
      </w:r>
    </w:p>
    <w:p>
      <w:pPr>
        <w:pStyle w:val="BodyText"/>
        <w:spacing w:before="10"/>
        <w:rPr>
          <w:sz w:val="11"/>
        </w:rPr>
      </w:pPr>
    </w:p>
    <w:p>
      <w:pPr>
        <w:spacing w:before="0"/>
        <w:ind w:left="2627" w:right="2503" w:firstLine="0"/>
        <w:jc w:val="left"/>
        <w:rPr>
          <w:sz w:val="16"/>
        </w:rPr>
      </w:pPr>
      <w:r>
        <w:rPr>
          <w:color w:val="231F20"/>
          <w:sz w:val="16"/>
        </w:rPr>
        <w:t>4500</w:t>
      </w:r>
    </w:p>
    <w:p>
      <w:pPr>
        <w:pStyle w:val="BodyText"/>
        <w:spacing w:before="9"/>
        <w:rPr>
          <w:sz w:val="11"/>
        </w:rPr>
      </w:pPr>
    </w:p>
    <w:p>
      <w:pPr>
        <w:spacing w:before="1"/>
        <w:ind w:left="2627" w:right="2503" w:firstLine="0"/>
        <w:jc w:val="left"/>
        <w:rPr>
          <w:sz w:val="16"/>
        </w:rPr>
      </w:pPr>
      <w:r>
        <w:rPr>
          <w:color w:val="231F20"/>
          <w:sz w:val="16"/>
        </w:rPr>
        <w:t>4000</w:t>
      </w:r>
    </w:p>
    <w:p>
      <w:pPr>
        <w:pStyle w:val="BodyText"/>
        <w:spacing w:before="10"/>
        <w:rPr>
          <w:sz w:val="11"/>
        </w:rPr>
      </w:pPr>
    </w:p>
    <w:p>
      <w:pPr>
        <w:spacing w:before="0"/>
        <w:ind w:left="2627" w:right="2503" w:firstLine="0"/>
        <w:jc w:val="left"/>
        <w:rPr>
          <w:sz w:val="16"/>
        </w:rPr>
      </w:pPr>
      <w:r>
        <w:rPr/>
        <w:pict>
          <v:shape style="position:absolute;margin-left:119.451393pt;margin-top:9.529198pt;width:10pt;height:59.15pt;mso-position-horizontal-relative:page;mso-position-vertical-relative:paragraph;z-index:6712" type="#_x0000_t202" filled="false" stroked="false">
            <v:textbox inset="0,0,0,0" style="layout-flow:vertical;mso-layout-flow-alt:bottom-to-top">
              <w:txbxContent>
                <w:p>
                  <w:pPr>
                    <w:spacing w:line="190" w:lineRule="exact" w:before="0"/>
                    <w:ind w:left="20" w:right="-602" w:firstLine="0"/>
                    <w:jc w:val="left"/>
                    <w:rPr>
                      <w:b/>
                      <w:sz w:val="16"/>
                    </w:rPr>
                  </w:pPr>
                  <w:r>
                    <w:rPr>
                      <w:b/>
                      <w:color w:val="231F20"/>
                      <w:w w:val="102"/>
                      <w:sz w:val="16"/>
                    </w:rPr>
                    <w:t>Producción</w:t>
                  </w:r>
                  <w:r>
                    <w:rPr>
                      <w:b/>
                      <w:color w:val="231F20"/>
                      <w:spacing w:val="-7"/>
                      <w:sz w:val="16"/>
                    </w:rPr>
                    <w:t> </w:t>
                  </w:r>
                  <w:r>
                    <w:rPr>
                      <w:b/>
                      <w:color w:val="231F20"/>
                      <w:w w:val="98"/>
                      <w:sz w:val="16"/>
                    </w:rPr>
                    <w:t>(Ton)</w:t>
                  </w:r>
                </w:p>
              </w:txbxContent>
            </v:textbox>
            <w10:wrap type="none"/>
          </v:shape>
        </w:pict>
      </w:r>
      <w:r>
        <w:rPr>
          <w:color w:val="231F20"/>
          <w:sz w:val="16"/>
        </w:rPr>
        <w:t>3500</w:t>
      </w:r>
    </w:p>
    <w:p>
      <w:pPr>
        <w:pStyle w:val="BodyText"/>
        <w:spacing w:before="10"/>
        <w:rPr>
          <w:sz w:val="11"/>
        </w:rPr>
      </w:pPr>
    </w:p>
    <w:p>
      <w:pPr>
        <w:spacing w:before="0"/>
        <w:ind w:left="2627" w:right="2503" w:firstLine="0"/>
        <w:jc w:val="left"/>
        <w:rPr>
          <w:sz w:val="16"/>
        </w:rPr>
      </w:pPr>
      <w:r>
        <w:rPr>
          <w:color w:val="231F20"/>
          <w:sz w:val="16"/>
        </w:rPr>
        <w:t>3000</w:t>
      </w:r>
    </w:p>
    <w:p>
      <w:pPr>
        <w:pStyle w:val="BodyText"/>
        <w:spacing w:before="10"/>
        <w:rPr>
          <w:sz w:val="11"/>
        </w:rPr>
      </w:pPr>
    </w:p>
    <w:p>
      <w:pPr>
        <w:spacing w:before="0"/>
        <w:ind w:left="2627" w:right="2503" w:firstLine="0"/>
        <w:jc w:val="left"/>
        <w:rPr>
          <w:sz w:val="16"/>
        </w:rPr>
      </w:pPr>
      <w:r>
        <w:rPr>
          <w:color w:val="231F20"/>
          <w:sz w:val="16"/>
        </w:rPr>
        <w:t>2500</w:t>
      </w:r>
    </w:p>
    <w:p>
      <w:pPr>
        <w:pStyle w:val="BodyText"/>
        <w:spacing w:before="10"/>
        <w:rPr>
          <w:sz w:val="11"/>
        </w:rPr>
      </w:pPr>
    </w:p>
    <w:p>
      <w:pPr>
        <w:spacing w:before="0"/>
        <w:ind w:left="2627" w:right="2503" w:firstLine="0"/>
        <w:jc w:val="left"/>
        <w:rPr>
          <w:sz w:val="16"/>
        </w:rPr>
      </w:pPr>
      <w:r>
        <w:rPr>
          <w:color w:val="231F20"/>
          <w:sz w:val="16"/>
        </w:rPr>
        <w:t>2000</w:t>
      </w:r>
    </w:p>
    <w:p>
      <w:pPr>
        <w:pStyle w:val="BodyText"/>
        <w:spacing w:before="10"/>
        <w:rPr>
          <w:sz w:val="11"/>
        </w:rPr>
      </w:pPr>
    </w:p>
    <w:p>
      <w:pPr>
        <w:spacing w:before="0"/>
        <w:ind w:left="2627" w:right="2503" w:firstLine="0"/>
        <w:jc w:val="left"/>
        <w:rPr>
          <w:sz w:val="16"/>
        </w:rPr>
      </w:pPr>
      <w:r>
        <w:rPr>
          <w:color w:val="231F20"/>
          <w:sz w:val="16"/>
        </w:rPr>
        <w:t>1500</w:t>
      </w:r>
    </w:p>
    <w:p>
      <w:pPr>
        <w:pStyle w:val="BodyText"/>
        <w:spacing w:before="10"/>
        <w:rPr>
          <w:sz w:val="11"/>
        </w:rPr>
      </w:pPr>
    </w:p>
    <w:p>
      <w:pPr>
        <w:spacing w:before="0"/>
        <w:ind w:left="2627" w:right="2503" w:firstLine="0"/>
        <w:jc w:val="left"/>
        <w:rPr>
          <w:sz w:val="16"/>
        </w:rPr>
      </w:pPr>
      <w:r>
        <w:rPr>
          <w:color w:val="231F20"/>
          <w:sz w:val="16"/>
        </w:rPr>
        <w:t>1000</w:t>
      </w:r>
    </w:p>
    <w:p>
      <w:pPr>
        <w:pStyle w:val="BodyText"/>
        <w:spacing w:before="10"/>
        <w:rPr>
          <w:sz w:val="11"/>
        </w:rPr>
      </w:pPr>
    </w:p>
    <w:p>
      <w:pPr>
        <w:spacing w:before="0"/>
        <w:ind w:left="2708" w:right="2503" w:firstLine="0"/>
        <w:jc w:val="left"/>
        <w:rPr>
          <w:sz w:val="16"/>
        </w:rPr>
      </w:pPr>
      <w:r>
        <w:rPr>
          <w:color w:val="231F20"/>
          <w:sz w:val="16"/>
        </w:rPr>
        <w:t>500</w:t>
      </w:r>
    </w:p>
    <w:p>
      <w:pPr>
        <w:pStyle w:val="BodyText"/>
        <w:spacing w:before="9"/>
        <w:rPr>
          <w:sz w:val="11"/>
        </w:rPr>
      </w:pPr>
    </w:p>
    <w:p>
      <w:pPr>
        <w:spacing w:before="0"/>
        <w:ind w:left="2869" w:right="0" w:firstLine="0"/>
        <w:jc w:val="left"/>
        <w:rPr>
          <w:sz w:val="16"/>
        </w:rPr>
      </w:pPr>
      <w:r>
        <w:rPr/>
        <w:pict>
          <v:shape style="position:absolute;margin-left:156.583633pt;margin-top:9.384185pt;width:306.4pt;height:18.25pt;mso-position-horizontal-relative:page;mso-position-vertical-relative:paragraph;z-index:6736" type="#_x0000_t202" filled="false" stroked="false">
            <v:textbox inset="0,0,0,0" style="layout-flow:vertical;mso-layout-flow-alt:bottom-to-top">
              <w:txbxContent>
                <w:p>
                  <w:pPr>
                    <w:spacing w:line="184" w:lineRule="exact" w:before="0"/>
                    <w:ind w:left="20" w:right="0" w:firstLine="0"/>
                    <w:jc w:val="left"/>
                    <w:rPr>
                      <w:sz w:val="16"/>
                    </w:rPr>
                  </w:pPr>
                  <w:r>
                    <w:rPr>
                      <w:color w:val="231F20"/>
                      <w:w w:val="100"/>
                      <w:sz w:val="16"/>
                    </w:rPr>
                    <w:t>1983</w:t>
                  </w:r>
                </w:p>
                <w:p>
                  <w:pPr>
                    <w:spacing w:before="41"/>
                    <w:ind w:left="20" w:right="0" w:firstLine="0"/>
                    <w:jc w:val="left"/>
                    <w:rPr>
                      <w:sz w:val="16"/>
                    </w:rPr>
                  </w:pPr>
                  <w:r>
                    <w:rPr>
                      <w:color w:val="231F20"/>
                      <w:w w:val="100"/>
                      <w:sz w:val="16"/>
                    </w:rPr>
                    <w:t>1984</w:t>
                  </w:r>
                </w:p>
                <w:p>
                  <w:pPr>
                    <w:spacing w:before="42"/>
                    <w:ind w:left="20" w:right="0" w:firstLine="0"/>
                    <w:jc w:val="left"/>
                    <w:rPr>
                      <w:sz w:val="16"/>
                    </w:rPr>
                  </w:pPr>
                  <w:r>
                    <w:rPr>
                      <w:color w:val="231F20"/>
                      <w:w w:val="100"/>
                      <w:sz w:val="16"/>
                    </w:rPr>
                    <w:t>1985</w:t>
                  </w:r>
                </w:p>
                <w:p>
                  <w:pPr>
                    <w:spacing w:before="41"/>
                    <w:ind w:left="20" w:right="0" w:firstLine="0"/>
                    <w:jc w:val="left"/>
                    <w:rPr>
                      <w:sz w:val="16"/>
                    </w:rPr>
                  </w:pPr>
                  <w:r>
                    <w:rPr>
                      <w:color w:val="231F20"/>
                      <w:w w:val="100"/>
                      <w:sz w:val="16"/>
                    </w:rPr>
                    <w:t>1986</w:t>
                  </w:r>
                </w:p>
                <w:p>
                  <w:pPr>
                    <w:spacing w:before="42"/>
                    <w:ind w:left="20" w:right="0" w:firstLine="0"/>
                    <w:jc w:val="left"/>
                    <w:rPr>
                      <w:sz w:val="16"/>
                    </w:rPr>
                  </w:pPr>
                  <w:r>
                    <w:rPr>
                      <w:color w:val="231F20"/>
                      <w:w w:val="100"/>
                      <w:sz w:val="16"/>
                    </w:rPr>
                    <w:t>1987</w:t>
                  </w:r>
                </w:p>
                <w:p>
                  <w:pPr>
                    <w:spacing w:before="41"/>
                    <w:ind w:left="20" w:right="0" w:firstLine="0"/>
                    <w:jc w:val="left"/>
                    <w:rPr>
                      <w:sz w:val="16"/>
                    </w:rPr>
                  </w:pPr>
                  <w:r>
                    <w:rPr>
                      <w:color w:val="231F20"/>
                      <w:w w:val="100"/>
                      <w:sz w:val="16"/>
                    </w:rPr>
                    <w:t>1988</w:t>
                  </w:r>
                </w:p>
                <w:p>
                  <w:pPr>
                    <w:spacing w:before="42"/>
                    <w:ind w:left="20" w:right="0" w:firstLine="0"/>
                    <w:jc w:val="left"/>
                    <w:rPr>
                      <w:sz w:val="16"/>
                    </w:rPr>
                  </w:pPr>
                  <w:r>
                    <w:rPr>
                      <w:color w:val="231F20"/>
                      <w:spacing w:val="-1"/>
                      <w:w w:val="100"/>
                      <w:sz w:val="16"/>
                    </w:rPr>
                    <w:t>198</w:t>
                  </w:r>
                  <w:r>
                    <w:rPr>
                      <w:color w:val="231F20"/>
                      <w:w w:val="100"/>
                      <w:sz w:val="16"/>
                    </w:rPr>
                    <w:t>9</w:t>
                  </w:r>
                </w:p>
                <w:p>
                  <w:pPr>
                    <w:spacing w:before="41"/>
                    <w:ind w:left="20" w:right="0" w:firstLine="0"/>
                    <w:jc w:val="left"/>
                    <w:rPr>
                      <w:sz w:val="16"/>
                    </w:rPr>
                  </w:pPr>
                  <w:r>
                    <w:rPr>
                      <w:color w:val="231F20"/>
                      <w:w w:val="100"/>
                      <w:sz w:val="16"/>
                    </w:rPr>
                    <w:t>1990</w:t>
                  </w:r>
                </w:p>
                <w:p>
                  <w:pPr>
                    <w:spacing w:before="41"/>
                    <w:ind w:left="20" w:right="0" w:firstLine="0"/>
                    <w:jc w:val="left"/>
                    <w:rPr>
                      <w:sz w:val="16"/>
                    </w:rPr>
                  </w:pPr>
                  <w:r>
                    <w:rPr>
                      <w:color w:val="231F20"/>
                      <w:w w:val="100"/>
                      <w:sz w:val="16"/>
                    </w:rPr>
                    <w:t>1991</w:t>
                  </w:r>
                </w:p>
                <w:p>
                  <w:pPr>
                    <w:spacing w:before="42"/>
                    <w:ind w:left="20" w:right="0" w:firstLine="0"/>
                    <w:jc w:val="left"/>
                    <w:rPr>
                      <w:sz w:val="16"/>
                    </w:rPr>
                  </w:pPr>
                  <w:r>
                    <w:rPr>
                      <w:color w:val="231F20"/>
                      <w:w w:val="100"/>
                      <w:sz w:val="16"/>
                    </w:rPr>
                    <w:t>1992</w:t>
                  </w:r>
                </w:p>
                <w:p>
                  <w:pPr>
                    <w:spacing w:before="41"/>
                    <w:ind w:left="20" w:right="0" w:firstLine="0"/>
                    <w:jc w:val="left"/>
                    <w:rPr>
                      <w:sz w:val="16"/>
                    </w:rPr>
                  </w:pPr>
                  <w:r>
                    <w:rPr>
                      <w:color w:val="231F20"/>
                      <w:w w:val="100"/>
                      <w:sz w:val="16"/>
                    </w:rPr>
                    <w:t>1993</w:t>
                  </w:r>
                </w:p>
                <w:p>
                  <w:pPr>
                    <w:spacing w:before="42"/>
                    <w:ind w:left="20" w:right="0" w:firstLine="0"/>
                    <w:jc w:val="left"/>
                    <w:rPr>
                      <w:sz w:val="16"/>
                    </w:rPr>
                  </w:pPr>
                  <w:r>
                    <w:rPr>
                      <w:color w:val="231F20"/>
                      <w:w w:val="100"/>
                      <w:sz w:val="16"/>
                    </w:rPr>
                    <w:t>1994</w:t>
                  </w:r>
                </w:p>
                <w:p>
                  <w:pPr>
                    <w:spacing w:before="41"/>
                    <w:ind w:left="20" w:right="0" w:firstLine="0"/>
                    <w:jc w:val="left"/>
                    <w:rPr>
                      <w:sz w:val="16"/>
                    </w:rPr>
                  </w:pPr>
                  <w:r>
                    <w:rPr>
                      <w:color w:val="231F20"/>
                      <w:w w:val="100"/>
                      <w:sz w:val="16"/>
                    </w:rPr>
                    <w:t>1995</w:t>
                  </w:r>
                </w:p>
                <w:p>
                  <w:pPr>
                    <w:spacing w:before="42"/>
                    <w:ind w:left="20" w:right="0" w:firstLine="0"/>
                    <w:jc w:val="left"/>
                    <w:rPr>
                      <w:sz w:val="16"/>
                    </w:rPr>
                  </w:pPr>
                  <w:r>
                    <w:rPr>
                      <w:color w:val="231F20"/>
                      <w:w w:val="100"/>
                      <w:sz w:val="16"/>
                    </w:rPr>
                    <w:t>1996</w:t>
                  </w:r>
                </w:p>
                <w:p>
                  <w:pPr>
                    <w:spacing w:before="41"/>
                    <w:ind w:left="20" w:right="0" w:firstLine="0"/>
                    <w:jc w:val="left"/>
                    <w:rPr>
                      <w:sz w:val="16"/>
                    </w:rPr>
                  </w:pPr>
                  <w:r>
                    <w:rPr>
                      <w:color w:val="231F20"/>
                      <w:w w:val="100"/>
                      <w:sz w:val="16"/>
                    </w:rPr>
                    <w:t>1997</w:t>
                  </w:r>
                </w:p>
                <w:p>
                  <w:pPr>
                    <w:spacing w:before="42"/>
                    <w:ind w:left="20" w:right="0" w:firstLine="0"/>
                    <w:jc w:val="left"/>
                    <w:rPr>
                      <w:sz w:val="16"/>
                    </w:rPr>
                  </w:pPr>
                  <w:r>
                    <w:rPr>
                      <w:color w:val="231F20"/>
                      <w:w w:val="100"/>
                      <w:sz w:val="16"/>
                    </w:rPr>
                    <w:t>1998</w:t>
                  </w:r>
                </w:p>
                <w:p>
                  <w:pPr>
                    <w:spacing w:before="41"/>
                    <w:ind w:left="20" w:right="0" w:firstLine="0"/>
                    <w:jc w:val="left"/>
                    <w:rPr>
                      <w:sz w:val="16"/>
                    </w:rPr>
                  </w:pPr>
                  <w:r>
                    <w:rPr>
                      <w:color w:val="231F20"/>
                      <w:w w:val="100"/>
                      <w:sz w:val="16"/>
                    </w:rPr>
                    <w:t>1999</w:t>
                  </w:r>
                </w:p>
                <w:p>
                  <w:pPr>
                    <w:spacing w:before="42"/>
                    <w:ind w:left="20" w:right="0" w:firstLine="0"/>
                    <w:jc w:val="left"/>
                    <w:rPr>
                      <w:sz w:val="16"/>
                    </w:rPr>
                  </w:pPr>
                  <w:r>
                    <w:rPr>
                      <w:color w:val="231F20"/>
                      <w:w w:val="100"/>
                      <w:sz w:val="16"/>
                    </w:rPr>
                    <w:t>2000</w:t>
                  </w:r>
                </w:p>
                <w:p>
                  <w:pPr>
                    <w:spacing w:before="41"/>
                    <w:ind w:left="20" w:right="0" w:firstLine="0"/>
                    <w:jc w:val="left"/>
                    <w:rPr>
                      <w:sz w:val="16"/>
                    </w:rPr>
                  </w:pPr>
                  <w:r>
                    <w:rPr>
                      <w:color w:val="231F20"/>
                      <w:w w:val="100"/>
                      <w:sz w:val="16"/>
                    </w:rPr>
                    <w:t>2001</w:t>
                  </w:r>
                </w:p>
                <w:p>
                  <w:pPr>
                    <w:spacing w:before="42"/>
                    <w:ind w:left="20" w:right="0" w:firstLine="0"/>
                    <w:jc w:val="left"/>
                    <w:rPr>
                      <w:sz w:val="16"/>
                    </w:rPr>
                  </w:pPr>
                  <w:r>
                    <w:rPr>
                      <w:color w:val="231F20"/>
                      <w:w w:val="100"/>
                      <w:sz w:val="16"/>
                    </w:rPr>
                    <w:t>2002</w:t>
                  </w:r>
                </w:p>
                <w:p>
                  <w:pPr>
                    <w:spacing w:before="41"/>
                    <w:ind w:left="20" w:right="0" w:firstLine="0"/>
                    <w:jc w:val="left"/>
                    <w:rPr>
                      <w:sz w:val="16"/>
                    </w:rPr>
                  </w:pPr>
                  <w:r>
                    <w:rPr>
                      <w:color w:val="231F20"/>
                      <w:w w:val="100"/>
                      <w:sz w:val="16"/>
                    </w:rPr>
                    <w:t>2003</w:t>
                  </w:r>
                </w:p>
                <w:p>
                  <w:pPr>
                    <w:spacing w:before="42"/>
                    <w:ind w:left="20" w:right="0" w:firstLine="0"/>
                    <w:jc w:val="left"/>
                    <w:rPr>
                      <w:sz w:val="16"/>
                    </w:rPr>
                  </w:pPr>
                  <w:r>
                    <w:rPr>
                      <w:color w:val="231F20"/>
                      <w:w w:val="100"/>
                      <w:sz w:val="16"/>
                    </w:rPr>
                    <w:t>2004</w:t>
                  </w:r>
                </w:p>
                <w:p>
                  <w:pPr>
                    <w:spacing w:before="41"/>
                    <w:ind w:left="20" w:right="0" w:firstLine="0"/>
                    <w:jc w:val="left"/>
                    <w:rPr>
                      <w:sz w:val="16"/>
                    </w:rPr>
                  </w:pPr>
                  <w:r>
                    <w:rPr>
                      <w:color w:val="231F20"/>
                      <w:w w:val="100"/>
                      <w:sz w:val="16"/>
                    </w:rPr>
                    <w:t>2005</w:t>
                  </w:r>
                </w:p>
                <w:p>
                  <w:pPr>
                    <w:spacing w:before="42"/>
                    <w:ind w:left="20" w:right="0" w:firstLine="0"/>
                    <w:jc w:val="left"/>
                    <w:rPr>
                      <w:sz w:val="16"/>
                    </w:rPr>
                  </w:pPr>
                  <w:r>
                    <w:rPr>
                      <w:color w:val="231F20"/>
                      <w:spacing w:val="-1"/>
                      <w:w w:val="100"/>
                      <w:sz w:val="16"/>
                    </w:rPr>
                    <w:t>200</w:t>
                  </w:r>
                  <w:r>
                    <w:rPr>
                      <w:color w:val="231F20"/>
                      <w:w w:val="100"/>
                      <w:sz w:val="16"/>
                    </w:rPr>
                    <w:t>6</w:t>
                  </w:r>
                </w:p>
                <w:p>
                  <w:pPr>
                    <w:spacing w:before="41"/>
                    <w:ind w:left="20" w:right="0" w:firstLine="0"/>
                    <w:jc w:val="left"/>
                    <w:rPr>
                      <w:sz w:val="16"/>
                    </w:rPr>
                  </w:pPr>
                  <w:r>
                    <w:rPr>
                      <w:color w:val="231F20"/>
                      <w:w w:val="100"/>
                      <w:sz w:val="16"/>
                    </w:rPr>
                    <w:t>2007</w:t>
                  </w:r>
                </w:p>
                <w:p>
                  <w:pPr>
                    <w:spacing w:before="41"/>
                    <w:ind w:left="20" w:right="0" w:firstLine="0"/>
                    <w:jc w:val="left"/>
                    <w:rPr>
                      <w:sz w:val="16"/>
                    </w:rPr>
                  </w:pPr>
                  <w:r>
                    <w:rPr>
                      <w:color w:val="231F20"/>
                      <w:w w:val="100"/>
                      <w:sz w:val="16"/>
                    </w:rPr>
                    <w:t>2008</w:t>
                  </w:r>
                </w:p>
              </w:txbxContent>
            </v:textbox>
            <w10:wrap type="none"/>
          </v:shape>
        </w:pict>
      </w:r>
      <w:r>
        <w:rPr>
          <w:color w:val="231F20"/>
          <w:w w:val="100"/>
          <w:sz w:val="16"/>
        </w:rPr>
        <w:t>0</w:t>
      </w:r>
    </w:p>
    <w:p>
      <w:pPr>
        <w:pStyle w:val="BodyText"/>
        <w:spacing w:before="5"/>
        <w:rPr>
          <w:sz w:val="25"/>
        </w:rPr>
      </w:pPr>
    </w:p>
    <w:p>
      <w:pPr>
        <w:spacing w:before="75"/>
        <w:ind w:left="3946" w:right="3472" w:firstLine="0"/>
        <w:jc w:val="center"/>
        <w:rPr>
          <w:b/>
          <w:sz w:val="16"/>
        </w:rPr>
      </w:pPr>
      <w:r>
        <w:rPr>
          <w:b/>
          <w:color w:val="231F20"/>
          <w:sz w:val="16"/>
        </w:rPr>
        <w:t>Año</w:t>
      </w:r>
    </w:p>
    <w:p>
      <w:pPr>
        <w:tabs>
          <w:tab w:pos="1452" w:val="left" w:leader="none"/>
        </w:tabs>
        <w:spacing w:before="118"/>
        <w:ind w:left="246" w:right="0" w:firstLine="0"/>
        <w:jc w:val="center"/>
        <w:rPr>
          <w:sz w:val="16"/>
        </w:rPr>
      </w:pPr>
      <w:r>
        <w:rPr/>
        <w:pict>
          <v:line style="position:absolute;mso-position-horizontal-relative:page;mso-position-vertical-relative:paragraph;z-index:6664" from="238.067795pt,11.229202pt" to="260.387795pt,11.229202pt" stroked="true" strokeweight="2.16pt" strokecolor="#231f20">
            <w10:wrap type="none"/>
          </v:line>
        </w:pict>
      </w:r>
      <w:r>
        <w:rPr/>
        <w:pict>
          <v:shape style="position:absolute;margin-left:298.355804pt;margin-top:10.149202pt;width:17.3pt;height:2.2pt;mso-position-horizontal-relative:page;mso-position-vertical-relative:paragraph;z-index:-490216" coordorigin="5967,203" coordsize="346,44" path="m6130,203l5977,203,5967,213,5967,237,5977,246,6130,246,6140,237,6140,213,6130,203xm6303,203l6279,203,6270,213,6270,237,6279,246,6303,246,6313,237,6313,213,6303,203xe" filled="true" fillcolor="#231f20" stroked="false">
            <v:path arrowok="t"/>
            <v:fill type="solid"/>
            <w10:wrap type="none"/>
          </v:shape>
        </w:pict>
      </w:r>
      <w:r>
        <w:rPr>
          <w:color w:val="231F20"/>
          <w:sz w:val="16"/>
        </w:rPr>
        <w:t>Nacional</w:t>
        <w:tab/>
        <w:t>México</w:t>
      </w:r>
    </w:p>
    <w:p>
      <w:pPr>
        <w:spacing w:before="150"/>
        <w:ind w:left="2695" w:right="2503" w:firstLine="0"/>
        <w:jc w:val="left"/>
        <w:rPr>
          <w:sz w:val="18"/>
        </w:rPr>
      </w:pPr>
      <w:r>
        <w:rPr>
          <w:color w:val="231F20"/>
          <w:sz w:val="18"/>
        </w:rPr>
        <w:t>Figura 1.      Producción (toneladas) de trucha arcoíris en México por etapa de desarrollo.</w:t>
      </w:r>
    </w:p>
    <w:p>
      <w:pPr>
        <w:pStyle w:val="BodyText"/>
      </w:pPr>
    </w:p>
    <w:p>
      <w:pPr>
        <w:spacing w:after="0"/>
        <w:sectPr>
          <w:pgSz w:w="11900" w:h="14450"/>
          <w:pgMar w:header="0" w:footer="222" w:top="420" w:bottom="420" w:left="0" w:right="0"/>
        </w:sectPr>
      </w:pPr>
    </w:p>
    <w:p>
      <w:pPr>
        <w:pStyle w:val="BodyText"/>
        <w:spacing w:before="10"/>
        <w:rPr>
          <w:sz w:val="19"/>
        </w:rPr>
      </w:pPr>
    </w:p>
    <w:p>
      <w:pPr>
        <w:pStyle w:val="BodyText"/>
        <w:spacing w:line="264" w:lineRule="auto" w:before="1"/>
        <w:ind w:left="1553"/>
        <w:jc w:val="both"/>
      </w:pPr>
      <w:r>
        <w:rPr>
          <w:color w:val="231F20"/>
        </w:rPr>
        <w:t>el concepto de la actividad como una alternativa alimenticia al de una fuente de diversificación para otras actividades productivas, como agricultura,</w:t>
      </w:r>
      <w:r>
        <w:rPr>
          <w:color w:val="231F20"/>
          <w:spacing w:val="-27"/>
        </w:rPr>
        <w:t> </w:t>
      </w:r>
      <w:r>
        <w:rPr>
          <w:color w:val="231F20"/>
        </w:rPr>
        <w:t>ga- nadería e incluso tala en pequeña  </w:t>
      </w:r>
      <w:r>
        <w:rPr>
          <w:color w:val="231F20"/>
          <w:spacing w:val="10"/>
        </w:rPr>
        <w:t> </w:t>
      </w:r>
      <w:r>
        <w:rPr>
          <w:color w:val="231F20"/>
        </w:rPr>
        <w:t>escala.</w:t>
      </w:r>
    </w:p>
    <w:p>
      <w:pPr>
        <w:pStyle w:val="BodyText"/>
        <w:spacing w:line="264" w:lineRule="auto" w:before="114"/>
        <w:ind w:left="1553"/>
        <w:jc w:val="both"/>
      </w:pPr>
      <w:r>
        <w:rPr>
          <w:color w:val="231F20"/>
        </w:rPr>
        <w:t>Según Subasinghe </w:t>
      </w:r>
      <w:r>
        <w:rPr>
          <w:rFonts w:ascii="Cambria" w:hAnsi="Cambria"/>
          <w:i/>
          <w:color w:val="231F20"/>
        </w:rPr>
        <w:t>et al. </w:t>
      </w:r>
      <w:r>
        <w:rPr>
          <w:color w:val="231F20"/>
        </w:rPr>
        <w:t>(2001), el éxito y el cre- cimiento de la acuicultura se deben al cambio de percepción de la actividad. En la truticultura, este cambio se reflejó directamente en el primer au- mento de la producción, pasando de 84 toneladas en 1983, producidas en siete unidades de produc- ción trutícola, a </w:t>
      </w:r>
      <w:r>
        <w:rPr>
          <w:color w:val="231F20"/>
          <w:spacing w:val="-5"/>
        </w:rPr>
        <w:t>1783 </w:t>
      </w:r>
      <w:r>
        <w:rPr>
          <w:color w:val="231F20"/>
        </w:rPr>
        <w:t>en 1995, ya con </w:t>
      </w:r>
      <w:r>
        <w:rPr>
          <w:color w:val="231F20"/>
          <w:spacing w:val="-3"/>
        </w:rPr>
        <w:t>100 </w:t>
      </w:r>
      <w:r>
        <w:rPr>
          <w:color w:val="231F20"/>
        </w:rPr>
        <w:t>uni- dades de producción trutícola establecidas, lo que supone un crecimiento del </w:t>
      </w:r>
      <w:r>
        <w:rPr>
          <w:color w:val="231F20"/>
          <w:spacing w:val="-3"/>
        </w:rPr>
        <w:t>140% </w:t>
      </w:r>
      <w:r>
        <w:rPr>
          <w:color w:val="231F20"/>
        </w:rPr>
        <w:t>y del </w:t>
      </w:r>
      <w:r>
        <w:rPr>
          <w:color w:val="231F20"/>
          <w:spacing w:val="-3"/>
        </w:rPr>
        <w:t>210%, </w:t>
      </w:r>
      <w:r>
        <w:rPr>
          <w:color w:val="231F20"/>
        </w:rPr>
        <w:t>respectivamente (Fig. 2). Las cifras muestran que, desde el establecimiento de las primeras unidades de producción trutícola, la producción obtenida  por cada una de ellas ha superado ampliamente  las expectativas de autoconsumo para una fami-  lia, con un promedio de </w:t>
      </w:r>
      <w:r>
        <w:rPr>
          <w:color w:val="231F20"/>
          <w:spacing w:val="-5"/>
        </w:rPr>
        <w:t>12 </w:t>
      </w:r>
      <w:r>
        <w:rPr>
          <w:color w:val="231F20"/>
        </w:rPr>
        <w:t>toneladas anuales en </w:t>
      </w:r>
      <w:r>
        <w:rPr>
          <w:color w:val="231F20"/>
          <w:spacing w:val="-3"/>
        </w:rPr>
        <w:t>1983 </w:t>
      </w:r>
      <w:r>
        <w:rPr>
          <w:color w:val="231F20"/>
        </w:rPr>
        <w:t>y llegando hasta las </w:t>
      </w:r>
      <w:r>
        <w:rPr>
          <w:color w:val="231F20"/>
          <w:spacing w:val="-5"/>
        </w:rPr>
        <w:t>17 </w:t>
      </w:r>
      <w:r>
        <w:rPr>
          <w:color w:val="231F20"/>
        </w:rPr>
        <w:t>toneladas en prome- dio  en</w:t>
      </w:r>
      <w:r>
        <w:rPr>
          <w:color w:val="231F20"/>
          <w:spacing w:val="33"/>
        </w:rPr>
        <w:t> </w:t>
      </w:r>
      <w:r>
        <w:rPr>
          <w:color w:val="231F20"/>
        </w:rPr>
        <w:t>1995.</w:t>
      </w:r>
    </w:p>
    <w:p>
      <w:pPr>
        <w:pStyle w:val="BodyText"/>
        <w:spacing w:before="1"/>
        <w:rPr>
          <w:sz w:val="19"/>
        </w:rPr>
      </w:pPr>
      <w:r>
        <w:rPr/>
        <w:br w:type="column"/>
      </w:r>
      <w:r>
        <w:rPr>
          <w:sz w:val="19"/>
        </w:rPr>
      </w:r>
    </w:p>
    <w:p>
      <w:pPr>
        <w:pStyle w:val="BodyText"/>
        <w:spacing w:line="266" w:lineRule="auto"/>
        <w:ind w:left="413" w:right="1551"/>
        <w:jc w:val="both"/>
      </w:pPr>
      <w:r>
        <w:rPr>
          <w:color w:val="231F20"/>
        </w:rPr>
        <w:t>No obstante el crecimiento exponencial de la pro- ducción trutícola en esta primera etapa, existe otro componente determinante para el establecimien- to de la actividad en el Estado: la colindancia con   el Distrito Federal (ciudad más poblada del país) generó un nicho de mercado para un producto nuevo, rápidamente aceptado por los consumido- res (la zona conocida como “La Marquesa” es el principal punto de venta de trucha </w:t>
      </w:r>
      <w:r>
        <w:rPr>
          <w:color w:val="231F20"/>
          <w:spacing w:val="17"/>
        </w:rPr>
        <w:t> </w:t>
      </w:r>
      <w:r>
        <w:rPr>
          <w:color w:val="231F20"/>
        </w:rPr>
        <w:t>preparada).</w:t>
      </w:r>
    </w:p>
    <w:p>
      <w:pPr>
        <w:pStyle w:val="BodyText"/>
        <w:spacing w:line="266" w:lineRule="auto" w:before="112"/>
        <w:ind w:left="413" w:right="1551"/>
        <w:jc w:val="both"/>
      </w:pPr>
      <w:r>
        <w:rPr>
          <w:color w:val="231F20"/>
        </w:rPr>
        <w:t>Durante este periodo se identificaron factores </w:t>
      </w:r>
      <w:r>
        <w:rPr>
          <w:color w:val="231F20"/>
          <w:spacing w:val="-2"/>
        </w:rPr>
        <w:t>que </w:t>
      </w:r>
      <w:r>
        <w:rPr>
          <w:color w:val="231F20"/>
        </w:rPr>
        <w:t>favorecieron</w:t>
      </w:r>
      <w:r>
        <w:rPr>
          <w:color w:val="231F20"/>
          <w:spacing w:val="-14"/>
        </w:rPr>
        <w:t> </w:t>
      </w:r>
      <w:r>
        <w:rPr>
          <w:color w:val="231F20"/>
        </w:rPr>
        <w:t>el</w:t>
      </w:r>
      <w:r>
        <w:rPr>
          <w:color w:val="231F20"/>
          <w:spacing w:val="-14"/>
        </w:rPr>
        <w:t> </w:t>
      </w:r>
      <w:r>
        <w:rPr>
          <w:color w:val="231F20"/>
        </w:rPr>
        <w:t>establecimiento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actividad</w:t>
      </w:r>
      <w:r>
        <w:rPr>
          <w:color w:val="231F20"/>
          <w:spacing w:val="-14"/>
        </w:rPr>
        <w:t> </w:t>
      </w:r>
      <w:r>
        <w:rPr>
          <w:color w:val="231F20"/>
        </w:rPr>
        <w:t>trutí- cola en el Estado, como la continuidad de los apo- yos</w:t>
      </w:r>
      <w:r>
        <w:rPr>
          <w:color w:val="231F20"/>
          <w:spacing w:val="-7"/>
        </w:rPr>
        <w:t> </w:t>
      </w:r>
      <w:r>
        <w:rPr>
          <w:color w:val="231F20"/>
        </w:rPr>
        <w:t>gubernamentales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condiciones</w:t>
      </w:r>
      <w:r>
        <w:rPr>
          <w:color w:val="231F20"/>
          <w:spacing w:val="-7"/>
        </w:rPr>
        <w:t> </w:t>
      </w:r>
      <w:r>
        <w:rPr>
          <w:color w:val="231F20"/>
        </w:rPr>
        <w:t>ambientales necesarias para el desarrollo del cultivo. Sin</w:t>
      </w:r>
      <w:r>
        <w:rPr>
          <w:color w:val="231F20"/>
          <w:spacing w:val="-17"/>
        </w:rPr>
        <w:t> </w:t>
      </w:r>
      <w:r>
        <w:rPr>
          <w:color w:val="231F20"/>
        </w:rPr>
        <w:t>embar- go,</w:t>
      </w:r>
      <w:r>
        <w:rPr>
          <w:color w:val="231F20"/>
          <w:spacing w:val="-9"/>
        </w:rPr>
        <w:t> </w:t>
      </w:r>
      <w:r>
        <w:rPr>
          <w:color w:val="231F20"/>
        </w:rPr>
        <w:t>los</w:t>
      </w:r>
      <w:r>
        <w:rPr>
          <w:color w:val="231F20"/>
          <w:spacing w:val="-9"/>
        </w:rPr>
        <w:t> </w:t>
      </w:r>
      <w:r>
        <w:rPr>
          <w:color w:val="231F20"/>
        </w:rPr>
        <w:t>factores</w:t>
      </w:r>
      <w:r>
        <w:rPr>
          <w:color w:val="231F20"/>
          <w:spacing w:val="-9"/>
        </w:rPr>
        <w:t> </w:t>
      </w:r>
      <w:r>
        <w:rPr>
          <w:color w:val="231F20"/>
        </w:rPr>
        <w:t>clave</w:t>
      </w:r>
      <w:r>
        <w:rPr>
          <w:color w:val="231F20"/>
          <w:spacing w:val="-9"/>
        </w:rPr>
        <w:t> </w:t>
      </w:r>
      <w:r>
        <w:rPr>
          <w:color w:val="231F20"/>
        </w:rPr>
        <w:t>determinantes</w:t>
      </w:r>
      <w:r>
        <w:rPr>
          <w:color w:val="231F20"/>
          <w:spacing w:val="-9"/>
        </w:rPr>
        <w:t> </w:t>
      </w:r>
      <w:r>
        <w:rPr>
          <w:color w:val="231F20"/>
        </w:rPr>
        <w:t>del</w:t>
      </w:r>
      <w:r>
        <w:rPr>
          <w:color w:val="231F20"/>
          <w:spacing w:val="-9"/>
        </w:rPr>
        <w:t> </w:t>
      </w:r>
      <w:r>
        <w:rPr>
          <w:color w:val="231F20"/>
        </w:rPr>
        <w:t>éxito</w:t>
      </w:r>
      <w:r>
        <w:rPr>
          <w:color w:val="231F20"/>
          <w:spacing w:val="-9"/>
        </w:rPr>
        <w:t> </w:t>
      </w:r>
      <w:r>
        <w:rPr>
          <w:color w:val="231F20"/>
          <w:spacing w:val="-2"/>
        </w:rPr>
        <w:t>futuro </w:t>
      </w:r>
      <w:r>
        <w:rPr>
          <w:color w:val="231F20"/>
        </w:rPr>
        <w:t>de la actividad fueron la construcción y la opera- ción de unidades de producción trutícola con fines de diversificación en las actividades productivas de la población, y la incursión de la trucha en un mer- cado nuevo con gran aceptación. No es una coinci- dencia que estos factores se encuentren</w:t>
      </w:r>
      <w:r>
        <w:rPr>
          <w:color w:val="231F20"/>
          <w:spacing w:val="38"/>
        </w:rPr>
        <w:t> </w:t>
      </w:r>
      <w:r>
        <w:rPr>
          <w:color w:val="231F20"/>
        </w:rPr>
        <w:t>presentes</w:t>
      </w:r>
    </w:p>
    <w:p>
      <w:pPr>
        <w:spacing w:after="0" w:line="266"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spacing w:val="-4"/>
          <w:w w:val="130"/>
          <w:sz w:val="22"/>
        </w:rPr>
        <w:t>252</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2"/>
        <w:rPr>
          <w:sz w:val="24"/>
        </w:rPr>
      </w:pPr>
    </w:p>
    <w:p>
      <w:pPr>
        <w:tabs>
          <w:tab w:pos="8769" w:val="left" w:leader="none"/>
        </w:tabs>
        <w:spacing w:before="69"/>
        <w:ind w:left="2751" w:right="2503" w:firstLine="0"/>
        <w:jc w:val="left"/>
        <w:rPr>
          <w:sz w:val="16"/>
        </w:rPr>
      </w:pPr>
      <w:r>
        <w:rPr/>
        <w:pict>
          <v:group style="position:absolute;margin-left:158.335098pt;margin-top:8.499758pt;width:275.6pt;height:162.8pt;mso-position-horizontal-relative:page;mso-position-vertical-relative:paragraph;z-index:-490144" coordorigin="3167,170" coordsize="5512,3256">
            <v:shape style="position:absolute;left:0;top:12700;width:5398;height:2" coordorigin="0,12700" coordsize="5398,0" path="m8550,2913l8621,2913m8316,2913l8456,2913m8082,2913l8222,2913m7846,2913l7988,2913m7611,2913l7752,2913m7377,2913l7517,2913m7143,2913l7283,2913m6909,2913l7049,2913m6672,2913l6815,2913m6438,2913l6580,2913m6204,2913l6344,2913m5970,2913l6110,2913m5735,2913l5876,2913m5499,2913l5641,2913m5265,2913l5407,2913m5031,2913l5171,2913m4562,2913l4937,2913m4092,2913l4468,2913m3858,2913l3998,2913m3623,2913l3764,2913m3224,2913l3529,2913e" filled="false" stroked="true" strokeweight=".72pt" strokecolor="#989a9d">
              <v:path arrowok="t"/>
            </v:shape>
            <v:line style="position:absolute" from="3576,2685" to="3576,3369" stroked="true" strokeweight="4.704pt" strokecolor="#b2b4b6"/>
            <v:line style="position:absolute" from="3224,2457" to="4937,2457" stroked="true" strokeweight=".72pt" strokecolor="#989a9d"/>
            <v:shape style="position:absolute;left:3811;top:2457;width:235;height:912" coordorigin="3811,2457" coordsize="235,912" path="m3811,2457l3811,3369m4045,2457l4045,3369e" filled="false" stroked="true" strokeweight="4.704pt" strokecolor="#b2b4b6">
              <v:path arrowok="t"/>
            </v:shape>
            <v:line style="position:absolute" from="4280,3140" to="4280,3369" stroked="true" strokeweight="4.608pt" strokecolor="#b2b4b6"/>
            <v:line style="position:absolute" from="4515,2685" to="4515,3369" stroked="true" strokeweight="4.704pt" strokecolor="#b2b4b6"/>
            <v:line style="position:absolute" from="5031,2457" to="5407,2457" stroked="true" strokeweight=".72pt" strokecolor="#989a9d"/>
            <v:shape style="position:absolute;left:4984;top:2228;width:235;height:1141" coordorigin="4984,2228" coordsize="235,1141" path="m4984,2228l4984,3369m5218,2457l5218,3369e" filled="false" stroked="true" strokeweight="4.704pt" strokecolor="#b2b4b6">
              <v:path arrowok="t"/>
            </v:shape>
            <v:line style="position:absolute" from="5499,2457" to="5641,2457" stroked="true" strokeweight=".72pt" strokecolor="#989a9d"/>
            <v:line style="position:absolute" from="5453,2228" to="5453,3369" stroked="true" strokeweight="4.608pt" strokecolor="#b2b4b6"/>
            <v:shape style="position:absolute;left:0;top:11788;width:2652;height:456" coordorigin="0,11788" coordsize="2652,456" path="m5735,2457l5876,2457m5735,2002l5876,2002m3224,2002l5641,2002e" filled="false" stroked="true" strokeweight=".72pt" strokecolor="#989a9d">
              <v:path arrowok="t"/>
            </v:shape>
            <v:line style="position:absolute" from="5688,1773" to="5688,3369" stroked="true" strokeweight="4.704pt" strokecolor="#b2b4b6"/>
            <v:shape style="position:absolute;left:0;top:11331;width:4294;height:912" coordorigin="0,11331" coordsize="4294,912" path="m5970,2457l6110,2457m5970,2002l6110,2002m5970,1545l7517,1545m3224,1545l5876,1545e" filled="false" stroked="true" strokeweight=".72pt" strokecolor="#989a9d">
              <v:path arrowok="t"/>
            </v:shape>
            <v:line style="position:absolute" from="5923,1316" to="5923,3369" stroked="true" strokeweight="4.704pt" strokecolor="#b2b4b6"/>
            <v:shape style="position:absolute;left:2980;top:11788;width:1314;height:456" coordorigin="2980,11788" coordsize="1314,456" path="m6204,2457l6344,2457m6204,2002l7517,2002e" filled="false" stroked="true" strokeweight=".72pt" strokecolor="#989a9d">
              <v:path arrowok="t"/>
            </v:shape>
            <v:line style="position:absolute" from="6157,1545" to="6157,3369" stroked="true" strokeweight="4.704pt" strokecolor="#b2b4b6"/>
            <v:line style="position:absolute" from="6438,2457" to="6580,2457" stroked="true" strokeweight=".72pt" strokecolor="#989a9d"/>
            <v:line style="position:absolute" from="6391,2228" to="6391,3369" stroked="true" strokeweight="4.705pt" strokecolor="#b2b4b6"/>
            <v:line style="position:absolute" from="6672,2457" to="6815,2457" stroked="true" strokeweight=".72pt" strokecolor="#989a9d"/>
            <v:line style="position:absolute" from="6626,2228" to="6626,3369" stroked="true" strokeweight="4.607pt" strokecolor="#b2b4b6"/>
            <v:line style="position:absolute" from="6909,2457" to="7049,2457" stroked="true" strokeweight=".72pt" strokecolor="#989a9d"/>
            <v:line style="position:absolute" from="6862,2002" to="6862,3369" stroked="true" strokeweight="4.706pt" strokecolor="#b2b4b6"/>
            <v:line style="position:absolute" from="7143,2457" to="7517,2457" stroked="true" strokeweight=".72pt" strokecolor="#989a9d"/>
            <v:shape style="position:absolute;left:7096;top:2228;width:235;height:1141" coordorigin="7096,2228" coordsize="235,1141" path="m7096,2228l7096,3369m7330,2457l7330,3369e" filled="false" stroked="true" strokeweight="4.704pt" strokecolor="#b2b4b6">
              <v:path arrowok="t"/>
            </v:shape>
            <v:shape style="position:absolute;left:0;top:10876;width:4764;height:1368" coordorigin="0,10876" coordsize="4764,1368" path="m7611,2457l7752,2457m7611,2002l7752,2002m7611,1545l7988,1545m3224,1090l7988,1090e" filled="false" stroked="true" strokeweight=".72pt" strokecolor="#989a9d">
              <v:path arrowok="t"/>
            </v:shape>
            <v:line style="position:absolute" from="7564,1090" to="7564,3369" stroked="true" strokeweight="4.705pt" strokecolor="#b2b4b6"/>
            <v:shape style="position:absolute;left:4621;top:11788;width:143;height:456" coordorigin="4621,11788" coordsize="143,456" path="m7846,2457l7988,2457m7846,2002l7988,2002e" filled="false" stroked="true" strokeweight=".72pt" strokecolor="#989a9d">
              <v:path arrowok="t"/>
            </v:shape>
            <v:line style="position:absolute" from="7799,1545" to="7799,3369" stroked="true" strokeweight="4.703pt" strokecolor="#b2b4b6"/>
            <v:shape style="position:absolute;left:0;top:10419;width:5398;height:1824" coordorigin="0,10419" coordsize="5398,1824" path="m8082,2457l8222,2457m8082,2002l8222,2002m8082,1545l8222,1545m8082,1090l8456,1090m3224,633l8621,633e" filled="false" stroked="true" strokeweight=".72pt" strokecolor="#989a9d">
              <v:path arrowok="t"/>
            </v:shape>
            <v:line style="position:absolute" from="8035,633" to="8035,3369" stroked="true" strokeweight="4.705pt" strokecolor="#b2b4b6"/>
            <v:shape style="position:absolute;left:5092;top:11331;width:141;height:912" coordorigin="5092,11331" coordsize="141,912" path="m8316,2457l8456,2457m8316,2002l8456,2002m8316,1545l8456,1545e" filled="false" stroked="true" strokeweight=".72pt" strokecolor="#989a9d">
              <v:path arrowok="t"/>
            </v:shape>
            <v:line style="position:absolute" from="8269,1316" to="8269,3369" stroked="true" strokeweight="4.703pt" strokecolor="#b2b4b6"/>
            <v:shape style="position:absolute;left:5326;top:10876;width:71;height:1368" coordorigin="5326,10876" coordsize="71,1368" path="m8550,2457l8621,2457m8550,2002l8621,2002m8550,1545l8621,1545m8550,1090l8621,1090e" filled="false" stroked="true" strokeweight=".72pt" strokecolor="#989a9d">
              <v:path arrowok="t"/>
            </v:shape>
            <v:line style="position:absolute" from="8503,633" to="8503,3369" stroked="true" strokeweight="4.704pt" strokecolor="#b2b4b6"/>
            <v:line style="position:absolute" from="3224,177" to="8621,177" stroked="true" strokeweight=".72pt" strokecolor="#989a9d"/>
            <v:shape style="position:absolute;left:-5447;top:9509;width:5497;height:3241" coordorigin="-5447,9509" coordsize="5497,3241" path="m8621,3369l8621,177m8621,3369l8671,3369m8621,2913l8671,2913m8621,2457l8671,2457m8621,2002l8671,2002m8621,1545l8671,1545m8621,1090l8671,1090m8621,633l8671,633m8621,177l8671,177m3224,3369l3224,177m3174,3369l3224,3369m3174,2913l3224,2913m3174,2457l3224,2457m3174,2002l3224,2002m3174,1545l3224,1545m3174,1090l3224,1090m3174,633l3224,633m3174,177l3224,177m3224,3369l8621,3369m3224,3369l3224,3418m3458,3369l3458,3418m3695,3369l3695,3418m3929,3369l3929,3418m4163,3369l4163,3418m4397,3369l4397,3418m4632,3369l4632,3418m4868,3369l4868,3418m5102,3369l5102,3418m5336,3369l5336,3418m5570,3369l5570,3418m5805,3369l5805,3418m6039,3369l6039,3418m6275,3369l6275,3418m6509,3369l6509,3418m6744,3369l6744,3418m6978,3369l6978,3418m7212,3369l7212,3418m7448,3369l7448,3418m7682,3369l7682,3418m7917,3369l7917,3418m8151,3369l8151,3418m8385,3369l8385,3418m8621,3369l8621,3418e" filled="false" stroked="true" strokeweight=".72pt" strokecolor="#989a9d">
              <v:path arrowok="t"/>
            </v:shape>
            <v:shape style="position:absolute;left:3341;top:450;width:5161;height:2842" coordorigin="3341,450" coordsize="5161,2842" path="m3341,3292l3575,3274,3812,3221,4046,3198,4280,3044,4514,2919,4749,2994,4985,3017,5219,2902,5453,2915,5687,2443,5922,2220,6158,1742,6392,2170,6626,3042,6861,2908,7095,2234,7331,2320,7565,1777,7799,1531,8034,1383,8268,450,8502,1282e" filled="false" stroked="true" strokeweight="2.16pt" strokecolor="#231f20">
              <v:path arrowok="t"/>
            </v:shape>
            <w10:wrap type="none"/>
          </v:group>
        </w:pict>
      </w:r>
      <w:r>
        <w:rPr>
          <w:color w:val="231F20"/>
          <w:sz w:val="16"/>
        </w:rPr>
        <w:t>3500</w:t>
        <w:tab/>
        <w:t>14</w:t>
      </w:r>
    </w:p>
    <w:p>
      <w:pPr>
        <w:pStyle w:val="BodyText"/>
        <w:spacing w:before="8"/>
        <w:rPr>
          <w:sz w:val="15"/>
        </w:rPr>
      </w:pPr>
    </w:p>
    <w:p>
      <w:pPr>
        <w:tabs>
          <w:tab w:pos="8769" w:val="left" w:leader="none"/>
        </w:tabs>
        <w:spacing w:before="69"/>
        <w:ind w:left="2751" w:right="2503" w:firstLine="0"/>
        <w:jc w:val="left"/>
        <w:rPr>
          <w:sz w:val="16"/>
        </w:rPr>
      </w:pPr>
      <w:r>
        <w:rPr>
          <w:color w:val="231F20"/>
          <w:sz w:val="16"/>
        </w:rPr>
        <w:t>3000</w:t>
        <w:tab/>
        <w:t>12</w:t>
      </w:r>
    </w:p>
    <w:p>
      <w:pPr>
        <w:pStyle w:val="BodyText"/>
        <w:spacing w:before="8"/>
        <w:rPr>
          <w:sz w:val="15"/>
        </w:rPr>
      </w:pPr>
    </w:p>
    <w:p>
      <w:pPr>
        <w:tabs>
          <w:tab w:pos="8769" w:val="left" w:leader="none"/>
        </w:tabs>
        <w:spacing w:before="70"/>
        <w:ind w:left="2751" w:right="2503" w:firstLine="0"/>
        <w:jc w:val="left"/>
        <w:rPr>
          <w:sz w:val="16"/>
        </w:rPr>
      </w:pPr>
      <w:r>
        <w:rPr/>
        <w:pict>
          <v:shape style="position:absolute;margin-left:449.24588pt;margin-top:10.067170pt;width:10pt;height:65.55pt;mso-position-horizontal-relative:page;mso-position-vertical-relative:paragraph;z-index:6880" type="#_x0000_t202" filled="false" stroked="false">
            <v:textbox inset="0,0,0,0" style="layout-flow:vertical;mso-layout-flow-alt:bottom-to-top">
              <w:txbxContent>
                <w:p>
                  <w:pPr>
                    <w:spacing w:line="190" w:lineRule="exact" w:before="0"/>
                    <w:ind w:left="20" w:right="-388" w:firstLine="0"/>
                    <w:jc w:val="left"/>
                    <w:rPr>
                      <w:b/>
                      <w:sz w:val="16"/>
                    </w:rPr>
                  </w:pPr>
                  <w:r>
                    <w:rPr>
                      <w:b/>
                      <w:color w:val="231F20"/>
                      <w:w w:val="100"/>
                      <w:sz w:val="16"/>
                    </w:rPr>
                    <w:t>Número</w:t>
                  </w:r>
                  <w:r>
                    <w:rPr>
                      <w:b/>
                      <w:color w:val="231F20"/>
                      <w:spacing w:val="-6"/>
                      <w:sz w:val="16"/>
                    </w:rPr>
                    <w:t> </w:t>
                  </w:r>
                  <w:r>
                    <w:rPr>
                      <w:b/>
                      <w:color w:val="231F20"/>
                      <w:w w:val="102"/>
                      <w:sz w:val="16"/>
                    </w:rPr>
                    <w:t>de</w:t>
                  </w:r>
                  <w:r>
                    <w:rPr>
                      <w:b/>
                      <w:color w:val="231F20"/>
                      <w:spacing w:val="-4"/>
                      <w:sz w:val="16"/>
                    </w:rPr>
                    <w:t> </w:t>
                  </w:r>
                  <w:r>
                    <w:rPr>
                      <w:b/>
                      <w:color w:val="231F20"/>
                      <w:spacing w:val="-1"/>
                      <w:w w:val="101"/>
                      <w:sz w:val="16"/>
                    </w:rPr>
                    <w:t>granjas</w:t>
                  </w:r>
                </w:p>
              </w:txbxContent>
            </v:textbox>
            <w10:wrap type="none"/>
          </v:shape>
        </w:pict>
      </w:r>
      <w:r>
        <w:rPr>
          <w:color w:val="231F20"/>
          <w:sz w:val="16"/>
        </w:rPr>
        <w:t>2500</w:t>
        <w:tab/>
        <w:t>10</w:t>
      </w:r>
    </w:p>
    <w:p>
      <w:pPr>
        <w:pStyle w:val="BodyText"/>
        <w:spacing w:before="8"/>
        <w:rPr>
          <w:sz w:val="15"/>
        </w:rPr>
      </w:pPr>
    </w:p>
    <w:p>
      <w:pPr>
        <w:tabs>
          <w:tab w:pos="8769" w:val="left" w:leader="none"/>
        </w:tabs>
        <w:spacing w:before="69"/>
        <w:ind w:left="2751" w:right="2503" w:firstLine="0"/>
        <w:jc w:val="left"/>
        <w:rPr>
          <w:sz w:val="16"/>
        </w:rPr>
      </w:pPr>
      <w:r>
        <w:rPr/>
        <w:pict>
          <v:shape style="position:absolute;margin-left:125.646294pt;margin-top:-9.677813pt;width:10pt;height:59.15pt;mso-position-horizontal-relative:page;mso-position-vertical-relative:paragraph;z-index:6832" type="#_x0000_t202" filled="false" stroked="false">
            <v:textbox inset="0,0,0,0" style="layout-flow:vertical;mso-layout-flow-alt:bottom-to-top">
              <w:txbxContent>
                <w:p>
                  <w:pPr>
                    <w:spacing w:line="190" w:lineRule="exact" w:before="0"/>
                    <w:ind w:left="20" w:right="-602" w:firstLine="0"/>
                    <w:jc w:val="left"/>
                    <w:rPr>
                      <w:b/>
                      <w:sz w:val="16"/>
                    </w:rPr>
                  </w:pPr>
                  <w:r>
                    <w:rPr>
                      <w:b/>
                      <w:color w:val="231F20"/>
                      <w:w w:val="102"/>
                      <w:sz w:val="16"/>
                    </w:rPr>
                    <w:t>Producción</w:t>
                  </w:r>
                  <w:r>
                    <w:rPr>
                      <w:b/>
                      <w:color w:val="231F20"/>
                      <w:spacing w:val="-6"/>
                      <w:sz w:val="16"/>
                    </w:rPr>
                    <w:t> </w:t>
                  </w:r>
                  <w:r>
                    <w:rPr>
                      <w:b/>
                      <w:color w:val="231F20"/>
                      <w:w w:val="98"/>
                      <w:sz w:val="16"/>
                    </w:rPr>
                    <w:t>(Ton)</w:t>
                  </w:r>
                </w:p>
              </w:txbxContent>
            </v:textbox>
            <w10:wrap type="none"/>
          </v:shape>
        </w:pict>
      </w:r>
      <w:r>
        <w:rPr>
          <w:color w:val="231F20"/>
          <w:sz w:val="16"/>
        </w:rPr>
        <w:t>2000</w:t>
        <w:tab/>
        <w:t>8</w:t>
      </w:r>
    </w:p>
    <w:p>
      <w:pPr>
        <w:pStyle w:val="BodyText"/>
        <w:spacing w:before="8"/>
        <w:rPr>
          <w:sz w:val="15"/>
        </w:rPr>
      </w:pPr>
    </w:p>
    <w:p>
      <w:pPr>
        <w:tabs>
          <w:tab w:pos="8769" w:val="left" w:leader="none"/>
        </w:tabs>
        <w:spacing w:before="69"/>
        <w:ind w:left="2751" w:right="2503" w:firstLine="0"/>
        <w:jc w:val="left"/>
        <w:rPr>
          <w:sz w:val="16"/>
        </w:rPr>
      </w:pPr>
      <w:r>
        <w:rPr>
          <w:color w:val="231F20"/>
          <w:sz w:val="16"/>
        </w:rPr>
        <w:t>1500</w:t>
        <w:tab/>
        <w:t>6</w:t>
      </w:r>
    </w:p>
    <w:p>
      <w:pPr>
        <w:pStyle w:val="BodyText"/>
        <w:spacing w:before="8"/>
        <w:rPr>
          <w:sz w:val="15"/>
        </w:rPr>
      </w:pPr>
    </w:p>
    <w:p>
      <w:pPr>
        <w:tabs>
          <w:tab w:pos="8769" w:val="left" w:leader="none"/>
        </w:tabs>
        <w:spacing w:before="69"/>
        <w:ind w:left="2751" w:right="2503" w:firstLine="0"/>
        <w:jc w:val="left"/>
        <w:rPr>
          <w:sz w:val="16"/>
        </w:rPr>
      </w:pPr>
      <w:r>
        <w:rPr>
          <w:color w:val="231F20"/>
          <w:sz w:val="16"/>
        </w:rPr>
        <w:t>1000</w:t>
        <w:tab/>
        <w:t>4</w:t>
      </w:r>
    </w:p>
    <w:p>
      <w:pPr>
        <w:pStyle w:val="BodyText"/>
        <w:spacing w:before="8"/>
        <w:rPr>
          <w:sz w:val="15"/>
        </w:rPr>
      </w:pPr>
    </w:p>
    <w:p>
      <w:pPr>
        <w:tabs>
          <w:tab w:pos="8769" w:val="left" w:leader="none"/>
        </w:tabs>
        <w:spacing w:before="69"/>
        <w:ind w:left="2832" w:right="2503" w:firstLine="0"/>
        <w:jc w:val="left"/>
        <w:rPr>
          <w:sz w:val="16"/>
        </w:rPr>
      </w:pPr>
      <w:r>
        <w:rPr>
          <w:color w:val="231F20"/>
          <w:sz w:val="16"/>
        </w:rPr>
        <w:t>500</w:t>
        <w:tab/>
        <w:t>2</w:t>
      </w:r>
    </w:p>
    <w:p>
      <w:pPr>
        <w:pStyle w:val="BodyText"/>
        <w:spacing w:before="8"/>
        <w:rPr>
          <w:sz w:val="15"/>
        </w:rPr>
      </w:pPr>
    </w:p>
    <w:p>
      <w:pPr>
        <w:tabs>
          <w:tab w:pos="8769" w:val="left" w:leader="none"/>
        </w:tabs>
        <w:spacing w:before="69"/>
        <w:ind w:left="2994" w:right="2503" w:firstLine="0"/>
        <w:jc w:val="left"/>
        <w:rPr>
          <w:sz w:val="16"/>
        </w:rPr>
      </w:pPr>
      <w:r>
        <w:rPr/>
        <w:pict>
          <v:shape style="position:absolute;margin-left:162.722336pt;margin-top:12.849184pt;width:268.150pt;height:18.25pt;mso-position-horizontal-relative:page;mso-position-vertical-relative:paragraph;z-index:-490048" type="#_x0000_t202" filled="false" stroked="false">
            <v:textbox inset="0,0,0,0" style="layout-flow:vertical;mso-layout-flow-alt:bottom-to-top">
              <w:txbxContent>
                <w:p>
                  <w:pPr>
                    <w:spacing w:line="184" w:lineRule="exact" w:before="0"/>
                    <w:ind w:left="20" w:right="0" w:firstLine="0"/>
                    <w:jc w:val="left"/>
                    <w:rPr>
                      <w:sz w:val="16"/>
                    </w:rPr>
                  </w:pPr>
                  <w:r>
                    <w:rPr>
                      <w:color w:val="231F20"/>
                      <w:w w:val="100"/>
                      <w:sz w:val="16"/>
                    </w:rPr>
                    <w:t>1983</w:t>
                  </w:r>
                </w:p>
                <w:p>
                  <w:pPr>
                    <w:spacing w:before="39"/>
                    <w:ind w:left="20" w:right="0" w:firstLine="0"/>
                    <w:jc w:val="left"/>
                    <w:rPr>
                      <w:sz w:val="16"/>
                    </w:rPr>
                  </w:pPr>
                  <w:r>
                    <w:rPr>
                      <w:color w:val="231F20"/>
                      <w:w w:val="100"/>
                      <w:sz w:val="16"/>
                    </w:rPr>
                    <w:t>1984</w:t>
                  </w:r>
                </w:p>
                <w:p>
                  <w:pPr>
                    <w:spacing w:before="39"/>
                    <w:ind w:left="20" w:right="0" w:firstLine="0"/>
                    <w:jc w:val="left"/>
                    <w:rPr>
                      <w:sz w:val="16"/>
                    </w:rPr>
                  </w:pPr>
                  <w:r>
                    <w:rPr>
                      <w:color w:val="231F20"/>
                      <w:w w:val="100"/>
                      <w:sz w:val="16"/>
                    </w:rPr>
                    <w:t>1985</w:t>
                  </w:r>
                </w:p>
                <w:p>
                  <w:pPr>
                    <w:spacing w:before="39"/>
                    <w:ind w:left="20" w:right="0" w:firstLine="0"/>
                    <w:jc w:val="left"/>
                    <w:rPr>
                      <w:sz w:val="16"/>
                    </w:rPr>
                  </w:pPr>
                  <w:r>
                    <w:rPr>
                      <w:color w:val="231F20"/>
                      <w:w w:val="100"/>
                      <w:sz w:val="16"/>
                    </w:rPr>
                    <w:t>1986</w:t>
                  </w:r>
                </w:p>
                <w:p>
                  <w:pPr>
                    <w:spacing w:before="39"/>
                    <w:ind w:left="20" w:right="0" w:firstLine="0"/>
                    <w:jc w:val="left"/>
                    <w:rPr>
                      <w:sz w:val="16"/>
                    </w:rPr>
                  </w:pPr>
                  <w:r>
                    <w:rPr>
                      <w:color w:val="231F20"/>
                      <w:w w:val="100"/>
                      <w:sz w:val="16"/>
                    </w:rPr>
                    <w:t>1987</w:t>
                  </w:r>
                </w:p>
                <w:p>
                  <w:pPr>
                    <w:spacing w:before="39"/>
                    <w:ind w:left="20" w:right="0" w:firstLine="0"/>
                    <w:jc w:val="left"/>
                    <w:rPr>
                      <w:sz w:val="16"/>
                    </w:rPr>
                  </w:pPr>
                  <w:r>
                    <w:rPr>
                      <w:color w:val="231F20"/>
                      <w:w w:val="100"/>
                      <w:sz w:val="16"/>
                    </w:rPr>
                    <w:t>1988</w:t>
                  </w:r>
                </w:p>
                <w:p>
                  <w:pPr>
                    <w:spacing w:before="39"/>
                    <w:ind w:left="20" w:right="0" w:firstLine="0"/>
                    <w:jc w:val="left"/>
                    <w:rPr>
                      <w:sz w:val="16"/>
                    </w:rPr>
                  </w:pPr>
                  <w:r>
                    <w:rPr>
                      <w:color w:val="231F20"/>
                      <w:w w:val="100"/>
                      <w:sz w:val="16"/>
                    </w:rPr>
                    <w:t>1989</w:t>
                  </w:r>
                </w:p>
                <w:p>
                  <w:pPr>
                    <w:spacing w:before="39"/>
                    <w:ind w:left="20" w:right="0" w:firstLine="0"/>
                    <w:jc w:val="left"/>
                    <w:rPr>
                      <w:sz w:val="16"/>
                    </w:rPr>
                  </w:pPr>
                  <w:r>
                    <w:rPr>
                      <w:color w:val="231F20"/>
                      <w:w w:val="100"/>
                      <w:sz w:val="16"/>
                    </w:rPr>
                    <w:t>1990</w:t>
                  </w:r>
                </w:p>
                <w:p>
                  <w:pPr>
                    <w:spacing w:before="39"/>
                    <w:ind w:left="20" w:right="0" w:firstLine="0"/>
                    <w:jc w:val="left"/>
                    <w:rPr>
                      <w:sz w:val="16"/>
                    </w:rPr>
                  </w:pPr>
                  <w:r>
                    <w:rPr>
                      <w:color w:val="231F20"/>
                      <w:w w:val="100"/>
                      <w:sz w:val="16"/>
                    </w:rPr>
                    <w:t>1991</w:t>
                  </w:r>
                </w:p>
                <w:p>
                  <w:pPr>
                    <w:spacing w:before="39"/>
                    <w:ind w:left="20" w:right="0" w:firstLine="0"/>
                    <w:jc w:val="left"/>
                    <w:rPr>
                      <w:sz w:val="16"/>
                    </w:rPr>
                  </w:pPr>
                  <w:r>
                    <w:rPr>
                      <w:color w:val="231F20"/>
                      <w:w w:val="100"/>
                      <w:sz w:val="16"/>
                    </w:rPr>
                    <w:t>1992</w:t>
                  </w:r>
                </w:p>
                <w:p>
                  <w:pPr>
                    <w:spacing w:before="39"/>
                    <w:ind w:left="20" w:right="0" w:firstLine="0"/>
                    <w:jc w:val="left"/>
                    <w:rPr>
                      <w:sz w:val="16"/>
                    </w:rPr>
                  </w:pPr>
                  <w:r>
                    <w:rPr>
                      <w:color w:val="231F20"/>
                      <w:w w:val="100"/>
                      <w:sz w:val="16"/>
                    </w:rPr>
                    <w:t>1993</w:t>
                  </w:r>
                </w:p>
                <w:p>
                  <w:pPr>
                    <w:spacing w:before="39"/>
                    <w:ind w:left="20" w:right="0" w:firstLine="0"/>
                    <w:jc w:val="left"/>
                    <w:rPr>
                      <w:sz w:val="16"/>
                    </w:rPr>
                  </w:pPr>
                  <w:r>
                    <w:rPr>
                      <w:color w:val="231F20"/>
                      <w:w w:val="100"/>
                      <w:sz w:val="16"/>
                    </w:rPr>
                    <w:t>1994</w:t>
                  </w:r>
                </w:p>
                <w:p>
                  <w:pPr>
                    <w:spacing w:before="39"/>
                    <w:ind w:left="20" w:right="0" w:firstLine="0"/>
                    <w:jc w:val="left"/>
                    <w:rPr>
                      <w:sz w:val="16"/>
                    </w:rPr>
                  </w:pPr>
                  <w:r>
                    <w:rPr>
                      <w:color w:val="231F20"/>
                      <w:w w:val="100"/>
                      <w:sz w:val="16"/>
                    </w:rPr>
                    <w:t>1995</w:t>
                  </w:r>
                </w:p>
                <w:p>
                  <w:pPr>
                    <w:spacing w:before="39"/>
                    <w:ind w:left="20" w:right="0" w:firstLine="0"/>
                    <w:jc w:val="left"/>
                    <w:rPr>
                      <w:sz w:val="16"/>
                    </w:rPr>
                  </w:pPr>
                  <w:r>
                    <w:rPr>
                      <w:color w:val="231F20"/>
                      <w:w w:val="100"/>
                      <w:sz w:val="16"/>
                    </w:rPr>
                    <w:t>1996</w:t>
                  </w:r>
                </w:p>
                <w:p>
                  <w:pPr>
                    <w:spacing w:before="39"/>
                    <w:ind w:left="20" w:right="0" w:firstLine="0"/>
                    <w:jc w:val="left"/>
                    <w:rPr>
                      <w:sz w:val="16"/>
                    </w:rPr>
                  </w:pPr>
                  <w:r>
                    <w:rPr>
                      <w:color w:val="231F20"/>
                      <w:w w:val="100"/>
                      <w:sz w:val="16"/>
                    </w:rPr>
                    <w:t>1997</w:t>
                  </w:r>
                </w:p>
                <w:p>
                  <w:pPr>
                    <w:spacing w:before="39"/>
                    <w:ind w:left="20" w:right="0" w:firstLine="0"/>
                    <w:jc w:val="left"/>
                    <w:rPr>
                      <w:sz w:val="16"/>
                    </w:rPr>
                  </w:pPr>
                  <w:r>
                    <w:rPr>
                      <w:color w:val="231F20"/>
                      <w:w w:val="100"/>
                      <w:sz w:val="16"/>
                    </w:rPr>
                    <w:t>1998</w:t>
                  </w:r>
                </w:p>
                <w:p>
                  <w:pPr>
                    <w:spacing w:before="39"/>
                    <w:ind w:left="20" w:right="0" w:firstLine="0"/>
                    <w:jc w:val="left"/>
                    <w:rPr>
                      <w:sz w:val="16"/>
                    </w:rPr>
                  </w:pPr>
                  <w:r>
                    <w:rPr>
                      <w:color w:val="231F20"/>
                      <w:w w:val="100"/>
                      <w:sz w:val="16"/>
                    </w:rPr>
                    <w:t>1999</w:t>
                  </w:r>
                </w:p>
                <w:p>
                  <w:pPr>
                    <w:spacing w:before="39"/>
                    <w:ind w:left="20" w:right="0" w:firstLine="0"/>
                    <w:jc w:val="left"/>
                    <w:rPr>
                      <w:sz w:val="16"/>
                    </w:rPr>
                  </w:pPr>
                  <w:r>
                    <w:rPr>
                      <w:color w:val="231F20"/>
                      <w:w w:val="100"/>
                      <w:sz w:val="16"/>
                    </w:rPr>
                    <w:t>2000</w:t>
                  </w:r>
                </w:p>
                <w:p>
                  <w:pPr>
                    <w:spacing w:before="39"/>
                    <w:ind w:left="20" w:right="0" w:firstLine="0"/>
                    <w:jc w:val="left"/>
                    <w:rPr>
                      <w:sz w:val="16"/>
                    </w:rPr>
                  </w:pPr>
                  <w:r>
                    <w:rPr>
                      <w:color w:val="231F20"/>
                      <w:w w:val="100"/>
                      <w:sz w:val="16"/>
                    </w:rPr>
                    <w:t>2001</w:t>
                  </w:r>
                </w:p>
                <w:p>
                  <w:pPr>
                    <w:spacing w:before="39"/>
                    <w:ind w:left="20" w:right="0" w:firstLine="0"/>
                    <w:jc w:val="left"/>
                    <w:rPr>
                      <w:sz w:val="16"/>
                    </w:rPr>
                  </w:pPr>
                  <w:r>
                    <w:rPr>
                      <w:color w:val="231F20"/>
                      <w:w w:val="100"/>
                      <w:sz w:val="16"/>
                    </w:rPr>
                    <w:t>2002</w:t>
                  </w:r>
                </w:p>
                <w:p>
                  <w:pPr>
                    <w:spacing w:before="39"/>
                    <w:ind w:left="20" w:right="0" w:firstLine="0"/>
                    <w:jc w:val="left"/>
                    <w:rPr>
                      <w:sz w:val="16"/>
                    </w:rPr>
                  </w:pPr>
                  <w:r>
                    <w:rPr>
                      <w:color w:val="231F20"/>
                      <w:w w:val="100"/>
                      <w:sz w:val="16"/>
                    </w:rPr>
                    <w:t>2003</w:t>
                  </w:r>
                </w:p>
                <w:p>
                  <w:pPr>
                    <w:spacing w:before="39"/>
                    <w:ind w:left="20" w:right="0" w:firstLine="0"/>
                    <w:jc w:val="left"/>
                    <w:rPr>
                      <w:sz w:val="16"/>
                    </w:rPr>
                  </w:pPr>
                  <w:r>
                    <w:rPr>
                      <w:color w:val="231F20"/>
                      <w:w w:val="100"/>
                      <w:sz w:val="16"/>
                    </w:rPr>
                    <w:t>2004</w:t>
                  </w:r>
                </w:p>
                <w:p>
                  <w:pPr>
                    <w:spacing w:before="39"/>
                    <w:ind w:left="20" w:right="0" w:firstLine="0"/>
                    <w:jc w:val="left"/>
                    <w:rPr>
                      <w:sz w:val="16"/>
                    </w:rPr>
                  </w:pPr>
                  <w:r>
                    <w:rPr>
                      <w:color w:val="231F20"/>
                      <w:w w:val="100"/>
                      <w:sz w:val="16"/>
                    </w:rPr>
                    <w:t>2005</w:t>
                  </w:r>
                </w:p>
              </w:txbxContent>
            </v:textbox>
            <w10:wrap type="none"/>
          </v:shape>
        </w:pict>
      </w:r>
      <w:r>
        <w:rPr>
          <w:color w:val="231F20"/>
          <w:sz w:val="16"/>
        </w:rPr>
        <w:t>0</w:t>
        <w:tab/>
        <w:t>0</w:t>
      </w:r>
    </w:p>
    <w:p>
      <w:pPr>
        <w:pStyle w:val="BodyText"/>
        <w:spacing w:before="5"/>
        <w:rPr>
          <w:sz w:val="25"/>
        </w:rPr>
      </w:pPr>
    </w:p>
    <w:p>
      <w:pPr>
        <w:spacing w:before="75"/>
        <w:ind w:left="3904" w:right="3946" w:firstLine="0"/>
        <w:jc w:val="center"/>
        <w:rPr>
          <w:b/>
          <w:sz w:val="16"/>
        </w:rPr>
      </w:pPr>
      <w:r>
        <w:rPr>
          <w:b/>
          <w:color w:val="231F20"/>
          <w:sz w:val="16"/>
        </w:rPr>
        <w:t>Año</w:t>
      </w:r>
    </w:p>
    <w:p>
      <w:pPr>
        <w:tabs>
          <w:tab w:pos="2229" w:val="left" w:leader="none"/>
        </w:tabs>
        <w:spacing w:before="58"/>
        <w:ind w:left="185" w:right="0" w:firstLine="0"/>
        <w:jc w:val="center"/>
        <w:rPr>
          <w:sz w:val="16"/>
        </w:rPr>
      </w:pPr>
      <w:r>
        <w:rPr/>
        <w:pict>
          <v:rect style="position:absolute;margin-left:215.638pt;margin-top:6.044196pt;width:15.456pt;height:4.513pt;mso-position-horizontal-relative:page;mso-position-vertical-relative:paragraph;z-index:6784" filled="true" fillcolor="#b2b4b6" stroked="false">
            <v:fill type="solid"/>
            <w10:wrap type="none"/>
          </v:rect>
        </w:pict>
      </w:r>
      <w:r>
        <w:rPr/>
        <w:pict>
          <v:line style="position:absolute;mso-position-horizontal-relative:page;mso-position-vertical-relative:paragraph;z-index:-490096" from="317.782104pt,8.252196pt" to="333.142104pt,8.252196pt" stroked="true" strokeweight="2.16pt" strokecolor="#231f20">
            <w10:wrap type="none"/>
          </v:line>
        </w:pict>
      </w:r>
      <w:r>
        <w:rPr>
          <w:color w:val="231F20"/>
          <w:sz w:val="16"/>
        </w:rPr>
        <w:t>Incremento de granjas</w:t>
        <w:tab/>
        <w:t>Producción</w:t>
      </w:r>
    </w:p>
    <w:p>
      <w:pPr>
        <w:pStyle w:val="BodyText"/>
        <w:spacing w:before="5"/>
        <w:rPr>
          <w:sz w:val="12"/>
        </w:rPr>
      </w:pPr>
    </w:p>
    <w:p>
      <w:pPr>
        <w:spacing w:line="283" w:lineRule="auto" w:before="0"/>
        <w:ind w:left="1556" w:right="1655" w:firstLine="0"/>
        <w:jc w:val="left"/>
        <w:rPr>
          <w:sz w:val="18"/>
        </w:rPr>
      </w:pPr>
      <w:r>
        <w:rPr>
          <w:color w:val="231F20"/>
          <w:sz w:val="18"/>
        </w:rPr>
        <w:t>Figura 2.  Aumento de la producción (toneladas) de trucha arcoíris y nuevas unidades de producción trutícola por año  en el Estado de </w:t>
      </w:r>
      <w:r>
        <w:rPr>
          <w:color w:val="231F20"/>
          <w:spacing w:val="6"/>
          <w:sz w:val="18"/>
        </w:rPr>
        <w:t> </w:t>
      </w:r>
      <w:r>
        <w:rPr>
          <w:color w:val="231F20"/>
          <w:sz w:val="18"/>
        </w:rPr>
        <w:t>México.</w:t>
      </w:r>
    </w:p>
    <w:p>
      <w:pPr>
        <w:pStyle w:val="BodyText"/>
      </w:pPr>
    </w:p>
    <w:p>
      <w:pPr>
        <w:pStyle w:val="BodyText"/>
      </w:pPr>
    </w:p>
    <w:p>
      <w:pPr>
        <w:spacing w:after="0"/>
        <w:sectPr>
          <w:pgSz w:w="11900" w:h="14450"/>
          <w:pgMar w:header="0" w:footer="222" w:top="420" w:bottom="420" w:left="0" w:right="0"/>
        </w:sectPr>
      </w:pPr>
    </w:p>
    <w:p>
      <w:pPr>
        <w:pStyle w:val="BodyText"/>
        <w:rPr>
          <w:sz w:val="18"/>
        </w:rPr>
      </w:pPr>
    </w:p>
    <w:p>
      <w:pPr>
        <w:pStyle w:val="BodyText"/>
        <w:spacing w:line="259" w:lineRule="auto"/>
        <w:ind w:left="1553"/>
        <w:jc w:val="both"/>
      </w:pPr>
      <w:r>
        <w:rPr>
          <w:color w:val="231F20"/>
        </w:rPr>
        <w:t>en el desarrollo de la truticultura, pues a lo largo del tiempo y en diferentes regiones del mundo se han repetido de forma constante. Garza-Gil </w:t>
      </w:r>
      <w:r>
        <w:rPr>
          <w:rFonts w:ascii="Cambria" w:hAnsi="Cambria"/>
          <w:i/>
          <w:color w:val="231F20"/>
        </w:rPr>
        <w:t>et </w:t>
      </w:r>
      <w:r>
        <w:rPr>
          <w:rFonts w:ascii="Cambria" w:hAnsi="Cambria"/>
          <w:i/>
          <w:color w:val="231F20"/>
          <w:spacing w:val="-2"/>
        </w:rPr>
        <w:t>al. </w:t>
      </w:r>
      <w:r>
        <w:rPr>
          <w:color w:val="231F20"/>
          <w:spacing w:val="-3"/>
        </w:rPr>
        <w:t>(2008) </w:t>
      </w:r>
      <w:r>
        <w:rPr>
          <w:color w:val="231F20"/>
        </w:rPr>
        <w:t>identificaron en la acuicultura española </w:t>
      </w:r>
      <w:r>
        <w:rPr>
          <w:color w:val="231F20"/>
          <w:spacing w:val="-2"/>
        </w:rPr>
        <w:t>una </w:t>
      </w:r>
      <w:r>
        <w:rPr>
          <w:color w:val="231F20"/>
        </w:rPr>
        <w:t>fase</w:t>
      </w:r>
      <w:r>
        <w:rPr>
          <w:color w:val="231F20"/>
          <w:spacing w:val="-13"/>
        </w:rPr>
        <w:t> </w:t>
      </w:r>
      <w:r>
        <w:rPr>
          <w:color w:val="231F20"/>
        </w:rPr>
        <w:t>inicial</w:t>
      </w:r>
      <w:r>
        <w:rPr>
          <w:color w:val="231F20"/>
          <w:spacing w:val="-13"/>
        </w:rPr>
        <w:t> </w:t>
      </w:r>
      <w:r>
        <w:rPr>
          <w:color w:val="231F20"/>
        </w:rPr>
        <w:t>determinada</w:t>
      </w:r>
      <w:r>
        <w:rPr>
          <w:color w:val="231F20"/>
          <w:spacing w:val="-13"/>
        </w:rPr>
        <w:t> </w:t>
      </w:r>
      <w:r>
        <w:rPr>
          <w:color w:val="231F20"/>
        </w:rPr>
        <w:t>por</w:t>
      </w:r>
      <w:r>
        <w:rPr>
          <w:color w:val="231F20"/>
          <w:spacing w:val="-13"/>
        </w:rPr>
        <w:t> </w:t>
      </w:r>
      <w:r>
        <w:rPr>
          <w:color w:val="231F20"/>
        </w:rPr>
        <w:t>cinco</w:t>
      </w:r>
      <w:r>
        <w:rPr>
          <w:color w:val="231F20"/>
          <w:spacing w:val="-13"/>
        </w:rPr>
        <w:t> </w:t>
      </w:r>
      <w:r>
        <w:rPr>
          <w:color w:val="231F20"/>
        </w:rPr>
        <w:t>factores,</w:t>
      </w:r>
      <w:r>
        <w:rPr>
          <w:color w:val="231F20"/>
          <w:spacing w:val="-13"/>
        </w:rPr>
        <w:t> </w:t>
      </w:r>
      <w:r>
        <w:rPr>
          <w:color w:val="231F20"/>
        </w:rPr>
        <w:t>entre</w:t>
      </w:r>
      <w:r>
        <w:rPr>
          <w:color w:val="231F20"/>
          <w:spacing w:val="-13"/>
        </w:rPr>
        <w:t> </w:t>
      </w:r>
      <w:r>
        <w:rPr>
          <w:color w:val="231F20"/>
          <w:spacing w:val="-2"/>
        </w:rPr>
        <w:t>los </w:t>
      </w:r>
      <w:r>
        <w:rPr>
          <w:color w:val="231F20"/>
        </w:rPr>
        <w:t>que</w:t>
      </w:r>
      <w:r>
        <w:rPr>
          <w:color w:val="231F20"/>
          <w:spacing w:val="-6"/>
        </w:rPr>
        <w:t> </w:t>
      </w:r>
      <w:r>
        <w:rPr>
          <w:color w:val="231F20"/>
        </w:rPr>
        <w:t>se</w:t>
      </w:r>
      <w:r>
        <w:rPr>
          <w:color w:val="231F20"/>
          <w:spacing w:val="-6"/>
        </w:rPr>
        <w:t> </w:t>
      </w:r>
      <w:r>
        <w:rPr>
          <w:color w:val="231F20"/>
        </w:rPr>
        <w:t>encuentran</w:t>
      </w:r>
      <w:r>
        <w:rPr>
          <w:color w:val="231F20"/>
          <w:spacing w:val="-6"/>
        </w:rPr>
        <w:t> </w:t>
      </w:r>
      <w:r>
        <w:rPr>
          <w:color w:val="231F20"/>
        </w:rPr>
        <w:t>un</w:t>
      </w:r>
      <w:r>
        <w:rPr>
          <w:color w:val="231F20"/>
          <w:spacing w:val="-6"/>
        </w:rPr>
        <w:t> </w:t>
      </w:r>
      <w:r>
        <w:rPr>
          <w:color w:val="231F20"/>
        </w:rPr>
        <w:t>ambiente</w:t>
      </w:r>
      <w:r>
        <w:rPr>
          <w:color w:val="231F20"/>
          <w:spacing w:val="-6"/>
        </w:rPr>
        <w:t> </w:t>
      </w:r>
      <w:r>
        <w:rPr>
          <w:color w:val="231F20"/>
        </w:rPr>
        <w:t>propicio</w:t>
      </w:r>
      <w:r>
        <w:rPr>
          <w:color w:val="231F20"/>
          <w:spacing w:val="-6"/>
        </w:rPr>
        <w:t> </w:t>
      </w:r>
      <w:r>
        <w:rPr>
          <w:color w:val="231F20"/>
        </w:rPr>
        <w:t>para</w:t>
      </w:r>
      <w:r>
        <w:rPr>
          <w:color w:val="231F20"/>
          <w:spacing w:val="-6"/>
        </w:rPr>
        <w:t> </w:t>
      </w:r>
      <w:r>
        <w:rPr>
          <w:color w:val="231F20"/>
          <w:spacing w:val="-2"/>
        </w:rPr>
        <w:t>llevar </w:t>
      </w:r>
      <w:r>
        <w:rPr>
          <w:color w:val="231F20"/>
        </w:rPr>
        <w:t>a cabo el cultivo, la capacidad de diversificar la ac- tividad y el acceso del producto al mercado. Igual- mente, Rai </w:t>
      </w:r>
      <w:r>
        <w:rPr>
          <w:rFonts w:ascii="Cambria" w:hAnsi="Cambria"/>
          <w:i/>
          <w:color w:val="231F20"/>
        </w:rPr>
        <w:t>et al. </w:t>
      </w:r>
      <w:r>
        <w:rPr>
          <w:color w:val="231F20"/>
          <w:spacing w:val="-3"/>
        </w:rPr>
        <w:t>(2005) </w:t>
      </w:r>
      <w:r>
        <w:rPr>
          <w:color w:val="231F20"/>
        </w:rPr>
        <w:t>reportan que en  </w:t>
      </w:r>
      <w:r>
        <w:rPr>
          <w:color w:val="231F20"/>
          <w:spacing w:val="-2"/>
        </w:rPr>
        <w:t>Nepal, </w:t>
      </w:r>
      <w:r>
        <w:rPr>
          <w:color w:val="231F20"/>
        </w:rPr>
        <w:t>para</w:t>
      </w:r>
      <w:r>
        <w:rPr>
          <w:color w:val="231F20"/>
          <w:spacing w:val="-7"/>
        </w:rPr>
        <w:t> </w:t>
      </w:r>
      <w:r>
        <w:rPr>
          <w:color w:val="231F20"/>
        </w:rPr>
        <w:t>el</w:t>
      </w:r>
      <w:r>
        <w:rPr>
          <w:color w:val="231F20"/>
          <w:spacing w:val="-7"/>
        </w:rPr>
        <w:t> </w:t>
      </w:r>
      <w:r>
        <w:rPr>
          <w:color w:val="231F20"/>
        </w:rPr>
        <w:t>establecimiento</w:t>
      </w:r>
      <w:r>
        <w:rPr>
          <w:color w:val="231F20"/>
          <w:spacing w:val="-7"/>
        </w:rPr>
        <w:t> </w:t>
      </w:r>
      <w:r>
        <w:rPr>
          <w:color w:val="231F20"/>
        </w:rPr>
        <w:t>de</w:t>
      </w:r>
      <w:r>
        <w:rPr>
          <w:color w:val="231F20"/>
          <w:spacing w:val="-7"/>
        </w:rPr>
        <w:t> </w:t>
      </w:r>
      <w:r>
        <w:rPr>
          <w:color w:val="231F20"/>
        </w:rPr>
        <w:t>unidades</w:t>
      </w:r>
      <w:r>
        <w:rPr>
          <w:color w:val="231F20"/>
          <w:spacing w:val="-7"/>
        </w:rPr>
        <w:t> </w:t>
      </w:r>
      <w:r>
        <w:rPr>
          <w:color w:val="231F20"/>
        </w:rPr>
        <w:t>de</w:t>
      </w:r>
      <w:r>
        <w:rPr>
          <w:color w:val="231F20"/>
          <w:spacing w:val="-7"/>
        </w:rPr>
        <w:t> </w:t>
      </w:r>
      <w:r>
        <w:rPr>
          <w:color w:val="231F20"/>
        </w:rPr>
        <w:t>producción, primero se realizaron estudios de factibilidad para la introducción de trucha arcoíris, haciendo énfasis en los requerimientos ambientales del cultivo y en los potenciales empleos que podría generar la ac- tividad en la región. Incluso en países de reciente creación, como Georgia, se ha intentado</w:t>
      </w:r>
      <w:r>
        <w:rPr>
          <w:color w:val="231F20"/>
          <w:spacing w:val="-10"/>
        </w:rPr>
        <w:t> </w:t>
      </w:r>
      <w:r>
        <w:rPr>
          <w:color w:val="231F20"/>
        </w:rPr>
        <w:t>establecer la acuicultura como parte importante de</w:t>
      </w:r>
      <w:r>
        <w:rPr>
          <w:color w:val="231F20"/>
          <w:spacing w:val="35"/>
        </w:rPr>
        <w:t> </w:t>
      </w:r>
      <w:r>
        <w:rPr>
          <w:color w:val="231F20"/>
        </w:rPr>
        <w:t>su</w:t>
      </w:r>
      <w:r>
        <w:rPr>
          <w:color w:val="231F20"/>
          <w:spacing w:val="6"/>
        </w:rPr>
        <w:t> </w:t>
      </w:r>
      <w:r>
        <w:rPr>
          <w:color w:val="231F20"/>
        </w:rPr>
        <w:t>econo-</w:t>
      </w:r>
      <w:r>
        <w:rPr>
          <w:color w:val="231F20"/>
          <w:w w:val="95"/>
        </w:rPr>
        <w:t> </w:t>
      </w:r>
      <w:r>
        <w:rPr>
          <w:color w:val="231F20"/>
        </w:rPr>
        <w:t>mía y se han incluido dentro su plan de desarrollo acuícola estrategias consideradas clave, tales como establecer</w:t>
      </w:r>
      <w:r>
        <w:rPr>
          <w:color w:val="231F20"/>
          <w:spacing w:val="-6"/>
        </w:rPr>
        <w:t> </w:t>
      </w:r>
      <w:r>
        <w:rPr>
          <w:color w:val="231F20"/>
        </w:rPr>
        <w:t>cultivos</w:t>
      </w:r>
      <w:r>
        <w:rPr>
          <w:color w:val="231F20"/>
          <w:spacing w:val="-6"/>
        </w:rPr>
        <w:t> </w:t>
      </w:r>
      <w:r>
        <w:rPr>
          <w:color w:val="231F20"/>
        </w:rPr>
        <w:t>de</w:t>
      </w:r>
      <w:r>
        <w:rPr>
          <w:color w:val="231F20"/>
          <w:spacing w:val="-6"/>
        </w:rPr>
        <w:t> </w:t>
      </w:r>
      <w:r>
        <w:rPr>
          <w:color w:val="231F20"/>
        </w:rPr>
        <w:t>especies</w:t>
      </w:r>
      <w:r>
        <w:rPr>
          <w:color w:val="231F20"/>
          <w:spacing w:val="-6"/>
        </w:rPr>
        <w:t> </w:t>
      </w:r>
      <w:r>
        <w:rPr>
          <w:color w:val="231F20"/>
        </w:rPr>
        <w:t>nativas</w:t>
      </w:r>
      <w:r>
        <w:rPr>
          <w:color w:val="231F20"/>
          <w:spacing w:val="-6"/>
        </w:rPr>
        <w:t> </w:t>
      </w:r>
      <w:r>
        <w:rPr>
          <w:color w:val="231F20"/>
        </w:rPr>
        <w:t>adaptadas</w:t>
      </w:r>
      <w:r>
        <w:rPr>
          <w:color w:val="231F20"/>
          <w:spacing w:val="-6"/>
        </w:rPr>
        <w:t> </w:t>
      </w:r>
      <w:r>
        <w:rPr>
          <w:color w:val="231F20"/>
        </w:rPr>
        <w:t>al medio local, utilizar la acuicultura como un  </w:t>
      </w:r>
      <w:r>
        <w:rPr>
          <w:color w:val="231F20"/>
          <w:spacing w:val="29"/>
        </w:rPr>
        <w:t> </w:t>
      </w:r>
      <w:r>
        <w:rPr>
          <w:color w:val="231F20"/>
        </w:rPr>
        <w:t>medio</w:t>
      </w:r>
    </w:p>
    <w:p>
      <w:pPr>
        <w:pStyle w:val="BodyText"/>
        <w:spacing w:before="7"/>
        <w:rPr>
          <w:sz w:val="17"/>
        </w:rPr>
      </w:pPr>
      <w:r>
        <w:rPr/>
        <w:br w:type="column"/>
      </w:r>
      <w:r>
        <w:rPr>
          <w:sz w:val="17"/>
        </w:rPr>
      </w:r>
    </w:p>
    <w:p>
      <w:pPr>
        <w:pStyle w:val="BodyText"/>
        <w:spacing w:line="261" w:lineRule="auto"/>
        <w:ind w:left="413" w:right="1553"/>
        <w:jc w:val="both"/>
      </w:pPr>
      <w:r>
        <w:rPr>
          <w:color w:val="231F20"/>
        </w:rPr>
        <w:t>de alivio para la pobreza y crear una asociación de acuicultura comercial (Rice,  2009).</w:t>
      </w:r>
    </w:p>
    <w:p>
      <w:pPr>
        <w:pStyle w:val="BodyText"/>
        <w:spacing w:line="261" w:lineRule="auto" w:before="114"/>
        <w:ind w:left="413" w:right="1551"/>
        <w:jc w:val="both"/>
      </w:pPr>
      <w:r>
        <w:rPr>
          <w:color w:val="231F20"/>
        </w:rPr>
        <w:t>Son  concluyentes  las  evidencias  que  muestran  el mismo proceso de desarrollo en la acuicultura mundial, y sobre todo sus resultados; así, la truti- cultura en el Estado de México en su fase de es- tablecimiento ha desarrollado la misma dinámica que la acuicultura en otras partes de mundo, con resultados en su producción que avalan el éxito de la</w:t>
      </w:r>
      <w:r>
        <w:rPr>
          <w:color w:val="231F20"/>
          <w:spacing w:val="-15"/>
        </w:rPr>
        <w:t> </w:t>
      </w:r>
      <w:r>
        <w:rPr>
          <w:color w:val="231F20"/>
        </w:rPr>
        <w:t>actividad.</w:t>
      </w:r>
    </w:p>
    <w:p>
      <w:pPr>
        <w:pStyle w:val="BodyText"/>
        <w:spacing w:line="261" w:lineRule="auto" w:before="114"/>
        <w:ind w:left="413" w:right="1551"/>
        <w:jc w:val="both"/>
      </w:pPr>
      <w:r>
        <w:rPr>
          <w:color w:val="231F20"/>
        </w:rPr>
        <w:t>Por lo tanto, se demuestra la estrecha relación que existe entre las condiciones agroclimáticas especí- ficas y el acceso a los mercados locales (Gauchan  </w:t>
      </w:r>
      <w:r>
        <w:rPr>
          <w:rFonts w:ascii="Cambria" w:hAnsi="Cambria"/>
          <w:i/>
          <w:color w:val="231F20"/>
        </w:rPr>
        <w:t>et al</w:t>
      </w:r>
      <w:r>
        <w:rPr>
          <w:color w:val="231F20"/>
        </w:rPr>
        <w:t>., 2008) en el éxito del establecimiento del cultivo trutícola. El fomento de esta actividad se consolida cuando las familias dedicadas a la tru- ticultura perciben un beneficio mayor que con la agricultura</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ganadería</w:t>
      </w:r>
      <w:r>
        <w:rPr>
          <w:color w:val="231F20"/>
          <w:spacing w:val="-7"/>
        </w:rPr>
        <w:t> </w:t>
      </w:r>
      <w:r>
        <w:rPr>
          <w:color w:val="231F20"/>
        </w:rPr>
        <w:t>de</w:t>
      </w:r>
      <w:r>
        <w:rPr>
          <w:color w:val="231F20"/>
          <w:spacing w:val="-7"/>
        </w:rPr>
        <w:t> </w:t>
      </w:r>
      <w:r>
        <w:rPr>
          <w:color w:val="231F20"/>
        </w:rPr>
        <w:t>traspatio.</w:t>
      </w:r>
      <w:r>
        <w:rPr>
          <w:color w:val="231F20"/>
          <w:spacing w:val="-7"/>
        </w:rPr>
        <w:t> </w:t>
      </w:r>
      <w:r>
        <w:rPr>
          <w:color w:val="231F20"/>
        </w:rPr>
        <w:t>La</w:t>
      </w:r>
      <w:r>
        <w:rPr>
          <w:color w:val="231F20"/>
          <w:spacing w:val="-7"/>
        </w:rPr>
        <w:t> </w:t>
      </w:r>
      <w:r>
        <w:rPr>
          <w:color w:val="231F20"/>
        </w:rPr>
        <w:t>acuicultu- ra generó un patrimonio dentro de los ejidos que permitió a las unidades de producción trutícola</w:t>
      </w:r>
      <w:r>
        <w:rPr>
          <w:color w:val="231F20"/>
          <w:spacing w:val="23"/>
        </w:rPr>
        <w:t> </w:t>
      </w:r>
      <w:r>
        <w:rPr>
          <w:color w:val="231F20"/>
        </w:rPr>
        <w:t>pe-</w:t>
      </w:r>
    </w:p>
    <w:p>
      <w:pPr>
        <w:spacing w:after="0" w:line="261" w:lineRule="auto"/>
        <w:jc w:val="both"/>
        <w:sectPr>
          <w:type w:val="continuous"/>
          <w:pgSz w:w="11900" w:h="14450"/>
          <w:pgMar w:top="420" w:bottom="420" w:left="0" w:right="0"/>
          <w:cols w:num="2" w:equalWidth="0">
            <w:col w:w="5721" w:space="40"/>
            <w:col w:w="6139"/>
          </w:cols>
        </w:sectPr>
      </w:pPr>
    </w:p>
    <w:p>
      <w:pPr>
        <w:pStyle w:val="BodyText"/>
      </w:pPr>
    </w:p>
    <w:p>
      <w:pPr>
        <w:pStyle w:val="BodyText"/>
      </w:pPr>
    </w:p>
    <w:p>
      <w:pPr>
        <w:pStyle w:val="BodyText"/>
        <w:rPr>
          <w:sz w:val="17"/>
        </w:rPr>
      </w:pPr>
    </w:p>
    <w:p>
      <w:pPr>
        <w:tabs>
          <w:tab w:pos="9965" w:val="left" w:leader="none"/>
        </w:tabs>
        <w:spacing w:before="64"/>
        <w:ind w:left="1553" w:right="0" w:firstLine="0"/>
        <w:jc w:val="left"/>
        <w:rPr>
          <w:sz w:val="22"/>
        </w:rPr>
      </w:pPr>
      <w:r>
        <w:rPr>
          <w:color w:val="231F20"/>
          <w:sz w:val="18"/>
        </w:rPr>
        <w:t>Capítulo </w:t>
      </w:r>
      <w:r>
        <w:rPr>
          <w:color w:val="231F20"/>
          <w:spacing w:val="-11"/>
          <w:sz w:val="18"/>
        </w:rPr>
        <w:t>17.    </w:t>
      </w:r>
      <w:r>
        <w:rPr>
          <w:color w:val="231F20"/>
          <w:sz w:val="18"/>
        </w:rPr>
        <w:t>Desarrollo de la producción de trucha arcoíris </w:t>
      </w:r>
      <w:r>
        <w:rPr>
          <w:rFonts w:ascii="Cambria" w:hAnsi="Cambria"/>
          <w:i/>
          <w:color w:val="231F20"/>
          <w:sz w:val="18"/>
        </w:rPr>
        <w:t>(Oncorhynchus mykiss) </w:t>
      </w:r>
      <w:r>
        <w:rPr>
          <w:color w:val="231F20"/>
          <w:sz w:val="18"/>
        </w:rPr>
        <w:t>en   </w:t>
      </w:r>
      <w:r>
        <w:rPr>
          <w:color w:val="231F20"/>
          <w:spacing w:val="16"/>
          <w:sz w:val="18"/>
        </w:rPr>
        <w:t> </w:t>
      </w:r>
      <w:r>
        <w:rPr>
          <w:color w:val="231F20"/>
          <w:sz w:val="18"/>
        </w:rPr>
        <w:t>comunidades</w:t>
      </w:r>
      <w:r>
        <w:rPr>
          <w:color w:val="231F20"/>
          <w:spacing w:val="13"/>
          <w:sz w:val="18"/>
        </w:rPr>
        <w:t> </w:t>
      </w:r>
      <w:r>
        <w:rPr>
          <w:color w:val="231F20"/>
          <w:sz w:val="18"/>
        </w:rPr>
        <w:t>rurales...</w:t>
        <w:tab/>
      </w:r>
      <w:r>
        <w:rPr>
          <w:color w:val="231F20"/>
          <w:spacing w:val="-5"/>
          <w:sz w:val="22"/>
        </w:rPr>
        <w:t>253</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1" w:lineRule="auto" w:before="67"/>
        <w:ind w:left="1553" w:right="1"/>
        <w:jc w:val="both"/>
      </w:pPr>
      <w:r>
        <w:rPr>
          <w:color w:val="231F20"/>
        </w:rPr>
        <w:t>queñas mantener al menos dos familias, y a más  de seis familias las grandes </w:t>
      </w:r>
      <w:r>
        <w:rPr>
          <w:color w:val="231F20"/>
          <w:spacing w:val="28"/>
        </w:rPr>
        <w:t> </w:t>
      </w:r>
      <w:r>
        <w:rPr>
          <w:color w:val="231F20"/>
        </w:rPr>
        <w:t>cooperativas.</w:t>
      </w:r>
    </w:p>
    <w:p>
      <w:pPr>
        <w:pStyle w:val="BodyText"/>
        <w:spacing w:line="261" w:lineRule="auto" w:before="112"/>
        <w:ind w:left="1553"/>
        <w:jc w:val="both"/>
      </w:pPr>
      <w:r>
        <w:rPr>
          <w:color w:val="231F20"/>
        </w:rPr>
        <w:t>Aunado a este desarrollo familiar y social, la ope- ración normal de estas unidades de producción trutícola involucró a las mujeres y los niños de la familia en el manejo de las unidades, lo que impli- có la generación de empleos independientemente del género. Sin embargo, este logro no se reco- noció hasta hace pocos años con la participación de las mujeres en foros externos a las unidades de producción</w:t>
      </w:r>
      <w:r>
        <w:rPr>
          <w:color w:val="231F20"/>
          <w:spacing w:val="-23"/>
        </w:rPr>
        <w:t> </w:t>
      </w:r>
      <w:r>
        <w:rPr>
          <w:color w:val="231F20"/>
        </w:rPr>
        <w:t>trutícola.</w:t>
      </w:r>
    </w:p>
    <w:p>
      <w:pPr>
        <w:pStyle w:val="BodyText"/>
        <w:spacing w:before="6"/>
        <w:rPr>
          <w:sz w:val="18"/>
        </w:rPr>
      </w:pPr>
    </w:p>
    <w:p>
      <w:pPr>
        <w:spacing w:line="271" w:lineRule="auto" w:before="0"/>
        <w:ind w:left="1553" w:right="730" w:firstLine="0"/>
        <w:jc w:val="left"/>
        <w:rPr>
          <w:rFonts w:ascii="Cambria" w:hAnsi="Cambria"/>
          <w:i/>
          <w:sz w:val="20"/>
        </w:rPr>
      </w:pPr>
      <w:r>
        <w:rPr>
          <w:rFonts w:ascii="Cambria" w:hAnsi="Cambria"/>
          <w:i/>
          <w:color w:val="231F20"/>
          <w:w w:val="110"/>
          <w:sz w:val="20"/>
        </w:rPr>
        <w:t>Consolidación</w:t>
      </w:r>
      <w:r>
        <w:rPr>
          <w:rFonts w:ascii="Cambria" w:hAnsi="Cambria"/>
          <w:i/>
          <w:color w:val="231F20"/>
          <w:spacing w:val="-24"/>
          <w:w w:val="110"/>
          <w:sz w:val="20"/>
        </w:rPr>
        <w:t> </w:t>
      </w:r>
      <w:r>
        <w:rPr>
          <w:rFonts w:ascii="Cambria" w:hAnsi="Cambria"/>
          <w:i/>
          <w:color w:val="231F20"/>
          <w:w w:val="110"/>
          <w:sz w:val="20"/>
        </w:rPr>
        <w:t>de</w:t>
      </w:r>
      <w:r>
        <w:rPr>
          <w:rFonts w:ascii="Cambria" w:hAnsi="Cambria"/>
          <w:i/>
          <w:color w:val="231F20"/>
          <w:spacing w:val="-24"/>
          <w:w w:val="110"/>
          <w:sz w:val="20"/>
        </w:rPr>
        <w:t> </w:t>
      </w:r>
      <w:r>
        <w:rPr>
          <w:rFonts w:ascii="Cambria" w:hAnsi="Cambria"/>
          <w:i/>
          <w:color w:val="231F20"/>
          <w:w w:val="110"/>
          <w:sz w:val="20"/>
        </w:rPr>
        <w:t>la</w:t>
      </w:r>
      <w:r>
        <w:rPr>
          <w:rFonts w:ascii="Cambria" w:hAnsi="Cambria"/>
          <w:i/>
          <w:color w:val="231F20"/>
          <w:spacing w:val="-24"/>
          <w:w w:val="110"/>
          <w:sz w:val="20"/>
        </w:rPr>
        <w:t> </w:t>
      </w:r>
      <w:r>
        <w:rPr>
          <w:rFonts w:ascii="Cambria" w:hAnsi="Cambria"/>
          <w:i/>
          <w:color w:val="231F20"/>
          <w:w w:val="110"/>
          <w:sz w:val="20"/>
        </w:rPr>
        <w:t>actividad</w:t>
      </w:r>
      <w:r>
        <w:rPr>
          <w:rFonts w:ascii="Cambria" w:hAnsi="Cambria"/>
          <w:i/>
          <w:color w:val="231F20"/>
          <w:spacing w:val="-24"/>
          <w:w w:val="110"/>
          <w:sz w:val="20"/>
        </w:rPr>
        <w:t> </w:t>
      </w:r>
      <w:r>
        <w:rPr>
          <w:rFonts w:ascii="Cambria" w:hAnsi="Cambria"/>
          <w:i/>
          <w:color w:val="231F20"/>
          <w:w w:val="110"/>
          <w:sz w:val="20"/>
        </w:rPr>
        <w:t>trutícola </w:t>
      </w:r>
      <w:r>
        <w:rPr>
          <w:rFonts w:ascii="Cambria" w:hAnsi="Cambria"/>
          <w:i/>
          <w:color w:val="231F20"/>
          <w:w w:val="110"/>
          <w:sz w:val="20"/>
        </w:rPr>
        <w:t>con fines</w:t>
      </w:r>
      <w:r>
        <w:rPr>
          <w:rFonts w:ascii="Cambria" w:hAnsi="Cambria"/>
          <w:i/>
          <w:color w:val="231F20"/>
          <w:spacing w:val="-14"/>
          <w:w w:val="110"/>
          <w:sz w:val="20"/>
        </w:rPr>
        <w:t> </w:t>
      </w:r>
      <w:r>
        <w:rPr>
          <w:rFonts w:ascii="Cambria" w:hAnsi="Cambria"/>
          <w:i/>
          <w:color w:val="231F20"/>
          <w:w w:val="110"/>
          <w:sz w:val="20"/>
        </w:rPr>
        <w:t>empresariales</w:t>
      </w:r>
    </w:p>
    <w:p>
      <w:pPr>
        <w:pStyle w:val="BodyText"/>
        <w:spacing w:line="261" w:lineRule="auto" w:before="113"/>
        <w:ind w:left="1553"/>
        <w:jc w:val="both"/>
      </w:pPr>
      <w:r>
        <w:rPr>
          <w:color w:val="231F20"/>
        </w:rPr>
        <w:t>La etapa de consolidación  (1995  hasta  la  fecha) se caracterizó por dos eventos que hasta  ahora han marcado el rumbo de la truticultura estatal y nacional. El primero fue un nuevo cambio en las directrices de apoyo para la acuicultura, particular- mente en el plan de desarrollo (1995-2000) que hizo que éstas se dirigieran al establecimiento y la mejora de las unidades de producción trutícola con fines empresariales, llevando las instalaciones exis- tentes al máximo de su capacidad y al nacimiento de nuevas granjas con un paradigma de desarrollo sustentable y de mejora del medio ambiente. El cambio de paradigma impulsó el establecimiento de unidades de producción al norte del Estado de México, en zonas como Villa del Carbón, Villa Nico- lás Romero, Isidro Fabela, Jilotzingo y Naucalpan, donde actualmente cuentan en sus unidades de producción con instalaciones enfocadas a activida- des ecoturísticas, como zonas de camping, sende- ros para caminar, rapel, tirolesa, etc.</w:t>
      </w:r>
    </w:p>
    <w:p>
      <w:pPr>
        <w:pStyle w:val="BodyText"/>
        <w:spacing w:line="261" w:lineRule="auto" w:before="112"/>
        <w:ind w:left="1553"/>
        <w:jc w:val="both"/>
      </w:pPr>
      <w:r>
        <w:rPr>
          <w:color w:val="231F20"/>
        </w:rPr>
        <w:t>A partir de </w:t>
      </w:r>
      <w:r>
        <w:rPr>
          <w:color w:val="231F20"/>
          <w:spacing w:val="-4"/>
        </w:rPr>
        <w:t>1994, </w:t>
      </w:r>
      <w:r>
        <w:rPr>
          <w:color w:val="231F20"/>
        </w:rPr>
        <w:t>en el Estado de México se empe- zó a considerar la truticultura como una actividad agropecuaria comercial más que complementaria y de rescate de los bosques, lo cual se ve reflejado en el aumento de la producción hasta las </w:t>
      </w:r>
      <w:r>
        <w:rPr>
          <w:color w:val="231F20"/>
          <w:spacing w:val="-6"/>
        </w:rPr>
        <w:t>1783 </w:t>
      </w:r>
      <w:r>
        <w:rPr>
          <w:color w:val="231F20"/>
        </w:rPr>
        <w:t>to- neladas en </w:t>
      </w:r>
      <w:r>
        <w:rPr>
          <w:color w:val="231F20"/>
          <w:spacing w:val="-4"/>
        </w:rPr>
        <w:t>1995 </w:t>
      </w:r>
      <w:r>
        <w:rPr>
          <w:color w:val="231F20"/>
        </w:rPr>
        <w:t>(Fig. 1). Esta percepción se </w:t>
      </w:r>
      <w:r>
        <w:rPr>
          <w:color w:val="231F20"/>
          <w:spacing w:val="-2"/>
        </w:rPr>
        <w:t>vio </w:t>
      </w:r>
      <w:r>
        <w:rPr>
          <w:color w:val="231F20"/>
        </w:rPr>
        <w:t>fortalecida</w:t>
      </w:r>
      <w:r>
        <w:rPr>
          <w:color w:val="231F20"/>
          <w:spacing w:val="-17"/>
        </w:rPr>
        <w:t> </w:t>
      </w:r>
      <w:r>
        <w:rPr>
          <w:color w:val="231F20"/>
        </w:rPr>
        <w:t>por</w:t>
      </w:r>
      <w:r>
        <w:rPr>
          <w:color w:val="231F20"/>
          <w:spacing w:val="-17"/>
        </w:rPr>
        <w:t> </w:t>
      </w:r>
      <w:r>
        <w:rPr>
          <w:color w:val="231F20"/>
        </w:rPr>
        <w:t>acciones</w:t>
      </w:r>
      <w:r>
        <w:rPr>
          <w:color w:val="231F20"/>
          <w:spacing w:val="-17"/>
        </w:rPr>
        <w:t> </w:t>
      </w:r>
      <w:r>
        <w:rPr>
          <w:color w:val="231F20"/>
        </w:rPr>
        <w:t>federales</w:t>
      </w:r>
      <w:r>
        <w:rPr>
          <w:color w:val="231F20"/>
          <w:spacing w:val="-17"/>
        </w:rPr>
        <w:t> </w:t>
      </w:r>
      <w:r>
        <w:rPr>
          <w:color w:val="231F20"/>
        </w:rPr>
        <w:t>que</w:t>
      </w:r>
      <w:r>
        <w:rPr>
          <w:color w:val="231F20"/>
          <w:spacing w:val="-17"/>
        </w:rPr>
        <w:t> </w:t>
      </w:r>
      <w:r>
        <w:rPr>
          <w:color w:val="231F20"/>
        </w:rPr>
        <w:t>establecieron</w:t>
      </w:r>
    </w:p>
    <w:p>
      <w:pPr>
        <w:pStyle w:val="BodyText"/>
        <w:spacing w:line="259" w:lineRule="auto" w:before="67"/>
        <w:ind w:left="412" w:right="1551"/>
        <w:jc w:val="both"/>
      </w:pPr>
      <w:r>
        <w:rPr/>
        <w:br w:type="column"/>
      </w:r>
      <w:r>
        <w:rPr>
          <w:color w:val="231F20"/>
        </w:rPr>
        <w:t>reformas a la Ley General de Acuicultura y </w:t>
      </w:r>
      <w:r>
        <w:rPr>
          <w:color w:val="231F20"/>
          <w:spacing w:val="-3"/>
        </w:rPr>
        <w:t>Pesca, </w:t>
      </w:r>
      <w:r>
        <w:rPr>
          <w:color w:val="231F20"/>
        </w:rPr>
        <w:t>y se inicia un ordenamiento de la actividad acuíco-   la mediante subprogramas de trabajo del Progra- ma Sectorial de </w:t>
      </w:r>
      <w:r>
        <w:rPr>
          <w:color w:val="231F20"/>
          <w:spacing w:val="-3"/>
        </w:rPr>
        <w:t>Pesca </w:t>
      </w:r>
      <w:r>
        <w:rPr>
          <w:color w:val="231F20"/>
        </w:rPr>
        <w:t>y Acuacultura </w:t>
      </w:r>
      <w:r>
        <w:rPr>
          <w:color w:val="231F20"/>
          <w:spacing w:val="-4"/>
        </w:rPr>
        <w:t>1995-2000. </w:t>
      </w:r>
      <w:r>
        <w:rPr>
          <w:color w:val="231F20"/>
        </w:rPr>
        <w:t>Específicamente, se pretendía consolidar la activi- dad trutícola como una actividad empresarial, </w:t>
      </w:r>
      <w:r>
        <w:rPr>
          <w:color w:val="231F20"/>
          <w:spacing w:val="-2"/>
        </w:rPr>
        <w:t>con </w:t>
      </w:r>
      <w:r>
        <w:rPr>
          <w:color w:val="231F20"/>
        </w:rPr>
        <w:t>estándares de calidad que permitieran atender la demanda alimentaria y la competitividad con otros productos, como la carne de pollo, res o</w:t>
      </w:r>
      <w:r>
        <w:rPr>
          <w:color w:val="231F20"/>
          <w:spacing w:val="24"/>
        </w:rPr>
        <w:t> </w:t>
      </w:r>
      <w:r>
        <w:rPr>
          <w:color w:val="231F20"/>
          <w:spacing w:val="-2"/>
        </w:rPr>
        <w:t>cerdo.</w:t>
      </w:r>
    </w:p>
    <w:p>
      <w:pPr>
        <w:pStyle w:val="BodyText"/>
        <w:spacing w:line="259" w:lineRule="auto" w:before="114"/>
        <w:ind w:left="412" w:right="1551"/>
        <w:jc w:val="both"/>
      </w:pPr>
      <w:r>
        <w:rPr>
          <w:color w:val="231F20"/>
        </w:rPr>
        <w:t>Durante los años </w:t>
      </w:r>
      <w:r>
        <w:rPr>
          <w:color w:val="231F20"/>
          <w:spacing w:val="-4"/>
        </w:rPr>
        <w:t>1996  </w:t>
      </w:r>
      <w:r>
        <w:rPr>
          <w:color w:val="231F20"/>
        </w:rPr>
        <w:t>a </w:t>
      </w:r>
      <w:r>
        <w:rPr>
          <w:color w:val="231F20"/>
          <w:spacing w:val="-4"/>
        </w:rPr>
        <w:t>1998  </w:t>
      </w:r>
      <w:r>
        <w:rPr>
          <w:color w:val="231F20"/>
        </w:rPr>
        <w:t>el crecimiento de    la actividad se vio truncado debido a una contin- gencia sanitaria que acabó con más del </w:t>
      </w:r>
      <w:r>
        <w:rPr>
          <w:color w:val="231F20"/>
          <w:spacing w:val="-5"/>
        </w:rPr>
        <w:t>70% </w:t>
      </w:r>
      <w:r>
        <w:rPr>
          <w:color w:val="231F20"/>
        </w:rPr>
        <w:t>de la producción (Fig. 1). Se describió por primera </w:t>
      </w:r>
      <w:r>
        <w:rPr>
          <w:color w:val="231F20"/>
          <w:spacing w:val="-3"/>
        </w:rPr>
        <w:t>vez </w:t>
      </w:r>
      <w:r>
        <w:rPr>
          <w:color w:val="231F20"/>
        </w:rPr>
        <w:t>en México</w:t>
      </w:r>
      <w:r>
        <w:rPr>
          <w:color w:val="231F20"/>
          <w:spacing w:val="-7"/>
        </w:rPr>
        <w:t> </w:t>
      </w:r>
      <w:r>
        <w:rPr>
          <w:color w:val="231F20"/>
        </w:rPr>
        <w:t>el</w:t>
      </w:r>
      <w:r>
        <w:rPr>
          <w:color w:val="231F20"/>
          <w:spacing w:val="-7"/>
        </w:rPr>
        <w:t> </w:t>
      </w:r>
      <w:r>
        <w:rPr>
          <w:color w:val="231F20"/>
        </w:rPr>
        <w:t>virus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necrosis</w:t>
      </w:r>
      <w:r>
        <w:rPr>
          <w:color w:val="231F20"/>
          <w:spacing w:val="-7"/>
        </w:rPr>
        <w:t> </w:t>
      </w:r>
      <w:r>
        <w:rPr>
          <w:color w:val="231F20"/>
        </w:rPr>
        <w:t>pancreática</w:t>
      </w:r>
      <w:r>
        <w:rPr>
          <w:color w:val="231F20"/>
          <w:spacing w:val="-7"/>
        </w:rPr>
        <w:t> </w:t>
      </w:r>
      <w:r>
        <w:rPr>
          <w:color w:val="231F20"/>
        </w:rPr>
        <w:t>infecciosa (IPNV) (Salgado-Miranda, </w:t>
      </w:r>
      <w:r>
        <w:rPr>
          <w:color w:val="231F20"/>
          <w:spacing w:val="-3"/>
        </w:rPr>
        <w:t>2006), </w:t>
      </w:r>
      <w:r>
        <w:rPr>
          <w:color w:val="231F20"/>
        </w:rPr>
        <w:t>que afecta única- mente a la trucha en su fase de cría. Como conse- cuencia del IPNV se produjo un desabasto de crías de calidad, debido al cierre de “El Zarco” y de otras salas privadas de abastecimiento de crías y a </w:t>
      </w:r>
      <w:r>
        <w:rPr>
          <w:color w:val="231F20"/>
          <w:spacing w:val="-2"/>
        </w:rPr>
        <w:t>los </w:t>
      </w:r>
      <w:r>
        <w:rPr>
          <w:color w:val="231F20"/>
        </w:rPr>
        <w:t>nuevos requerimientos para la importación de</w:t>
      </w:r>
      <w:r>
        <w:rPr>
          <w:color w:val="231F20"/>
          <w:spacing w:val="-18"/>
        </w:rPr>
        <w:t> </w:t>
      </w:r>
      <w:r>
        <w:rPr>
          <w:color w:val="231F20"/>
        </w:rPr>
        <w:t>hue- vos establecidos en las normas oficiales </w:t>
      </w:r>
      <w:r>
        <w:rPr>
          <w:color w:val="231F20"/>
          <w:spacing w:val="-5"/>
        </w:rPr>
        <w:t>NOM-010- </w:t>
      </w:r>
      <w:r>
        <w:rPr>
          <w:color w:val="231F20"/>
          <w:spacing w:val="-3"/>
        </w:rPr>
        <w:t>PESC-1993    </w:t>
      </w:r>
      <w:r>
        <w:rPr>
          <w:color w:val="231F20"/>
        </w:rPr>
        <w:t>y    </w:t>
      </w:r>
      <w:r>
        <w:rPr>
          <w:color w:val="231F20"/>
          <w:spacing w:val="-4"/>
        </w:rPr>
        <w:t>NOM-011-PESC-1993,    </w:t>
      </w:r>
      <w:r>
        <w:rPr>
          <w:color w:val="231F20"/>
        </w:rPr>
        <w:t>que  </w:t>
      </w:r>
      <w:r>
        <w:rPr>
          <w:color w:val="231F20"/>
          <w:spacing w:val="23"/>
        </w:rPr>
        <w:t> </w:t>
      </w:r>
      <w:r>
        <w:rPr>
          <w:color w:val="231F20"/>
          <w:spacing w:val="-2"/>
        </w:rPr>
        <w:t>habían</w:t>
      </w:r>
    </w:p>
    <w:p>
      <w:pPr>
        <w:pStyle w:val="BodyText"/>
        <w:spacing w:line="259" w:lineRule="auto"/>
        <w:ind w:left="412" w:right="1551"/>
        <w:jc w:val="both"/>
      </w:pPr>
      <w:r>
        <w:rPr>
          <w:color w:val="231F20"/>
        </w:rPr>
        <w:t>entrado  en  vigor  en  </w:t>
      </w:r>
      <w:r>
        <w:rPr>
          <w:color w:val="231F20"/>
          <w:spacing w:val="-4"/>
        </w:rPr>
        <w:t>1994  </w:t>
      </w:r>
      <w:r>
        <w:rPr>
          <w:color w:val="231F20"/>
          <w:spacing w:val="-5"/>
        </w:rPr>
        <w:t>(DOF,  </w:t>
      </w:r>
      <w:r>
        <w:rPr>
          <w:color w:val="231F20"/>
          <w:spacing w:val="-4"/>
        </w:rPr>
        <w:t>1994a;  1994b). </w:t>
      </w:r>
      <w:r>
        <w:rPr>
          <w:color w:val="231F20"/>
        </w:rPr>
        <w:t>El Servicio Nacional de Sanidad, Inocuidad y Cali- dad Agroalimentaria (SENASICA) ejerció una mayor vigilancia de las prácticas sanitarias </w:t>
      </w:r>
      <w:r>
        <w:rPr>
          <w:color w:val="231F20"/>
          <w:spacing w:val="-2"/>
        </w:rPr>
        <w:t>relacionadas </w:t>
      </w:r>
      <w:r>
        <w:rPr>
          <w:color w:val="231F20"/>
        </w:rPr>
        <w:t>con la actividad acuícola, tanto en cantidad como en calidad, con la creación del Comité de Sanidad Acuícola del Estado de</w:t>
      </w:r>
      <w:r>
        <w:rPr>
          <w:color w:val="231F20"/>
          <w:spacing w:val="-9"/>
        </w:rPr>
        <w:t> </w:t>
      </w:r>
      <w:r>
        <w:rPr>
          <w:color w:val="231F20"/>
        </w:rPr>
        <w:t>México.</w:t>
      </w:r>
    </w:p>
    <w:p>
      <w:pPr>
        <w:pStyle w:val="BodyText"/>
        <w:spacing w:line="259" w:lineRule="auto" w:before="114"/>
        <w:ind w:left="412" w:right="1551"/>
        <w:jc w:val="both"/>
      </w:pPr>
      <w:r>
        <w:rPr>
          <w:color w:val="231F20"/>
        </w:rPr>
        <w:t>Ambos acontecimientos marcaron una nueva for- ma de llevar a cabo la truticultura estatal, y a partir del año 2000 las nuevas unidades de producción trutícola fueron establecidas bajo un esquema empresarial, con una mejora de las instalaciones y de los servicios, y ante la escasez de huevos em- piezan a establecerse granjas con ciclo productivo completo.</w:t>
      </w:r>
    </w:p>
    <w:p>
      <w:pPr>
        <w:pStyle w:val="BodyText"/>
        <w:spacing w:line="259" w:lineRule="auto" w:before="114"/>
        <w:ind w:left="412" w:right="1551"/>
        <w:jc w:val="both"/>
      </w:pPr>
      <w:r>
        <w:rPr>
          <w:color w:val="231F20"/>
        </w:rPr>
        <w:t>A partir de ese momento, el cultivo de la trucha dejó de ser una actividad complementaria y se convierte en una actividad productiva integral, que además del cultivo involucra actividades   ecoturís-</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spacing w:val="-4"/>
          <w:w w:val="130"/>
          <w:sz w:val="22"/>
        </w:rPr>
        <w:t>254</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61" w:lineRule="auto" w:before="67"/>
        <w:ind w:left="1553"/>
        <w:jc w:val="both"/>
      </w:pPr>
      <w:r>
        <w:rPr>
          <w:color w:val="231F20"/>
        </w:rPr>
        <w:t>ticas y principalmente una franja de restaurantes ubicada en la zona conurbada al Distrito  Federal.</w:t>
      </w:r>
    </w:p>
    <w:p>
      <w:pPr>
        <w:pStyle w:val="BodyText"/>
        <w:spacing w:line="261" w:lineRule="auto" w:before="114"/>
        <w:ind w:left="1553"/>
        <w:jc w:val="both"/>
      </w:pPr>
      <w:r>
        <w:rPr>
          <w:color w:val="231F20"/>
        </w:rPr>
        <w:t>No obstante la expansión de la actividad trutícola en el Estado de México, el incremento promedio anual se ha mantenido constante, tanto en el es- tablecimiento de nuevas unidades de producción trutícola como en las toneladas producidas. Esto puede ser una consecuencia de la diversificación en los apoyos otorgados, que principalmente se han encaminado hacia un ordenamiento de la ac- tividad acuícola, donde se consideran cinco ejes para ejecutar los apoyos a cada unidad de produc- ción: jurídico, ambiental, tecnológico, económico y social  (SAGARPA, </w:t>
      </w:r>
      <w:r>
        <w:rPr>
          <w:color w:val="231F20"/>
          <w:spacing w:val="33"/>
        </w:rPr>
        <w:t> </w:t>
      </w:r>
      <w:r>
        <w:rPr>
          <w:color w:val="231F20"/>
          <w:spacing w:val="-3"/>
        </w:rPr>
        <w:t>2007).</w:t>
      </w:r>
    </w:p>
    <w:p>
      <w:pPr>
        <w:pStyle w:val="BodyText"/>
        <w:spacing w:line="261" w:lineRule="auto" w:before="114"/>
        <w:ind w:left="1553"/>
        <w:jc w:val="both"/>
      </w:pPr>
      <w:r>
        <w:rPr>
          <w:color w:val="231F20"/>
        </w:rPr>
        <w:t>Ante este nuevo modelo de unidades de produc- ción trutícola rurales empresariales se ha produci- do una diversificación en la actividad, por lo que ahora los factores que determinan el cauce pro- ductivo son de carácter intrínseco, es decir,</w:t>
      </w:r>
      <w:r>
        <w:rPr>
          <w:color w:val="231F20"/>
          <w:spacing w:val="-14"/>
        </w:rPr>
        <w:t> </w:t>
      </w:r>
      <w:r>
        <w:rPr>
          <w:color w:val="231F20"/>
        </w:rPr>
        <w:t>relacio- nados con lo que ocurre en el interior de la unidad de producción trutícola. Bozo</w:t>
      </w:r>
      <w:r>
        <w:rPr>
          <w:rFonts w:ascii="Arial" w:hAnsi="Arial"/>
          <w:color w:val="231F20"/>
        </w:rPr>
        <w:t>ğ</w:t>
      </w:r>
      <w:r>
        <w:rPr>
          <w:color w:val="231F20"/>
        </w:rPr>
        <w:t>lu </w:t>
      </w:r>
      <w:r>
        <w:rPr>
          <w:rFonts w:ascii="Cambria" w:hAnsi="Cambria"/>
          <w:i/>
          <w:color w:val="231F20"/>
        </w:rPr>
        <w:t>et al</w:t>
      </w:r>
      <w:r>
        <w:rPr>
          <w:color w:val="231F20"/>
        </w:rPr>
        <w:t>. </w:t>
      </w:r>
      <w:r>
        <w:rPr>
          <w:color w:val="231F20"/>
          <w:spacing w:val="-3"/>
        </w:rPr>
        <w:t>(2007) </w:t>
      </w:r>
      <w:r>
        <w:rPr>
          <w:color w:val="231F20"/>
        </w:rPr>
        <w:t>en- contraron que los principales factores que afectan la producción en una unidad de producción trutí- cola son el nivel educativo de los productores, la falta de capacitación para manejar el cultivo y el uso ineficiente del</w:t>
      </w:r>
      <w:r>
        <w:rPr>
          <w:color w:val="231F20"/>
          <w:spacing w:val="37"/>
        </w:rPr>
        <w:t> </w:t>
      </w:r>
      <w:r>
        <w:rPr>
          <w:color w:val="231F20"/>
        </w:rPr>
        <w:t>alimento.</w:t>
      </w:r>
    </w:p>
    <w:p>
      <w:pPr>
        <w:pStyle w:val="BodyText"/>
        <w:spacing w:line="261" w:lineRule="auto" w:before="114"/>
        <w:ind w:left="1553"/>
        <w:jc w:val="both"/>
      </w:pPr>
      <w:r>
        <w:rPr>
          <w:color w:val="231F20"/>
        </w:rPr>
        <w:t>El desarrollo de la actividad ha generado un</w:t>
      </w:r>
      <w:r>
        <w:rPr>
          <w:color w:val="231F20"/>
          <w:spacing w:val="-26"/>
        </w:rPr>
        <w:t> </w:t>
      </w:r>
      <w:r>
        <w:rPr>
          <w:color w:val="231F20"/>
        </w:rPr>
        <w:t>cambio de paradigma muy importante. Los productores se han organizado para contar con una actividad sus- tentable con importancia estatal y nacional, y se han creado asociaciones que buscan la competiti- vidad en calidad y precio para poder mantener los mercados actuales e incursionar en nuevos nichos que les permitan diversificar su</w:t>
      </w:r>
      <w:r>
        <w:rPr>
          <w:color w:val="231F20"/>
          <w:spacing w:val="41"/>
        </w:rPr>
        <w:t> </w:t>
      </w:r>
      <w:r>
        <w:rPr>
          <w:color w:val="231F20"/>
        </w:rPr>
        <w:t>producto.</w:t>
      </w:r>
    </w:p>
    <w:p>
      <w:pPr>
        <w:pStyle w:val="BodyText"/>
        <w:spacing w:line="261" w:lineRule="auto" w:before="114"/>
        <w:ind w:left="1553"/>
        <w:jc w:val="both"/>
      </w:pPr>
      <w:r>
        <w:rPr>
          <w:color w:val="231F20"/>
        </w:rPr>
        <w:t>El patrimonio construido por generaciones funda- doras está pasando a las siguientes, constituidas por personas con una visión más integral de la producción.</w:t>
      </w:r>
    </w:p>
    <w:p>
      <w:pPr>
        <w:pStyle w:val="BodyText"/>
        <w:spacing w:line="259" w:lineRule="auto" w:before="76"/>
        <w:ind w:left="413" w:right="2204"/>
      </w:pPr>
      <w:r>
        <w:rPr/>
        <w:br w:type="column"/>
      </w:r>
      <w:r>
        <w:rPr>
          <w:color w:val="231F20"/>
          <w:w w:val="110"/>
        </w:rPr>
        <w:t>CONTRIBUCIÓN DE LA TRUTICULTURA AL DESARROLLO RURAL</w:t>
      </w:r>
    </w:p>
    <w:p>
      <w:pPr>
        <w:pStyle w:val="BodyText"/>
        <w:spacing w:line="259" w:lineRule="auto" w:before="112"/>
        <w:ind w:left="413" w:right="1551"/>
        <w:jc w:val="both"/>
      </w:pPr>
      <w:r>
        <w:rPr>
          <w:color w:val="231F20"/>
        </w:rPr>
        <w:t>Campos </w:t>
      </w:r>
      <w:r>
        <w:rPr>
          <w:rFonts w:ascii="Cambria" w:hAnsi="Cambria"/>
          <w:i/>
          <w:color w:val="231F20"/>
        </w:rPr>
        <w:t>et al</w:t>
      </w:r>
      <w:r>
        <w:rPr>
          <w:color w:val="231F20"/>
        </w:rPr>
        <w:t>. </w:t>
      </w:r>
      <w:r>
        <w:rPr>
          <w:color w:val="231F20"/>
          <w:spacing w:val="-4"/>
        </w:rPr>
        <w:t>(1999) </w:t>
      </w:r>
      <w:r>
        <w:rPr>
          <w:color w:val="231F20"/>
        </w:rPr>
        <w:t>mencionan que, si bien la acuicultura ha tenido un  crecimiento  acelerado  en los últimos años y ha servido como detonan-    te del desarrollo local, no debe entenderse como  la gran solución económica para un determinado </w:t>
      </w:r>
      <w:r>
        <w:rPr>
          <w:color w:val="231F20"/>
          <w:spacing w:val="-3"/>
        </w:rPr>
        <w:t>sector, </w:t>
      </w:r>
      <w:r>
        <w:rPr>
          <w:color w:val="231F20"/>
        </w:rPr>
        <w:t>sino como un aporte que permitirá trabajar con retornos económicos razonables y que </w:t>
      </w:r>
      <w:r>
        <w:rPr>
          <w:color w:val="231F20"/>
          <w:spacing w:val="-2"/>
        </w:rPr>
        <w:t>además </w:t>
      </w:r>
      <w:r>
        <w:rPr>
          <w:color w:val="231F20"/>
        </w:rPr>
        <w:t>permitirá utilizar tierras no aptas para la</w:t>
      </w:r>
      <w:r>
        <w:rPr>
          <w:color w:val="231F20"/>
          <w:spacing w:val="-30"/>
        </w:rPr>
        <w:t> </w:t>
      </w:r>
      <w:r>
        <w:rPr>
          <w:color w:val="231F20"/>
        </w:rPr>
        <w:t>agricultura tradicional.</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México,</w:t>
      </w:r>
      <w:r>
        <w:rPr>
          <w:color w:val="231F20"/>
          <w:spacing w:val="-16"/>
        </w:rPr>
        <w:t> </w:t>
      </w:r>
      <w:r>
        <w:rPr>
          <w:color w:val="231F20"/>
        </w:rPr>
        <w:t>la</w:t>
      </w:r>
      <w:r>
        <w:rPr>
          <w:color w:val="231F20"/>
          <w:spacing w:val="-16"/>
        </w:rPr>
        <w:t> </w:t>
      </w:r>
      <w:r>
        <w:rPr>
          <w:color w:val="231F20"/>
        </w:rPr>
        <w:t>truticultura</w:t>
      </w:r>
      <w:r>
        <w:rPr>
          <w:color w:val="231F20"/>
          <w:spacing w:val="-16"/>
        </w:rPr>
        <w:t> </w:t>
      </w:r>
      <w:r>
        <w:rPr>
          <w:color w:val="231F20"/>
        </w:rPr>
        <w:t>ha prosperado en zonas de alta montaña donde se</w:t>
      </w:r>
      <w:r>
        <w:rPr>
          <w:color w:val="231F20"/>
          <w:spacing w:val="-19"/>
        </w:rPr>
        <w:t> </w:t>
      </w:r>
      <w:r>
        <w:rPr>
          <w:color w:val="231F20"/>
        </w:rPr>
        <w:t>tie- nen fuentes de agua cristalinas, como manantiales y escurrimientos, que son regiones </w:t>
      </w:r>
      <w:r>
        <w:rPr>
          <w:color w:val="231F20"/>
          <w:spacing w:val="-2"/>
        </w:rPr>
        <w:t>generalmente </w:t>
      </w:r>
      <w:r>
        <w:rPr>
          <w:color w:val="231F20"/>
        </w:rPr>
        <w:t>tipificadas como rurales, con un grado de margina- lidad alto, en tierras ejidales que no son aptas para </w:t>
      </w:r>
      <w:r>
        <w:rPr>
          <w:color w:val="231F20"/>
          <w:w w:val="95"/>
        </w:rPr>
        <w:t>la</w:t>
      </w:r>
      <w:r>
        <w:rPr>
          <w:color w:val="231F20"/>
          <w:spacing w:val="-4"/>
          <w:w w:val="95"/>
        </w:rPr>
        <w:t> </w:t>
      </w:r>
      <w:r>
        <w:rPr>
          <w:color w:val="231F20"/>
          <w:w w:val="95"/>
        </w:rPr>
        <w:t>agricultura.</w:t>
      </w:r>
    </w:p>
    <w:p>
      <w:pPr>
        <w:pStyle w:val="BodyText"/>
        <w:spacing w:line="259" w:lineRule="auto" w:before="112"/>
        <w:ind w:left="413" w:right="1551"/>
        <w:jc w:val="both"/>
      </w:pPr>
      <w:r>
        <w:rPr>
          <w:color w:val="231F20"/>
        </w:rPr>
        <w:t>Contar con clima y agua adecuados para la pro- ducción de trucha ha llevado a que cada vez se integren más familias a la actividad, que a decir de los productores es una alternativa viable que per- mite contar con una entrada económica fija. Por otra parte, mencionan que es un trabajo que unifi- ca a la familia y permite al padre dedicarse a otras actividades mientras la madre y los hijos atienden la unidad. Aun cuando el desarrollo rural a través de esta actividad forja modelos  de  producción  que unifican a la familia alrededor de un objetivo común, algunas unidades de producción trutícola han adoptado características emprendedoras que privilegian la organización de los </w:t>
      </w:r>
      <w:r>
        <w:rPr>
          <w:color w:val="231F20"/>
          <w:spacing w:val="21"/>
        </w:rPr>
        <w:t> </w:t>
      </w:r>
      <w:r>
        <w:rPr>
          <w:color w:val="231F20"/>
        </w:rPr>
        <w:t>procesos.</w:t>
      </w:r>
    </w:p>
    <w:p>
      <w:pPr>
        <w:pStyle w:val="BodyText"/>
        <w:spacing w:line="259" w:lineRule="auto" w:before="112"/>
        <w:ind w:left="413" w:right="1551"/>
        <w:jc w:val="both"/>
      </w:pPr>
      <w:r>
        <w:rPr>
          <w:color w:val="231F20"/>
        </w:rPr>
        <w:t>Según la tipificación realizada por García-Mondra- gón </w:t>
      </w:r>
      <w:r>
        <w:rPr>
          <w:color w:val="231F20"/>
          <w:spacing w:val="-4"/>
        </w:rPr>
        <w:t>(2011), </w:t>
      </w:r>
      <w:r>
        <w:rPr>
          <w:color w:val="231F20"/>
        </w:rPr>
        <w:t>el </w:t>
      </w:r>
      <w:r>
        <w:rPr>
          <w:color w:val="231F20"/>
          <w:spacing w:val="-8"/>
        </w:rPr>
        <w:t>77,47% </w:t>
      </w:r>
      <w:r>
        <w:rPr>
          <w:color w:val="231F20"/>
        </w:rPr>
        <w:t>de las unidades de pro- ducción trutícola han optado por modelos de producción donde la familia es el núcleo laboral.  De éstas, sólo el </w:t>
      </w:r>
      <w:r>
        <w:rPr>
          <w:color w:val="231F20"/>
          <w:spacing w:val="-5"/>
        </w:rPr>
        <w:t>31% </w:t>
      </w:r>
      <w:r>
        <w:rPr>
          <w:color w:val="231F20"/>
        </w:rPr>
        <w:t>remunera a la familia con salarios y el resto de las unidades usa las utilidades para el gasto familiar. Un 22,53% han adoptado   un  modelo  de  “emprendedores  </w:t>
      </w:r>
      <w:r>
        <w:rPr>
          <w:color w:val="231F20"/>
          <w:spacing w:val="-3"/>
        </w:rPr>
        <w:t>rurales”,  </w:t>
      </w:r>
      <w:r>
        <w:rPr>
          <w:color w:val="231F20"/>
        </w:rPr>
        <w:t>que</w:t>
      </w:r>
      <w:r>
        <w:rPr>
          <w:color w:val="231F20"/>
          <w:spacing w:val="-18"/>
        </w:rPr>
        <w:t> </w:t>
      </w:r>
      <w:r>
        <w:rPr>
          <w:color w:val="231F20"/>
        </w:rPr>
        <w:t>son</w:t>
      </w:r>
    </w:p>
    <w:p>
      <w:pPr>
        <w:spacing w:after="0" w:line="259" w:lineRule="auto"/>
        <w:jc w:val="both"/>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9965" w:val="left" w:leader="none"/>
        </w:tabs>
        <w:spacing w:before="64"/>
        <w:ind w:left="1553" w:right="0" w:firstLine="0"/>
        <w:jc w:val="left"/>
        <w:rPr>
          <w:sz w:val="22"/>
        </w:rPr>
      </w:pPr>
      <w:r>
        <w:rPr>
          <w:color w:val="231F20"/>
          <w:sz w:val="18"/>
        </w:rPr>
        <w:t>Capítulo </w:t>
      </w:r>
      <w:r>
        <w:rPr>
          <w:color w:val="231F20"/>
          <w:spacing w:val="-11"/>
          <w:sz w:val="18"/>
        </w:rPr>
        <w:t>17.    </w:t>
      </w:r>
      <w:r>
        <w:rPr>
          <w:color w:val="231F20"/>
          <w:sz w:val="18"/>
        </w:rPr>
        <w:t>Desarrollo de la producción de trucha arcoíris </w:t>
      </w:r>
      <w:r>
        <w:rPr>
          <w:rFonts w:ascii="Cambria" w:hAnsi="Cambria"/>
          <w:i/>
          <w:color w:val="231F20"/>
          <w:sz w:val="18"/>
        </w:rPr>
        <w:t>(Oncorhynchus mykiss) </w:t>
      </w:r>
      <w:r>
        <w:rPr>
          <w:color w:val="231F20"/>
          <w:sz w:val="18"/>
        </w:rPr>
        <w:t>en   </w:t>
      </w:r>
      <w:r>
        <w:rPr>
          <w:color w:val="231F20"/>
          <w:spacing w:val="16"/>
          <w:sz w:val="18"/>
        </w:rPr>
        <w:t> </w:t>
      </w:r>
      <w:r>
        <w:rPr>
          <w:color w:val="231F20"/>
          <w:sz w:val="18"/>
        </w:rPr>
        <w:t>comunidades</w:t>
      </w:r>
      <w:r>
        <w:rPr>
          <w:color w:val="231F20"/>
          <w:spacing w:val="13"/>
          <w:sz w:val="18"/>
        </w:rPr>
        <w:t> </w:t>
      </w:r>
      <w:r>
        <w:rPr>
          <w:color w:val="231F20"/>
          <w:sz w:val="18"/>
        </w:rPr>
        <w:t>rurales...</w:t>
        <w:tab/>
      </w:r>
      <w:r>
        <w:rPr>
          <w:color w:val="231F20"/>
          <w:spacing w:val="-5"/>
          <w:sz w:val="22"/>
        </w:rPr>
        <w:t>255</w:t>
      </w:r>
    </w:p>
    <w:p>
      <w:pPr>
        <w:pStyle w:val="BodyText"/>
        <w:spacing w:before="9"/>
        <w:rPr>
          <w:sz w:val="22"/>
        </w:rPr>
      </w:pPr>
    </w:p>
    <w:p>
      <w:pPr>
        <w:spacing w:after="0"/>
        <w:rPr>
          <w:sz w:val="22"/>
        </w:rPr>
        <w:sectPr>
          <w:pgSz w:w="11900" w:h="14450"/>
          <w:pgMar w:header="0" w:footer="222" w:top="420" w:bottom="420" w:left="0" w:right="0"/>
        </w:sectPr>
      </w:pPr>
    </w:p>
    <w:p>
      <w:pPr>
        <w:pStyle w:val="BodyText"/>
        <w:spacing w:line="259" w:lineRule="auto" w:before="67"/>
        <w:ind w:left="1553"/>
        <w:jc w:val="both"/>
      </w:pPr>
      <w:r>
        <w:rPr>
          <w:color w:val="231F20"/>
        </w:rPr>
        <w:t>unidades que se iniciaron de manera familiar  y  han evolucionado a pequeñas empresas de pro- ducción</w:t>
      </w:r>
      <w:r>
        <w:rPr>
          <w:color w:val="231F20"/>
          <w:spacing w:val="-18"/>
        </w:rPr>
        <w:t> </w:t>
      </w:r>
      <w:r>
        <w:rPr>
          <w:color w:val="231F20"/>
        </w:rPr>
        <w:t>trutícola.</w:t>
      </w:r>
    </w:p>
    <w:p>
      <w:pPr>
        <w:pStyle w:val="BodyText"/>
        <w:spacing w:line="259" w:lineRule="auto" w:before="113"/>
        <w:ind w:left="1553"/>
        <w:jc w:val="both"/>
      </w:pPr>
      <w:r>
        <w:rPr>
          <w:color w:val="231F20"/>
        </w:rPr>
        <w:t>Rai </w:t>
      </w:r>
      <w:r>
        <w:rPr>
          <w:rFonts w:ascii="Cambria" w:hAnsi="Cambria"/>
          <w:i/>
          <w:color w:val="231F20"/>
        </w:rPr>
        <w:t>et al</w:t>
      </w:r>
      <w:r>
        <w:rPr>
          <w:color w:val="231F20"/>
        </w:rPr>
        <w:t>. (2005) señalan que la introducción de la trucha arcoíris genera oportunidades para mejorar la producción comercial de especies de peces de agua fría, y animan a la gente de las regiones mon- tañosas a participar en su cultivo porque no sólo desempeña un papel importante por la generación de ingresos para los agricultores, sino que también proporciona oportunidades de empleo a otras per- sonas involucradas en los eslabones productivos, tales como la comercialización o el procesamiento del producto.</w:t>
      </w:r>
    </w:p>
    <w:p>
      <w:pPr>
        <w:pStyle w:val="BodyText"/>
        <w:spacing w:line="259" w:lineRule="auto" w:before="113"/>
        <w:ind w:left="1553"/>
        <w:jc w:val="both"/>
      </w:pPr>
      <w:r>
        <w:rPr>
          <w:color w:val="231F20"/>
        </w:rPr>
        <w:t>Esta actividad basada en los modelos de produc- ción mencionados ha forjado una nueva genera- ción de productores que ven en el campo una oportunidad de formar  un  patrimonio  gracias  a  la truticultura, y han contribuido a solucionar pro- blemas como la migración y el uso ilegal de los recursos forestales. Esta actividad ha generado expectativas de crecimiento: 1) económico, a tra- vés de formas de producción rentables aunque algunos la siguen percibiendo como una actividad económica complementaria a la agricultura o la ganadería; 2) social, siempre tomando como base la participación de todos los integrantes de una o varias familias que aportan trabajo para el ingreso; y 3) ambiental, pues todos los productores de tru- cha están involucrados en la reforestación de sus bosques, la conservación de los cuerpos de agua,   la eliminación de basura,</w:t>
      </w:r>
      <w:r>
        <w:rPr>
          <w:color w:val="231F20"/>
          <w:spacing w:val="45"/>
        </w:rPr>
        <w:t> </w:t>
      </w:r>
      <w:r>
        <w:rPr>
          <w:color w:val="231F20"/>
        </w:rPr>
        <w:t>etc.</w:t>
      </w:r>
    </w:p>
    <w:p>
      <w:pPr>
        <w:pStyle w:val="BodyText"/>
        <w:spacing w:line="259" w:lineRule="auto" w:before="113"/>
        <w:ind w:left="1553"/>
        <w:jc w:val="both"/>
      </w:pPr>
      <w:r>
        <w:rPr>
          <w:color w:val="231F20"/>
        </w:rPr>
        <w:t>A pesar de todos los esfuerzos realizados hasta el momento para contar con una actividad rural con- solidada, aún se requieren acciones específicas </w:t>
      </w:r>
      <w:r>
        <w:rPr>
          <w:color w:val="231F20"/>
          <w:spacing w:val="-2"/>
        </w:rPr>
        <w:t>que </w:t>
      </w:r>
      <w:r>
        <w:rPr>
          <w:color w:val="231F20"/>
        </w:rPr>
        <w:t>permitan</w:t>
      </w:r>
      <w:r>
        <w:rPr>
          <w:color w:val="231F20"/>
          <w:spacing w:val="-18"/>
        </w:rPr>
        <w:t> </w:t>
      </w:r>
      <w:r>
        <w:rPr>
          <w:color w:val="231F20"/>
        </w:rPr>
        <w:t>mejorar</w:t>
      </w:r>
      <w:r>
        <w:rPr>
          <w:color w:val="231F20"/>
          <w:spacing w:val="-17"/>
        </w:rPr>
        <w:t> </w:t>
      </w:r>
      <w:r>
        <w:rPr>
          <w:color w:val="231F20"/>
        </w:rPr>
        <w:t>la</w:t>
      </w:r>
      <w:r>
        <w:rPr>
          <w:color w:val="231F20"/>
          <w:spacing w:val="-17"/>
        </w:rPr>
        <w:t> </w:t>
      </w:r>
      <w:r>
        <w:rPr>
          <w:color w:val="231F20"/>
        </w:rPr>
        <w:t>competitividad</w:t>
      </w:r>
      <w:r>
        <w:rPr>
          <w:color w:val="231F20"/>
          <w:spacing w:val="-17"/>
        </w:rPr>
        <w:t> </w:t>
      </w:r>
      <w:r>
        <w:rPr>
          <w:color w:val="231F20"/>
        </w:rPr>
        <w:t>y</w:t>
      </w:r>
      <w:r>
        <w:rPr>
          <w:color w:val="231F20"/>
          <w:spacing w:val="-17"/>
        </w:rPr>
        <w:t> </w:t>
      </w:r>
      <w:r>
        <w:rPr>
          <w:color w:val="231F20"/>
        </w:rPr>
        <w:t>establecer</w:t>
      </w:r>
      <w:r>
        <w:rPr>
          <w:color w:val="231F20"/>
          <w:spacing w:val="-17"/>
        </w:rPr>
        <w:t> </w:t>
      </w:r>
      <w:r>
        <w:rPr>
          <w:color w:val="231F20"/>
          <w:spacing w:val="-2"/>
        </w:rPr>
        <w:t>una </w:t>
      </w:r>
      <w:r>
        <w:rPr>
          <w:color w:val="231F20"/>
        </w:rPr>
        <w:t>actividad productiva a su máximo potencial, me- diante la transferencia de tecnología y el estableci- miento</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truticultura</w:t>
      </w:r>
      <w:r>
        <w:rPr>
          <w:color w:val="231F20"/>
          <w:spacing w:val="-15"/>
        </w:rPr>
        <w:t> </w:t>
      </w:r>
      <w:r>
        <w:rPr>
          <w:color w:val="231F20"/>
        </w:rPr>
        <w:t>rural</w:t>
      </w:r>
      <w:r>
        <w:rPr>
          <w:color w:val="231F20"/>
          <w:spacing w:val="-15"/>
        </w:rPr>
        <w:t> </w:t>
      </w:r>
      <w:r>
        <w:rPr>
          <w:color w:val="231F20"/>
          <w:spacing w:val="-2"/>
        </w:rPr>
        <w:t>sustentable.</w:t>
      </w:r>
    </w:p>
    <w:p>
      <w:pPr>
        <w:pStyle w:val="BodyText"/>
        <w:spacing w:before="76"/>
        <w:ind w:left="412" w:right="2579"/>
      </w:pPr>
      <w:r>
        <w:rPr/>
        <w:br w:type="column"/>
      </w:r>
      <w:r>
        <w:rPr>
          <w:color w:val="231F20"/>
          <w:w w:val="110"/>
        </w:rPr>
        <w:t>BIBLIOGRAFÍA</w:t>
      </w:r>
    </w:p>
    <w:p>
      <w:pPr>
        <w:spacing w:line="276" w:lineRule="auto" w:before="140"/>
        <w:ind w:left="696" w:right="1551" w:hanging="284"/>
        <w:jc w:val="both"/>
        <w:rPr>
          <w:sz w:val="18"/>
        </w:rPr>
      </w:pPr>
      <w:r>
        <w:rPr>
          <w:color w:val="231F20"/>
          <w:spacing w:val="-3"/>
          <w:sz w:val="18"/>
        </w:rPr>
        <w:t>Álvarez </w:t>
      </w:r>
      <w:r>
        <w:rPr>
          <w:color w:val="231F20"/>
          <w:spacing w:val="-9"/>
          <w:sz w:val="18"/>
        </w:rPr>
        <w:t>T.P. </w:t>
      </w:r>
      <w:r>
        <w:rPr>
          <w:color w:val="231F20"/>
          <w:spacing w:val="-3"/>
          <w:sz w:val="18"/>
        </w:rPr>
        <w:t>(1999). </w:t>
      </w:r>
      <w:r>
        <w:rPr>
          <w:color w:val="231F20"/>
          <w:sz w:val="18"/>
        </w:rPr>
        <w:t>Acuacultura de repoblamiento en em- balses. Memorias del taller-curso “Evaluación de po- blaciones y repoblamiento en </w:t>
      </w:r>
      <w:r>
        <w:rPr>
          <w:color w:val="231F20"/>
          <w:spacing w:val="-4"/>
          <w:sz w:val="18"/>
        </w:rPr>
        <w:t>embalses”. SEMARNAP. </w:t>
      </w:r>
      <w:r>
        <w:rPr>
          <w:color w:val="231F20"/>
          <w:sz w:val="18"/>
        </w:rPr>
        <w:t>Instituto Nacional de la </w:t>
      </w:r>
      <w:r>
        <w:rPr>
          <w:color w:val="231F20"/>
          <w:spacing w:val="-3"/>
          <w:sz w:val="18"/>
        </w:rPr>
        <w:t>Pesca, </w:t>
      </w:r>
      <w:r>
        <w:rPr>
          <w:color w:val="231F20"/>
          <w:sz w:val="18"/>
        </w:rPr>
        <w:t>Dirección General de Investigación en Acuacultura. México, </w:t>
      </w:r>
      <w:r>
        <w:rPr>
          <w:color w:val="231F20"/>
          <w:spacing w:val="-6"/>
          <w:sz w:val="18"/>
        </w:rPr>
        <w:t>D.F.</w:t>
      </w:r>
    </w:p>
    <w:p>
      <w:pPr>
        <w:spacing w:line="276" w:lineRule="auto" w:before="56"/>
        <w:ind w:left="696" w:right="1551" w:hanging="284"/>
        <w:jc w:val="both"/>
        <w:rPr>
          <w:sz w:val="18"/>
        </w:rPr>
      </w:pPr>
      <w:r>
        <w:rPr>
          <w:color w:val="231F20"/>
          <w:sz w:val="18"/>
        </w:rPr>
        <w:t>Arredondo J.L., Lozano S.L. (2003). La acuicultura en México. Universidad Autónoma Metropolitana-Izta- palapa. México. 266  p.</w:t>
      </w:r>
    </w:p>
    <w:p>
      <w:pPr>
        <w:spacing w:line="276" w:lineRule="auto" w:before="56"/>
        <w:ind w:left="696" w:right="1551" w:hanging="284"/>
        <w:jc w:val="both"/>
        <w:rPr>
          <w:sz w:val="18"/>
        </w:rPr>
      </w:pPr>
      <w:r>
        <w:rPr>
          <w:color w:val="231F20"/>
          <w:sz w:val="18"/>
        </w:rPr>
        <w:t>Banco Nacional de Crédito Ejidal S.A. de C.V. (1966). Cultivo de la rana toro (Rana catesbeiana). Campaña Nacional de Piscicultura Agrícola. México.</w:t>
      </w:r>
    </w:p>
    <w:p>
      <w:pPr>
        <w:spacing w:line="276" w:lineRule="auto" w:before="56"/>
        <w:ind w:left="696" w:right="1551" w:hanging="284"/>
        <w:jc w:val="both"/>
        <w:rPr>
          <w:sz w:val="18"/>
        </w:rPr>
      </w:pPr>
      <w:r>
        <w:rPr>
          <w:color w:val="231F20"/>
          <w:sz w:val="18"/>
        </w:rPr>
        <w:t>Blanco C.C. (1995). La trucha, cría industrial. Mun- di-prensa, España.</w:t>
      </w:r>
    </w:p>
    <w:p>
      <w:pPr>
        <w:spacing w:line="276" w:lineRule="auto" w:before="56"/>
        <w:ind w:left="696" w:right="1551" w:hanging="284"/>
        <w:jc w:val="both"/>
        <w:rPr>
          <w:sz w:val="18"/>
        </w:rPr>
      </w:pPr>
      <w:r>
        <w:rPr>
          <w:color w:val="231F20"/>
          <w:sz w:val="18"/>
        </w:rPr>
        <w:t>Bozo</w:t>
      </w:r>
      <w:r>
        <w:rPr>
          <w:rFonts w:ascii="Arial" w:hAnsi="Arial"/>
          <w:color w:val="231F20"/>
          <w:sz w:val="16"/>
        </w:rPr>
        <w:t>ğ</w:t>
      </w:r>
      <w:r>
        <w:rPr>
          <w:color w:val="231F20"/>
          <w:sz w:val="18"/>
        </w:rPr>
        <w:t>lu M.H., Ceyhan C.A., Demiryürek K., Kiliç O. (2007). Important factors affecting trout production in the Black Sea Region, </w:t>
      </w:r>
      <w:r>
        <w:rPr>
          <w:color w:val="231F20"/>
          <w:spacing w:val="-4"/>
          <w:sz w:val="18"/>
        </w:rPr>
        <w:t>Turkey. </w:t>
      </w:r>
      <w:r>
        <w:rPr>
          <w:rFonts w:ascii="Cambria" w:hAnsi="Cambria"/>
          <w:i/>
          <w:color w:val="231F20"/>
          <w:sz w:val="18"/>
        </w:rPr>
        <w:t>Czech Journal Ani- </w:t>
      </w:r>
      <w:r>
        <w:rPr>
          <w:rFonts w:ascii="Cambria" w:hAnsi="Cambria"/>
          <w:i/>
          <w:color w:val="231F20"/>
          <w:sz w:val="18"/>
        </w:rPr>
        <w:t>mal  Science,  </w:t>
      </w:r>
      <w:r>
        <w:rPr>
          <w:color w:val="231F20"/>
          <w:sz w:val="18"/>
        </w:rPr>
        <w:t>9: </w:t>
      </w:r>
      <w:r>
        <w:rPr>
          <w:color w:val="231F20"/>
          <w:spacing w:val="6"/>
          <w:sz w:val="18"/>
        </w:rPr>
        <w:t> </w:t>
      </w:r>
      <w:r>
        <w:rPr>
          <w:color w:val="231F20"/>
          <w:sz w:val="18"/>
        </w:rPr>
        <w:t>308-313.</w:t>
      </w:r>
    </w:p>
    <w:p>
      <w:pPr>
        <w:spacing w:line="276" w:lineRule="auto" w:before="56"/>
        <w:ind w:left="696" w:right="1551" w:hanging="284"/>
        <w:jc w:val="both"/>
        <w:rPr>
          <w:sz w:val="18"/>
        </w:rPr>
      </w:pPr>
      <w:r>
        <w:rPr>
          <w:color w:val="231F20"/>
          <w:sz w:val="18"/>
        </w:rPr>
        <w:t>Carretero I. (2002). Técnico en piscifactorias 1. Editorial Cultural, S.A., Madrid, España.</w:t>
      </w:r>
    </w:p>
    <w:p>
      <w:pPr>
        <w:spacing w:line="276" w:lineRule="auto" w:before="56"/>
        <w:ind w:left="696" w:right="1551" w:hanging="284"/>
        <w:jc w:val="both"/>
        <w:rPr>
          <w:sz w:val="18"/>
        </w:rPr>
      </w:pPr>
      <w:r>
        <w:rPr>
          <w:color w:val="231F20"/>
          <w:sz w:val="18"/>
        </w:rPr>
        <w:t>Campos L.M., Álvarez S., Mesa P.S. (1999). Estado de la acuicultura rural o de pequeña escala en Chile. Red de Acuicultura Rural en Pequeña Escala. Taller ARPE, FAO-UCT.</w:t>
      </w:r>
    </w:p>
    <w:p>
      <w:pPr>
        <w:spacing w:line="276" w:lineRule="auto" w:before="56"/>
        <w:ind w:left="696" w:right="1551" w:hanging="284"/>
        <w:jc w:val="both"/>
        <w:rPr>
          <w:sz w:val="18"/>
        </w:rPr>
      </w:pPr>
      <w:r>
        <w:rPr>
          <w:color w:val="231F20"/>
          <w:sz w:val="18"/>
        </w:rPr>
        <w:t>Casas R, Dettmer J. </w:t>
      </w:r>
      <w:r>
        <w:rPr>
          <w:color w:val="231F20"/>
          <w:spacing w:val="-7"/>
          <w:sz w:val="18"/>
        </w:rPr>
        <w:t>2007. </w:t>
      </w:r>
      <w:r>
        <w:rPr>
          <w:color w:val="231F20"/>
          <w:sz w:val="18"/>
        </w:rPr>
        <w:t>El sector acuícola en el no-  reste de México: importancia del conocimiento y la innovación.  </w:t>
      </w:r>
      <w:r>
        <w:rPr>
          <w:rFonts w:ascii="Cambria" w:hAnsi="Cambria"/>
          <w:i/>
          <w:color w:val="231F20"/>
          <w:sz w:val="18"/>
        </w:rPr>
        <w:t>Ideas  CONCYTEG,  </w:t>
      </w:r>
      <w:r>
        <w:rPr>
          <w:color w:val="231F20"/>
          <w:spacing w:val="-3"/>
          <w:sz w:val="18"/>
        </w:rPr>
        <w:t>19:</w:t>
      </w:r>
      <w:r>
        <w:rPr>
          <w:color w:val="231F20"/>
          <w:spacing w:val="30"/>
          <w:sz w:val="18"/>
        </w:rPr>
        <w:t> </w:t>
      </w:r>
      <w:r>
        <w:rPr>
          <w:color w:val="231F20"/>
          <w:spacing w:val="-7"/>
          <w:sz w:val="18"/>
        </w:rPr>
        <w:t>9-17.</w:t>
      </w:r>
    </w:p>
    <w:p>
      <w:pPr>
        <w:spacing w:line="276" w:lineRule="auto" w:before="56"/>
        <w:ind w:left="696" w:right="1551" w:hanging="284"/>
        <w:jc w:val="both"/>
        <w:rPr>
          <w:sz w:val="18"/>
        </w:rPr>
      </w:pPr>
      <w:r>
        <w:rPr>
          <w:color w:val="231F20"/>
          <w:sz w:val="18"/>
        </w:rPr>
        <w:t>Cházari E. (1984). Piscicultura en agua dulce. Reproduc- ción facsimilar de la edición de 1884. Secretaría de Pesca, México.</w:t>
      </w:r>
    </w:p>
    <w:p>
      <w:pPr>
        <w:spacing w:line="276" w:lineRule="auto" w:before="56"/>
        <w:ind w:left="696" w:right="1551" w:hanging="284"/>
        <w:jc w:val="both"/>
        <w:rPr>
          <w:sz w:val="18"/>
        </w:rPr>
      </w:pPr>
      <w:r>
        <w:rPr>
          <w:color w:val="231F20"/>
          <w:sz w:val="18"/>
        </w:rPr>
        <w:t>Cifuentes-Lemus J.L., Torres-García M., Frías M. </w:t>
      </w:r>
      <w:r>
        <w:rPr>
          <w:color w:val="231F20"/>
          <w:spacing w:val="-3"/>
          <w:sz w:val="18"/>
        </w:rPr>
        <w:t>(1997).   </w:t>
      </w:r>
      <w:r>
        <w:rPr>
          <w:color w:val="231F20"/>
          <w:sz w:val="18"/>
        </w:rPr>
        <w:t>El océano y sus recursos. XI. Acuicultura. La ciencia para todos. Limusa, México. 98 </w:t>
      </w:r>
      <w:r>
        <w:rPr>
          <w:color w:val="231F20"/>
          <w:spacing w:val="19"/>
          <w:sz w:val="18"/>
        </w:rPr>
        <w:t> </w:t>
      </w:r>
      <w:r>
        <w:rPr>
          <w:color w:val="231F20"/>
          <w:sz w:val="18"/>
        </w:rPr>
        <w:t>p.</w:t>
      </w:r>
    </w:p>
    <w:p>
      <w:pPr>
        <w:spacing w:line="276" w:lineRule="auto" w:before="56"/>
        <w:ind w:left="696" w:right="1551" w:hanging="284"/>
        <w:jc w:val="both"/>
        <w:rPr>
          <w:sz w:val="18"/>
        </w:rPr>
      </w:pPr>
      <w:r>
        <w:rPr>
          <w:color w:val="231F20"/>
          <w:w w:val="105"/>
          <w:sz w:val="18"/>
        </w:rPr>
        <w:t>Cifuentes-Lemus J.L., Cupul-Magaña </w:t>
      </w:r>
      <w:r>
        <w:rPr>
          <w:color w:val="231F20"/>
          <w:spacing w:val="-4"/>
          <w:w w:val="105"/>
          <w:sz w:val="18"/>
        </w:rPr>
        <w:t>F.G. </w:t>
      </w:r>
      <w:r>
        <w:rPr>
          <w:color w:val="231F20"/>
          <w:w w:val="105"/>
          <w:sz w:val="18"/>
        </w:rPr>
        <w:t>(2002). Un vistazo</w:t>
      </w:r>
      <w:r>
        <w:rPr>
          <w:color w:val="231F20"/>
          <w:spacing w:val="-8"/>
          <w:w w:val="105"/>
          <w:sz w:val="18"/>
        </w:rPr>
        <w:t> </w:t>
      </w:r>
      <w:r>
        <w:rPr>
          <w:color w:val="231F20"/>
          <w:w w:val="105"/>
          <w:sz w:val="18"/>
        </w:rPr>
        <w:t>a</w:t>
      </w:r>
      <w:r>
        <w:rPr>
          <w:color w:val="231F20"/>
          <w:spacing w:val="-8"/>
          <w:w w:val="105"/>
          <w:sz w:val="18"/>
        </w:rPr>
        <w:t> </w:t>
      </w:r>
      <w:r>
        <w:rPr>
          <w:color w:val="231F20"/>
          <w:w w:val="105"/>
          <w:sz w:val="18"/>
        </w:rPr>
        <w:t>la</w:t>
      </w:r>
      <w:r>
        <w:rPr>
          <w:color w:val="231F20"/>
          <w:spacing w:val="-8"/>
          <w:w w:val="105"/>
          <w:sz w:val="18"/>
        </w:rPr>
        <w:t> </w:t>
      </w:r>
      <w:r>
        <w:rPr>
          <w:color w:val="231F20"/>
          <w:w w:val="105"/>
          <w:sz w:val="18"/>
        </w:rPr>
        <w:t>historia</w:t>
      </w:r>
      <w:r>
        <w:rPr>
          <w:color w:val="231F20"/>
          <w:spacing w:val="-8"/>
          <w:w w:val="105"/>
          <w:sz w:val="18"/>
        </w:rPr>
        <w:t> </w:t>
      </w:r>
      <w:r>
        <w:rPr>
          <w:color w:val="231F20"/>
          <w:w w:val="105"/>
          <w:sz w:val="18"/>
        </w:rPr>
        <w:t>de</w:t>
      </w:r>
      <w:r>
        <w:rPr>
          <w:color w:val="231F20"/>
          <w:spacing w:val="-8"/>
          <w:w w:val="105"/>
          <w:sz w:val="18"/>
        </w:rPr>
        <w:t> </w:t>
      </w:r>
      <w:r>
        <w:rPr>
          <w:color w:val="231F20"/>
          <w:w w:val="105"/>
          <w:sz w:val="18"/>
        </w:rPr>
        <w:t>la</w:t>
      </w:r>
      <w:r>
        <w:rPr>
          <w:color w:val="231F20"/>
          <w:spacing w:val="-8"/>
          <w:w w:val="105"/>
          <w:sz w:val="18"/>
        </w:rPr>
        <w:t> </w:t>
      </w:r>
      <w:r>
        <w:rPr>
          <w:color w:val="231F20"/>
          <w:w w:val="105"/>
          <w:sz w:val="18"/>
        </w:rPr>
        <w:t>pesca</w:t>
      </w:r>
      <w:r>
        <w:rPr>
          <w:color w:val="231F20"/>
          <w:spacing w:val="-8"/>
          <w:w w:val="105"/>
          <w:sz w:val="18"/>
        </w:rPr>
        <w:t> </w:t>
      </w:r>
      <w:r>
        <w:rPr>
          <w:color w:val="231F20"/>
          <w:w w:val="105"/>
          <w:sz w:val="18"/>
        </w:rPr>
        <w:t>en</w:t>
      </w:r>
      <w:r>
        <w:rPr>
          <w:color w:val="231F20"/>
          <w:spacing w:val="-8"/>
          <w:w w:val="105"/>
          <w:sz w:val="18"/>
        </w:rPr>
        <w:t> </w:t>
      </w:r>
      <w:r>
        <w:rPr>
          <w:color w:val="231F20"/>
          <w:w w:val="105"/>
          <w:sz w:val="18"/>
        </w:rPr>
        <w:t>México:</w:t>
      </w:r>
      <w:r>
        <w:rPr>
          <w:color w:val="231F20"/>
          <w:spacing w:val="-8"/>
          <w:w w:val="105"/>
          <w:sz w:val="18"/>
        </w:rPr>
        <w:t> </w:t>
      </w:r>
      <w:r>
        <w:rPr>
          <w:color w:val="231F20"/>
          <w:w w:val="105"/>
          <w:sz w:val="18"/>
        </w:rPr>
        <w:t>adminis- tración,</w:t>
      </w:r>
      <w:r>
        <w:rPr>
          <w:color w:val="231F20"/>
          <w:spacing w:val="-25"/>
          <w:w w:val="105"/>
          <w:sz w:val="18"/>
        </w:rPr>
        <w:t> </w:t>
      </w:r>
      <w:r>
        <w:rPr>
          <w:color w:val="231F20"/>
          <w:w w:val="105"/>
          <w:sz w:val="18"/>
        </w:rPr>
        <w:t>legislación</w:t>
      </w:r>
      <w:r>
        <w:rPr>
          <w:color w:val="231F20"/>
          <w:spacing w:val="-25"/>
          <w:w w:val="105"/>
          <w:sz w:val="18"/>
        </w:rPr>
        <w:t> </w:t>
      </w:r>
      <w:r>
        <w:rPr>
          <w:color w:val="231F20"/>
          <w:w w:val="105"/>
          <w:sz w:val="18"/>
        </w:rPr>
        <w:t>y</w:t>
      </w:r>
      <w:r>
        <w:rPr>
          <w:color w:val="231F20"/>
          <w:spacing w:val="-25"/>
          <w:w w:val="105"/>
          <w:sz w:val="18"/>
        </w:rPr>
        <w:t> </w:t>
      </w:r>
      <w:r>
        <w:rPr>
          <w:color w:val="231F20"/>
          <w:w w:val="105"/>
          <w:sz w:val="18"/>
        </w:rPr>
        <w:t>esfuerzos</w:t>
      </w:r>
      <w:r>
        <w:rPr>
          <w:color w:val="231F20"/>
          <w:spacing w:val="-25"/>
          <w:w w:val="105"/>
          <w:sz w:val="18"/>
        </w:rPr>
        <w:t> </w:t>
      </w:r>
      <w:r>
        <w:rPr>
          <w:color w:val="231F20"/>
          <w:w w:val="105"/>
          <w:sz w:val="18"/>
        </w:rPr>
        <w:t>para</w:t>
      </w:r>
      <w:r>
        <w:rPr>
          <w:color w:val="231F20"/>
          <w:spacing w:val="-25"/>
          <w:w w:val="105"/>
          <w:sz w:val="18"/>
        </w:rPr>
        <w:t> </w:t>
      </w:r>
      <w:r>
        <w:rPr>
          <w:color w:val="231F20"/>
          <w:w w:val="105"/>
          <w:sz w:val="18"/>
        </w:rPr>
        <w:t>su</w:t>
      </w:r>
      <w:r>
        <w:rPr>
          <w:color w:val="231F20"/>
          <w:spacing w:val="-25"/>
          <w:w w:val="105"/>
          <w:sz w:val="18"/>
        </w:rPr>
        <w:t> </w:t>
      </w:r>
      <w:r>
        <w:rPr>
          <w:color w:val="231F20"/>
          <w:w w:val="105"/>
          <w:sz w:val="18"/>
        </w:rPr>
        <w:t>investigación. </w:t>
      </w:r>
      <w:r>
        <w:rPr>
          <w:rFonts w:ascii="Cambria" w:hAnsi="Cambria"/>
          <w:i/>
          <w:color w:val="231F20"/>
          <w:w w:val="105"/>
          <w:sz w:val="18"/>
        </w:rPr>
        <w:t>Ciencia Ergo Sum, </w:t>
      </w:r>
      <w:r>
        <w:rPr>
          <w:color w:val="231F20"/>
          <w:w w:val="105"/>
          <w:sz w:val="18"/>
        </w:rPr>
        <w:t>9:</w:t>
      </w:r>
      <w:r>
        <w:rPr>
          <w:color w:val="231F20"/>
          <w:spacing w:val="27"/>
          <w:w w:val="105"/>
          <w:sz w:val="18"/>
        </w:rPr>
        <w:t> </w:t>
      </w:r>
      <w:r>
        <w:rPr>
          <w:color w:val="231F20"/>
          <w:spacing w:val="-4"/>
          <w:w w:val="105"/>
          <w:sz w:val="18"/>
        </w:rPr>
        <w:t>112-118.</w:t>
      </w:r>
    </w:p>
    <w:p>
      <w:pPr>
        <w:spacing w:line="276" w:lineRule="auto" w:before="56"/>
        <w:ind w:left="696" w:right="1552" w:hanging="284"/>
        <w:jc w:val="both"/>
        <w:rPr>
          <w:sz w:val="18"/>
        </w:rPr>
      </w:pPr>
      <w:r>
        <w:rPr>
          <w:color w:val="231F20"/>
          <w:w w:val="105"/>
          <w:sz w:val="18"/>
        </w:rPr>
        <w:t>CONAPESCA (2005). Anuario estadístico de pesca 2003. Mazatlán, México. 368 p.</w:t>
      </w:r>
    </w:p>
    <w:p>
      <w:pPr>
        <w:spacing w:after="0" w:line="276" w:lineRule="auto"/>
        <w:jc w:val="both"/>
        <w:rPr>
          <w:sz w:val="18"/>
        </w:rPr>
        <w:sectPr>
          <w:type w:val="continuous"/>
          <w:pgSz w:w="11900" w:h="14450"/>
          <w:pgMar w:top="420" w:bottom="420" w:left="0" w:right="0"/>
          <w:cols w:num="2" w:equalWidth="0">
            <w:col w:w="5722" w:space="40"/>
            <w:col w:w="6138"/>
          </w:cols>
        </w:sectPr>
      </w:pPr>
    </w:p>
    <w:p>
      <w:pPr>
        <w:pStyle w:val="BodyText"/>
      </w:pPr>
    </w:p>
    <w:p>
      <w:pPr>
        <w:pStyle w:val="BodyText"/>
      </w:pPr>
    </w:p>
    <w:p>
      <w:pPr>
        <w:pStyle w:val="BodyText"/>
        <w:rPr>
          <w:sz w:val="17"/>
        </w:rPr>
      </w:pPr>
    </w:p>
    <w:p>
      <w:pPr>
        <w:tabs>
          <w:tab w:pos="4828" w:val="left" w:leader="none"/>
        </w:tabs>
        <w:spacing w:before="64"/>
        <w:ind w:left="1551" w:right="0" w:firstLine="0"/>
        <w:jc w:val="left"/>
        <w:rPr>
          <w:sz w:val="12"/>
        </w:rPr>
      </w:pPr>
      <w:r>
        <w:rPr>
          <w:color w:val="231F20"/>
          <w:spacing w:val="-4"/>
          <w:w w:val="130"/>
          <w:sz w:val="22"/>
        </w:rPr>
        <w:t>256</w:t>
        <w:tab/>
      </w:r>
      <w:r>
        <w:rPr>
          <w:color w:val="231F20"/>
          <w:w w:val="130"/>
          <w:sz w:val="18"/>
        </w:rPr>
        <w:t>SECCIÓN 4. </w:t>
      </w:r>
      <w:r>
        <w:rPr>
          <w:color w:val="231F20"/>
          <w:w w:val="135"/>
          <w:sz w:val="18"/>
        </w:rPr>
        <w:t>P</w:t>
      </w:r>
      <w:r>
        <w:rPr>
          <w:color w:val="231F20"/>
          <w:w w:val="135"/>
          <w:sz w:val="12"/>
        </w:rPr>
        <w:t>roducción </w:t>
      </w:r>
      <w:r>
        <w:rPr>
          <w:color w:val="231F20"/>
          <w:w w:val="130"/>
          <w:sz w:val="12"/>
        </w:rPr>
        <w:t>de </w:t>
      </w:r>
      <w:r>
        <w:rPr>
          <w:color w:val="231F20"/>
          <w:w w:val="135"/>
          <w:sz w:val="12"/>
        </w:rPr>
        <w:t>otras </w:t>
      </w:r>
      <w:r>
        <w:rPr>
          <w:color w:val="231F20"/>
          <w:w w:val="130"/>
          <w:sz w:val="12"/>
        </w:rPr>
        <w:t>esPecies </w:t>
      </w:r>
      <w:r>
        <w:rPr>
          <w:color w:val="231F20"/>
          <w:w w:val="135"/>
          <w:sz w:val="12"/>
        </w:rPr>
        <w:t>y su contribución al desarrollo  </w:t>
      </w:r>
      <w:r>
        <w:rPr>
          <w:color w:val="231F20"/>
          <w:spacing w:val="12"/>
          <w:w w:val="135"/>
          <w:sz w:val="12"/>
        </w:rPr>
        <w:t> </w:t>
      </w:r>
      <w:r>
        <w:rPr>
          <w:color w:val="231F20"/>
          <w:w w:val="135"/>
          <w:sz w:val="12"/>
        </w:rPr>
        <w:t>rural</w:t>
      </w:r>
    </w:p>
    <w:p>
      <w:pPr>
        <w:pStyle w:val="BodyText"/>
        <w:spacing w:before="10"/>
        <w:rPr>
          <w:sz w:val="22"/>
        </w:rPr>
      </w:pPr>
    </w:p>
    <w:p>
      <w:pPr>
        <w:spacing w:after="0"/>
        <w:rPr>
          <w:sz w:val="22"/>
        </w:rPr>
        <w:sectPr>
          <w:pgSz w:w="11900" w:h="14450"/>
          <w:pgMar w:header="0" w:footer="222" w:top="420" w:bottom="420" w:left="0" w:right="0"/>
        </w:sectPr>
      </w:pPr>
    </w:p>
    <w:p>
      <w:pPr>
        <w:spacing w:line="271" w:lineRule="auto" w:before="70"/>
        <w:ind w:left="1837" w:right="0" w:hanging="284"/>
        <w:jc w:val="both"/>
        <w:rPr>
          <w:sz w:val="18"/>
        </w:rPr>
      </w:pPr>
      <w:r>
        <w:rPr>
          <w:color w:val="231F20"/>
          <w:spacing w:val="-4"/>
          <w:w w:val="105"/>
          <w:sz w:val="18"/>
        </w:rPr>
        <w:t>CONAPO </w:t>
      </w:r>
      <w:r>
        <w:rPr>
          <w:color w:val="231F20"/>
          <w:spacing w:val="-6"/>
          <w:w w:val="105"/>
          <w:sz w:val="18"/>
        </w:rPr>
        <w:t>(2011). </w:t>
      </w:r>
      <w:r>
        <w:rPr>
          <w:color w:val="231F20"/>
          <w:spacing w:val="-4"/>
          <w:w w:val="105"/>
          <w:sz w:val="18"/>
        </w:rPr>
        <w:t>Índice </w:t>
      </w:r>
      <w:r>
        <w:rPr>
          <w:color w:val="231F20"/>
          <w:w w:val="105"/>
          <w:sz w:val="18"/>
        </w:rPr>
        <w:t>de </w:t>
      </w:r>
      <w:r>
        <w:rPr>
          <w:color w:val="231F20"/>
          <w:spacing w:val="-4"/>
          <w:w w:val="105"/>
          <w:sz w:val="18"/>
        </w:rPr>
        <w:t>marginación </w:t>
      </w:r>
      <w:r>
        <w:rPr>
          <w:color w:val="231F20"/>
          <w:spacing w:val="-3"/>
          <w:w w:val="105"/>
          <w:sz w:val="18"/>
        </w:rPr>
        <w:t>por </w:t>
      </w:r>
      <w:r>
        <w:rPr>
          <w:color w:val="231F20"/>
          <w:spacing w:val="-4"/>
          <w:w w:val="105"/>
          <w:sz w:val="18"/>
        </w:rPr>
        <w:t>entidad</w:t>
      </w:r>
      <w:r>
        <w:rPr>
          <w:color w:val="231F20"/>
          <w:spacing w:val="-29"/>
          <w:w w:val="105"/>
          <w:sz w:val="18"/>
        </w:rPr>
        <w:t> </w:t>
      </w:r>
      <w:r>
        <w:rPr>
          <w:color w:val="231F20"/>
          <w:spacing w:val="-4"/>
          <w:w w:val="105"/>
          <w:sz w:val="18"/>
        </w:rPr>
        <w:t>fede- rativa</w:t>
      </w:r>
      <w:r>
        <w:rPr>
          <w:color w:val="231F20"/>
          <w:spacing w:val="-9"/>
          <w:w w:val="105"/>
          <w:sz w:val="18"/>
        </w:rPr>
        <w:t> </w:t>
      </w:r>
      <w:r>
        <w:rPr>
          <w:color w:val="231F20"/>
          <w:w w:val="105"/>
          <w:sz w:val="18"/>
        </w:rPr>
        <w:t>y</w:t>
      </w:r>
      <w:r>
        <w:rPr>
          <w:color w:val="231F20"/>
          <w:spacing w:val="-9"/>
          <w:w w:val="105"/>
          <w:sz w:val="18"/>
        </w:rPr>
        <w:t> </w:t>
      </w:r>
      <w:r>
        <w:rPr>
          <w:color w:val="231F20"/>
          <w:spacing w:val="-4"/>
          <w:w w:val="105"/>
          <w:sz w:val="18"/>
        </w:rPr>
        <w:t>municipio</w:t>
      </w:r>
      <w:r>
        <w:rPr>
          <w:color w:val="231F20"/>
          <w:spacing w:val="-9"/>
          <w:w w:val="105"/>
          <w:sz w:val="18"/>
        </w:rPr>
        <w:t> </w:t>
      </w:r>
      <w:r>
        <w:rPr>
          <w:color w:val="231F20"/>
          <w:spacing w:val="-7"/>
          <w:w w:val="105"/>
          <w:sz w:val="18"/>
        </w:rPr>
        <w:t>2010.</w:t>
      </w:r>
      <w:r>
        <w:rPr>
          <w:color w:val="231F20"/>
          <w:spacing w:val="-9"/>
          <w:w w:val="105"/>
          <w:sz w:val="18"/>
        </w:rPr>
        <w:t> </w:t>
      </w:r>
      <w:r>
        <w:rPr>
          <w:color w:val="231F20"/>
          <w:spacing w:val="-4"/>
          <w:w w:val="105"/>
          <w:sz w:val="18"/>
        </w:rPr>
        <w:t>Disponible</w:t>
      </w:r>
      <w:r>
        <w:rPr>
          <w:color w:val="231F20"/>
          <w:spacing w:val="-9"/>
          <w:w w:val="105"/>
          <w:sz w:val="18"/>
        </w:rPr>
        <w:t> </w:t>
      </w:r>
      <w:r>
        <w:rPr>
          <w:color w:val="231F20"/>
          <w:w w:val="105"/>
          <w:sz w:val="18"/>
        </w:rPr>
        <w:t>en</w:t>
      </w:r>
      <w:r>
        <w:rPr>
          <w:color w:val="231F20"/>
          <w:spacing w:val="-9"/>
          <w:w w:val="105"/>
          <w:sz w:val="18"/>
        </w:rPr>
        <w:t> </w:t>
      </w:r>
      <w:r>
        <w:rPr>
          <w:color w:val="231F20"/>
          <w:spacing w:val="-4"/>
          <w:w w:val="105"/>
          <w:sz w:val="18"/>
        </w:rPr>
        <w:t>línea</w:t>
      </w:r>
      <w:r>
        <w:rPr>
          <w:color w:val="231F20"/>
          <w:spacing w:val="-9"/>
          <w:w w:val="105"/>
          <w:sz w:val="18"/>
        </w:rPr>
        <w:t> </w:t>
      </w:r>
      <w:r>
        <w:rPr>
          <w:color w:val="231F20"/>
          <w:spacing w:val="-3"/>
          <w:w w:val="105"/>
          <w:sz w:val="18"/>
        </w:rPr>
        <w:t>en:</w:t>
      </w:r>
      <w:r>
        <w:rPr>
          <w:color w:val="231F20"/>
          <w:spacing w:val="-9"/>
          <w:w w:val="105"/>
          <w:sz w:val="18"/>
        </w:rPr>
        <w:t> </w:t>
      </w:r>
      <w:hyperlink r:id="rId27">
        <w:r>
          <w:rPr>
            <w:color w:val="231F20"/>
            <w:spacing w:val="-5"/>
            <w:w w:val="105"/>
            <w:sz w:val="18"/>
          </w:rPr>
          <w:t>www.</w:t>
        </w:r>
      </w:hyperlink>
      <w:r>
        <w:rPr>
          <w:color w:val="231F20"/>
          <w:spacing w:val="-5"/>
          <w:w w:val="105"/>
          <w:sz w:val="18"/>
        </w:rPr>
        <w:t> </w:t>
      </w:r>
      <w:r>
        <w:rPr>
          <w:color w:val="231F20"/>
          <w:spacing w:val="3"/>
          <w:sz w:val="18"/>
        </w:rPr>
        <w:t>conapo.gob.mx/publicaciones/marginacion2011/ </w:t>
      </w:r>
      <w:r>
        <w:rPr>
          <w:color w:val="231F20"/>
          <w:spacing w:val="-4"/>
          <w:w w:val="105"/>
          <w:sz w:val="18"/>
        </w:rPr>
        <w:t>CapitulosPDF/1_4.pdf (Consultado </w:t>
      </w:r>
      <w:r>
        <w:rPr>
          <w:color w:val="231F20"/>
          <w:w w:val="105"/>
          <w:sz w:val="18"/>
        </w:rPr>
        <w:t>en</w:t>
      </w:r>
      <w:r>
        <w:rPr>
          <w:color w:val="231F20"/>
          <w:spacing w:val="22"/>
          <w:w w:val="105"/>
          <w:sz w:val="18"/>
        </w:rPr>
        <w:t> </w:t>
      </w:r>
      <w:r>
        <w:rPr>
          <w:color w:val="231F20"/>
          <w:spacing w:val="-7"/>
          <w:w w:val="105"/>
          <w:sz w:val="18"/>
        </w:rPr>
        <w:t>2012.)</w:t>
      </w:r>
    </w:p>
    <w:p>
      <w:pPr>
        <w:spacing w:line="271" w:lineRule="auto" w:before="57"/>
        <w:ind w:left="1837" w:right="1" w:hanging="284"/>
        <w:jc w:val="both"/>
        <w:rPr>
          <w:sz w:val="18"/>
        </w:rPr>
      </w:pPr>
      <w:r>
        <w:rPr>
          <w:color w:val="231F20"/>
          <w:sz w:val="18"/>
        </w:rPr>
        <w:t>Diario Oficial de la Federación (1989). Acuerdo por el  que se establecen los criterios de calidad del agua para el cultivo de la trucha</w:t>
      </w:r>
      <w:r>
        <w:rPr>
          <w:color w:val="231F20"/>
          <w:spacing w:val="10"/>
          <w:sz w:val="18"/>
        </w:rPr>
        <w:t> </w:t>
      </w:r>
      <w:r>
        <w:rPr>
          <w:color w:val="231F20"/>
          <w:sz w:val="18"/>
        </w:rPr>
        <w:t>arcoíris.</w:t>
      </w:r>
    </w:p>
    <w:p>
      <w:pPr>
        <w:spacing w:line="271" w:lineRule="auto" w:before="57"/>
        <w:ind w:left="1837" w:right="1" w:hanging="284"/>
        <w:jc w:val="both"/>
        <w:rPr>
          <w:sz w:val="18"/>
        </w:rPr>
      </w:pPr>
      <w:r>
        <w:rPr>
          <w:color w:val="231F20"/>
          <w:sz w:val="18"/>
        </w:rPr>
        <w:t>Diario Oficial de la Federación (1994a). Acuerdo por el que se establecen los requisitos sanitarios para la importación de organismos acuáticos vivos en cual- quiera de sus fases de desarrollo, destinados a la</w:t>
      </w:r>
      <w:r>
        <w:rPr>
          <w:color w:val="231F20"/>
          <w:w w:val="96"/>
          <w:sz w:val="18"/>
        </w:rPr>
        <w:t> </w:t>
      </w:r>
      <w:r>
        <w:rPr>
          <w:color w:val="231F20"/>
          <w:sz w:val="18"/>
        </w:rPr>
        <w:t>acuacultura u ornato, en el territorio nacional.</w:t>
      </w:r>
    </w:p>
    <w:p>
      <w:pPr>
        <w:spacing w:line="271" w:lineRule="auto" w:before="57"/>
        <w:ind w:left="1837" w:right="1" w:hanging="284"/>
        <w:jc w:val="both"/>
        <w:rPr>
          <w:sz w:val="18"/>
        </w:rPr>
      </w:pPr>
      <w:r>
        <w:rPr>
          <w:color w:val="231F20"/>
          <w:sz w:val="18"/>
        </w:rPr>
        <w:t>Diario Oficial  de  la  Federación  (1994b).  Acuerdo  por  el que se establece la aplicación de cuarentenas, a efecto de prevenir la introducción y dispersión de</w:t>
      </w:r>
      <w:r>
        <w:rPr>
          <w:color w:val="231F20"/>
          <w:spacing w:val="-28"/>
          <w:sz w:val="18"/>
        </w:rPr>
        <w:t> </w:t>
      </w:r>
      <w:r>
        <w:rPr>
          <w:color w:val="231F20"/>
          <w:sz w:val="18"/>
        </w:rPr>
        <w:t>en- fermedades certificables y notificables, en la impor- tación de organismos acuáticos vivos en cualquiera de sus fases de desarrollo, destinados a la acuacul- tura y ornato en los Estados Unidos </w:t>
      </w:r>
      <w:r>
        <w:rPr>
          <w:color w:val="231F20"/>
          <w:spacing w:val="26"/>
          <w:sz w:val="18"/>
        </w:rPr>
        <w:t> </w:t>
      </w:r>
      <w:r>
        <w:rPr>
          <w:color w:val="231F20"/>
          <w:sz w:val="18"/>
        </w:rPr>
        <w:t>Mexicanos.</w:t>
      </w:r>
    </w:p>
    <w:p>
      <w:pPr>
        <w:spacing w:line="271" w:lineRule="auto" w:before="57"/>
        <w:ind w:left="1837" w:right="1" w:hanging="284"/>
        <w:jc w:val="both"/>
        <w:rPr>
          <w:sz w:val="18"/>
        </w:rPr>
      </w:pPr>
      <w:r>
        <w:rPr>
          <w:color w:val="231F20"/>
          <w:spacing w:val="-6"/>
          <w:sz w:val="18"/>
        </w:rPr>
        <w:t>FAO </w:t>
      </w:r>
      <w:r>
        <w:rPr>
          <w:color w:val="231F20"/>
          <w:spacing w:val="-2"/>
          <w:sz w:val="18"/>
        </w:rPr>
        <w:t>(2006-2010).</w:t>
      </w:r>
      <w:r>
        <w:rPr>
          <w:color w:val="231F20"/>
          <w:spacing w:val="36"/>
          <w:sz w:val="18"/>
        </w:rPr>
        <w:t> </w:t>
      </w:r>
      <w:r>
        <w:rPr>
          <w:color w:val="231F20"/>
          <w:sz w:val="18"/>
        </w:rPr>
        <w:t>Aquaculture topics and activities. Acuicultura. En: </w:t>
      </w:r>
      <w:r>
        <w:rPr>
          <w:color w:val="231F20"/>
          <w:spacing w:val="-6"/>
          <w:sz w:val="18"/>
        </w:rPr>
        <w:t>FAO </w:t>
      </w:r>
      <w:r>
        <w:rPr>
          <w:color w:val="231F20"/>
          <w:sz w:val="18"/>
        </w:rPr>
        <w:t>Fisheries and Aquaculture Department [online]. Rome. Updated </w:t>
      </w:r>
      <w:r>
        <w:rPr>
          <w:color w:val="231F20"/>
          <w:spacing w:val="-4"/>
          <w:sz w:val="18"/>
        </w:rPr>
        <w:t>18 </w:t>
      </w:r>
      <w:r>
        <w:rPr>
          <w:color w:val="231F20"/>
          <w:sz w:val="18"/>
        </w:rPr>
        <w:t>October </w:t>
      </w:r>
      <w:r>
        <w:rPr>
          <w:color w:val="231F20"/>
          <w:spacing w:val="-4"/>
          <w:sz w:val="18"/>
        </w:rPr>
        <w:t>2010. </w:t>
      </w:r>
      <w:r>
        <w:rPr>
          <w:color w:val="231F20"/>
          <w:sz w:val="18"/>
        </w:rPr>
        <w:t>Disponible en línea en: </w:t>
      </w:r>
      <w:hyperlink r:id="rId289">
        <w:r>
          <w:rPr>
            <w:color w:val="231F20"/>
            <w:sz w:val="18"/>
          </w:rPr>
          <w:t>http://www.fao.org/</w:t>
        </w:r>
      </w:hyperlink>
      <w:r>
        <w:rPr>
          <w:color w:val="231F20"/>
          <w:sz w:val="18"/>
        </w:rPr>
        <w:t> fishery/aquaculture/es (Consultado el </w:t>
      </w:r>
      <w:r>
        <w:rPr>
          <w:color w:val="231F20"/>
          <w:spacing w:val="-4"/>
          <w:sz w:val="18"/>
        </w:rPr>
        <w:t>19 </w:t>
      </w:r>
      <w:r>
        <w:rPr>
          <w:color w:val="231F20"/>
          <w:sz w:val="18"/>
        </w:rPr>
        <w:t>de octu-  bre  de </w:t>
      </w:r>
      <w:r>
        <w:rPr>
          <w:color w:val="231F20"/>
          <w:spacing w:val="12"/>
          <w:sz w:val="18"/>
        </w:rPr>
        <w:t> </w:t>
      </w:r>
      <w:r>
        <w:rPr>
          <w:color w:val="231F20"/>
          <w:spacing w:val="-4"/>
          <w:sz w:val="18"/>
        </w:rPr>
        <w:t>2010.)</w:t>
      </w:r>
    </w:p>
    <w:p>
      <w:pPr>
        <w:spacing w:line="271" w:lineRule="auto" w:before="57"/>
        <w:ind w:left="1837" w:right="1" w:hanging="284"/>
        <w:jc w:val="both"/>
        <w:rPr>
          <w:sz w:val="18"/>
        </w:rPr>
      </w:pPr>
      <w:r>
        <w:rPr>
          <w:color w:val="231F20"/>
          <w:sz w:val="18"/>
        </w:rPr>
        <w:t>FAO (2010). The state of world fisheries and aquacul- ture. FAO Fisheries and Aquaculture Department. FAO, Roma, Italia.</w:t>
      </w:r>
    </w:p>
    <w:p>
      <w:pPr>
        <w:spacing w:before="57"/>
        <w:ind w:left="1553" w:right="-7" w:firstLine="0"/>
        <w:jc w:val="left"/>
        <w:rPr>
          <w:sz w:val="18"/>
        </w:rPr>
      </w:pPr>
      <w:r>
        <w:rPr>
          <w:color w:val="231F20"/>
          <w:sz w:val="18"/>
        </w:rPr>
        <w:t>Garza-Gil M.D., Varela-Lafuente M.I.,  Caballero-Mínguez</w:t>
      </w:r>
    </w:p>
    <w:p>
      <w:pPr>
        <w:spacing w:line="271" w:lineRule="auto" w:before="29"/>
        <w:ind w:left="1837" w:right="1" w:firstLine="0"/>
        <w:jc w:val="both"/>
        <w:rPr>
          <w:sz w:val="18"/>
        </w:rPr>
      </w:pPr>
      <w:r>
        <w:rPr>
          <w:color w:val="231F20"/>
          <w:sz w:val="18"/>
        </w:rPr>
        <w:t>G. (2008). Price and production trends in the ma-  rine fish aquaculture in Spain. </w:t>
      </w:r>
      <w:r>
        <w:rPr>
          <w:rFonts w:ascii="Cambria"/>
          <w:i/>
          <w:color w:val="231F20"/>
          <w:sz w:val="18"/>
        </w:rPr>
        <w:t>Aquaculture</w:t>
      </w:r>
      <w:r>
        <w:rPr>
          <w:rFonts w:ascii="Cambria"/>
          <w:i/>
          <w:color w:val="231F20"/>
          <w:spacing w:val="-19"/>
          <w:sz w:val="18"/>
        </w:rPr>
        <w:t> </w:t>
      </w:r>
      <w:r>
        <w:rPr>
          <w:rFonts w:ascii="Cambria"/>
          <w:i/>
          <w:color w:val="231F20"/>
          <w:sz w:val="18"/>
        </w:rPr>
        <w:t>Research, </w:t>
      </w:r>
      <w:r>
        <w:rPr>
          <w:color w:val="231F20"/>
          <w:sz w:val="18"/>
        </w:rPr>
        <w:t>8:</w:t>
      </w:r>
      <w:r>
        <w:rPr>
          <w:color w:val="231F20"/>
          <w:spacing w:val="30"/>
          <w:sz w:val="18"/>
        </w:rPr>
        <w:t> </w:t>
      </w:r>
      <w:r>
        <w:rPr>
          <w:color w:val="231F20"/>
          <w:sz w:val="18"/>
        </w:rPr>
        <w:t>1-8.</w:t>
      </w:r>
    </w:p>
    <w:p>
      <w:pPr>
        <w:spacing w:line="271" w:lineRule="auto" w:before="57"/>
        <w:ind w:left="1837" w:right="1" w:hanging="284"/>
        <w:jc w:val="both"/>
        <w:rPr>
          <w:sz w:val="18"/>
        </w:rPr>
      </w:pPr>
      <w:r>
        <w:rPr>
          <w:color w:val="231F20"/>
          <w:w w:val="105"/>
          <w:sz w:val="18"/>
        </w:rPr>
        <w:t>Gauchan D., Thakur N., Shrestha B., Rayamajhi S.A.G., Lamsal</w:t>
      </w:r>
      <w:r>
        <w:rPr>
          <w:color w:val="231F20"/>
          <w:spacing w:val="-12"/>
          <w:w w:val="105"/>
          <w:sz w:val="18"/>
        </w:rPr>
        <w:t> </w:t>
      </w:r>
      <w:r>
        <w:rPr>
          <w:color w:val="231F20"/>
          <w:w w:val="105"/>
          <w:sz w:val="18"/>
        </w:rPr>
        <w:t>G.</w:t>
      </w:r>
      <w:r>
        <w:rPr>
          <w:color w:val="231F20"/>
          <w:spacing w:val="-12"/>
          <w:w w:val="105"/>
          <w:sz w:val="18"/>
        </w:rPr>
        <w:t> </w:t>
      </w:r>
      <w:r>
        <w:rPr>
          <w:color w:val="231F20"/>
          <w:w w:val="105"/>
          <w:sz w:val="18"/>
        </w:rPr>
        <w:t>(2008).</w:t>
      </w:r>
      <w:r>
        <w:rPr>
          <w:color w:val="231F20"/>
          <w:spacing w:val="-12"/>
          <w:w w:val="105"/>
          <w:sz w:val="18"/>
        </w:rPr>
        <w:t> </w:t>
      </w:r>
      <w:r>
        <w:rPr>
          <w:color w:val="231F20"/>
          <w:w w:val="105"/>
          <w:sz w:val="18"/>
        </w:rPr>
        <w:t>Market</w:t>
      </w:r>
      <w:r>
        <w:rPr>
          <w:color w:val="231F20"/>
          <w:spacing w:val="-12"/>
          <w:w w:val="105"/>
          <w:sz w:val="18"/>
        </w:rPr>
        <w:t> </w:t>
      </w:r>
      <w:r>
        <w:rPr>
          <w:color w:val="231F20"/>
          <w:w w:val="105"/>
          <w:sz w:val="18"/>
        </w:rPr>
        <w:t>channels</w:t>
      </w:r>
      <w:r>
        <w:rPr>
          <w:color w:val="231F20"/>
          <w:spacing w:val="-12"/>
          <w:w w:val="105"/>
          <w:sz w:val="18"/>
        </w:rPr>
        <w:t> </w:t>
      </w:r>
      <w:r>
        <w:rPr>
          <w:color w:val="231F20"/>
          <w:w w:val="105"/>
          <w:sz w:val="18"/>
        </w:rPr>
        <w:t>of</w:t>
      </w:r>
      <w:r>
        <w:rPr>
          <w:color w:val="231F20"/>
          <w:spacing w:val="-12"/>
          <w:w w:val="105"/>
          <w:sz w:val="18"/>
        </w:rPr>
        <w:t> </w:t>
      </w:r>
      <w:r>
        <w:rPr>
          <w:color w:val="231F20"/>
          <w:w w:val="105"/>
          <w:sz w:val="18"/>
        </w:rPr>
        <w:t>rainbow</w:t>
      </w:r>
      <w:r>
        <w:rPr>
          <w:color w:val="231F20"/>
          <w:spacing w:val="-12"/>
          <w:w w:val="105"/>
          <w:sz w:val="18"/>
        </w:rPr>
        <w:t> </w:t>
      </w:r>
      <w:r>
        <w:rPr>
          <w:color w:val="231F20"/>
          <w:w w:val="105"/>
          <w:sz w:val="18"/>
        </w:rPr>
        <w:t>trout (Oncorhynchus mykiss) products in Nepal. En: Gu- rung</w:t>
      </w:r>
      <w:r>
        <w:rPr>
          <w:color w:val="231F20"/>
          <w:spacing w:val="-7"/>
          <w:w w:val="105"/>
          <w:sz w:val="18"/>
        </w:rPr>
        <w:t> </w:t>
      </w:r>
      <w:r>
        <w:rPr>
          <w:color w:val="231F20"/>
          <w:w w:val="105"/>
          <w:sz w:val="18"/>
        </w:rPr>
        <w:t>Bahadur</w:t>
      </w:r>
      <w:r>
        <w:rPr>
          <w:color w:val="231F20"/>
          <w:spacing w:val="-7"/>
          <w:w w:val="105"/>
          <w:sz w:val="18"/>
        </w:rPr>
        <w:t> Tek </w:t>
      </w:r>
      <w:r>
        <w:rPr>
          <w:color w:val="231F20"/>
          <w:w w:val="105"/>
          <w:sz w:val="18"/>
        </w:rPr>
        <w:t>(2008).</w:t>
      </w:r>
      <w:r>
        <w:rPr>
          <w:color w:val="231F20"/>
          <w:spacing w:val="-7"/>
          <w:w w:val="105"/>
          <w:sz w:val="18"/>
        </w:rPr>
        <w:t> </w:t>
      </w:r>
      <w:r>
        <w:rPr>
          <w:color w:val="231F20"/>
          <w:w w:val="105"/>
          <w:sz w:val="18"/>
        </w:rPr>
        <w:t>Proceedings</w:t>
      </w:r>
      <w:r>
        <w:rPr>
          <w:color w:val="231F20"/>
          <w:spacing w:val="-7"/>
          <w:w w:val="105"/>
          <w:sz w:val="18"/>
        </w:rPr>
        <w:t> </w:t>
      </w:r>
      <w:r>
        <w:rPr>
          <w:color w:val="231F20"/>
          <w:w w:val="105"/>
          <w:sz w:val="18"/>
        </w:rPr>
        <w:t>of</w:t>
      </w:r>
      <w:r>
        <w:rPr>
          <w:color w:val="231F20"/>
          <w:spacing w:val="-7"/>
          <w:w w:val="105"/>
          <w:sz w:val="18"/>
        </w:rPr>
        <w:t> </w:t>
      </w:r>
      <w:r>
        <w:rPr>
          <w:color w:val="231F20"/>
          <w:w w:val="105"/>
          <w:sz w:val="18"/>
        </w:rPr>
        <w:t>the</w:t>
      </w:r>
      <w:r>
        <w:rPr>
          <w:color w:val="231F20"/>
          <w:spacing w:val="-7"/>
          <w:w w:val="105"/>
          <w:sz w:val="18"/>
        </w:rPr>
        <w:t> </w:t>
      </w:r>
      <w:r>
        <w:rPr>
          <w:color w:val="231F20"/>
          <w:w w:val="105"/>
          <w:sz w:val="18"/>
        </w:rPr>
        <w:t>Work- shop</w:t>
      </w:r>
      <w:r>
        <w:rPr>
          <w:color w:val="231F20"/>
          <w:spacing w:val="-11"/>
          <w:w w:val="105"/>
          <w:sz w:val="18"/>
        </w:rPr>
        <w:t> </w:t>
      </w:r>
      <w:r>
        <w:rPr>
          <w:color w:val="231F20"/>
          <w:w w:val="105"/>
          <w:sz w:val="18"/>
        </w:rPr>
        <w:t>on</w:t>
      </w:r>
      <w:r>
        <w:rPr>
          <w:color w:val="231F20"/>
          <w:spacing w:val="-11"/>
          <w:w w:val="105"/>
          <w:sz w:val="18"/>
        </w:rPr>
        <w:t> </w:t>
      </w:r>
      <w:r>
        <w:rPr>
          <w:color w:val="231F20"/>
          <w:w w:val="105"/>
          <w:sz w:val="18"/>
        </w:rPr>
        <w:t>scaling-up</w:t>
      </w:r>
      <w:r>
        <w:rPr>
          <w:color w:val="231F20"/>
          <w:spacing w:val="-11"/>
          <w:w w:val="105"/>
          <w:sz w:val="18"/>
        </w:rPr>
        <w:t> </w:t>
      </w:r>
      <w:r>
        <w:rPr>
          <w:color w:val="231F20"/>
          <w:w w:val="105"/>
          <w:sz w:val="18"/>
        </w:rPr>
        <w:t>of</w:t>
      </w:r>
      <w:r>
        <w:rPr>
          <w:color w:val="231F20"/>
          <w:spacing w:val="-11"/>
          <w:w w:val="105"/>
          <w:sz w:val="18"/>
        </w:rPr>
        <w:t> </w:t>
      </w:r>
      <w:r>
        <w:rPr>
          <w:color w:val="231F20"/>
          <w:w w:val="105"/>
          <w:sz w:val="18"/>
        </w:rPr>
        <w:t>rainbow</w:t>
      </w:r>
      <w:r>
        <w:rPr>
          <w:color w:val="231F20"/>
          <w:spacing w:val="-11"/>
          <w:w w:val="105"/>
          <w:sz w:val="18"/>
        </w:rPr>
        <w:t> </w:t>
      </w:r>
      <w:r>
        <w:rPr>
          <w:color w:val="231F20"/>
          <w:w w:val="105"/>
          <w:sz w:val="18"/>
        </w:rPr>
        <w:t>trout</w:t>
      </w:r>
      <w:r>
        <w:rPr>
          <w:color w:val="231F20"/>
          <w:spacing w:val="-11"/>
          <w:w w:val="105"/>
          <w:sz w:val="18"/>
        </w:rPr>
        <w:t> </w:t>
      </w:r>
      <w:r>
        <w:rPr>
          <w:color w:val="231F20"/>
          <w:w w:val="105"/>
          <w:sz w:val="18"/>
        </w:rPr>
        <w:t>(Oncorhynchus</w:t>
      </w:r>
      <w:r>
        <w:rPr>
          <w:color w:val="231F20"/>
          <w:w w:val="103"/>
          <w:sz w:val="18"/>
        </w:rPr>
        <w:t> </w:t>
      </w:r>
      <w:r>
        <w:rPr>
          <w:color w:val="231F20"/>
          <w:w w:val="105"/>
          <w:sz w:val="18"/>
        </w:rPr>
        <w:t>mykiss) farming strategies in Nepal. Nepal Agricul- </w:t>
      </w:r>
      <w:r>
        <w:rPr>
          <w:color w:val="231F20"/>
          <w:sz w:val="18"/>
        </w:rPr>
        <w:t>tural Research</w:t>
      </w:r>
      <w:r>
        <w:rPr>
          <w:color w:val="231F20"/>
          <w:spacing w:val="19"/>
          <w:sz w:val="18"/>
        </w:rPr>
        <w:t> </w:t>
      </w:r>
      <w:r>
        <w:rPr>
          <w:color w:val="231F20"/>
          <w:sz w:val="18"/>
        </w:rPr>
        <w:t>Council.</w:t>
      </w:r>
    </w:p>
    <w:p>
      <w:pPr>
        <w:spacing w:line="271" w:lineRule="auto" w:before="57"/>
        <w:ind w:left="1837" w:right="1" w:hanging="284"/>
        <w:jc w:val="both"/>
        <w:rPr>
          <w:sz w:val="18"/>
        </w:rPr>
      </w:pPr>
      <w:r>
        <w:rPr>
          <w:color w:val="231F20"/>
          <w:w w:val="105"/>
          <w:sz w:val="18"/>
        </w:rPr>
        <w:t>Gurung </w:t>
      </w:r>
      <w:r>
        <w:rPr>
          <w:color w:val="231F20"/>
          <w:spacing w:val="-4"/>
          <w:w w:val="105"/>
          <w:sz w:val="18"/>
        </w:rPr>
        <w:t>B.T. </w:t>
      </w:r>
      <w:r>
        <w:rPr>
          <w:color w:val="231F20"/>
          <w:w w:val="105"/>
          <w:sz w:val="18"/>
        </w:rPr>
        <w:t>(2008). Proceedings of the Workshop on scaling-up of rainbow trout (Oncorhynchus</w:t>
      </w:r>
      <w:r>
        <w:rPr>
          <w:color w:val="231F20"/>
          <w:spacing w:val="-25"/>
          <w:w w:val="105"/>
          <w:sz w:val="18"/>
        </w:rPr>
        <w:t> </w:t>
      </w:r>
      <w:r>
        <w:rPr>
          <w:color w:val="231F20"/>
          <w:w w:val="105"/>
          <w:sz w:val="18"/>
        </w:rPr>
        <w:t>mykiss) farming strategies in Nepal. Nepal Agricultural Re- </w:t>
      </w:r>
      <w:r>
        <w:rPr>
          <w:color w:val="231F20"/>
          <w:sz w:val="18"/>
        </w:rPr>
        <w:t>search</w:t>
      </w:r>
      <w:r>
        <w:rPr>
          <w:color w:val="231F20"/>
          <w:spacing w:val="23"/>
          <w:sz w:val="18"/>
        </w:rPr>
        <w:t> </w:t>
      </w:r>
      <w:r>
        <w:rPr>
          <w:color w:val="231F20"/>
          <w:sz w:val="18"/>
        </w:rPr>
        <w:t>Council.</w:t>
      </w:r>
    </w:p>
    <w:p>
      <w:pPr>
        <w:spacing w:line="264" w:lineRule="auto" w:before="70"/>
        <w:ind w:left="695" w:right="1551" w:hanging="284"/>
        <w:jc w:val="both"/>
        <w:rPr>
          <w:sz w:val="18"/>
        </w:rPr>
      </w:pPr>
      <w:r>
        <w:rPr/>
        <w:br w:type="column"/>
      </w:r>
      <w:r>
        <w:rPr>
          <w:color w:val="231F20"/>
          <w:sz w:val="18"/>
        </w:rPr>
        <w:t>Ibáñez L.A., García-Calderón J.L. (2006). ¿Cuencas o entidades federativas? Los repoblamientos de peces realizados por el gobierno federal. Congreso Nacio- nal y Reunión Mesoamericana de  Manejo  Integral de Cuencas Hidrográficas, 19-21 Septiembre, Que- </w:t>
      </w:r>
      <w:r>
        <w:rPr>
          <w:color w:val="231F20"/>
          <w:w w:val="95"/>
          <w:sz w:val="18"/>
        </w:rPr>
        <w:t>rétaro, México.</w:t>
      </w:r>
    </w:p>
    <w:p>
      <w:pPr>
        <w:spacing w:line="264" w:lineRule="auto" w:before="57"/>
        <w:ind w:left="695" w:right="1551" w:hanging="284"/>
        <w:jc w:val="both"/>
        <w:rPr>
          <w:sz w:val="18"/>
        </w:rPr>
      </w:pPr>
      <w:r>
        <w:rPr>
          <w:color w:val="231F20"/>
          <w:sz w:val="18"/>
        </w:rPr>
        <w:t>Idyll </w:t>
      </w:r>
      <w:r>
        <w:rPr>
          <w:color w:val="231F20"/>
          <w:spacing w:val="-4"/>
          <w:sz w:val="18"/>
        </w:rPr>
        <w:t>C.P. (1974). </w:t>
      </w:r>
      <w:r>
        <w:rPr>
          <w:color w:val="231F20"/>
          <w:sz w:val="18"/>
        </w:rPr>
        <w:t>Capacitación en acuicultura: México. Programa de Investigación y Fomento Pesquero. México/PNUD/FAO. Contribuciones al  estudio  de  las pesquerías de México, CEPM:  </w:t>
      </w:r>
      <w:r>
        <w:rPr>
          <w:color w:val="231F20"/>
          <w:spacing w:val="14"/>
          <w:sz w:val="18"/>
        </w:rPr>
        <w:t> </w:t>
      </w:r>
      <w:r>
        <w:rPr>
          <w:color w:val="231F20"/>
          <w:spacing w:val="-3"/>
          <w:sz w:val="18"/>
        </w:rPr>
        <w:t>12.</w:t>
      </w:r>
    </w:p>
    <w:p>
      <w:pPr>
        <w:spacing w:line="264" w:lineRule="auto" w:before="57"/>
        <w:ind w:left="695" w:right="1551" w:hanging="284"/>
        <w:jc w:val="both"/>
        <w:rPr>
          <w:sz w:val="18"/>
        </w:rPr>
      </w:pPr>
      <w:r>
        <w:rPr>
          <w:color w:val="231F20"/>
          <w:sz w:val="18"/>
        </w:rPr>
        <w:t>Juárez-Palacios R.R. (1987). La acuicultura en México, importancia social y económica. En: Desarrollo pes- quero mexicano 1986-1987. Secretaría de Pesca. México.  Lll:  pp. 219-232.</w:t>
      </w:r>
    </w:p>
    <w:p>
      <w:pPr>
        <w:spacing w:line="264" w:lineRule="auto" w:before="57"/>
        <w:ind w:left="695" w:right="1551" w:hanging="284"/>
        <w:jc w:val="both"/>
        <w:rPr>
          <w:sz w:val="18"/>
        </w:rPr>
      </w:pPr>
      <w:r>
        <w:rPr>
          <w:color w:val="231F20"/>
          <w:sz w:val="18"/>
        </w:rPr>
        <w:t>Klontz W.G. (1991). Producción de trucha arcoíris en granjas familiares. Universidad de Idaho,  USA.</w:t>
      </w:r>
    </w:p>
    <w:p>
      <w:pPr>
        <w:spacing w:line="264" w:lineRule="auto" w:before="57"/>
        <w:ind w:left="695" w:right="1551" w:hanging="284"/>
        <w:jc w:val="both"/>
        <w:rPr>
          <w:sz w:val="18"/>
        </w:rPr>
      </w:pPr>
      <w:r>
        <w:rPr>
          <w:color w:val="231F20"/>
          <w:sz w:val="18"/>
        </w:rPr>
        <w:t>Lazard J., Baruthio A., Mathé S., Rey-Valette H., Chia E., Clément O., </w:t>
      </w:r>
      <w:r>
        <w:rPr>
          <w:rFonts w:ascii="Cambria" w:hAnsi="Cambria"/>
          <w:i/>
          <w:color w:val="231F20"/>
          <w:sz w:val="18"/>
        </w:rPr>
        <w:t>et al</w:t>
      </w:r>
      <w:r>
        <w:rPr>
          <w:color w:val="231F20"/>
          <w:sz w:val="18"/>
        </w:rPr>
        <w:t>. (2010). Aquaculture system di- versity and sustainable development. Fish farms and their representation. </w:t>
      </w:r>
      <w:r>
        <w:rPr>
          <w:rFonts w:ascii="Cambria" w:hAnsi="Cambria"/>
          <w:i/>
          <w:color w:val="231F20"/>
          <w:sz w:val="18"/>
        </w:rPr>
        <w:t>Aquatic Living Resources, </w:t>
      </w:r>
      <w:r>
        <w:rPr>
          <w:color w:val="231F20"/>
          <w:sz w:val="18"/>
        </w:rPr>
        <w:t>23: 187-198.</w:t>
      </w:r>
    </w:p>
    <w:p>
      <w:pPr>
        <w:spacing w:line="264" w:lineRule="auto" w:before="57"/>
        <w:ind w:left="695" w:right="1551" w:hanging="284"/>
        <w:jc w:val="both"/>
        <w:rPr>
          <w:sz w:val="18"/>
        </w:rPr>
      </w:pPr>
      <w:r>
        <w:rPr>
          <w:color w:val="231F20"/>
          <w:sz w:val="18"/>
        </w:rPr>
        <w:t>Morales V., Morales R. (2005). Síntesis regional del de- sarrollo de la acuicultura 1. América Latina y el Cari- be – 2005. FAO,  United Nations, Rome,  Italy.</w:t>
      </w:r>
    </w:p>
    <w:p>
      <w:pPr>
        <w:spacing w:line="264" w:lineRule="auto" w:before="57"/>
        <w:ind w:left="695" w:right="1544" w:hanging="284"/>
        <w:jc w:val="both"/>
        <w:rPr>
          <w:sz w:val="18"/>
        </w:rPr>
      </w:pPr>
      <w:r>
        <w:rPr>
          <w:color w:val="231F20"/>
          <w:sz w:val="18"/>
        </w:rPr>
        <w:t>Pemsl D.E., Dey M.M., Paraguas F.J., Bose M.L. (2006). Determining high potential aquaculture production areas – analysis of key socio-economic adoption factors. IIFET 2006 Portsmouth Proceedings. Inter- national Institute of Fisheries Economics and Trade. Disponible en línea en: </w:t>
      </w:r>
      <w:hyperlink r:id="rId398">
        <w:r>
          <w:rPr>
            <w:color w:val="231F20"/>
            <w:sz w:val="18"/>
          </w:rPr>
          <w:t>http.//www.fao.org/fishery/</w:t>
        </w:r>
      </w:hyperlink>
      <w:r>
        <w:rPr>
          <w:color w:val="231F20"/>
          <w:sz w:val="18"/>
        </w:rPr>
        <w:t> gisfish/cds_upload/1197639702038_Pemsl_et_ al_2006_socioeconomic_aquaculture_potential.pdf (Consultado  el  27  de  julio  de 2011.)</w:t>
      </w:r>
    </w:p>
    <w:p>
      <w:pPr>
        <w:spacing w:line="264" w:lineRule="auto" w:before="57"/>
        <w:ind w:left="695" w:right="1551" w:hanging="284"/>
        <w:jc w:val="both"/>
        <w:rPr>
          <w:sz w:val="18"/>
        </w:rPr>
      </w:pPr>
      <w:r>
        <w:rPr>
          <w:color w:val="231F20"/>
          <w:w w:val="105"/>
          <w:sz w:val="18"/>
        </w:rPr>
        <w:t>Rai K.A., Basnet S.R., Bhujel R.C. (2005). Rainbow</w:t>
      </w:r>
      <w:r>
        <w:rPr>
          <w:color w:val="231F20"/>
          <w:spacing w:val="-9"/>
          <w:w w:val="105"/>
          <w:sz w:val="18"/>
        </w:rPr>
        <w:t> </w:t>
      </w:r>
      <w:r>
        <w:rPr>
          <w:color w:val="231F20"/>
          <w:w w:val="105"/>
          <w:sz w:val="18"/>
        </w:rPr>
        <w:t>trout (Oncorhynchus mykiss) culture in the Himalayan Kingdom of Nepal  –  a  success  story.  Asia-Pacif- ic Association of Agricultural Research Institutions (APAARI).</w:t>
      </w:r>
      <w:r>
        <w:rPr>
          <w:color w:val="231F20"/>
          <w:spacing w:val="-17"/>
          <w:w w:val="105"/>
          <w:sz w:val="18"/>
        </w:rPr>
        <w:t> </w:t>
      </w:r>
      <w:r>
        <w:rPr>
          <w:color w:val="231F20"/>
          <w:spacing w:val="-6"/>
          <w:w w:val="105"/>
          <w:sz w:val="18"/>
        </w:rPr>
        <w:t>FAO</w:t>
      </w:r>
      <w:r>
        <w:rPr>
          <w:color w:val="231F20"/>
          <w:spacing w:val="-17"/>
          <w:w w:val="105"/>
          <w:sz w:val="18"/>
        </w:rPr>
        <w:t> </w:t>
      </w:r>
      <w:r>
        <w:rPr>
          <w:color w:val="231F20"/>
          <w:w w:val="105"/>
          <w:sz w:val="18"/>
        </w:rPr>
        <w:t>Regional</w:t>
      </w:r>
      <w:r>
        <w:rPr>
          <w:color w:val="231F20"/>
          <w:spacing w:val="-17"/>
          <w:w w:val="105"/>
          <w:sz w:val="18"/>
        </w:rPr>
        <w:t> </w:t>
      </w:r>
      <w:r>
        <w:rPr>
          <w:color w:val="231F20"/>
          <w:w w:val="105"/>
          <w:sz w:val="18"/>
        </w:rPr>
        <w:t>Office</w:t>
      </w:r>
      <w:r>
        <w:rPr>
          <w:color w:val="231F20"/>
          <w:spacing w:val="-17"/>
          <w:w w:val="105"/>
          <w:sz w:val="18"/>
        </w:rPr>
        <w:t> </w:t>
      </w:r>
      <w:r>
        <w:rPr>
          <w:color w:val="231F20"/>
          <w:w w:val="105"/>
          <w:sz w:val="18"/>
        </w:rPr>
        <w:t>for</w:t>
      </w:r>
      <w:r>
        <w:rPr>
          <w:color w:val="231F20"/>
          <w:spacing w:val="-17"/>
          <w:w w:val="105"/>
          <w:sz w:val="18"/>
        </w:rPr>
        <w:t> </w:t>
      </w:r>
      <w:r>
        <w:rPr>
          <w:color w:val="231F20"/>
          <w:w w:val="105"/>
          <w:sz w:val="18"/>
        </w:rPr>
        <w:t>Asia</w:t>
      </w:r>
      <w:r>
        <w:rPr>
          <w:color w:val="231F20"/>
          <w:spacing w:val="-17"/>
          <w:w w:val="105"/>
          <w:sz w:val="18"/>
        </w:rPr>
        <w:t> </w:t>
      </w:r>
      <w:r>
        <w:rPr>
          <w:color w:val="231F20"/>
          <w:w w:val="105"/>
          <w:sz w:val="18"/>
        </w:rPr>
        <w:t>and</w:t>
      </w:r>
      <w:r>
        <w:rPr>
          <w:color w:val="231F20"/>
          <w:spacing w:val="-17"/>
          <w:w w:val="105"/>
          <w:sz w:val="18"/>
        </w:rPr>
        <w:t> </w:t>
      </w:r>
      <w:r>
        <w:rPr>
          <w:color w:val="231F20"/>
          <w:w w:val="105"/>
          <w:sz w:val="18"/>
        </w:rPr>
        <w:t>the</w:t>
      </w:r>
      <w:r>
        <w:rPr>
          <w:color w:val="231F20"/>
          <w:spacing w:val="-17"/>
          <w:w w:val="105"/>
          <w:sz w:val="18"/>
        </w:rPr>
        <w:t> </w:t>
      </w:r>
      <w:r>
        <w:rPr>
          <w:color w:val="231F20"/>
          <w:w w:val="105"/>
          <w:sz w:val="18"/>
        </w:rPr>
        <w:t>Pacif- </w:t>
      </w:r>
      <w:r>
        <w:rPr>
          <w:color w:val="231F20"/>
          <w:sz w:val="18"/>
        </w:rPr>
        <w:t>ic Bangkok,</w:t>
      </w:r>
      <w:r>
        <w:rPr>
          <w:color w:val="231F20"/>
          <w:spacing w:val="13"/>
          <w:sz w:val="18"/>
        </w:rPr>
        <w:t> </w:t>
      </w:r>
      <w:r>
        <w:rPr>
          <w:color w:val="231F20"/>
          <w:sz w:val="18"/>
        </w:rPr>
        <w:t>Thailand.</w:t>
      </w:r>
    </w:p>
    <w:p>
      <w:pPr>
        <w:spacing w:line="264" w:lineRule="auto" w:before="57"/>
        <w:ind w:left="695" w:right="1551" w:hanging="284"/>
        <w:jc w:val="both"/>
        <w:rPr>
          <w:sz w:val="18"/>
        </w:rPr>
      </w:pPr>
      <w:r>
        <w:rPr>
          <w:color w:val="231F20"/>
          <w:sz w:val="18"/>
        </w:rPr>
        <w:t>Rice M.A. (2009). Aquaculture in the Republic of Geor- gia. </w:t>
      </w:r>
      <w:r>
        <w:rPr>
          <w:rFonts w:ascii="Cambria"/>
          <w:i/>
          <w:color w:val="231F20"/>
          <w:sz w:val="18"/>
        </w:rPr>
        <w:t>World Aquaculture, </w:t>
      </w:r>
      <w:r>
        <w:rPr>
          <w:color w:val="231F20"/>
          <w:sz w:val="18"/>
        </w:rPr>
        <w:t>40:  26-29.</w:t>
      </w:r>
    </w:p>
    <w:p>
      <w:pPr>
        <w:spacing w:line="264" w:lineRule="auto" w:before="57"/>
        <w:ind w:left="695" w:right="1551" w:hanging="284"/>
        <w:jc w:val="both"/>
        <w:rPr>
          <w:sz w:val="18"/>
        </w:rPr>
      </w:pPr>
      <w:r>
        <w:rPr>
          <w:color w:val="231F20"/>
          <w:sz w:val="18"/>
        </w:rPr>
        <w:t>Rojas-Carrillo </w:t>
      </w:r>
      <w:r>
        <w:rPr>
          <w:color w:val="231F20"/>
          <w:spacing w:val="-3"/>
          <w:sz w:val="18"/>
        </w:rPr>
        <w:t>P.M., </w:t>
      </w:r>
      <w:r>
        <w:rPr>
          <w:color w:val="231F20"/>
          <w:sz w:val="18"/>
        </w:rPr>
        <w:t>Fernández-Méndez J.I. (2006). La pesca en aguas continentales.  En:  Guzmán-Amaya </w:t>
      </w:r>
      <w:r>
        <w:rPr>
          <w:color w:val="231F20"/>
          <w:spacing w:val="-5"/>
          <w:sz w:val="18"/>
        </w:rPr>
        <w:t>P.,  </w:t>
      </w:r>
      <w:r>
        <w:rPr>
          <w:color w:val="231F20"/>
          <w:sz w:val="18"/>
        </w:rPr>
        <w:t>Fuentes-Castellanos </w:t>
      </w:r>
      <w:r>
        <w:rPr>
          <w:color w:val="231F20"/>
          <w:spacing w:val="-3"/>
          <w:sz w:val="18"/>
        </w:rPr>
        <w:t>D.F.,  </w:t>
      </w:r>
      <w:r>
        <w:rPr>
          <w:color w:val="231F20"/>
          <w:sz w:val="18"/>
        </w:rPr>
        <w:t>editores. Acuacultura  e</w:t>
      </w:r>
    </w:p>
    <w:p>
      <w:pPr>
        <w:spacing w:after="0" w:line="264" w:lineRule="auto"/>
        <w:jc w:val="both"/>
        <w:rPr>
          <w:sz w:val="18"/>
        </w:rPr>
        <w:sectPr>
          <w:type w:val="continuous"/>
          <w:pgSz w:w="11900" w:h="14450"/>
          <w:pgMar w:top="420" w:bottom="420" w:left="0" w:right="0"/>
          <w:cols w:num="2" w:equalWidth="0">
            <w:col w:w="5723" w:space="40"/>
            <w:col w:w="6137"/>
          </w:cols>
        </w:sectPr>
      </w:pPr>
    </w:p>
    <w:p>
      <w:pPr>
        <w:pStyle w:val="BodyText"/>
      </w:pPr>
    </w:p>
    <w:p>
      <w:pPr>
        <w:pStyle w:val="BodyText"/>
      </w:pPr>
    </w:p>
    <w:p>
      <w:pPr>
        <w:pStyle w:val="BodyText"/>
        <w:rPr>
          <w:sz w:val="17"/>
        </w:rPr>
      </w:pPr>
    </w:p>
    <w:p>
      <w:pPr>
        <w:tabs>
          <w:tab w:pos="9965" w:val="left" w:leader="none"/>
        </w:tabs>
        <w:spacing w:before="64"/>
        <w:ind w:left="1553" w:right="0" w:firstLine="0"/>
        <w:jc w:val="left"/>
        <w:rPr>
          <w:sz w:val="22"/>
        </w:rPr>
      </w:pPr>
      <w:r>
        <w:rPr>
          <w:color w:val="231F20"/>
          <w:sz w:val="18"/>
        </w:rPr>
        <w:t>Capítulo </w:t>
      </w:r>
      <w:r>
        <w:rPr>
          <w:color w:val="231F20"/>
          <w:spacing w:val="-11"/>
          <w:sz w:val="18"/>
        </w:rPr>
        <w:t>17.    </w:t>
      </w:r>
      <w:r>
        <w:rPr>
          <w:color w:val="231F20"/>
          <w:sz w:val="18"/>
        </w:rPr>
        <w:t>Desarrollo de la producción de trucha arcoíris </w:t>
      </w:r>
      <w:r>
        <w:rPr>
          <w:rFonts w:ascii="Cambria" w:hAnsi="Cambria"/>
          <w:i/>
          <w:color w:val="231F20"/>
          <w:sz w:val="18"/>
        </w:rPr>
        <w:t>(Oncorhynchus mykiss) </w:t>
      </w:r>
      <w:r>
        <w:rPr>
          <w:color w:val="231F20"/>
          <w:sz w:val="18"/>
        </w:rPr>
        <w:t>en   </w:t>
      </w:r>
      <w:r>
        <w:rPr>
          <w:color w:val="231F20"/>
          <w:spacing w:val="16"/>
          <w:sz w:val="18"/>
        </w:rPr>
        <w:t> </w:t>
      </w:r>
      <w:r>
        <w:rPr>
          <w:color w:val="231F20"/>
          <w:sz w:val="18"/>
        </w:rPr>
        <w:t>comunidades</w:t>
      </w:r>
      <w:r>
        <w:rPr>
          <w:color w:val="231F20"/>
          <w:spacing w:val="13"/>
          <w:sz w:val="18"/>
        </w:rPr>
        <w:t> </w:t>
      </w:r>
      <w:r>
        <w:rPr>
          <w:color w:val="231F20"/>
          <w:sz w:val="18"/>
        </w:rPr>
        <w:t>rurales...</w:t>
        <w:tab/>
      </w:r>
      <w:r>
        <w:rPr>
          <w:color w:val="231F20"/>
          <w:spacing w:val="-5"/>
          <w:sz w:val="22"/>
        </w:rPr>
        <w:t>257</w:t>
      </w:r>
    </w:p>
    <w:p>
      <w:pPr>
        <w:pStyle w:val="BodyText"/>
        <w:spacing w:before="10"/>
        <w:rPr>
          <w:sz w:val="22"/>
        </w:rPr>
      </w:pPr>
    </w:p>
    <w:p>
      <w:pPr>
        <w:spacing w:after="0"/>
        <w:rPr>
          <w:sz w:val="22"/>
        </w:rPr>
        <w:sectPr>
          <w:footerReference w:type="default" r:id="rId399"/>
          <w:pgSz w:w="11900" w:h="14450"/>
          <w:pgMar w:footer="222" w:header="0" w:top="420" w:bottom="420" w:left="0" w:right="0"/>
        </w:sectPr>
      </w:pPr>
    </w:p>
    <w:p>
      <w:pPr>
        <w:spacing w:line="264" w:lineRule="auto" w:before="70"/>
        <w:ind w:left="1553" w:right="0" w:firstLine="283"/>
        <w:jc w:val="right"/>
        <w:rPr>
          <w:sz w:val="18"/>
        </w:rPr>
      </w:pPr>
      <w:r>
        <w:rPr>
          <w:color w:val="231F20"/>
          <w:sz w:val="18"/>
        </w:rPr>
        <w:t>investigación en México. Comisión de  Pesca,  Cen-</w:t>
      </w:r>
      <w:r>
        <w:rPr>
          <w:color w:val="231F20"/>
          <w:w w:val="95"/>
          <w:sz w:val="18"/>
        </w:rPr>
        <w:t> </w:t>
      </w:r>
      <w:r>
        <w:rPr>
          <w:color w:val="231F20"/>
          <w:sz w:val="18"/>
        </w:rPr>
        <w:t>tro de Estudios para el Desarrollo Rural Sustentable,</w:t>
      </w:r>
      <w:r>
        <w:rPr>
          <w:color w:val="231F20"/>
          <w:w w:val="99"/>
          <w:sz w:val="18"/>
        </w:rPr>
        <w:t> </w:t>
      </w:r>
      <w:r>
        <w:rPr>
          <w:color w:val="231F20"/>
          <w:sz w:val="18"/>
        </w:rPr>
        <w:t>Cámara  de  Diputados,  México.  45(4):  pp. 227-233.</w:t>
      </w:r>
    </w:p>
    <w:p>
      <w:pPr>
        <w:spacing w:line="264" w:lineRule="auto" w:before="55"/>
        <w:ind w:left="1837" w:right="0" w:hanging="284"/>
        <w:jc w:val="both"/>
        <w:rPr>
          <w:sz w:val="18"/>
        </w:rPr>
      </w:pPr>
      <w:r>
        <w:rPr>
          <w:color w:val="231F20"/>
          <w:sz w:val="18"/>
        </w:rPr>
        <w:t>SAGARPA (1998). Anuario estadístico de pesca. México D.F.</w:t>
      </w:r>
    </w:p>
    <w:p>
      <w:pPr>
        <w:spacing w:line="264" w:lineRule="auto" w:before="55"/>
        <w:ind w:left="1837" w:right="0" w:hanging="284"/>
        <w:jc w:val="both"/>
        <w:rPr>
          <w:sz w:val="18"/>
        </w:rPr>
      </w:pPr>
      <w:r>
        <w:rPr>
          <w:color w:val="231F20"/>
          <w:sz w:val="18"/>
        </w:rPr>
        <w:t>SAGARPA (2006). Análisis prospectivo de política para la acuicultura y la pesca. México D.F.</w:t>
      </w:r>
    </w:p>
    <w:p>
      <w:pPr>
        <w:spacing w:line="264" w:lineRule="auto" w:before="55"/>
        <w:ind w:left="1837" w:right="0" w:hanging="284"/>
        <w:jc w:val="both"/>
        <w:rPr>
          <w:sz w:val="18"/>
        </w:rPr>
      </w:pPr>
      <w:r>
        <w:rPr>
          <w:color w:val="231F20"/>
          <w:sz w:val="18"/>
        </w:rPr>
        <w:t>SAGARPA (2007). Programa nacional de ordenamiento acuícola. México D.F.</w:t>
      </w:r>
    </w:p>
    <w:p>
      <w:pPr>
        <w:spacing w:line="264" w:lineRule="auto" w:before="55"/>
        <w:ind w:left="1837" w:right="0" w:hanging="284"/>
        <w:jc w:val="both"/>
        <w:rPr>
          <w:sz w:val="18"/>
        </w:rPr>
      </w:pPr>
      <w:r>
        <w:rPr>
          <w:color w:val="231F20"/>
          <w:sz w:val="18"/>
        </w:rPr>
        <w:t>SAGARPA (2008). Anuario estadístico de pesca. México D.F.</w:t>
      </w:r>
    </w:p>
    <w:p>
      <w:pPr>
        <w:spacing w:line="264" w:lineRule="auto" w:before="55"/>
        <w:ind w:left="1837" w:right="0" w:hanging="284"/>
        <w:jc w:val="both"/>
        <w:rPr>
          <w:sz w:val="18"/>
        </w:rPr>
      </w:pPr>
      <w:r>
        <w:rPr>
          <w:color w:val="231F20"/>
          <w:sz w:val="18"/>
        </w:rPr>
        <w:t>SAGARPA (2009). Anuario estadístico de pesca. México D.F.</w:t>
      </w:r>
    </w:p>
    <w:p>
      <w:pPr>
        <w:spacing w:line="264" w:lineRule="auto" w:before="55"/>
        <w:ind w:left="1837" w:right="0" w:hanging="284"/>
        <w:jc w:val="both"/>
        <w:rPr>
          <w:sz w:val="18"/>
        </w:rPr>
      </w:pPr>
      <w:r>
        <w:rPr>
          <w:color w:val="231F20"/>
          <w:sz w:val="18"/>
        </w:rPr>
        <w:t>Salgado-Miranda S. (2006). Necrosis pancreática infec- ciosa: enfermedad emergente en la truticultura de México.  </w:t>
      </w:r>
      <w:r>
        <w:rPr>
          <w:rFonts w:ascii="Cambria" w:hAnsi="Cambria"/>
          <w:i/>
          <w:color w:val="231F20"/>
          <w:sz w:val="18"/>
        </w:rPr>
        <w:t>Veterinaria  México,  </w:t>
      </w:r>
      <w:r>
        <w:rPr>
          <w:color w:val="231F20"/>
          <w:sz w:val="18"/>
        </w:rPr>
        <w:t>37(4): 467-477.</w:t>
      </w:r>
    </w:p>
    <w:p>
      <w:pPr>
        <w:spacing w:line="264" w:lineRule="auto" w:before="55"/>
        <w:ind w:left="1837" w:right="0" w:hanging="284"/>
        <w:jc w:val="both"/>
        <w:rPr>
          <w:sz w:val="18"/>
        </w:rPr>
      </w:pPr>
      <w:r>
        <w:rPr>
          <w:color w:val="231F20"/>
          <w:sz w:val="18"/>
        </w:rPr>
        <w:t>Sheriff N., Little D.C., Tantikamton K. (2008). Aquacul- ture and the poor – is the culture of high-value fish a viable livelihood option for the poor? </w:t>
      </w:r>
      <w:r>
        <w:rPr>
          <w:rFonts w:ascii="Cambria" w:hAnsi="Cambria"/>
          <w:i/>
          <w:color w:val="231F20"/>
          <w:sz w:val="18"/>
        </w:rPr>
        <w:t>Marine Policy, </w:t>
      </w:r>
      <w:r>
        <w:rPr>
          <w:color w:val="231F20"/>
          <w:sz w:val="18"/>
        </w:rPr>
        <w:t>32:   1094-102.</w:t>
      </w:r>
    </w:p>
    <w:p>
      <w:pPr>
        <w:spacing w:line="264" w:lineRule="auto" w:before="55"/>
        <w:ind w:left="1837" w:right="0" w:hanging="284"/>
        <w:jc w:val="both"/>
        <w:rPr>
          <w:sz w:val="18"/>
        </w:rPr>
      </w:pPr>
      <w:r>
        <w:rPr>
          <w:color w:val="231F20"/>
          <w:sz w:val="18"/>
        </w:rPr>
        <w:t>SEMARNAT (2002). Programa estatal de descentraliza- ción. Estado de México.</w:t>
      </w:r>
    </w:p>
    <w:p>
      <w:pPr>
        <w:spacing w:line="288" w:lineRule="auto" w:before="70"/>
        <w:ind w:left="696" w:right="1551" w:hanging="284"/>
        <w:jc w:val="both"/>
        <w:rPr>
          <w:sz w:val="18"/>
        </w:rPr>
      </w:pPr>
      <w:r>
        <w:rPr/>
        <w:br w:type="column"/>
      </w:r>
      <w:r>
        <w:rPr>
          <w:color w:val="231F20"/>
          <w:sz w:val="18"/>
        </w:rPr>
        <w:t>Sistema Producto Trucha Nacional (2009). IX Foro de expectativas del sector agroalimentario y pesquero. México.</w:t>
      </w:r>
    </w:p>
    <w:p>
      <w:pPr>
        <w:spacing w:line="288" w:lineRule="auto" w:before="57"/>
        <w:ind w:left="696" w:right="1551" w:hanging="284"/>
        <w:jc w:val="both"/>
        <w:rPr>
          <w:sz w:val="18"/>
        </w:rPr>
      </w:pPr>
      <w:r>
        <w:rPr>
          <w:color w:val="231F20"/>
          <w:spacing w:val="-4"/>
          <w:sz w:val="18"/>
        </w:rPr>
        <w:t>Subasinghe </w:t>
      </w:r>
      <w:r>
        <w:rPr>
          <w:color w:val="231F20"/>
          <w:spacing w:val="-7"/>
          <w:sz w:val="18"/>
        </w:rPr>
        <w:t>R.P., </w:t>
      </w:r>
      <w:r>
        <w:rPr>
          <w:color w:val="231F20"/>
          <w:spacing w:val="-4"/>
          <w:sz w:val="18"/>
        </w:rPr>
        <w:t>Bueno </w:t>
      </w:r>
      <w:r>
        <w:rPr>
          <w:color w:val="231F20"/>
          <w:spacing w:val="-8"/>
          <w:sz w:val="18"/>
        </w:rPr>
        <w:t>P., </w:t>
      </w:r>
      <w:r>
        <w:rPr>
          <w:color w:val="231F20"/>
          <w:spacing w:val="-4"/>
          <w:sz w:val="18"/>
        </w:rPr>
        <w:t>Phillips M.J., Hough </w:t>
      </w:r>
      <w:r>
        <w:rPr>
          <w:color w:val="231F20"/>
          <w:spacing w:val="-3"/>
          <w:sz w:val="18"/>
        </w:rPr>
        <w:t>C., </w:t>
      </w:r>
      <w:r>
        <w:rPr>
          <w:color w:val="231F20"/>
          <w:spacing w:val="-4"/>
          <w:sz w:val="18"/>
        </w:rPr>
        <w:t>McGlad- </w:t>
      </w:r>
      <w:r>
        <w:rPr>
          <w:color w:val="231F20"/>
          <w:spacing w:val="-3"/>
          <w:sz w:val="18"/>
        </w:rPr>
        <w:t>dery </w:t>
      </w:r>
      <w:r>
        <w:rPr>
          <w:color w:val="231F20"/>
          <w:spacing w:val="-4"/>
          <w:sz w:val="18"/>
        </w:rPr>
        <w:t>C.E., </w:t>
      </w:r>
      <w:r>
        <w:rPr>
          <w:color w:val="231F20"/>
          <w:spacing w:val="-3"/>
          <w:sz w:val="18"/>
        </w:rPr>
        <w:t>Arthur J.R. </w:t>
      </w:r>
      <w:r>
        <w:rPr>
          <w:color w:val="231F20"/>
          <w:spacing w:val="-5"/>
          <w:sz w:val="18"/>
        </w:rPr>
        <w:t>(2001). </w:t>
      </w:r>
      <w:r>
        <w:rPr>
          <w:color w:val="231F20"/>
          <w:spacing w:val="-4"/>
          <w:sz w:val="18"/>
        </w:rPr>
        <w:t>Aquaculture </w:t>
      </w:r>
      <w:r>
        <w:rPr>
          <w:color w:val="231F20"/>
          <w:sz w:val="18"/>
        </w:rPr>
        <w:t>in </w:t>
      </w:r>
      <w:r>
        <w:rPr>
          <w:color w:val="231F20"/>
          <w:spacing w:val="-3"/>
          <w:sz w:val="18"/>
        </w:rPr>
        <w:t>the </w:t>
      </w:r>
      <w:r>
        <w:rPr>
          <w:color w:val="231F20"/>
          <w:spacing w:val="-5"/>
          <w:sz w:val="18"/>
        </w:rPr>
        <w:t>Third </w:t>
      </w:r>
      <w:r>
        <w:rPr>
          <w:color w:val="231F20"/>
          <w:spacing w:val="-4"/>
          <w:sz w:val="18"/>
        </w:rPr>
        <w:t>Millennium. </w:t>
      </w:r>
      <w:r>
        <w:rPr>
          <w:color w:val="231F20"/>
          <w:spacing w:val="-3"/>
          <w:sz w:val="18"/>
        </w:rPr>
        <w:t>En: </w:t>
      </w:r>
      <w:r>
        <w:rPr>
          <w:color w:val="231F20"/>
          <w:spacing w:val="-4"/>
          <w:sz w:val="18"/>
        </w:rPr>
        <w:t>Subasinghe </w:t>
      </w:r>
      <w:r>
        <w:rPr>
          <w:color w:val="231F20"/>
          <w:spacing w:val="-7"/>
          <w:sz w:val="18"/>
        </w:rPr>
        <w:t>R.P., </w:t>
      </w:r>
      <w:r>
        <w:rPr>
          <w:color w:val="231F20"/>
          <w:spacing w:val="-4"/>
          <w:sz w:val="18"/>
        </w:rPr>
        <w:t>Bueno </w:t>
      </w:r>
      <w:r>
        <w:rPr>
          <w:color w:val="231F20"/>
          <w:spacing w:val="-8"/>
          <w:sz w:val="18"/>
        </w:rPr>
        <w:t>P., </w:t>
      </w:r>
      <w:r>
        <w:rPr>
          <w:color w:val="231F20"/>
          <w:spacing w:val="-4"/>
          <w:sz w:val="18"/>
        </w:rPr>
        <w:t>Phillips M.J., Hough </w:t>
      </w:r>
      <w:r>
        <w:rPr>
          <w:color w:val="231F20"/>
          <w:spacing w:val="-3"/>
          <w:sz w:val="18"/>
        </w:rPr>
        <w:t>C., </w:t>
      </w:r>
      <w:r>
        <w:rPr>
          <w:color w:val="231F20"/>
          <w:spacing w:val="-4"/>
          <w:sz w:val="18"/>
        </w:rPr>
        <w:t>McGladdery S.E., </w:t>
      </w:r>
      <w:r>
        <w:rPr>
          <w:color w:val="231F20"/>
          <w:spacing w:val="-3"/>
          <w:sz w:val="18"/>
        </w:rPr>
        <w:t>Arthur </w:t>
      </w:r>
      <w:r>
        <w:rPr>
          <w:color w:val="231F20"/>
          <w:spacing w:val="-4"/>
          <w:sz w:val="18"/>
        </w:rPr>
        <w:t>J.E., editores. </w:t>
      </w:r>
      <w:r>
        <w:rPr>
          <w:color w:val="231F20"/>
          <w:spacing w:val="-8"/>
          <w:sz w:val="18"/>
        </w:rPr>
        <w:t>Tech- </w:t>
      </w:r>
      <w:r>
        <w:rPr>
          <w:color w:val="231F20"/>
          <w:spacing w:val="-4"/>
          <w:sz w:val="18"/>
        </w:rPr>
        <w:t>nical Proceedings </w:t>
      </w:r>
      <w:r>
        <w:rPr>
          <w:color w:val="231F20"/>
          <w:sz w:val="18"/>
        </w:rPr>
        <w:t>of  </w:t>
      </w:r>
      <w:r>
        <w:rPr>
          <w:color w:val="231F20"/>
          <w:spacing w:val="-3"/>
          <w:sz w:val="18"/>
        </w:rPr>
        <w:t>the  </w:t>
      </w:r>
      <w:r>
        <w:rPr>
          <w:color w:val="231F20"/>
          <w:spacing w:val="-4"/>
          <w:sz w:val="18"/>
        </w:rPr>
        <w:t>Conference  </w:t>
      </w:r>
      <w:r>
        <w:rPr>
          <w:color w:val="231F20"/>
          <w:sz w:val="18"/>
        </w:rPr>
        <w:t>on  </w:t>
      </w:r>
      <w:r>
        <w:rPr>
          <w:color w:val="231F20"/>
          <w:spacing w:val="-4"/>
          <w:sz w:val="18"/>
        </w:rPr>
        <w:t>Aquaculture </w:t>
      </w:r>
      <w:r>
        <w:rPr>
          <w:color w:val="231F20"/>
          <w:sz w:val="18"/>
        </w:rPr>
        <w:t>in </w:t>
      </w:r>
      <w:r>
        <w:rPr>
          <w:color w:val="231F20"/>
          <w:spacing w:val="-3"/>
          <w:sz w:val="18"/>
        </w:rPr>
        <w:t>the </w:t>
      </w:r>
      <w:r>
        <w:rPr>
          <w:color w:val="231F20"/>
          <w:spacing w:val="-4"/>
          <w:sz w:val="18"/>
        </w:rPr>
        <w:t>Third Millennium, Bangkok, Thailand. </w:t>
      </w:r>
      <w:r>
        <w:rPr>
          <w:color w:val="231F20"/>
          <w:spacing w:val="-5"/>
          <w:sz w:val="18"/>
        </w:rPr>
        <w:t>20-25 </w:t>
      </w:r>
      <w:r>
        <w:rPr>
          <w:color w:val="231F20"/>
          <w:spacing w:val="-4"/>
          <w:sz w:val="18"/>
        </w:rPr>
        <w:t>Fe- bruary </w:t>
      </w:r>
      <w:r>
        <w:rPr>
          <w:color w:val="231F20"/>
          <w:spacing w:val="-6"/>
          <w:sz w:val="18"/>
        </w:rPr>
        <w:t>2001. </w:t>
      </w:r>
      <w:r>
        <w:rPr>
          <w:color w:val="231F20"/>
          <w:spacing w:val="-4"/>
          <w:sz w:val="18"/>
        </w:rPr>
        <w:t>Disponible </w:t>
      </w:r>
      <w:r>
        <w:rPr>
          <w:color w:val="231F20"/>
          <w:sz w:val="18"/>
        </w:rPr>
        <w:t>en </w:t>
      </w:r>
      <w:r>
        <w:rPr>
          <w:color w:val="231F20"/>
          <w:spacing w:val="-4"/>
          <w:sz w:val="18"/>
        </w:rPr>
        <w:t>línea </w:t>
      </w:r>
      <w:r>
        <w:rPr>
          <w:color w:val="231F20"/>
          <w:spacing w:val="-3"/>
          <w:sz w:val="18"/>
        </w:rPr>
        <w:t>en: </w:t>
      </w:r>
      <w:r>
        <w:rPr>
          <w:color w:val="231F20"/>
          <w:spacing w:val="-5"/>
          <w:sz w:val="18"/>
        </w:rPr>
        <w:t>http://www.fao. org/DOCREP/003/AB412E/AB412E00.HTM</w:t>
      </w:r>
    </w:p>
    <w:p>
      <w:pPr>
        <w:spacing w:line="288" w:lineRule="auto" w:before="57"/>
        <w:ind w:left="696" w:right="1551" w:hanging="284"/>
        <w:jc w:val="both"/>
        <w:rPr>
          <w:sz w:val="18"/>
        </w:rPr>
      </w:pPr>
      <w:r>
        <w:rPr>
          <w:color w:val="231F20"/>
          <w:sz w:val="18"/>
        </w:rPr>
        <w:t>Timmons M.B., Ebeling J., Summerfelt S., Wheaton F., Vinci B. (2002). Recirculating aquaculture systems. Cayuga Aqua Ventures, USA.</w:t>
      </w:r>
    </w:p>
    <w:p>
      <w:pPr>
        <w:spacing w:line="288" w:lineRule="auto" w:before="57"/>
        <w:ind w:left="696" w:right="1549" w:hanging="284"/>
        <w:jc w:val="both"/>
        <w:rPr>
          <w:sz w:val="18"/>
        </w:rPr>
      </w:pPr>
      <w:r>
        <w:rPr>
          <w:color w:val="231F20"/>
          <w:sz w:val="18"/>
        </w:rPr>
        <w:t>Vâradi L. (2001). Review of trends  in  the  develop-  ment of European inland aquaculture linkages with fisheries. </w:t>
      </w:r>
      <w:r>
        <w:rPr>
          <w:rFonts w:ascii="Cambria" w:hAnsi="Cambria"/>
          <w:i/>
          <w:color w:val="231F20"/>
          <w:sz w:val="18"/>
        </w:rPr>
        <w:t>Fisheries Management and Ecology, </w:t>
      </w:r>
      <w:r>
        <w:rPr>
          <w:color w:val="231F20"/>
          <w:sz w:val="18"/>
        </w:rPr>
        <w:t>8: 453-462.</w:t>
      </w:r>
    </w:p>
    <w:p>
      <w:pPr>
        <w:spacing w:line="288" w:lineRule="auto" w:before="57"/>
        <w:ind w:left="696" w:right="1551" w:hanging="284"/>
        <w:jc w:val="both"/>
        <w:rPr>
          <w:sz w:val="18"/>
        </w:rPr>
      </w:pPr>
      <w:r>
        <w:rPr>
          <w:color w:val="231F20"/>
          <w:sz w:val="18"/>
        </w:rPr>
        <w:t>Velázquez E.M.A., Espinosa H.M.R. (1989). Diagnosis del estado actual del cultivo de la trucha arcoíris de Mé- xico. Secretaría de Pesca, México D.F.</w:t>
      </w:r>
    </w:p>
    <w:p>
      <w:pPr>
        <w:spacing w:after="0" w:line="288" w:lineRule="auto"/>
        <w:jc w:val="both"/>
        <w:rPr>
          <w:sz w:val="18"/>
        </w:rPr>
        <w:sectPr>
          <w:type w:val="continuous"/>
          <w:pgSz w:w="11900" w:h="14450"/>
          <w:pgMar w:top="420" w:bottom="420" w:left="0" w:right="0"/>
          <w:cols w:num="2" w:equalWidth="0">
            <w:col w:w="5722" w:space="40"/>
            <w:col w:w="6138"/>
          </w:cols>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spacing w:before="4"/>
        <w:rPr>
          <w:rFonts w:ascii="Times New Roman"/>
          <w:sz w:val="17"/>
        </w:rPr>
      </w:pPr>
    </w:p>
    <w:p>
      <w:pPr>
        <w:spacing w:after="0"/>
        <w:rPr>
          <w:rFonts w:ascii="Times New Roman"/>
          <w:sz w:val="17"/>
        </w:rPr>
        <w:sectPr>
          <w:pgSz w:w="11900" w:h="14450"/>
          <w:pgMar w:header="0" w:footer="222" w:top="420" w:bottom="420" w:left="0" w:right="0"/>
        </w:sectPr>
      </w:pPr>
    </w:p>
    <w:p>
      <w:pPr>
        <w:pStyle w:val="BodyText"/>
        <w:spacing w:before="4"/>
        <w:rPr>
          <w:rFonts w:ascii="Times New Roman"/>
          <w:sz w:val="17"/>
        </w:rPr>
      </w:pPr>
    </w:p>
    <w:sectPr>
      <w:pgSz w:w="11900" w:h="14450"/>
      <w:pgMar w:header="0" w:footer="222" w:top="420" w:bottom="4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Calibri">
    <w:altName w:val="Calibri"/>
    <w:charset w:val="0"/>
    <w:family w:val="swiss"/>
    <w:pitch w:val="variable"/>
  </w:font>
  <w:font w:name="Arial">
    <w:altName w:val="Arial"/>
    <w:charset w:val="0"/>
    <w:family w:val="swiss"/>
    <w:pitch w:val="variable"/>
  </w:font>
  <w:font w:name="Symbol">
    <w:altName w:val="Symbol"/>
    <w:charset w:val="2"/>
    <w:family w:val="roman"/>
    <w:pitch w:val="variable"/>
  </w:font>
  <w:font w:name="Tahoma">
    <w:altName w:val="Tahom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5784" from="21pt,707.315125pt" to="21pt,722.315125pt" stroked="true" strokeweight=".25pt" strokecolor="#000000">
          <w10:wrap type="none"/>
        </v:line>
      </w:pict>
    </w:r>
    <w:r>
      <w:rPr/>
      <w:pict>
        <v:line style="position:absolute;mso-position-horizontal-relative:page;mso-position-vertical-relative:page;z-index:-495760" from="573.755981pt,707.315125pt" to="573.755981pt,722.315125pt" stroked="true" strokeweight=".25pt" strokecolor="#000000">
          <w10:wrap type="none"/>
        </v:line>
      </w:pict>
    </w:r>
    <w:r>
      <w:rPr/>
      <w:pict>
        <v:line style="position:absolute;mso-position-horizontal-relative:page;mso-position-vertical-relative:page;z-index:-495736" from="15pt,701.315125pt" to="0pt,701.315125pt" stroked="true" strokeweight=".25pt" strokecolor="#000000">
          <w10:wrap type="none"/>
        </v:line>
      </w:pict>
    </w:r>
    <w:r>
      <w:rPr/>
      <w:pict>
        <v:line style="position:absolute;mso-position-horizontal-relative:page;mso-position-vertical-relative:page;z-index:-495712" from="579.755981pt,701.315125pt" to="594.755981pt,701.315125pt" stroked="true" strokeweight=".25pt" strokecolor="#000000">
          <w10:wrap type="none"/>
        </v:lin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896" from="21pt,707.315125pt" to="21pt,722.315125pt" stroked="true" strokeweight=".25pt" strokecolor="#000000">
          <w10:wrap type="none"/>
        </v:line>
      </w:pict>
    </w:r>
    <w:r>
      <w:rPr/>
      <w:pict>
        <v:line style="position:absolute;mso-position-horizontal-relative:page;mso-position-vertical-relative:page;z-index:-494872" from="573.755981pt,707.315125pt" to="573.755981pt,722.315125pt" stroked="true" strokeweight=".25pt" strokecolor="#000000">
          <w10:wrap type="none"/>
        </v:line>
      </w:pict>
    </w:r>
    <w:r>
      <w:rPr/>
      <w:pict>
        <v:line style="position:absolute;mso-position-horizontal-relative:page;mso-position-vertical-relative:page;z-index:-494848" from="15pt,701.315125pt" to="0pt,701.315125pt" stroked="true" strokeweight=".25pt" strokecolor="#000000">
          <w10:wrap type="none"/>
        </v:line>
      </w:pict>
    </w:r>
    <w:r>
      <w:rPr/>
      <w:pict>
        <v:line style="position:absolute;mso-position-horizontal-relative:page;mso-position-vertical-relative:page;z-index:-494824" from="579.755981pt,701.315125pt" to="594.755981pt,701.315125pt" stroked="true" strokeweight=".25pt" strokecolor="#000000">
          <w10:wrap type="none"/>
        </v:lin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800" from="21pt,707.315125pt" to="21pt,722.315125pt" stroked="true" strokeweight=".25pt" strokecolor="#000000">
          <w10:wrap type="none"/>
        </v:line>
      </w:pict>
    </w:r>
    <w:r>
      <w:rPr/>
      <w:pict>
        <v:line style="position:absolute;mso-position-horizontal-relative:page;mso-position-vertical-relative:page;z-index:-494776" from="573.755981pt,707.315125pt" to="573.755981pt,722.315125pt" stroked="true" strokeweight=".25pt" strokecolor="#000000">
          <w10:wrap type="none"/>
        </v:line>
      </w:pict>
    </w:r>
    <w:r>
      <w:rPr/>
      <w:pict>
        <v:line style="position:absolute;mso-position-horizontal-relative:page;mso-position-vertical-relative:page;z-index:-494752" from="15pt,701.315125pt" to="0pt,701.315125pt" stroked="true" strokeweight=".25pt" strokecolor="#000000">
          <w10:wrap type="none"/>
        </v:line>
      </w:pict>
    </w:r>
    <w:r>
      <w:rPr/>
      <w:pict>
        <v:line style="position:absolute;mso-position-horizontal-relative:page;mso-position-vertical-relative:page;z-index:-494728" from="579.755981pt,701.315125pt" to="594.755981pt,701.315125pt" stroked="true" strokeweight=".25pt" strokecolor="#000000">
          <w10:wrap type="none"/>
        </v:lin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704" from="21pt,707.315125pt" to="21pt,722.315125pt" stroked="true" strokeweight=".25pt" strokecolor="#000000">
          <w10:wrap type="none"/>
        </v:line>
      </w:pict>
    </w:r>
    <w:r>
      <w:rPr/>
      <w:pict>
        <v:line style="position:absolute;mso-position-horizontal-relative:page;mso-position-vertical-relative:page;z-index:-494680" from="573.755981pt,707.315125pt" to="573.755981pt,722.315125pt" stroked="true" strokeweight=".25pt" strokecolor="#000000">
          <w10:wrap type="none"/>
        </v:line>
      </w:pict>
    </w:r>
    <w:r>
      <w:rPr/>
      <w:pict>
        <v:line style="position:absolute;mso-position-horizontal-relative:page;mso-position-vertical-relative:page;z-index:-494656" from="15pt,701.315125pt" to="0pt,701.315125pt" stroked="true" strokeweight=".25pt" strokecolor="#000000">
          <w10:wrap type="none"/>
        </v:line>
      </w:pict>
    </w:r>
    <w:r>
      <w:rPr/>
      <w:pict>
        <v:line style="position:absolute;mso-position-horizontal-relative:page;mso-position-vertical-relative:page;z-index:-494632" from="579.755981pt,701.315125pt" to="594.755981pt,701.315125pt" stroked="true" strokeweight=".25pt" strokecolor="#000000">
          <w10:wrap type="none"/>
        </v:lin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608" from="21pt,707.315125pt" to="21pt,722.315125pt" stroked="true" strokeweight=".25pt" strokecolor="#000000">
          <w10:wrap type="none"/>
        </v:line>
      </w:pict>
    </w:r>
    <w:r>
      <w:rPr/>
      <w:pict>
        <v:line style="position:absolute;mso-position-horizontal-relative:page;mso-position-vertical-relative:page;z-index:-494584" from="573.755981pt,707.315125pt" to="573.755981pt,722.315125pt" stroked="true" strokeweight=".25pt" strokecolor="#000000">
          <w10:wrap type="none"/>
        </v:line>
      </w:pict>
    </w:r>
    <w:r>
      <w:rPr/>
      <w:pict>
        <v:line style="position:absolute;mso-position-horizontal-relative:page;mso-position-vertical-relative:page;z-index:-494560" from="15pt,701.315125pt" to="0pt,701.315125pt" stroked="true" strokeweight=".25pt" strokecolor="#000000">
          <w10:wrap type="none"/>
        </v:line>
      </w:pict>
    </w:r>
    <w:r>
      <w:rPr/>
      <w:pict>
        <v:line style="position:absolute;mso-position-horizontal-relative:page;mso-position-vertical-relative:page;z-index:-494536" from="579.755981pt,701.315125pt" to="594.755981pt,701.315125pt" stroked="true" strokeweight=".25pt" strokecolor="#000000">
          <w10:wrap type="none"/>
        </v:lin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416" from="21pt,707.315125pt" to="21pt,722.315125pt" stroked="true" strokeweight=".25pt" strokecolor="#000000">
          <w10:wrap type="none"/>
        </v:line>
      </w:pict>
    </w:r>
    <w:r>
      <w:rPr/>
      <w:pict>
        <v:line style="position:absolute;mso-position-horizontal-relative:page;mso-position-vertical-relative:page;z-index:-494392" from="573.755981pt,707.315125pt" to="573.755981pt,722.315125pt" stroked="true" strokeweight=".25pt" strokecolor="#000000">
          <w10:wrap type="none"/>
        </v:line>
      </w:pict>
    </w:r>
    <w:r>
      <w:rPr/>
      <w:pict>
        <v:line style="position:absolute;mso-position-horizontal-relative:page;mso-position-vertical-relative:page;z-index:-494368" from="15pt,701.315125pt" to="0pt,701.315125pt" stroked="true" strokeweight=".25pt" strokecolor="#000000">
          <w10:wrap type="none"/>
        </v:line>
      </w:pict>
    </w:r>
    <w:r>
      <w:rPr/>
      <w:pict>
        <v:line style="position:absolute;mso-position-horizontal-relative:page;mso-position-vertical-relative:page;z-index:-494344" from="579.755981pt,701.315125pt" to="594.755981pt,701.315125pt" stroked="true" strokeweight=".25pt" strokecolor="#000000">
          <w10:wrap type="none"/>
        </v:lin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320" from="21pt,707.315125pt" to="21pt,722.315125pt" stroked="true" strokeweight=".25pt" strokecolor="#000000">
          <w10:wrap type="none"/>
        </v:line>
      </w:pict>
    </w:r>
    <w:r>
      <w:rPr/>
      <w:pict>
        <v:line style="position:absolute;mso-position-horizontal-relative:page;mso-position-vertical-relative:page;z-index:-494296" from="573.755981pt,707.315125pt" to="573.755981pt,722.315125pt" stroked="true" strokeweight=".25pt" strokecolor="#000000">
          <w10:wrap type="none"/>
        </v:line>
      </w:pict>
    </w:r>
    <w:r>
      <w:rPr/>
      <w:pict>
        <v:line style="position:absolute;mso-position-horizontal-relative:page;mso-position-vertical-relative:page;z-index:-494272" from="15pt,701.315125pt" to="0pt,701.315125pt" stroked="true" strokeweight=".25pt" strokecolor="#000000">
          <w10:wrap type="none"/>
        </v:line>
      </w:pict>
    </w:r>
    <w:r>
      <w:rPr/>
      <w:pict>
        <v:line style="position:absolute;mso-position-horizontal-relative:page;mso-position-vertical-relative:page;z-index:-494248" from="579.755981pt,701.315125pt" to="594.755981pt,701.315125pt" stroked="true" strokeweight=".25pt" strokecolor="#000000">
          <w10:wrap type="none"/>
        </v:lin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224" from="21pt,707.315125pt" to="21pt,722.315125pt" stroked="true" strokeweight=".25pt" strokecolor="#000000">
          <w10:wrap type="none"/>
        </v:line>
      </w:pict>
    </w:r>
    <w:r>
      <w:rPr/>
      <w:pict>
        <v:line style="position:absolute;mso-position-horizontal-relative:page;mso-position-vertical-relative:page;z-index:-494200" from="573.755981pt,707.315125pt" to="573.755981pt,722.315125pt" stroked="true" strokeweight=".25pt" strokecolor="#000000">
          <w10:wrap type="none"/>
        </v:line>
      </w:pict>
    </w:r>
    <w:r>
      <w:rPr/>
      <w:pict>
        <v:line style="position:absolute;mso-position-horizontal-relative:page;mso-position-vertical-relative:page;z-index:-494176" from="15pt,701.315125pt" to="0pt,701.315125pt" stroked="true" strokeweight=".25pt" strokecolor="#000000">
          <w10:wrap type="none"/>
        </v:line>
      </w:pict>
    </w:r>
    <w:r>
      <w:rPr/>
      <w:pict>
        <v:line style="position:absolute;mso-position-horizontal-relative:page;mso-position-vertical-relative:page;z-index:-494152" from="579.755981pt,701.315125pt" to="594.755981pt,701.315125pt" stroked="true" strokeweight=".25pt" strokecolor="#000000">
          <w10:wrap type="none"/>
        </v:lin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128" from="21pt,707.315125pt" to="21pt,722.315125pt" stroked="true" strokeweight=".25pt" strokecolor="#000000">
          <w10:wrap type="none"/>
        </v:line>
      </w:pict>
    </w:r>
    <w:r>
      <w:rPr/>
      <w:pict>
        <v:line style="position:absolute;mso-position-horizontal-relative:page;mso-position-vertical-relative:page;z-index:-494104" from="573.755981pt,707.315125pt" to="573.755981pt,722.315125pt" stroked="true" strokeweight=".25pt" strokecolor="#000000">
          <w10:wrap type="none"/>
        </v:line>
      </w:pict>
    </w:r>
    <w:r>
      <w:rPr/>
      <w:pict>
        <v:line style="position:absolute;mso-position-horizontal-relative:page;mso-position-vertical-relative:page;z-index:-494080" from="15pt,701.315125pt" to="0pt,701.315125pt" stroked="true" strokeweight=".25pt" strokecolor="#000000">
          <w10:wrap type="none"/>
        </v:line>
      </w:pict>
    </w:r>
    <w:r>
      <w:rPr/>
      <w:pict>
        <v:line style="position:absolute;mso-position-horizontal-relative:page;mso-position-vertical-relative:page;z-index:-494056" from="579.755981pt,701.315125pt" to="594.755981pt,701.315125pt" stroked="true" strokeweight=".25pt" strokecolor="#000000">
          <w10:wrap type="none"/>
        </v:lin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032" from="21pt,707.315125pt" to="21pt,722.315125pt" stroked="true" strokeweight=".25pt" strokecolor="#000000">
          <w10:wrap type="none"/>
        </v:line>
      </w:pict>
    </w:r>
    <w:r>
      <w:rPr/>
      <w:pict>
        <v:line style="position:absolute;mso-position-horizontal-relative:page;mso-position-vertical-relative:page;z-index:-494008" from="573.755981pt,707.315125pt" to="573.755981pt,722.315125pt" stroked="true" strokeweight=".25pt" strokecolor="#000000">
          <w10:wrap type="none"/>
        </v:line>
      </w:pict>
    </w:r>
    <w:r>
      <w:rPr/>
      <w:pict>
        <v:line style="position:absolute;mso-position-horizontal-relative:page;mso-position-vertical-relative:page;z-index:-493984" from="15pt,701.315125pt" to="0pt,701.315125pt" stroked="true" strokeweight=".25pt" strokecolor="#000000">
          <w10:wrap type="none"/>
        </v:line>
      </w:pict>
    </w:r>
    <w:r>
      <w:rPr/>
      <w:pict>
        <v:line style="position:absolute;mso-position-horizontal-relative:page;mso-position-vertical-relative:page;z-index:-493960" from="579.755981pt,701.315125pt" to="594.755981pt,701.315125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5688" from="21pt,707.315125pt" to="21pt,722.315125pt" stroked="true" strokeweight=".25pt" strokecolor="#000000">
          <w10:wrap type="none"/>
        </v:line>
      </w:pict>
    </w:r>
    <w:r>
      <w:rPr/>
      <w:pict>
        <v:line style="position:absolute;mso-position-horizontal-relative:page;mso-position-vertical-relative:page;z-index:-495664" from="573.755981pt,707.315125pt" to="573.755981pt,722.315125pt" stroked="true" strokeweight=".25pt" strokecolor="#000000">
          <w10:wrap type="none"/>
        </v:line>
      </w:pict>
    </w:r>
    <w:r>
      <w:rPr/>
      <w:pict>
        <v:line style="position:absolute;mso-position-horizontal-relative:page;mso-position-vertical-relative:page;z-index:-495640" from="15pt,701.315125pt" to="0pt,701.315125pt" stroked="true" strokeweight=".25pt" strokecolor="#000000">
          <w10:wrap type="none"/>
        </v:line>
      </w:pict>
    </w:r>
    <w:r>
      <w:rPr/>
      <w:pict>
        <v:line style="position:absolute;mso-position-horizontal-relative:page;mso-position-vertical-relative:page;z-index:-495616" from="579.755981pt,701.315125pt" to="594.755981pt,701.315125pt" stroked="true" strokeweight=".25pt" strokecolor="#000000">
          <w10:wrap type="none"/>
        </v:lin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3936" from="21pt,707.315125pt" to="21pt,722.315125pt" stroked="true" strokeweight=".25pt" strokecolor="#000000">
          <w10:wrap type="none"/>
        </v:line>
      </w:pict>
    </w:r>
    <w:r>
      <w:rPr/>
      <w:pict>
        <v:line style="position:absolute;mso-position-horizontal-relative:page;mso-position-vertical-relative:page;z-index:-493912" from="573.755981pt,707.315125pt" to="573.755981pt,722.315125pt" stroked="true" strokeweight=".25pt" strokecolor="#000000">
          <w10:wrap type="none"/>
        </v:line>
      </w:pict>
    </w:r>
    <w:r>
      <w:rPr/>
      <w:pict>
        <v:line style="position:absolute;mso-position-horizontal-relative:page;mso-position-vertical-relative:page;z-index:-493888" from="15pt,701.315125pt" to="0pt,701.315125pt" stroked="true" strokeweight=".25pt" strokecolor="#000000">
          <w10:wrap type="none"/>
        </v:line>
      </w:pict>
    </w:r>
    <w:r>
      <w:rPr/>
      <w:pict>
        <v:line style="position:absolute;mso-position-horizontal-relative:page;mso-position-vertical-relative:page;z-index:-493864" from="579.755981pt,701.315125pt" to="594.755981pt,701.315125pt" stroked="true" strokeweight=".25pt" strokecolor="#000000">
          <w10:wrap type="none"/>
        </v:line>
      </w:pict>
    </w:r>
    <w:r>
      <w:rPr/>
      <w:pict>
        <v:shape style="position:absolute;margin-left:76.692902pt;margin-top:636.531189pt;width:30.9pt;height:11pt;mso-position-horizontal-relative:page;mso-position-vertical-relative:page;z-index:-493840" type="#_x0000_t202" filled="false" stroked="false">
          <v:textbox inset="0,0,0,0">
            <w:txbxContent>
              <w:p>
                <w:pPr>
                  <w:spacing w:line="210" w:lineRule="exact" w:before="0"/>
                  <w:ind w:left="20" w:right="0" w:firstLine="0"/>
                  <w:jc w:val="left"/>
                  <w:rPr>
                    <w:sz w:val="18"/>
                  </w:rPr>
                </w:pPr>
                <w:r>
                  <w:rPr>
                    <w:color w:val="231F20"/>
                    <w:sz w:val="18"/>
                  </w:rPr>
                  <w:t>propia.)</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3816" from="21pt,707.315125pt" to="21pt,722.315125pt" stroked="true" strokeweight=".25pt" strokecolor="#000000">
          <w10:wrap type="none"/>
        </v:line>
      </w:pict>
    </w:r>
    <w:r>
      <w:rPr/>
      <w:pict>
        <v:line style="position:absolute;mso-position-horizontal-relative:page;mso-position-vertical-relative:page;z-index:-493792" from="573.755981pt,707.315125pt" to="573.755981pt,722.315125pt" stroked="true" strokeweight=".25pt" strokecolor="#000000">
          <w10:wrap type="none"/>
        </v:line>
      </w:pict>
    </w:r>
    <w:r>
      <w:rPr/>
      <w:pict>
        <v:line style="position:absolute;mso-position-horizontal-relative:page;mso-position-vertical-relative:page;z-index:-493768" from="15pt,701.315125pt" to="0pt,701.315125pt" stroked="true" strokeweight=".25pt" strokecolor="#000000">
          <w10:wrap type="none"/>
        </v:line>
      </w:pict>
    </w:r>
    <w:r>
      <w:rPr/>
      <w:pict>
        <v:line style="position:absolute;mso-position-horizontal-relative:page;mso-position-vertical-relative:page;z-index:-493744" from="579.755981pt,701.315125pt" to="594.755981pt,701.315125pt" stroked="true" strokeweight=".25pt" strokecolor="#000000">
          <w10:wrap type="none"/>
        </v:lin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3720" from="21pt,707.315125pt" to="21pt,722.315125pt" stroked="true" strokeweight=".25pt" strokecolor="#000000">
          <w10:wrap type="none"/>
        </v:line>
      </w:pict>
    </w:r>
    <w:r>
      <w:rPr/>
      <w:pict>
        <v:line style="position:absolute;mso-position-horizontal-relative:page;mso-position-vertical-relative:page;z-index:-493696" from="573.755981pt,707.315125pt" to="573.755981pt,722.315125pt" stroked="true" strokeweight=".25pt" strokecolor="#000000">
          <w10:wrap type="none"/>
        </v:line>
      </w:pict>
    </w:r>
    <w:r>
      <w:rPr/>
      <w:pict>
        <v:line style="position:absolute;mso-position-horizontal-relative:page;mso-position-vertical-relative:page;z-index:-493672" from="15pt,701.315125pt" to="0pt,701.315125pt" stroked="true" strokeweight=".25pt" strokecolor="#000000">
          <w10:wrap type="none"/>
        </v:line>
      </w:pict>
    </w:r>
    <w:r>
      <w:rPr/>
      <w:pict>
        <v:line style="position:absolute;mso-position-horizontal-relative:page;mso-position-vertical-relative:page;z-index:-493648" from="579.755981pt,701.315125pt" to="594.755981pt,701.315125pt" stroked="true" strokeweight=".25pt" strokecolor="#000000">
          <w10:wrap type="none"/>
        </v:lin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3624" from="21pt,707.315125pt" to="21pt,722.315125pt" stroked="true" strokeweight=".25pt" strokecolor="#000000">
          <w10:wrap type="none"/>
        </v:line>
      </w:pict>
    </w:r>
    <w:r>
      <w:rPr/>
      <w:pict>
        <v:line style="position:absolute;mso-position-horizontal-relative:page;mso-position-vertical-relative:page;z-index:-493600" from="573.755981pt,707.315125pt" to="573.755981pt,722.315125pt" stroked="true" strokeweight=".25pt" strokecolor="#000000">
          <w10:wrap type="none"/>
        </v:line>
      </w:pict>
    </w:r>
    <w:r>
      <w:rPr/>
      <w:pict>
        <v:line style="position:absolute;mso-position-horizontal-relative:page;mso-position-vertical-relative:page;z-index:-493576" from="15pt,701.315125pt" to="0pt,701.315125pt" stroked="true" strokeweight=".25pt" strokecolor="#000000">
          <w10:wrap type="none"/>
        </v:line>
      </w:pict>
    </w:r>
    <w:r>
      <w:rPr/>
      <w:pict>
        <v:line style="position:absolute;mso-position-horizontal-relative:page;mso-position-vertical-relative:page;z-index:-493552" from="579.755981pt,701.315125pt" to="594.755981pt,701.315125pt" stroked="true" strokeweight=".25pt" strokecolor="#000000">
          <w10:wrap type="none"/>
        </v:lin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3528" from="21pt,707.315125pt" to="21pt,722.315125pt" stroked="true" strokeweight=".25pt" strokecolor="#000000">
          <w10:wrap type="none"/>
        </v:line>
      </w:pict>
    </w:r>
    <w:r>
      <w:rPr/>
      <w:pict>
        <v:line style="position:absolute;mso-position-horizontal-relative:page;mso-position-vertical-relative:page;z-index:-493504" from="573.755981pt,707.315125pt" to="573.755981pt,722.315125pt" stroked="true" strokeweight=".25pt" strokecolor="#000000">
          <w10:wrap type="none"/>
        </v:line>
      </w:pict>
    </w:r>
    <w:r>
      <w:rPr/>
      <w:pict>
        <v:line style="position:absolute;mso-position-horizontal-relative:page;mso-position-vertical-relative:page;z-index:-493480" from="15pt,701.315125pt" to="0pt,701.315125pt" stroked="true" strokeweight=".25pt" strokecolor="#000000">
          <w10:wrap type="none"/>
        </v:line>
      </w:pict>
    </w:r>
    <w:r>
      <w:rPr/>
      <w:pict>
        <v:line style="position:absolute;mso-position-horizontal-relative:page;mso-position-vertical-relative:page;z-index:-493456" from="579.755981pt,701.315125pt" to="594.755981pt,701.315125pt" stroked="true" strokeweight=".25pt" strokecolor="#000000">
          <w10:wrap type="none"/>
        </v:lin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3432" from="21pt,707.315125pt" to="21pt,722.315125pt" stroked="true" strokeweight=".25pt" strokecolor="#000000">
          <w10:wrap type="none"/>
        </v:line>
      </w:pict>
    </w:r>
    <w:r>
      <w:rPr/>
      <w:pict>
        <v:line style="position:absolute;mso-position-horizontal-relative:page;mso-position-vertical-relative:page;z-index:-493408" from="573.755981pt,707.315125pt" to="573.755981pt,722.315125pt" stroked="true" strokeweight=".25pt" strokecolor="#000000">
          <w10:wrap type="none"/>
        </v:line>
      </w:pict>
    </w:r>
    <w:r>
      <w:rPr/>
      <w:pict>
        <v:line style="position:absolute;mso-position-horizontal-relative:page;mso-position-vertical-relative:page;z-index:-493384" from="15pt,701.315125pt" to="0pt,701.315125pt" stroked="true" strokeweight=".25pt" strokecolor="#000000">
          <w10:wrap type="none"/>
        </v:line>
      </w:pict>
    </w:r>
    <w:r>
      <w:rPr/>
      <w:pict>
        <v:line style="position:absolute;mso-position-horizontal-relative:page;mso-position-vertical-relative:page;z-index:-493360" from="579.755981pt,701.315125pt" to="594.755981pt,701.315125pt" stroked="true" strokeweight=".25pt" strokecolor="#000000">
          <w10:wrap type="none"/>
        </v:lin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3336" from="21pt,707.315125pt" to="21pt,722.315125pt" stroked="true" strokeweight=".25pt" strokecolor="#000000">
          <w10:wrap type="none"/>
        </v:line>
      </w:pict>
    </w:r>
    <w:r>
      <w:rPr/>
      <w:pict>
        <v:line style="position:absolute;mso-position-horizontal-relative:page;mso-position-vertical-relative:page;z-index:-493312" from="573.755981pt,707.315125pt" to="573.755981pt,722.315125pt" stroked="true" strokeweight=".25pt" strokecolor="#000000">
          <w10:wrap type="none"/>
        </v:line>
      </w:pict>
    </w:r>
    <w:r>
      <w:rPr/>
      <w:pict>
        <v:line style="position:absolute;mso-position-horizontal-relative:page;mso-position-vertical-relative:page;z-index:-493288" from="15pt,701.315125pt" to="0pt,701.315125pt" stroked="true" strokeweight=".25pt" strokecolor="#000000">
          <w10:wrap type="none"/>
        </v:line>
      </w:pict>
    </w:r>
    <w:r>
      <w:rPr/>
      <w:pict>
        <v:line style="position:absolute;mso-position-horizontal-relative:page;mso-position-vertical-relative:page;z-index:-493264" from="579.755981pt,701.315125pt" to="594.755981pt,701.315125pt" stroked="true" strokeweight=".25pt" strokecolor="#000000">
          <w10:wrap type="none"/>
        </v:lin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5592" from="21pt,707.315125pt" to="21pt,722.315125pt" stroked="true" strokeweight=".25pt" strokecolor="#000000">
          <w10:wrap type="none"/>
        </v:line>
      </w:pict>
    </w:r>
    <w:r>
      <w:rPr/>
      <w:pict>
        <v:line style="position:absolute;mso-position-horizontal-relative:page;mso-position-vertical-relative:page;z-index:-495568" from="573.755981pt,707.315125pt" to="573.755981pt,722.315125pt" stroked="true" strokeweight=".25pt" strokecolor="#000000">
          <w10:wrap type="none"/>
        </v:line>
      </w:pict>
    </w:r>
    <w:r>
      <w:rPr/>
      <w:pict>
        <v:line style="position:absolute;mso-position-horizontal-relative:page;mso-position-vertical-relative:page;z-index:-495544" from="15pt,701.315125pt" to="0pt,701.315125pt" stroked="true" strokeweight=".25pt" strokecolor="#000000">
          <w10:wrap type="none"/>
        </v:line>
      </w:pict>
    </w:r>
    <w:r>
      <w:rPr/>
      <w:pict>
        <v:line style="position:absolute;mso-position-horizontal-relative:page;mso-position-vertical-relative:page;z-index:-495520" from="579.755981pt,701.315125pt" to="594.755981pt,701.315125pt" stroked="true" strokeweight=".25pt" strokecolor="#000000">
          <w10:wrap type="none"/>
        </v:lin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5496" from="21pt,707.315125pt" to="21pt,722.315125pt" stroked="true" strokeweight=".25pt" strokecolor="#000000">
          <w10:wrap type="none"/>
        </v:line>
      </w:pict>
    </w:r>
    <w:r>
      <w:rPr/>
      <w:pict>
        <v:line style="position:absolute;mso-position-horizontal-relative:page;mso-position-vertical-relative:page;z-index:-495472" from="573.755981pt,707.315125pt" to="573.755981pt,722.315125pt" stroked="true" strokeweight=".25pt" strokecolor="#000000">
          <w10:wrap type="none"/>
        </v:line>
      </w:pict>
    </w:r>
    <w:r>
      <w:rPr/>
      <w:pict>
        <v:line style="position:absolute;mso-position-horizontal-relative:page;mso-position-vertical-relative:page;z-index:-495448" from="15pt,701.315125pt" to="0pt,701.315125pt" stroked="true" strokeweight=".25pt" strokecolor="#000000">
          <w10:wrap type="none"/>
        </v:line>
      </w:pict>
    </w:r>
    <w:r>
      <w:rPr/>
      <w:pict>
        <v:line style="position:absolute;mso-position-horizontal-relative:page;mso-position-vertical-relative:page;z-index:-495424" from="579.755981pt,701.315125pt" to="594.755981pt,701.315125pt" stroked="true" strokeweight=".25pt" strokecolor="#000000">
          <w10:wrap type="none"/>
        </v:line>
      </w:pict>
    </w:r>
    <w:r>
      <w:rPr/>
      <w:pict>
        <v:line style="position:absolute;mso-position-horizontal-relative:page;mso-position-vertical-relative:page;z-index:-495400" from="77.942902pt,583.033508pt" to="77.942902pt,583.033508pt" stroked="true" strokeweight=".5pt" strokecolor="#231f20">
          <w10:wrap type="none"/>
        </v:lin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5376" from="21pt,707.315125pt" to="21pt,722.315125pt" stroked="true" strokeweight=".25pt" strokecolor="#000000">
          <w10:wrap type="none"/>
        </v:line>
      </w:pict>
    </w:r>
    <w:r>
      <w:rPr/>
      <w:pict>
        <v:line style="position:absolute;mso-position-horizontal-relative:page;mso-position-vertical-relative:page;z-index:-495352" from="573.755981pt,707.315125pt" to="573.755981pt,722.315125pt" stroked="true" strokeweight=".25pt" strokecolor="#000000">
          <w10:wrap type="none"/>
        </v:line>
      </w:pict>
    </w:r>
    <w:r>
      <w:rPr/>
      <w:pict>
        <v:line style="position:absolute;mso-position-horizontal-relative:page;mso-position-vertical-relative:page;z-index:-495328" from="15pt,701.315125pt" to="0pt,701.315125pt" stroked="true" strokeweight=".25pt" strokecolor="#000000">
          <w10:wrap type="none"/>
        </v:line>
      </w:pict>
    </w:r>
    <w:r>
      <w:rPr/>
      <w:pict>
        <v:line style="position:absolute;mso-position-horizontal-relative:page;mso-position-vertical-relative:page;z-index:-495304" from="579.755981pt,701.315125pt" to="594.755981pt,701.315125pt" stroked="true" strokeweight=".25pt" strokecolor="#000000">
          <w10:wrap type="none"/>
        </v:lin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5280" from="21pt,707.315125pt" to="21pt,722.315125pt" stroked="true" strokeweight=".25pt" strokecolor="#000000">
          <w10:wrap type="none"/>
        </v:line>
      </w:pict>
    </w:r>
    <w:r>
      <w:rPr/>
      <w:pict>
        <v:line style="position:absolute;mso-position-horizontal-relative:page;mso-position-vertical-relative:page;z-index:-495256" from="573.755981pt,707.315125pt" to="573.755981pt,722.315125pt" stroked="true" strokeweight=".25pt" strokecolor="#000000">
          <w10:wrap type="none"/>
        </v:line>
      </w:pict>
    </w:r>
    <w:r>
      <w:rPr/>
      <w:pict>
        <v:line style="position:absolute;mso-position-horizontal-relative:page;mso-position-vertical-relative:page;z-index:-495232" from="15pt,701.315125pt" to="0pt,701.315125pt" stroked="true" strokeweight=".25pt" strokecolor="#000000">
          <w10:wrap type="none"/>
        </v:line>
      </w:pict>
    </w:r>
    <w:r>
      <w:rPr/>
      <w:pict>
        <v:line style="position:absolute;mso-position-horizontal-relative:page;mso-position-vertical-relative:page;z-index:-495208" from="579.755981pt,701.315125pt" to="594.755981pt,701.315125pt" stroked="true" strokeweight=".25pt" strokecolor="#000000">
          <w10:wrap type="none"/>
        </v:lin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5184" from="21pt,707.315125pt" to="21pt,722.315125pt" stroked="true" strokeweight=".25pt" strokecolor="#000000">
          <w10:wrap type="none"/>
        </v:line>
      </w:pict>
    </w:r>
    <w:r>
      <w:rPr/>
      <w:pict>
        <v:line style="position:absolute;mso-position-horizontal-relative:page;mso-position-vertical-relative:page;z-index:-495160" from="573.755981pt,707.315125pt" to="573.755981pt,722.315125pt" stroked="true" strokeweight=".25pt" strokecolor="#000000">
          <w10:wrap type="none"/>
        </v:line>
      </w:pict>
    </w:r>
    <w:r>
      <w:rPr/>
      <w:pict>
        <v:line style="position:absolute;mso-position-horizontal-relative:page;mso-position-vertical-relative:page;z-index:-495136" from="15pt,701.315125pt" to="0pt,701.315125pt" stroked="true" strokeweight=".25pt" strokecolor="#000000">
          <w10:wrap type="none"/>
        </v:line>
      </w:pict>
    </w:r>
    <w:r>
      <w:rPr/>
      <w:pict>
        <v:line style="position:absolute;mso-position-horizontal-relative:page;mso-position-vertical-relative:page;z-index:-495112" from="579.755981pt,701.315125pt" to="594.755981pt,701.315125pt" stroked="true" strokeweight=".25pt" strokecolor="#000000">
          <w10:wrap type="none"/>
        </v:lin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5088" from="21pt,707.315125pt" to="21pt,722.315125pt" stroked="true" strokeweight=".25pt" strokecolor="#000000">
          <w10:wrap type="none"/>
        </v:line>
      </w:pict>
    </w:r>
    <w:r>
      <w:rPr/>
      <w:pict>
        <v:line style="position:absolute;mso-position-horizontal-relative:page;mso-position-vertical-relative:page;z-index:-495064" from="573.755981pt,707.315125pt" to="573.755981pt,722.315125pt" stroked="true" strokeweight=".25pt" strokecolor="#000000">
          <w10:wrap type="none"/>
        </v:line>
      </w:pict>
    </w:r>
    <w:r>
      <w:rPr/>
      <w:pict>
        <v:line style="position:absolute;mso-position-horizontal-relative:page;mso-position-vertical-relative:page;z-index:-495040" from="15pt,701.315125pt" to="0pt,701.315125pt" stroked="true" strokeweight=".25pt" strokecolor="#000000">
          <w10:wrap type="none"/>
        </v:line>
      </w:pict>
    </w:r>
    <w:r>
      <w:rPr/>
      <w:pict>
        <v:line style="position:absolute;mso-position-horizontal-relative:page;mso-position-vertical-relative:page;z-index:-495016" from="579.755981pt,701.315125pt" to="594.755981pt,701.315125pt" stroked="true" strokeweight=".25pt" strokecolor="#000000">
          <w10:wrap type="none"/>
        </v:lin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992" from="21pt,707.315125pt" to="21pt,722.315125pt" stroked="true" strokeweight=".25pt" strokecolor="#000000">
          <w10:wrap type="none"/>
        </v:line>
      </w:pict>
    </w:r>
    <w:r>
      <w:rPr/>
      <w:pict>
        <v:line style="position:absolute;mso-position-horizontal-relative:page;mso-position-vertical-relative:page;z-index:-494968" from="573.755981pt,707.315125pt" to="573.755981pt,722.315125pt" stroked="true" strokeweight=".25pt" strokecolor="#000000">
          <w10:wrap type="none"/>
        </v:line>
      </w:pict>
    </w:r>
    <w:r>
      <w:rPr/>
      <w:pict>
        <v:line style="position:absolute;mso-position-horizontal-relative:page;mso-position-vertical-relative:page;z-index:-494944" from="15pt,701.315125pt" to="0pt,701.315125pt" stroked="true" strokeweight=".25pt" strokecolor="#000000">
          <w10:wrap type="none"/>
        </v:line>
      </w:pict>
    </w:r>
    <w:r>
      <w:rPr/>
      <w:pict>
        <v:line style="position:absolute;mso-position-horizontal-relative:page;mso-position-vertical-relative:page;z-index:-494920" from="579.755981pt,701.315125pt" to="594.755981pt,701.315125pt" stroked="true" strokeweight=".25pt" strokecolor="#000000">
          <w10:wrap type="none"/>
        </v:lin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5880" from="21pt,15.000102pt" to="21pt,.000102pt" stroked="true" strokeweight=".25pt" strokecolor="#000000">
          <w10:wrap type="none"/>
        </v:line>
      </w:pict>
    </w:r>
    <w:r>
      <w:rPr/>
      <w:pict>
        <v:line style="position:absolute;mso-position-horizontal-relative:page;mso-position-vertical-relative:page;z-index:-495856" from="573.755981pt,15.000102pt" to="573.755981pt,.000102pt" stroked="true" strokeweight=".25pt" strokecolor="#000000">
          <w10:wrap type="none"/>
        </v:line>
      </w:pict>
    </w:r>
    <w:r>
      <w:rPr/>
      <w:pict>
        <v:line style="position:absolute;mso-position-horizontal-relative:page;mso-position-vertical-relative:page;z-index:-495832" from="15pt,21.000103pt" to="0pt,21.000103pt" stroked="true" strokeweight=".25pt" strokecolor="#000000">
          <w10:wrap type="none"/>
        </v:line>
      </w:pict>
    </w:r>
    <w:r>
      <w:rPr/>
      <w:pict>
        <v:line style="position:absolute;mso-position-horizontal-relative:page;mso-position-vertical-relative:page;z-index:-495808" from="579.755981pt,21.000103pt" to="594.755981pt,21.000103pt" stroked="true" strokeweight=".25pt" strokecolor="#000000">
          <w10:wrap type="non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94512" from="21pt,15.000102pt" to="21pt,.000102pt" stroked="true" strokeweight=".25pt" strokecolor="#000000">
          <w10:wrap type="none"/>
        </v:line>
      </w:pict>
    </w:r>
    <w:r>
      <w:rPr/>
      <w:pict>
        <v:line style="position:absolute;mso-position-horizontal-relative:page;mso-position-vertical-relative:page;z-index:-494488" from="573.755981pt,15.000102pt" to="573.755981pt,.000102pt" stroked="true" strokeweight=".25pt" strokecolor="#000000">
          <w10:wrap type="none"/>
        </v:line>
      </w:pict>
    </w:r>
    <w:r>
      <w:rPr/>
      <w:pict>
        <v:line style="position:absolute;mso-position-horizontal-relative:page;mso-position-vertical-relative:page;z-index:-494464" from="15pt,21.000103pt" to="0pt,21.000103pt" stroked="true" strokeweight=".25pt" strokecolor="#000000">
          <w10:wrap type="none"/>
        </v:line>
      </w:pict>
    </w:r>
    <w:r>
      <w:rPr/>
      <w:pict>
        <v:line style="position:absolute;mso-position-horizontal-relative:page;mso-position-vertical-relative:page;z-index:-494440" from="579.755981pt,21.000103pt" to="594.755981pt,21.000103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upperRoman"/>
      <w:lvlText w:val="%1."/>
      <w:lvlJc w:val="left"/>
      <w:pPr>
        <w:ind w:left="1968" w:hanging="132"/>
        <w:jc w:val="left"/>
      </w:pPr>
      <w:rPr>
        <w:rFonts w:hint="default" w:ascii="Calibri" w:hAnsi="Calibri" w:eastAsia="Calibri" w:cs="Calibri"/>
        <w:color w:val="231F20"/>
        <w:w w:val="86"/>
        <w:sz w:val="18"/>
        <w:szCs w:val="18"/>
      </w:rPr>
    </w:lvl>
    <w:lvl w:ilvl="1">
      <w:start w:val="1"/>
      <w:numFmt w:val="bullet"/>
      <w:lvlText w:val="•"/>
      <w:lvlJc w:val="left"/>
      <w:pPr>
        <w:ind w:left="2336" w:hanging="132"/>
      </w:pPr>
      <w:rPr>
        <w:rFonts w:hint="default"/>
      </w:rPr>
    </w:lvl>
    <w:lvl w:ilvl="2">
      <w:start w:val="1"/>
      <w:numFmt w:val="bullet"/>
      <w:lvlText w:val="•"/>
      <w:lvlJc w:val="left"/>
      <w:pPr>
        <w:ind w:left="2712" w:hanging="132"/>
      </w:pPr>
      <w:rPr>
        <w:rFonts w:hint="default"/>
      </w:rPr>
    </w:lvl>
    <w:lvl w:ilvl="3">
      <w:start w:val="1"/>
      <w:numFmt w:val="bullet"/>
      <w:lvlText w:val="•"/>
      <w:lvlJc w:val="left"/>
      <w:pPr>
        <w:ind w:left="3088" w:hanging="132"/>
      </w:pPr>
      <w:rPr>
        <w:rFonts w:hint="default"/>
      </w:rPr>
    </w:lvl>
    <w:lvl w:ilvl="4">
      <w:start w:val="1"/>
      <w:numFmt w:val="bullet"/>
      <w:lvlText w:val="•"/>
      <w:lvlJc w:val="left"/>
      <w:pPr>
        <w:ind w:left="3464" w:hanging="132"/>
      </w:pPr>
      <w:rPr>
        <w:rFonts w:hint="default"/>
      </w:rPr>
    </w:lvl>
    <w:lvl w:ilvl="5">
      <w:start w:val="1"/>
      <w:numFmt w:val="bullet"/>
      <w:lvlText w:val="•"/>
      <w:lvlJc w:val="left"/>
      <w:pPr>
        <w:ind w:left="3840" w:hanging="132"/>
      </w:pPr>
      <w:rPr>
        <w:rFonts w:hint="default"/>
      </w:rPr>
    </w:lvl>
    <w:lvl w:ilvl="6">
      <w:start w:val="1"/>
      <w:numFmt w:val="bullet"/>
      <w:lvlText w:val="•"/>
      <w:lvlJc w:val="left"/>
      <w:pPr>
        <w:ind w:left="4216" w:hanging="132"/>
      </w:pPr>
      <w:rPr>
        <w:rFonts w:hint="default"/>
      </w:rPr>
    </w:lvl>
    <w:lvl w:ilvl="7">
      <w:start w:val="1"/>
      <w:numFmt w:val="bullet"/>
      <w:lvlText w:val="•"/>
      <w:lvlJc w:val="left"/>
      <w:pPr>
        <w:ind w:left="4592" w:hanging="132"/>
      </w:pPr>
      <w:rPr>
        <w:rFonts w:hint="default"/>
      </w:rPr>
    </w:lvl>
    <w:lvl w:ilvl="8">
      <w:start w:val="1"/>
      <w:numFmt w:val="bullet"/>
      <w:lvlText w:val="•"/>
      <w:lvlJc w:val="left"/>
      <w:pPr>
        <w:ind w:left="4968" w:hanging="132"/>
      </w:pPr>
      <w:rPr>
        <w:rFonts w:hint="default"/>
      </w:rPr>
    </w:lvl>
  </w:abstractNum>
  <w:abstractNum w:abstractNumId="16">
    <w:multiLevelType w:val="hybridMultilevel"/>
    <w:lvl w:ilvl="0">
      <w:start w:val="1"/>
      <w:numFmt w:val="upperLetter"/>
      <w:lvlText w:val="%1."/>
      <w:lvlJc w:val="left"/>
      <w:pPr>
        <w:ind w:left="2086" w:hanging="533"/>
        <w:jc w:val="left"/>
      </w:pPr>
      <w:rPr>
        <w:rFonts w:hint="default" w:ascii="Calibri" w:hAnsi="Calibri" w:eastAsia="Calibri" w:cs="Calibri"/>
        <w:color w:val="6D6E71"/>
        <w:w w:val="92"/>
        <w:sz w:val="54"/>
        <w:szCs w:val="54"/>
      </w:rPr>
    </w:lvl>
    <w:lvl w:ilvl="1">
      <w:start w:val="1"/>
      <w:numFmt w:val="bullet"/>
      <w:lvlText w:val="•"/>
      <w:lvlJc w:val="left"/>
      <w:pPr>
        <w:ind w:left="3061" w:hanging="533"/>
      </w:pPr>
      <w:rPr>
        <w:rFonts w:hint="default"/>
      </w:rPr>
    </w:lvl>
    <w:lvl w:ilvl="2">
      <w:start w:val="1"/>
      <w:numFmt w:val="bullet"/>
      <w:lvlText w:val="•"/>
      <w:lvlJc w:val="left"/>
      <w:pPr>
        <w:ind w:left="4043" w:hanging="533"/>
      </w:pPr>
      <w:rPr>
        <w:rFonts w:hint="default"/>
      </w:rPr>
    </w:lvl>
    <w:lvl w:ilvl="3">
      <w:start w:val="1"/>
      <w:numFmt w:val="bullet"/>
      <w:lvlText w:val="•"/>
      <w:lvlJc w:val="left"/>
      <w:pPr>
        <w:ind w:left="5024" w:hanging="533"/>
      </w:pPr>
      <w:rPr>
        <w:rFonts w:hint="default"/>
      </w:rPr>
    </w:lvl>
    <w:lvl w:ilvl="4">
      <w:start w:val="1"/>
      <w:numFmt w:val="bullet"/>
      <w:lvlText w:val="•"/>
      <w:lvlJc w:val="left"/>
      <w:pPr>
        <w:ind w:left="6006" w:hanging="533"/>
      </w:pPr>
      <w:rPr>
        <w:rFonts w:hint="default"/>
      </w:rPr>
    </w:lvl>
    <w:lvl w:ilvl="5">
      <w:start w:val="1"/>
      <w:numFmt w:val="bullet"/>
      <w:lvlText w:val="•"/>
      <w:lvlJc w:val="left"/>
      <w:pPr>
        <w:ind w:left="6987" w:hanging="533"/>
      </w:pPr>
      <w:rPr>
        <w:rFonts w:hint="default"/>
      </w:rPr>
    </w:lvl>
    <w:lvl w:ilvl="6">
      <w:start w:val="1"/>
      <w:numFmt w:val="bullet"/>
      <w:lvlText w:val="•"/>
      <w:lvlJc w:val="left"/>
      <w:pPr>
        <w:ind w:left="7969" w:hanging="533"/>
      </w:pPr>
      <w:rPr>
        <w:rFonts w:hint="default"/>
      </w:rPr>
    </w:lvl>
    <w:lvl w:ilvl="7">
      <w:start w:val="1"/>
      <w:numFmt w:val="bullet"/>
      <w:lvlText w:val="•"/>
      <w:lvlJc w:val="left"/>
      <w:pPr>
        <w:ind w:left="8950" w:hanging="533"/>
      </w:pPr>
      <w:rPr>
        <w:rFonts w:hint="default"/>
      </w:rPr>
    </w:lvl>
    <w:lvl w:ilvl="8">
      <w:start w:val="1"/>
      <w:numFmt w:val="bullet"/>
      <w:lvlText w:val="•"/>
      <w:lvlJc w:val="left"/>
      <w:pPr>
        <w:ind w:left="9932" w:hanging="533"/>
      </w:pPr>
      <w:rPr>
        <w:rFonts w:hint="default"/>
      </w:rPr>
    </w:lvl>
  </w:abstractNum>
  <w:abstractNum w:abstractNumId="15">
    <w:multiLevelType w:val="hybridMultilevel"/>
    <w:lvl w:ilvl="0">
      <w:start w:val="1"/>
      <w:numFmt w:val="bullet"/>
      <w:lvlText w:val="•"/>
      <w:lvlJc w:val="left"/>
      <w:pPr>
        <w:ind w:left="1837" w:hanging="284"/>
      </w:pPr>
      <w:rPr>
        <w:rFonts w:hint="default" w:ascii="Calibri" w:hAnsi="Calibri" w:eastAsia="Calibri" w:cs="Calibri"/>
        <w:color w:val="231F20"/>
        <w:w w:val="66"/>
        <w:sz w:val="20"/>
        <w:szCs w:val="20"/>
      </w:rPr>
    </w:lvl>
    <w:lvl w:ilvl="1">
      <w:start w:val="1"/>
      <w:numFmt w:val="bullet"/>
      <w:lvlText w:val="•"/>
      <w:lvlJc w:val="left"/>
      <w:pPr>
        <w:ind w:left="2228" w:hanging="284"/>
      </w:pPr>
      <w:rPr>
        <w:rFonts w:hint="default"/>
      </w:rPr>
    </w:lvl>
    <w:lvl w:ilvl="2">
      <w:start w:val="1"/>
      <w:numFmt w:val="bullet"/>
      <w:lvlText w:val="•"/>
      <w:lvlJc w:val="left"/>
      <w:pPr>
        <w:ind w:left="2616" w:hanging="284"/>
      </w:pPr>
      <w:rPr>
        <w:rFonts w:hint="default"/>
      </w:rPr>
    </w:lvl>
    <w:lvl w:ilvl="3">
      <w:start w:val="1"/>
      <w:numFmt w:val="bullet"/>
      <w:lvlText w:val="•"/>
      <w:lvlJc w:val="left"/>
      <w:pPr>
        <w:ind w:left="3004" w:hanging="284"/>
      </w:pPr>
      <w:rPr>
        <w:rFonts w:hint="default"/>
      </w:rPr>
    </w:lvl>
    <w:lvl w:ilvl="4">
      <w:start w:val="1"/>
      <w:numFmt w:val="bullet"/>
      <w:lvlText w:val="•"/>
      <w:lvlJc w:val="left"/>
      <w:pPr>
        <w:ind w:left="3392" w:hanging="284"/>
      </w:pPr>
      <w:rPr>
        <w:rFonts w:hint="default"/>
      </w:rPr>
    </w:lvl>
    <w:lvl w:ilvl="5">
      <w:start w:val="1"/>
      <w:numFmt w:val="bullet"/>
      <w:lvlText w:val="•"/>
      <w:lvlJc w:val="left"/>
      <w:pPr>
        <w:ind w:left="3780" w:hanging="284"/>
      </w:pPr>
      <w:rPr>
        <w:rFonts w:hint="default"/>
      </w:rPr>
    </w:lvl>
    <w:lvl w:ilvl="6">
      <w:start w:val="1"/>
      <w:numFmt w:val="bullet"/>
      <w:lvlText w:val="•"/>
      <w:lvlJc w:val="left"/>
      <w:pPr>
        <w:ind w:left="4168" w:hanging="284"/>
      </w:pPr>
      <w:rPr>
        <w:rFonts w:hint="default"/>
      </w:rPr>
    </w:lvl>
    <w:lvl w:ilvl="7">
      <w:start w:val="1"/>
      <w:numFmt w:val="bullet"/>
      <w:lvlText w:val="•"/>
      <w:lvlJc w:val="left"/>
      <w:pPr>
        <w:ind w:left="4556" w:hanging="284"/>
      </w:pPr>
      <w:rPr>
        <w:rFonts w:hint="default"/>
      </w:rPr>
    </w:lvl>
    <w:lvl w:ilvl="8">
      <w:start w:val="1"/>
      <w:numFmt w:val="bullet"/>
      <w:lvlText w:val="•"/>
      <w:lvlJc w:val="left"/>
      <w:pPr>
        <w:ind w:left="4945" w:hanging="284"/>
      </w:pPr>
      <w:rPr>
        <w:rFonts w:hint="default"/>
      </w:rPr>
    </w:lvl>
  </w:abstractNum>
  <w:abstractNum w:abstractNumId="14">
    <w:multiLevelType w:val="hybridMultilevel"/>
    <w:lvl w:ilvl="0">
      <w:start w:val="13"/>
      <w:numFmt w:val="upperLetter"/>
      <w:lvlText w:val="%1."/>
      <w:lvlJc w:val="left"/>
      <w:pPr>
        <w:ind w:left="696" w:hanging="271"/>
        <w:jc w:val="left"/>
      </w:pPr>
      <w:rPr>
        <w:rFonts w:hint="default" w:ascii="Calibri" w:hAnsi="Calibri" w:eastAsia="Calibri" w:cs="Calibri"/>
        <w:color w:val="231F20"/>
        <w:w w:val="92"/>
        <w:sz w:val="18"/>
        <w:szCs w:val="18"/>
      </w:rPr>
    </w:lvl>
    <w:lvl w:ilvl="1">
      <w:start w:val="1"/>
      <w:numFmt w:val="upperLetter"/>
      <w:lvlText w:val="%2."/>
      <w:lvlJc w:val="left"/>
      <w:pPr>
        <w:ind w:left="2086" w:hanging="533"/>
        <w:jc w:val="left"/>
      </w:pPr>
      <w:rPr>
        <w:rFonts w:hint="default" w:ascii="Calibri" w:hAnsi="Calibri" w:eastAsia="Calibri" w:cs="Calibri"/>
        <w:color w:val="6D6E71"/>
        <w:w w:val="92"/>
        <w:sz w:val="54"/>
        <w:szCs w:val="54"/>
      </w:rPr>
    </w:lvl>
    <w:lvl w:ilvl="2">
      <w:start w:val="1"/>
      <w:numFmt w:val="bullet"/>
      <w:lvlText w:val="•"/>
      <w:lvlJc w:val="left"/>
      <w:pPr>
        <w:ind w:left="2530" w:hanging="533"/>
      </w:pPr>
      <w:rPr>
        <w:rFonts w:hint="default"/>
      </w:rPr>
    </w:lvl>
    <w:lvl w:ilvl="3">
      <w:start w:val="1"/>
      <w:numFmt w:val="bullet"/>
      <w:lvlText w:val="•"/>
      <w:lvlJc w:val="left"/>
      <w:pPr>
        <w:ind w:left="2980" w:hanging="533"/>
      </w:pPr>
      <w:rPr>
        <w:rFonts w:hint="default"/>
      </w:rPr>
    </w:lvl>
    <w:lvl w:ilvl="4">
      <w:start w:val="1"/>
      <w:numFmt w:val="bullet"/>
      <w:lvlText w:val="•"/>
      <w:lvlJc w:val="left"/>
      <w:pPr>
        <w:ind w:left="3431" w:hanging="533"/>
      </w:pPr>
      <w:rPr>
        <w:rFonts w:hint="default"/>
      </w:rPr>
    </w:lvl>
    <w:lvl w:ilvl="5">
      <w:start w:val="1"/>
      <w:numFmt w:val="bullet"/>
      <w:lvlText w:val="•"/>
      <w:lvlJc w:val="left"/>
      <w:pPr>
        <w:ind w:left="3881" w:hanging="533"/>
      </w:pPr>
      <w:rPr>
        <w:rFonts w:hint="default"/>
      </w:rPr>
    </w:lvl>
    <w:lvl w:ilvl="6">
      <w:start w:val="1"/>
      <w:numFmt w:val="bullet"/>
      <w:lvlText w:val="•"/>
      <w:lvlJc w:val="left"/>
      <w:pPr>
        <w:ind w:left="4332" w:hanging="533"/>
      </w:pPr>
      <w:rPr>
        <w:rFonts w:hint="default"/>
      </w:rPr>
    </w:lvl>
    <w:lvl w:ilvl="7">
      <w:start w:val="1"/>
      <w:numFmt w:val="bullet"/>
      <w:lvlText w:val="•"/>
      <w:lvlJc w:val="left"/>
      <w:pPr>
        <w:ind w:left="4782" w:hanging="533"/>
      </w:pPr>
      <w:rPr>
        <w:rFonts w:hint="default"/>
      </w:rPr>
    </w:lvl>
    <w:lvl w:ilvl="8">
      <w:start w:val="1"/>
      <w:numFmt w:val="bullet"/>
      <w:lvlText w:val="•"/>
      <w:lvlJc w:val="left"/>
      <w:pPr>
        <w:ind w:left="5232" w:hanging="533"/>
      </w:pPr>
      <w:rPr>
        <w:rFonts w:hint="default"/>
      </w:rPr>
    </w:lvl>
  </w:abstractNum>
  <w:abstractNum w:abstractNumId="13">
    <w:multiLevelType w:val="hybridMultilevel"/>
    <w:lvl w:ilvl="0">
      <w:start w:val="1"/>
      <w:numFmt w:val="bullet"/>
      <w:lvlText w:val="*"/>
      <w:lvlJc w:val="left"/>
      <w:pPr>
        <w:ind w:left="1670" w:hanging="117"/>
      </w:pPr>
      <w:rPr>
        <w:rFonts w:hint="default" w:ascii="Calibri" w:hAnsi="Calibri" w:eastAsia="Calibri" w:cs="Calibri"/>
        <w:color w:val="231F20"/>
        <w:w w:val="87"/>
        <w:sz w:val="16"/>
        <w:szCs w:val="16"/>
      </w:rPr>
    </w:lvl>
    <w:lvl w:ilvl="1">
      <w:start w:val="1"/>
      <w:numFmt w:val="bullet"/>
      <w:lvlText w:val="•"/>
      <w:lvlJc w:val="left"/>
      <w:pPr>
        <w:ind w:left="1984" w:hanging="117"/>
      </w:pPr>
      <w:rPr>
        <w:rFonts w:hint="default"/>
      </w:rPr>
    </w:lvl>
    <w:lvl w:ilvl="2">
      <w:start w:val="1"/>
      <w:numFmt w:val="bullet"/>
      <w:lvlText w:val="•"/>
      <w:lvlJc w:val="left"/>
      <w:pPr>
        <w:ind w:left="2289" w:hanging="117"/>
      </w:pPr>
      <w:rPr>
        <w:rFonts w:hint="default"/>
      </w:rPr>
    </w:lvl>
    <w:lvl w:ilvl="3">
      <w:start w:val="1"/>
      <w:numFmt w:val="bullet"/>
      <w:lvlText w:val="•"/>
      <w:lvlJc w:val="left"/>
      <w:pPr>
        <w:ind w:left="2593" w:hanging="117"/>
      </w:pPr>
      <w:rPr>
        <w:rFonts w:hint="default"/>
      </w:rPr>
    </w:lvl>
    <w:lvl w:ilvl="4">
      <w:start w:val="1"/>
      <w:numFmt w:val="bullet"/>
      <w:lvlText w:val="•"/>
      <w:lvlJc w:val="left"/>
      <w:pPr>
        <w:ind w:left="2898" w:hanging="117"/>
      </w:pPr>
      <w:rPr>
        <w:rFonts w:hint="default"/>
      </w:rPr>
    </w:lvl>
    <w:lvl w:ilvl="5">
      <w:start w:val="1"/>
      <w:numFmt w:val="bullet"/>
      <w:lvlText w:val="•"/>
      <w:lvlJc w:val="left"/>
      <w:pPr>
        <w:ind w:left="3202" w:hanging="117"/>
      </w:pPr>
      <w:rPr>
        <w:rFonts w:hint="default"/>
      </w:rPr>
    </w:lvl>
    <w:lvl w:ilvl="6">
      <w:start w:val="1"/>
      <w:numFmt w:val="bullet"/>
      <w:lvlText w:val="•"/>
      <w:lvlJc w:val="left"/>
      <w:pPr>
        <w:ind w:left="3507" w:hanging="117"/>
      </w:pPr>
      <w:rPr>
        <w:rFonts w:hint="default"/>
      </w:rPr>
    </w:lvl>
    <w:lvl w:ilvl="7">
      <w:start w:val="1"/>
      <w:numFmt w:val="bullet"/>
      <w:lvlText w:val="•"/>
      <w:lvlJc w:val="left"/>
      <w:pPr>
        <w:ind w:left="3811" w:hanging="117"/>
      </w:pPr>
      <w:rPr>
        <w:rFonts w:hint="default"/>
      </w:rPr>
    </w:lvl>
    <w:lvl w:ilvl="8">
      <w:start w:val="1"/>
      <w:numFmt w:val="bullet"/>
      <w:lvlText w:val="•"/>
      <w:lvlJc w:val="left"/>
      <w:pPr>
        <w:ind w:left="4116" w:hanging="117"/>
      </w:pPr>
      <w:rPr>
        <w:rFonts w:hint="default"/>
      </w:rPr>
    </w:lvl>
  </w:abstractNum>
  <w:abstractNum w:abstractNumId="12">
    <w:multiLevelType w:val="hybridMultilevel"/>
    <w:lvl w:ilvl="0">
      <w:start w:val="1"/>
      <w:numFmt w:val="upperLetter"/>
      <w:lvlText w:val="%1."/>
      <w:lvlJc w:val="left"/>
      <w:pPr>
        <w:ind w:left="2086" w:hanging="533"/>
        <w:jc w:val="left"/>
      </w:pPr>
      <w:rPr>
        <w:rFonts w:hint="default" w:ascii="Calibri" w:hAnsi="Calibri" w:eastAsia="Calibri" w:cs="Calibri"/>
        <w:color w:val="6D6E71"/>
        <w:w w:val="92"/>
        <w:sz w:val="54"/>
        <w:szCs w:val="54"/>
      </w:rPr>
    </w:lvl>
    <w:lvl w:ilvl="1">
      <w:start w:val="1"/>
      <w:numFmt w:val="bullet"/>
      <w:lvlText w:val="•"/>
      <w:lvlJc w:val="left"/>
      <w:pPr>
        <w:ind w:left="3061" w:hanging="533"/>
      </w:pPr>
      <w:rPr>
        <w:rFonts w:hint="default"/>
      </w:rPr>
    </w:lvl>
    <w:lvl w:ilvl="2">
      <w:start w:val="1"/>
      <w:numFmt w:val="bullet"/>
      <w:lvlText w:val="•"/>
      <w:lvlJc w:val="left"/>
      <w:pPr>
        <w:ind w:left="4043" w:hanging="533"/>
      </w:pPr>
      <w:rPr>
        <w:rFonts w:hint="default"/>
      </w:rPr>
    </w:lvl>
    <w:lvl w:ilvl="3">
      <w:start w:val="1"/>
      <w:numFmt w:val="bullet"/>
      <w:lvlText w:val="•"/>
      <w:lvlJc w:val="left"/>
      <w:pPr>
        <w:ind w:left="5024" w:hanging="533"/>
      </w:pPr>
      <w:rPr>
        <w:rFonts w:hint="default"/>
      </w:rPr>
    </w:lvl>
    <w:lvl w:ilvl="4">
      <w:start w:val="1"/>
      <w:numFmt w:val="bullet"/>
      <w:lvlText w:val="•"/>
      <w:lvlJc w:val="left"/>
      <w:pPr>
        <w:ind w:left="6006" w:hanging="533"/>
      </w:pPr>
      <w:rPr>
        <w:rFonts w:hint="default"/>
      </w:rPr>
    </w:lvl>
    <w:lvl w:ilvl="5">
      <w:start w:val="1"/>
      <w:numFmt w:val="bullet"/>
      <w:lvlText w:val="•"/>
      <w:lvlJc w:val="left"/>
      <w:pPr>
        <w:ind w:left="6987" w:hanging="533"/>
      </w:pPr>
      <w:rPr>
        <w:rFonts w:hint="default"/>
      </w:rPr>
    </w:lvl>
    <w:lvl w:ilvl="6">
      <w:start w:val="1"/>
      <w:numFmt w:val="bullet"/>
      <w:lvlText w:val="•"/>
      <w:lvlJc w:val="left"/>
      <w:pPr>
        <w:ind w:left="7969" w:hanging="533"/>
      </w:pPr>
      <w:rPr>
        <w:rFonts w:hint="default"/>
      </w:rPr>
    </w:lvl>
    <w:lvl w:ilvl="7">
      <w:start w:val="1"/>
      <w:numFmt w:val="bullet"/>
      <w:lvlText w:val="•"/>
      <w:lvlJc w:val="left"/>
      <w:pPr>
        <w:ind w:left="8950" w:hanging="533"/>
      </w:pPr>
      <w:rPr>
        <w:rFonts w:hint="default"/>
      </w:rPr>
    </w:lvl>
    <w:lvl w:ilvl="8">
      <w:start w:val="1"/>
      <w:numFmt w:val="bullet"/>
      <w:lvlText w:val="•"/>
      <w:lvlJc w:val="left"/>
      <w:pPr>
        <w:ind w:left="9932" w:hanging="533"/>
      </w:pPr>
      <w:rPr>
        <w:rFonts w:hint="default"/>
      </w:rPr>
    </w:lvl>
  </w:abstractNum>
  <w:abstractNum w:abstractNumId="11">
    <w:multiLevelType w:val="hybridMultilevel"/>
    <w:lvl w:ilvl="0">
      <w:start w:val="1"/>
      <w:numFmt w:val="decimal"/>
      <w:lvlText w:val="%1."/>
      <w:lvlJc w:val="left"/>
      <w:pPr>
        <w:ind w:left="1837" w:hanging="284"/>
        <w:jc w:val="right"/>
      </w:pPr>
      <w:rPr>
        <w:rFonts w:hint="default"/>
        <w:w w:val="104"/>
      </w:rPr>
    </w:lvl>
    <w:lvl w:ilvl="1">
      <w:start w:val="1"/>
      <w:numFmt w:val="bullet"/>
      <w:lvlText w:val="•"/>
      <w:lvlJc w:val="left"/>
      <w:pPr>
        <w:ind w:left="2228" w:hanging="284"/>
      </w:pPr>
      <w:rPr>
        <w:rFonts w:hint="default"/>
      </w:rPr>
    </w:lvl>
    <w:lvl w:ilvl="2">
      <w:start w:val="1"/>
      <w:numFmt w:val="bullet"/>
      <w:lvlText w:val="•"/>
      <w:lvlJc w:val="left"/>
      <w:pPr>
        <w:ind w:left="2616" w:hanging="284"/>
      </w:pPr>
      <w:rPr>
        <w:rFonts w:hint="default"/>
      </w:rPr>
    </w:lvl>
    <w:lvl w:ilvl="3">
      <w:start w:val="1"/>
      <w:numFmt w:val="bullet"/>
      <w:lvlText w:val="•"/>
      <w:lvlJc w:val="left"/>
      <w:pPr>
        <w:ind w:left="3004" w:hanging="284"/>
      </w:pPr>
      <w:rPr>
        <w:rFonts w:hint="default"/>
      </w:rPr>
    </w:lvl>
    <w:lvl w:ilvl="4">
      <w:start w:val="1"/>
      <w:numFmt w:val="bullet"/>
      <w:lvlText w:val="•"/>
      <w:lvlJc w:val="left"/>
      <w:pPr>
        <w:ind w:left="3392" w:hanging="284"/>
      </w:pPr>
      <w:rPr>
        <w:rFonts w:hint="default"/>
      </w:rPr>
    </w:lvl>
    <w:lvl w:ilvl="5">
      <w:start w:val="1"/>
      <w:numFmt w:val="bullet"/>
      <w:lvlText w:val="•"/>
      <w:lvlJc w:val="left"/>
      <w:pPr>
        <w:ind w:left="3780" w:hanging="284"/>
      </w:pPr>
      <w:rPr>
        <w:rFonts w:hint="default"/>
      </w:rPr>
    </w:lvl>
    <w:lvl w:ilvl="6">
      <w:start w:val="1"/>
      <w:numFmt w:val="bullet"/>
      <w:lvlText w:val="•"/>
      <w:lvlJc w:val="left"/>
      <w:pPr>
        <w:ind w:left="4168" w:hanging="284"/>
      </w:pPr>
      <w:rPr>
        <w:rFonts w:hint="default"/>
      </w:rPr>
    </w:lvl>
    <w:lvl w:ilvl="7">
      <w:start w:val="1"/>
      <w:numFmt w:val="bullet"/>
      <w:lvlText w:val="•"/>
      <w:lvlJc w:val="left"/>
      <w:pPr>
        <w:ind w:left="4556" w:hanging="284"/>
      </w:pPr>
      <w:rPr>
        <w:rFonts w:hint="default"/>
      </w:rPr>
    </w:lvl>
    <w:lvl w:ilvl="8">
      <w:start w:val="1"/>
      <w:numFmt w:val="bullet"/>
      <w:lvlText w:val="•"/>
      <w:lvlJc w:val="left"/>
      <w:pPr>
        <w:ind w:left="4945" w:hanging="284"/>
      </w:pPr>
      <w:rPr>
        <w:rFonts w:hint="default"/>
      </w:rPr>
    </w:lvl>
  </w:abstractNum>
  <w:abstractNum w:abstractNumId="10">
    <w:multiLevelType w:val="hybridMultilevel"/>
    <w:lvl w:ilvl="0">
      <w:start w:val="1"/>
      <w:numFmt w:val="upperLetter"/>
      <w:lvlText w:val="%1."/>
      <w:lvlJc w:val="left"/>
      <w:pPr>
        <w:ind w:left="2086" w:hanging="533"/>
        <w:jc w:val="left"/>
      </w:pPr>
      <w:rPr>
        <w:rFonts w:hint="default" w:ascii="Calibri" w:hAnsi="Calibri" w:eastAsia="Calibri" w:cs="Calibri"/>
        <w:color w:val="6D6E71"/>
        <w:w w:val="92"/>
        <w:sz w:val="54"/>
        <w:szCs w:val="54"/>
      </w:rPr>
    </w:lvl>
    <w:lvl w:ilvl="1">
      <w:start w:val="1"/>
      <w:numFmt w:val="bullet"/>
      <w:lvlText w:val="•"/>
      <w:lvlJc w:val="left"/>
      <w:pPr>
        <w:ind w:left="3061" w:hanging="533"/>
      </w:pPr>
      <w:rPr>
        <w:rFonts w:hint="default"/>
      </w:rPr>
    </w:lvl>
    <w:lvl w:ilvl="2">
      <w:start w:val="1"/>
      <w:numFmt w:val="bullet"/>
      <w:lvlText w:val="•"/>
      <w:lvlJc w:val="left"/>
      <w:pPr>
        <w:ind w:left="4043" w:hanging="533"/>
      </w:pPr>
      <w:rPr>
        <w:rFonts w:hint="default"/>
      </w:rPr>
    </w:lvl>
    <w:lvl w:ilvl="3">
      <w:start w:val="1"/>
      <w:numFmt w:val="bullet"/>
      <w:lvlText w:val="•"/>
      <w:lvlJc w:val="left"/>
      <w:pPr>
        <w:ind w:left="5024" w:hanging="533"/>
      </w:pPr>
      <w:rPr>
        <w:rFonts w:hint="default"/>
      </w:rPr>
    </w:lvl>
    <w:lvl w:ilvl="4">
      <w:start w:val="1"/>
      <w:numFmt w:val="bullet"/>
      <w:lvlText w:val="•"/>
      <w:lvlJc w:val="left"/>
      <w:pPr>
        <w:ind w:left="6006" w:hanging="533"/>
      </w:pPr>
      <w:rPr>
        <w:rFonts w:hint="default"/>
      </w:rPr>
    </w:lvl>
    <w:lvl w:ilvl="5">
      <w:start w:val="1"/>
      <w:numFmt w:val="bullet"/>
      <w:lvlText w:val="•"/>
      <w:lvlJc w:val="left"/>
      <w:pPr>
        <w:ind w:left="6987" w:hanging="533"/>
      </w:pPr>
      <w:rPr>
        <w:rFonts w:hint="default"/>
      </w:rPr>
    </w:lvl>
    <w:lvl w:ilvl="6">
      <w:start w:val="1"/>
      <w:numFmt w:val="bullet"/>
      <w:lvlText w:val="•"/>
      <w:lvlJc w:val="left"/>
      <w:pPr>
        <w:ind w:left="7969" w:hanging="533"/>
      </w:pPr>
      <w:rPr>
        <w:rFonts w:hint="default"/>
      </w:rPr>
    </w:lvl>
    <w:lvl w:ilvl="7">
      <w:start w:val="1"/>
      <w:numFmt w:val="bullet"/>
      <w:lvlText w:val="•"/>
      <w:lvlJc w:val="left"/>
      <w:pPr>
        <w:ind w:left="8950" w:hanging="533"/>
      </w:pPr>
      <w:rPr>
        <w:rFonts w:hint="default"/>
      </w:rPr>
    </w:lvl>
    <w:lvl w:ilvl="8">
      <w:start w:val="1"/>
      <w:numFmt w:val="bullet"/>
      <w:lvlText w:val="•"/>
      <w:lvlJc w:val="left"/>
      <w:pPr>
        <w:ind w:left="9932" w:hanging="533"/>
      </w:pPr>
      <w:rPr>
        <w:rFonts w:hint="default"/>
      </w:rPr>
    </w:lvl>
  </w:abstractNum>
  <w:abstractNum w:abstractNumId="9">
    <w:multiLevelType w:val="hybridMultilevel"/>
    <w:lvl w:ilvl="0">
      <w:start w:val="1"/>
      <w:numFmt w:val="decimal"/>
      <w:lvlText w:val="%1)"/>
      <w:lvlJc w:val="left"/>
      <w:pPr>
        <w:ind w:left="410" w:hanging="303"/>
        <w:jc w:val="left"/>
      </w:pPr>
      <w:rPr>
        <w:rFonts w:hint="default" w:ascii="Calibri" w:hAnsi="Calibri" w:eastAsia="Calibri" w:cs="Calibri"/>
        <w:color w:val="231F20"/>
        <w:spacing w:val="0"/>
        <w:w w:val="120"/>
        <w:sz w:val="20"/>
        <w:szCs w:val="20"/>
      </w:rPr>
    </w:lvl>
    <w:lvl w:ilvl="1">
      <w:start w:val="1"/>
      <w:numFmt w:val="bullet"/>
      <w:lvlText w:val="•"/>
      <w:lvlJc w:val="left"/>
      <w:pPr>
        <w:ind w:left="1837" w:hanging="284"/>
      </w:pPr>
      <w:rPr>
        <w:rFonts w:hint="default" w:ascii="Calibri" w:hAnsi="Calibri" w:eastAsia="Calibri" w:cs="Calibri"/>
        <w:color w:val="231F20"/>
        <w:w w:val="66"/>
        <w:sz w:val="20"/>
        <w:szCs w:val="20"/>
      </w:rPr>
    </w:lvl>
    <w:lvl w:ilvl="2">
      <w:start w:val="1"/>
      <w:numFmt w:val="bullet"/>
      <w:lvlText w:val="•"/>
      <w:lvlJc w:val="left"/>
      <w:pPr>
        <w:ind w:left="1630" w:hanging="284"/>
      </w:pPr>
      <w:rPr>
        <w:rFonts w:hint="default"/>
      </w:rPr>
    </w:lvl>
    <w:lvl w:ilvl="3">
      <w:start w:val="1"/>
      <w:numFmt w:val="bullet"/>
      <w:lvlText w:val="•"/>
      <w:lvlJc w:val="left"/>
      <w:pPr>
        <w:ind w:left="1421" w:hanging="284"/>
      </w:pPr>
      <w:rPr>
        <w:rFonts w:hint="default"/>
      </w:rPr>
    </w:lvl>
    <w:lvl w:ilvl="4">
      <w:start w:val="1"/>
      <w:numFmt w:val="bullet"/>
      <w:lvlText w:val="•"/>
      <w:lvlJc w:val="left"/>
      <w:pPr>
        <w:ind w:left="1212" w:hanging="284"/>
      </w:pPr>
      <w:rPr>
        <w:rFonts w:hint="default"/>
      </w:rPr>
    </w:lvl>
    <w:lvl w:ilvl="5">
      <w:start w:val="1"/>
      <w:numFmt w:val="bullet"/>
      <w:lvlText w:val="•"/>
      <w:lvlJc w:val="left"/>
      <w:pPr>
        <w:ind w:left="1003" w:hanging="284"/>
      </w:pPr>
      <w:rPr>
        <w:rFonts w:hint="default"/>
      </w:rPr>
    </w:lvl>
    <w:lvl w:ilvl="6">
      <w:start w:val="1"/>
      <w:numFmt w:val="bullet"/>
      <w:lvlText w:val="•"/>
      <w:lvlJc w:val="left"/>
      <w:pPr>
        <w:ind w:left="794" w:hanging="284"/>
      </w:pPr>
      <w:rPr>
        <w:rFonts w:hint="default"/>
      </w:rPr>
    </w:lvl>
    <w:lvl w:ilvl="7">
      <w:start w:val="1"/>
      <w:numFmt w:val="bullet"/>
      <w:lvlText w:val="•"/>
      <w:lvlJc w:val="left"/>
      <w:pPr>
        <w:ind w:left="585" w:hanging="284"/>
      </w:pPr>
      <w:rPr>
        <w:rFonts w:hint="default"/>
      </w:rPr>
    </w:lvl>
    <w:lvl w:ilvl="8">
      <w:start w:val="1"/>
      <w:numFmt w:val="bullet"/>
      <w:lvlText w:val="•"/>
      <w:lvlJc w:val="left"/>
      <w:pPr>
        <w:ind w:left="376" w:hanging="284"/>
      </w:pPr>
      <w:rPr>
        <w:rFonts w:hint="default"/>
      </w:rPr>
    </w:lvl>
  </w:abstractNum>
  <w:abstractNum w:abstractNumId="8">
    <w:multiLevelType w:val="hybridMultilevel"/>
    <w:lvl w:ilvl="0">
      <w:start w:val="1"/>
      <w:numFmt w:val="bullet"/>
      <w:lvlText w:val="•"/>
      <w:lvlJc w:val="left"/>
      <w:pPr>
        <w:ind w:left="340" w:hanging="227"/>
      </w:pPr>
      <w:rPr>
        <w:rFonts w:hint="default" w:ascii="Calibri" w:hAnsi="Calibri" w:eastAsia="Calibri" w:cs="Calibri"/>
        <w:color w:val="231F20"/>
        <w:w w:val="66"/>
        <w:sz w:val="17"/>
        <w:szCs w:val="17"/>
      </w:rPr>
    </w:lvl>
    <w:lvl w:ilvl="1">
      <w:start w:val="1"/>
      <w:numFmt w:val="bullet"/>
      <w:lvlText w:val="•"/>
      <w:lvlJc w:val="left"/>
      <w:pPr>
        <w:ind w:left="721" w:hanging="227"/>
      </w:pPr>
      <w:rPr>
        <w:rFonts w:hint="default"/>
      </w:rPr>
    </w:lvl>
    <w:lvl w:ilvl="2">
      <w:start w:val="1"/>
      <w:numFmt w:val="bullet"/>
      <w:lvlText w:val="•"/>
      <w:lvlJc w:val="left"/>
      <w:pPr>
        <w:ind w:left="1103" w:hanging="227"/>
      </w:pPr>
      <w:rPr>
        <w:rFonts w:hint="default"/>
      </w:rPr>
    </w:lvl>
    <w:lvl w:ilvl="3">
      <w:start w:val="1"/>
      <w:numFmt w:val="bullet"/>
      <w:lvlText w:val="•"/>
      <w:lvlJc w:val="left"/>
      <w:pPr>
        <w:ind w:left="1485" w:hanging="227"/>
      </w:pPr>
      <w:rPr>
        <w:rFonts w:hint="default"/>
      </w:rPr>
    </w:lvl>
    <w:lvl w:ilvl="4">
      <w:start w:val="1"/>
      <w:numFmt w:val="bullet"/>
      <w:lvlText w:val="•"/>
      <w:lvlJc w:val="left"/>
      <w:pPr>
        <w:ind w:left="1866" w:hanging="227"/>
      </w:pPr>
      <w:rPr>
        <w:rFonts w:hint="default"/>
      </w:rPr>
    </w:lvl>
    <w:lvl w:ilvl="5">
      <w:start w:val="1"/>
      <w:numFmt w:val="bullet"/>
      <w:lvlText w:val="•"/>
      <w:lvlJc w:val="left"/>
      <w:pPr>
        <w:ind w:left="2248" w:hanging="227"/>
      </w:pPr>
      <w:rPr>
        <w:rFonts w:hint="default"/>
      </w:rPr>
    </w:lvl>
    <w:lvl w:ilvl="6">
      <w:start w:val="1"/>
      <w:numFmt w:val="bullet"/>
      <w:lvlText w:val="•"/>
      <w:lvlJc w:val="left"/>
      <w:pPr>
        <w:ind w:left="2630" w:hanging="227"/>
      </w:pPr>
      <w:rPr>
        <w:rFonts w:hint="default"/>
      </w:rPr>
    </w:lvl>
    <w:lvl w:ilvl="7">
      <w:start w:val="1"/>
      <w:numFmt w:val="bullet"/>
      <w:lvlText w:val="•"/>
      <w:lvlJc w:val="left"/>
      <w:pPr>
        <w:ind w:left="3011" w:hanging="227"/>
      </w:pPr>
      <w:rPr>
        <w:rFonts w:hint="default"/>
      </w:rPr>
    </w:lvl>
    <w:lvl w:ilvl="8">
      <w:start w:val="1"/>
      <w:numFmt w:val="bullet"/>
      <w:lvlText w:val="•"/>
      <w:lvlJc w:val="left"/>
      <w:pPr>
        <w:ind w:left="3393" w:hanging="227"/>
      </w:pPr>
      <w:rPr>
        <w:rFonts w:hint="default"/>
      </w:rPr>
    </w:lvl>
  </w:abstractNum>
  <w:abstractNum w:abstractNumId="7">
    <w:multiLevelType w:val="hybridMultilevel"/>
    <w:lvl w:ilvl="0">
      <w:start w:val="1"/>
      <w:numFmt w:val="bullet"/>
      <w:lvlText w:val="•"/>
      <w:lvlJc w:val="left"/>
      <w:pPr>
        <w:ind w:left="696" w:hanging="284"/>
      </w:pPr>
      <w:rPr>
        <w:rFonts w:hint="default" w:ascii="Calibri" w:hAnsi="Calibri" w:eastAsia="Calibri" w:cs="Calibri"/>
        <w:color w:val="231F20"/>
        <w:w w:val="66"/>
        <w:sz w:val="20"/>
        <w:szCs w:val="20"/>
      </w:rPr>
    </w:lvl>
    <w:lvl w:ilvl="1">
      <w:start w:val="1"/>
      <w:numFmt w:val="bullet"/>
      <w:lvlText w:val="•"/>
      <w:lvlJc w:val="left"/>
      <w:pPr>
        <w:ind w:left="1837" w:hanging="284"/>
      </w:pPr>
      <w:rPr>
        <w:rFonts w:hint="default" w:ascii="Calibri" w:hAnsi="Calibri" w:eastAsia="Calibri" w:cs="Calibri"/>
        <w:color w:val="231F20"/>
        <w:w w:val="66"/>
        <w:sz w:val="20"/>
        <w:szCs w:val="20"/>
      </w:rPr>
    </w:lvl>
    <w:lvl w:ilvl="2">
      <w:start w:val="1"/>
      <w:numFmt w:val="bullet"/>
      <w:lvlText w:val="•"/>
      <w:lvlJc w:val="left"/>
      <w:pPr>
        <w:ind w:left="1631" w:hanging="284"/>
      </w:pPr>
      <w:rPr>
        <w:rFonts w:hint="default"/>
      </w:rPr>
    </w:lvl>
    <w:lvl w:ilvl="3">
      <w:start w:val="1"/>
      <w:numFmt w:val="bullet"/>
      <w:lvlText w:val="•"/>
      <w:lvlJc w:val="left"/>
      <w:pPr>
        <w:ind w:left="1422" w:hanging="284"/>
      </w:pPr>
      <w:rPr>
        <w:rFonts w:hint="default"/>
      </w:rPr>
    </w:lvl>
    <w:lvl w:ilvl="4">
      <w:start w:val="1"/>
      <w:numFmt w:val="bullet"/>
      <w:lvlText w:val="•"/>
      <w:lvlJc w:val="left"/>
      <w:pPr>
        <w:ind w:left="1213" w:hanging="284"/>
      </w:pPr>
      <w:rPr>
        <w:rFonts w:hint="default"/>
      </w:rPr>
    </w:lvl>
    <w:lvl w:ilvl="5">
      <w:start w:val="1"/>
      <w:numFmt w:val="bullet"/>
      <w:lvlText w:val="•"/>
      <w:lvlJc w:val="left"/>
      <w:pPr>
        <w:ind w:left="1004" w:hanging="284"/>
      </w:pPr>
      <w:rPr>
        <w:rFonts w:hint="default"/>
      </w:rPr>
    </w:lvl>
    <w:lvl w:ilvl="6">
      <w:start w:val="1"/>
      <w:numFmt w:val="bullet"/>
      <w:lvlText w:val="•"/>
      <w:lvlJc w:val="left"/>
      <w:pPr>
        <w:ind w:left="795" w:hanging="284"/>
      </w:pPr>
      <w:rPr>
        <w:rFonts w:hint="default"/>
      </w:rPr>
    </w:lvl>
    <w:lvl w:ilvl="7">
      <w:start w:val="1"/>
      <w:numFmt w:val="bullet"/>
      <w:lvlText w:val="•"/>
      <w:lvlJc w:val="left"/>
      <w:pPr>
        <w:ind w:left="586" w:hanging="284"/>
      </w:pPr>
      <w:rPr>
        <w:rFonts w:hint="default"/>
      </w:rPr>
    </w:lvl>
    <w:lvl w:ilvl="8">
      <w:start w:val="1"/>
      <w:numFmt w:val="bullet"/>
      <w:lvlText w:val="•"/>
      <w:lvlJc w:val="left"/>
      <w:pPr>
        <w:ind w:left="377" w:hanging="284"/>
      </w:pPr>
      <w:rPr>
        <w:rFonts w:hint="default"/>
      </w:rPr>
    </w:lvl>
  </w:abstractNum>
  <w:abstractNum w:abstractNumId="6">
    <w:multiLevelType w:val="hybridMultilevel"/>
    <w:lvl w:ilvl="0">
      <w:start w:val="1"/>
      <w:numFmt w:val="decimal"/>
      <w:lvlText w:val="%1."/>
      <w:lvlJc w:val="left"/>
      <w:pPr>
        <w:ind w:left="696" w:hanging="284"/>
        <w:jc w:val="right"/>
      </w:pPr>
      <w:rPr>
        <w:rFonts w:hint="default" w:ascii="Calibri" w:hAnsi="Calibri" w:eastAsia="Calibri" w:cs="Calibri"/>
        <w:color w:val="231F20"/>
        <w:w w:val="104"/>
        <w:sz w:val="20"/>
        <w:szCs w:val="20"/>
      </w:rPr>
    </w:lvl>
    <w:lvl w:ilvl="1">
      <w:start w:val="1"/>
      <w:numFmt w:val="bullet"/>
      <w:lvlText w:val="•"/>
      <w:lvlJc w:val="left"/>
      <w:pPr>
        <w:ind w:left="1837" w:hanging="284"/>
      </w:pPr>
      <w:rPr>
        <w:rFonts w:hint="default" w:ascii="Calibri" w:hAnsi="Calibri" w:eastAsia="Calibri" w:cs="Calibri"/>
        <w:color w:val="231F20"/>
        <w:w w:val="66"/>
        <w:sz w:val="20"/>
        <w:szCs w:val="20"/>
      </w:rPr>
    </w:lvl>
    <w:lvl w:ilvl="2">
      <w:start w:val="1"/>
      <w:numFmt w:val="bullet"/>
      <w:lvlText w:val="•"/>
      <w:lvlJc w:val="left"/>
      <w:pPr>
        <w:ind w:left="1631" w:hanging="284"/>
      </w:pPr>
      <w:rPr>
        <w:rFonts w:hint="default"/>
      </w:rPr>
    </w:lvl>
    <w:lvl w:ilvl="3">
      <w:start w:val="1"/>
      <w:numFmt w:val="bullet"/>
      <w:lvlText w:val="•"/>
      <w:lvlJc w:val="left"/>
      <w:pPr>
        <w:ind w:left="1422" w:hanging="284"/>
      </w:pPr>
      <w:rPr>
        <w:rFonts w:hint="default"/>
      </w:rPr>
    </w:lvl>
    <w:lvl w:ilvl="4">
      <w:start w:val="1"/>
      <w:numFmt w:val="bullet"/>
      <w:lvlText w:val="•"/>
      <w:lvlJc w:val="left"/>
      <w:pPr>
        <w:ind w:left="1213" w:hanging="284"/>
      </w:pPr>
      <w:rPr>
        <w:rFonts w:hint="default"/>
      </w:rPr>
    </w:lvl>
    <w:lvl w:ilvl="5">
      <w:start w:val="1"/>
      <w:numFmt w:val="bullet"/>
      <w:lvlText w:val="•"/>
      <w:lvlJc w:val="left"/>
      <w:pPr>
        <w:ind w:left="1004" w:hanging="284"/>
      </w:pPr>
      <w:rPr>
        <w:rFonts w:hint="default"/>
      </w:rPr>
    </w:lvl>
    <w:lvl w:ilvl="6">
      <w:start w:val="1"/>
      <w:numFmt w:val="bullet"/>
      <w:lvlText w:val="•"/>
      <w:lvlJc w:val="left"/>
      <w:pPr>
        <w:ind w:left="795" w:hanging="284"/>
      </w:pPr>
      <w:rPr>
        <w:rFonts w:hint="default"/>
      </w:rPr>
    </w:lvl>
    <w:lvl w:ilvl="7">
      <w:start w:val="1"/>
      <w:numFmt w:val="bullet"/>
      <w:lvlText w:val="•"/>
      <w:lvlJc w:val="left"/>
      <w:pPr>
        <w:ind w:left="586" w:hanging="284"/>
      </w:pPr>
      <w:rPr>
        <w:rFonts w:hint="default"/>
      </w:rPr>
    </w:lvl>
    <w:lvl w:ilvl="8">
      <w:start w:val="1"/>
      <w:numFmt w:val="bullet"/>
      <w:lvlText w:val="•"/>
      <w:lvlJc w:val="left"/>
      <w:pPr>
        <w:ind w:left="377" w:hanging="284"/>
      </w:pPr>
      <w:rPr>
        <w:rFonts w:hint="default"/>
      </w:rPr>
    </w:lvl>
  </w:abstractNum>
  <w:abstractNum w:abstractNumId="5">
    <w:multiLevelType w:val="hybridMultilevel"/>
    <w:lvl w:ilvl="0">
      <w:start w:val="4"/>
      <w:numFmt w:val="decimal"/>
      <w:lvlText w:val="%1)"/>
      <w:lvlJc w:val="left"/>
      <w:pPr>
        <w:ind w:left="1553" w:hanging="268"/>
        <w:jc w:val="left"/>
      </w:pPr>
      <w:rPr>
        <w:rFonts w:hint="default" w:ascii="Calibri" w:hAnsi="Calibri" w:eastAsia="Calibri" w:cs="Calibri"/>
        <w:color w:val="231F20"/>
        <w:spacing w:val="-1"/>
        <w:w w:val="120"/>
        <w:sz w:val="20"/>
        <w:szCs w:val="20"/>
      </w:rPr>
    </w:lvl>
    <w:lvl w:ilvl="1">
      <w:start w:val="1"/>
      <w:numFmt w:val="bullet"/>
      <w:lvlText w:val="•"/>
      <w:lvlJc w:val="left"/>
      <w:pPr>
        <w:ind w:left="1976" w:hanging="268"/>
      </w:pPr>
      <w:rPr>
        <w:rFonts w:hint="default"/>
      </w:rPr>
    </w:lvl>
    <w:lvl w:ilvl="2">
      <w:start w:val="1"/>
      <w:numFmt w:val="bullet"/>
      <w:lvlText w:val="•"/>
      <w:lvlJc w:val="left"/>
      <w:pPr>
        <w:ind w:left="2392" w:hanging="268"/>
      </w:pPr>
      <w:rPr>
        <w:rFonts w:hint="default"/>
      </w:rPr>
    </w:lvl>
    <w:lvl w:ilvl="3">
      <w:start w:val="1"/>
      <w:numFmt w:val="bullet"/>
      <w:lvlText w:val="•"/>
      <w:lvlJc w:val="left"/>
      <w:pPr>
        <w:ind w:left="2808" w:hanging="268"/>
      </w:pPr>
      <w:rPr>
        <w:rFonts w:hint="default"/>
      </w:rPr>
    </w:lvl>
    <w:lvl w:ilvl="4">
      <w:start w:val="1"/>
      <w:numFmt w:val="bullet"/>
      <w:lvlText w:val="•"/>
      <w:lvlJc w:val="left"/>
      <w:pPr>
        <w:ind w:left="3224" w:hanging="268"/>
      </w:pPr>
      <w:rPr>
        <w:rFonts w:hint="default"/>
      </w:rPr>
    </w:lvl>
    <w:lvl w:ilvl="5">
      <w:start w:val="1"/>
      <w:numFmt w:val="bullet"/>
      <w:lvlText w:val="•"/>
      <w:lvlJc w:val="left"/>
      <w:pPr>
        <w:ind w:left="3640" w:hanging="268"/>
      </w:pPr>
      <w:rPr>
        <w:rFonts w:hint="default"/>
      </w:rPr>
    </w:lvl>
    <w:lvl w:ilvl="6">
      <w:start w:val="1"/>
      <w:numFmt w:val="bullet"/>
      <w:lvlText w:val="•"/>
      <w:lvlJc w:val="left"/>
      <w:pPr>
        <w:ind w:left="4057" w:hanging="268"/>
      </w:pPr>
      <w:rPr>
        <w:rFonts w:hint="default"/>
      </w:rPr>
    </w:lvl>
    <w:lvl w:ilvl="7">
      <w:start w:val="1"/>
      <w:numFmt w:val="bullet"/>
      <w:lvlText w:val="•"/>
      <w:lvlJc w:val="left"/>
      <w:pPr>
        <w:ind w:left="4473" w:hanging="268"/>
      </w:pPr>
      <w:rPr>
        <w:rFonts w:hint="default"/>
      </w:rPr>
    </w:lvl>
    <w:lvl w:ilvl="8">
      <w:start w:val="1"/>
      <w:numFmt w:val="bullet"/>
      <w:lvlText w:val="•"/>
      <w:lvlJc w:val="left"/>
      <w:pPr>
        <w:ind w:left="4889" w:hanging="268"/>
      </w:pPr>
      <w:rPr>
        <w:rFonts w:hint="default"/>
      </w:rPr>
    </w:lvl>
  </w:abstractNum>
  <w:abstractNum w:abstractNumId="4">
    <w:multiLevelType w:val="hybridMultilevel"/>
    <w:lvl w:ilvl="0">
      <w:start w:val="1"/>
      <w:numFmt w:val="bullet"/>
      <w:lvlText w:val="•"/>
      <w:lvlJc w:val="left"/>
      <w:pPr>
        <w:ind w:left="1837" w:hanging="284"/>
      </w:pPr>
      <w:rPr>
        <w:rFonts w:hint="default" w:ascii="Calibri" w:hAnsi="Calibri" w:eastAsia="Calibri" w:cs="Calibri"/>
        <w:color w:val="231F20"/>
        <w:w w:val="66"/>
        <w:sz w:val="20"/>
        <w:szCs w:val="20"/>
      </w:rPr>
    </w:lvl>
    <w:lvl w:ilvl="1">
      <w:start w:val="1"/>
      <w:numFmt w:val="bullet"/>
      <w:lvlText w:val="•"/>
      <w:lvlJc w:val="left"/>
      <w:pPr>
        <w:ind w:left="2228" w:hanging="284"/>
      </w:pPr>
      <w:rPr>
        <w:rFonts w:hint="default"/>
      </w:rPr>
    </w:lvl>
    <w:lvl w:ilvl="2">
      <w:start w:val="1"/>
      <w:numFmt w:val="bullet"/>
      <w:lvlText w:val="•"/>
      <w:lvlJc w:val="left"/>
      <w:pPr>
        <w:ind w:left="2616" w:hanging="284"/>
      </w:pPr>
      <w:rPr>
        <w:rFonts w:hint="default"/>
      </w:rPr>
    </w:lvl>
    <w:lvl w:ilvl="3">
      <w:start w:val="1"/>
      <w:numFmt w:val="bullet"/>
      <w:lvlText w:val="•"/>
      <w:lvlJc w:val="left"/>
      <w:pPr>
        <w:ind w:left="3004" w:hanging="284"/>
      </w:pPr>
      <w:rPr>
        <w:rFonts w:hint="default"/>
      </w:rPr>
    </w:lvl>
    <w:lvl w:ilvl="4">
      <w:start w:val="1"/>
      <w:numFmt w:val="bullet"/>
      <w:lvlText w:val="•"/>
      <w:lvlJc w:val="left"/>
      <w:pPr>
        <w:ind w:left="3392" w:hanging="284"/>
      </w:pPr>
      <w:rPr>
        <w:rFonts w:hint="default"/>
      </w:rPr>
    </w:lvl>
    <w:lvl w:ilvl="5">
      <w:start w:val="1"/>
      <w:numFmt w:val="bullet"/>
      <w:lvlText w:val="•"/>
      <w:lvlJc w:val="left"/>
      <w:pPr>
        <w:ind w:left="3780" w:hanging="284"/>
      </w:pPr>
      <w:rPr>
        <w:rFonts w:hint="default"/>
      </w:rPr>
    </w:lvl>
    <w:lvl w:ilvl="6">
      <w:start w:val="1"/>
      <w:numFmt w:val="bullet"/>
      <w:lvlText w:val="•"/>
      <w:lvlJc w:val="left"/>
      <w:pPr>
        <w:ind w:left="4168" w:hanging="284"/>
      </w:pPr>
      <w:rPr>
        <w:rFonts w:hint="default"/>
      </w:rPr>
    </w:lvl>
    <w:lvl w:ilvl="7">
      <w:start w:val="1"/>
      <w:numFmt w:val="bullet"/>
      <w:lvlText w:val="•"/>
      <w:lvlJc w:val="left"/>
      <w:pPr>
        <w:ind w:left="4556" w:hanging="284"/>
      </w:pPr>
      <w:rPr>
        <w:rFonts w:hint="default"/>
      </w:rPr>
    </w:lvl>
    <w:lvl w:ilvl="8">
      <w:start w:val="1"/>
      <w:numFmt w:val="bullet"/>
      <w:lvlText w:val="•"/>
      <w:lvlJc w:val="left"/>
      <w:pPr>
        <w:ind w:left="4945" w:hanging="284"/>
      </w:pPr>
      <w:rPr>
        <w:rFonts w:hint="default"/>
      </w:rPr>
    </w:lvl>
  </w:abstractNum>
  <w:abstractNum w:abstractNumId="3">
    <w:multiLevelType w:val="hybridMultilevel"/>
    <w:lvl w:ilvl="0">
      <w:start w:val="3"/>
      <w:numFmt w:val="decimal"/>
      <w:lvlText w:val="%1)"/>
      <w:lvlJc w:val="left"/>
      <w:pPr>
        <w:ind w:left="412" w:hanging="253"/>
        <w:jc w:val="left"/>
      </w:pPr>
      <w:rPr>
        <w:rFonts w:hint="default" w:ascii="Calibri" w:hAnsi="Calibri" w:eastAsia="Calibri" w:cs="Calibri"/>
        <w:color w:val="231F20"/>
        <w:spacing w:val="-2"/>
        <w:w w:val="120"/>
        <w:sz w:val="20"/>
        <w:szCs w:val="20"/>
      </w:rPr>
    </w:lvl>
    <w:lvl w:ilvl="1">
      <w:start w:val="1"/>
      <w:numFmt w:val="upperLetter"/>
      <w:lvlText w:val="%2."/>
      <w:lvlJc w:val="left"/>
      <w:pPr>
        <w:ind w:left="696" w:hanging="190"/>
        <w:jc w:val="left"/>
      </w:pPr>
      <w:rPr>
        <w:rFonts w:hint="default" w:ascii="Calibri" w:hAnsi="Calibri" w:eastAsia="Calibri" w:cs="Calibri"/>
        <w:color w:val="231F20"/>
        <w:w w:val="92"/>
        <w:sz w:val="18"/>
        <w:szCs w:val="18"/>
      </w:rPr>
    </w:lvl>
    <w:lvl w:ilvl="2">
      <w:start w:val="1"/>
      <w:numFmt w:val="upperLetter"/>
      <w:lvlText w:val="%3."/>
      <w:lvlJc w:val="left"/>
      <w:pPr>
        <w:ind w:left="2086" w:hanging="533"/>
        <w:jc w:val="left"/>
      </w:pPr>
      <w:rPr>
        <w:rFonts w:hint="default" w:ascii="Calibri" w:hAnsi="Calibri" w:eastAsia="Calibri" w:cs="Calibri"/>
        <w:color w:val="6D6E71"/>
        <w:w w:val="92"/>
        <w:sz w:val="54"/>
        <w:szCs w:val="54"/>
      </w:rPr>
    </w:lvl>
    <w:lvl w:ilvl="3">
      <w:start w:val="1"/>
      <w:numFmt w:val="bullet"/>
      <w:lvlText w:val="•"/>
      <w:lvlJc w:val="left"/>
      <w:pPr>
        <w:ind w:left="2586" w:hanging="533"/>
      </w:pPr>
      <w:rPr>
        <w:rFonts w:hint="default"/>
      </w:rPr>
    </w:lvl>
    <w:lvl w:ilvl="4">
      <w:start w:val="1"/>
      <w:numFmt w:val="bullet"/>
      <w:lvlText w:val="•"/>
      <w:lvlJc w:val="left"/>
      <w:pPr>
        <w:ind w:left="3093" w:hanging="533"/>
      </w:pPr>
      <w:rPr>
        <w:rFonts w:hint="default"/>
      </w:rPr>
    </w:lvl>
    <w:lvl w:ilvl="5">
      <w:start w:val="1"/>
      <w:numFmt w:val="bullet"/>
      <w:lvlText w:val="•"/>
      <w:lvlJc w:val="left"/>
      <w:pPr>
        <w:ind w:left="3600" w:hanging="533"/>
      </w:pPr>
      <w:rPr>
        <w:rFonts w:hint="default"/>
      </w:rPr>
    </w:lvl>
    <w:lvl w:ilvl="6">
      <w:start w:val="1"/>
      <w:numFmt w:val="bullet"/>
      <w:lvlText w:val="•"/>
      <w:lvlJc w:val="left"/>
      <w:pPr>
        <w:ind w:left="4106" w:hanging="533"/>
      </w:pPr>
      <w:rPr>
        <w:rFonts w:hint="default"/>
      </w:rPr>
    </w:lvl>
    <w:lvl w:ilvl="7">
      <w:start w:val="1"/>
      <w:numFmt w:val="bullet"/>
      <w:lvlText w:val="•"/>
      <w:lvlJc w:val="left"/>
      <w:pPr>
        <w:ind w:left="4613" w:hanging="533"/>
      </w:pPr>
      <w:rPr>
        <w:rFonts w:hint="default"/>
      </w:rPr>
    </w:lvl>
    <w:lvl w:ilvl="8">
      <w:start w:val="1"/>
      <w:numFmt w:val="bullet"/>
      <w:lvlText w:val="•"/>
      <w:lvlJc w:val="left"/>
      <w:pPr>
        <w:ind w:left="5120" w:hanging="533"/>
      </w:pPr>
      <w:rPr>
        <w:rFonts w:hint="default"/>
      </w:rPr>
    </w:lvl>
  </w:abstractNum>
  <w:abstractNum w:abstractNumId="2">
    <w:multiLevelType w:val="hybridMultilevel"/>
    <w:lvl w:ilvl="0">
      <w:start w:val="1"/>
      <w:numFmt w:val="decimal"/>
      <w:lvlText w:val="%1."/>
      <w:lvlJc w:val="left"/>
      <w:pPr>
        <w:ind w:left="1837" w:hanging="284"/>
        <w:jc w:val="left"/>
      </w:pPr>
      <w:rPr>
        <w:rFonts w:hint="default" w:ascii="Calibri" w:hAnsi="Calibri" w:eastAsia="Calibri" w:cs="Calibri"/>
        <w:color w:val="231F20"/>
        <w:w w:val="104"/>
        <w:sz w:val="20"/>
        <w:szCs w:val="20"/>
      </w:rPr>
    </w:lvl>
    <w:lvl w:ilvl="1">
      <w:start w:val="1"/>
      <w:numFmt w:val="bullet"/>
      <w:lvlText w:val="•"/>
      <w:lvlJc w:val="left"/>
      <w:pPr>
        <w:ind w:left="2228" w:hanging="284"/>
      </w:pPr>
      <w:rPr>
        <w:rFonts w:hint="default"/>
      </w:rPr>
    </w:lvl>
    <w:lvl w:ilvl="2">
      <w:start w:val="1"/>
      <w:numFmt w:val="bullet"/>
      <w:lvlText w:val="•"/>
      <w:lvlJc w:val="left"/>
      <w:pPr>
        <w:ind w:left="2616" w:hanging="284"/>
      </w:pPr>
      <w:rPr>
        <w:rFonts w:hint="default"/>
      </w:rPr>
    </w:lvl>
    <w:lvl w:ilvl="3">
      <w:start w:val="1"/>
      <w:numFmt w:val="bullet"/>
      <w:lvlText w:val="•"/>
      <w:lvlJc w:val="left"/>
      <w:pPr>
        <w:ind w:left="3004" w:hanging="284"/>
      </w:pPr>
      <w:rPr>
        <w:rFonts w:hint="default"/>
      </w:rPr>
    </w:lvl>
    <w:lvl w:ilvl="4">
      <w:start w:val="1"/>
      <w:numFmt w:val="bullet"/>
      <w:lvlText w:val="•"/>
      <w:lvlJc w:val="left"/>
      <w:pPr>
        <w:ind w:left="3392" w:hanging="284"/>
      </w:pPr>
      <w:rPr>
        <w:rFonts w:hint="default"/>
      </w:rPr>
    </w:lvl>
    <w:lvl w:ilvl="5">
      <w:start w:val="1"/>
      <w:numFmt w:val="bullet"/>
      <w:lvlText w:val="•"/>
      <w:lvlJc w:val="left"/>
      <w:pPr>
        <w:ind w:left="3780" w:hanging="284"/>
      </w:pPr>
      <w:rPr>
        <w:rFonts w:hint="default"/>
      </w:rPr>
    </w:lvl>
    <w:lvl w:ilvl="6">
      <w:start w:val="1"/>
      <w:numFmt w:val="bullet"/>
      <w:lvlText w:val="•"/>
      <w:lvlJc w:val="left"/>
      <w:pPr>
        <w:ind w:left="4168" w:hanging="284"/>
      </w:pPr>
      <w:rPr>
        <w:rFonts w:hint="default"/>
      </w:rPr>
    </w:lvl>
    <w:lvl w:ilvl="7">
      <w:start w:val="1"/>
      <w:numFmt w:val="bullet"/>
      <w:lvlText w:val="•"/>
      <w:lvlJc w:val="left"/>
      <w:pPr>
        <w:ind w:left="4557" w:hanging="284"/>
      </w:pPr>
      <w:rPr>
        <w:rFonts w:hint="default"/>
      </w:rPr>
    </w:lvl>
    <w:lvl w:ilvl="8">
      <w:start w:val="1"/>
      <w:numFmt w:val="bullet"/>
      <w:lvlText w:val="•"/>
      <w:lvlJc w:val="left"/>
      <w:pPr>
        <w:ind w:left="4945" w:hanging="284"/>
      </w:pPr>
      <w:rPr>
        <w:rFonts w:hint="default"/>
      </w:rPr>
    </w:lvl>
  </w:abstractNum>
  <w:abstractNum w:abstractNumId="1">
    <w:multiLevelType w:val="hybridMultilevel"/>
    <w:lvl w:ilvl="0">
      <w:start w:val="3"/>
      <w:numFmt w:val="lowerLetter"/>
      <w:lvlText w:val="%1."/>
      <w:lvlJc w:val="left"/>
      <w:pPr>
        <w:ind w:left="2114" w:hanging="221"/>
        <w:jc w:val="left"/>
      </w:pPr>
      <w:rPr>
        <w:rFonts w:hint="default" w:ascii="Calibri" w:hAnsi="Calibri" w:eastAsia="Calibri" w:cs="Calibri"/>
        <w:color w:val="6D6E71"/>
        <w:w w:val="82"/>
        <w:sz w:val="20"/>
        <w:szCs w:val="20"/>
      </w:rPr>
    </w:lvl>
    <w:lvl w:ilvl="1">
      <w:start w:val="1"/>
      <w:numFmt w:val="upperLetter"/>
      <w:lvlText w:val="%2."/>
      <w:lvlJc w:val="left"/>
      <w:pPr>
        <w:ind w:left="2106" w:hanging="213"/>
        <w:jc w:val="left"/>
      </w:pPr>
      <w:rPr>
        <w:rFonts w:hint="default" w:ascii="Calibri" w:hAnsi="Calibri" w:eastAsia="Calibri" w:cs="Calibri"/>
        <w:color w:val="6D6E71"/>
        <w:w w:val="92"/>
        <w:sz w:val="20"/>
        <w:szCs w:val="20"/>
      </w:rPr>
    </w:lvl>
    <w:lvl w:ilvl="2">
      <w:start w:val="1"/>
      <w:numFmt w:val="bullet"/>
      <w:lvlText w:val="•"/>
      <w:lvlJc w:val="left"/>
      <w:pPr>
        <w:ind w:left="2480" w:hanging="213"/>
      </w:pPr>
      <w:rPr>
        <w:rFonts w:hint="default"/>
      </w:rPr>
    </w:lvl>
    <w:lvl w:ilvl="3">
      <w:start w:val="1"/>
      <w:numFmt w:val="bullet"/>
      <w:lvlText w:val="•"/>
      <w:lvlJc w:val="left"/>
      <w:pPr>
        <w:ind w:left="3656" w:hanging="213"/>
      </w:pPr>
      <w:rPr>
        <w:rFonts w:hint="default"/>
      </w:rPr>
    </w:lvl>
    <w:lvl w:ilvl="4">
      <w:start w:val="1"/>
      <w:numFmt w:val="bullet"/>
      <w:lvlText w:val="•"/>
      <w:lvlJc w:val="left"/>
      <w:pPr>
        <w:ind w:left="4833" w:hanging="213"/>
      </w:pPr>
      <w:rPr>
        <w:rFonts w:hint="default"/>
      </w:rPr>
    </w:lvl>
    <w:lvl w:ilvl="5">
      <w:start w:val="1"/>
      <w:numFmt w:val="bullet"/>
      <w:lvlText w:val="•"/>
      <w:lvlJc w:val="left"/>
      <w:pPr>
        <w:ind w:left="6010" w:hanging="213"/>
      </w:pPr>
      <w:rPr>
        <w:rFonts w:hint="default"/>
      </w:rPr>
    </w:lvl>
    <w:lvl w:ilvl="6">
      <w:start w:val="1"/>
      <w:numFmt w:val="bullet"/>
      <w:lvlText w:val="•"/>
      <w:lvlJc w:val="left"/>
      <w:pPr>
        <w:ind w:left="7187" w:hanging="213"/>
      </w:pPr>
      <w:rPr>
        <w:rFonts w:hint="default"/>
      </w:rPr>
    </w:lvl>
    <w:lvl w:ilvl="7">
      <w:start w:val="1"/>
      <w:numFmt w:val="bullet"/>
      <w:lvlText w:val="•"/>
      <w:lvlJc w:val="left"/>
      <w:pPr>
        <w:ind w:left="8364" w:hanging="213"/>
      </w:pPr>
      <w:rPr>
        <w:rFonts w:hint="default"/>
      </w:rPr>
    </w:lvl>
    <w:lvl w:ilvl="8">
      <w:start w:val="1"/>
      <w:numFmt w:val="bullet"/>
      <w:lvlText w:val="•"/>
      <w:lvlJc w:val="left"/>
      <w:pPr>
        <w:ind w:left="9541" w:hanging="213"/>
      </w:pPr>
      <w:rPr>
        <w:rFonts w:hint="default"/>
      </w:rPr>
    </w:lvl>
  </w:abstractNum>
  <w:abstractNum w:abstractNumId="0">
    <w:multiLevelType w:val="hybridMultilevel"/>
    <w:lvl w:ilvl="0">
      <w:start w:val="3"/>
      <w:numFmt w:val="upperLetter"/>
      <w:lvlText w:val="%1."/>
      <w:lvlJc w:val="left"/>
      <w:pPr>
        <w:ind w:left="1567" w:hanging="211"/>
        <w:jc w:val="left"/>
      </w:pPr>
      <w:rPr>
        <w:rFonts w:hint="default" w:ascii="Times New Roman" w:hAnsi="Times New Roman" w:eastAsia="Times New Roman" w:cs="Times New Roman"/>
        <w:spacing w:val="-2"/>
        <w:w w:val="100"/>
        <w:sz w:val="18"/>
        <w:szCs w:val="18"/>
      </w:rPr>
    </w:lvl>
    <w:lvl w:ilvl="1">
      <w:start w:val="1"/>
      <w:numFmt w:val="upperLetter"/>
      <w:lvlText w:val="%2."/>
      <w:lvlJc w:val="left"/>
      <w:pPr>
        <w:ind w:left="2106" w:hanging="213"/>
        <w:jc w:val="left"/>
      </w:pPr>
      <w:rPr>
        <w:rFonts w:hint="default" w:ascii="Calibri" w:hAnsi="Calibri" w:eastAsia="Calibri" w:cs="Calibri"/>
        <w:color w:val="6D6E71"/>
        <w:w w:val="92"/>
        <w:sz w:val="20"/>
        <w:szCs w:val="20"/>
      </w:rPr>
    </w:lvl>
    <w:lvl w:ilvl="2">
      <w:start w:val="1"/>
      <w:numFmt w:val="bullet"/>
      <w:lvlText w:val="•"/>
      <w:lvlJc w:val="left"/>
      <w:pPr>
        <w:ind w:left="2389" w:hanging="213"/>
      </w:pPr>
      <w:rPr>
        <w:rFonts w:hint="default"/>
      </w:rPr>
    </w:lvl>
    <w:lvl w:ilvl="3">
      <w:start w:val="1"/>
      <w:numFmt w:val="bullet"/>
      <w:lvlText w:val="•"/>
      <w:lvlJc w:val="left"/>
      <w:pPr>
        <w:ind w:left="2679" w:hanging="213"/>
      </w:pPr>
      <w:rPr>
        <w:rFonts w:hint="default"/>
      </w:rPr>
    </w:lvl>
    <w:lvl w:ilvl="4">
      <w:start w:val="1"/>
      <w:numFmt w:val="bullet"/>
      <w:lvlText w:val="•"/>
      <w:lvlJc w:val="left"/>
      <w:pPr>
        <w:ind w:left="2969" w:hanging="213"/>
      </w:pPr>
      <w:rPr>
        <w:rFonts w:hint="default"/>
      </w:rPr>
    </w:lvl>
    <w:lvl w:ilvl="5">
      <w:start w:val="1"/>
      <w:numFmt w:val="bullet"/>
      <w:lvlText w:val="•"/>
      <w:lvlJc w:val="left"/>
      <w:pPr>
        <w:ind w:left="3258" w:hanging="213"/>
      </w:pPr>
      <w:rPr>
        <w:rFonts w:hint="default"/>
      </w:rPr>
    </w:lvl>
    <w:lvl w:ilvl="6">
      <w:start w:val="1"/>
      <w:numFmt w:val="bullet"/>
      <w:lvlText w:val="•"/>
      <w:lvlJc w:val="left"/>
      <w:pPr>
        <w:ind w:left="3548" w:hanging="213"/>
      </w:pPr>
      <w:rPr>
        <w:rFonts w:hint="default"/>
      </w:rPr>
    </w:lvl>
    <w:lvl w:ilvl="7">
      <w:start w:val="1"/>
      <w:numFmt w:val="bullet"/>
      <w:lvlText w:val="•"/>
      <w:lvlJc w:val="left"/>
      <w:pPr>
        <w:ind w:left="3838" w:hanging="213"/>
      </w:pPr>
      <w:rPr>
        <w:rFonts w:hint="default"/>
      </w:rPr>
    </w:lvl>
    <w:lvl w:ilvl="8">
      <w:start w:val="1"/>
      <w:numFmt w:val="bullet"/>
      <w:lvlText w:val="•"/>
      <w:lvlJc w:val="left"/>
      <w:pPr>
        <w:ind w:left="4127" w:hanging="213"/>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172"/>
      <w:ind w:right="1551"/>
      <w:jc w:val="right"/>
    </w:pPr>
    <w:rPr>
      <w:rFonts w:ascii="Calibri" w:hAnsi="Calibri" w:eastAsia="Calibri" w:cs="Calibri"/>
      <w:sz w:val="22"/>
      <w:szCs w:val="22"/>
    </w:rPr>
  </w:style>
  <w:style w:styleId="TOC2" w:type="paragraph">
    <w:name w:val="TOC 2"/>
    <w:basedOn w:val="Normal"/>
    <w:uiPriority w:val="1"/>
    <w:qFormat/>
    <w:pPr>
      <w:ind w:left="1553"/>
    </w:pPr>
    <w:rPr>
      <w:rFonts w:ascii="Calibri" w:hAnsi="Calibri" w:eastAsia="Calibri" w:cs="Calibri"/>
      <w:sz w:val="18"/>
      <w:szCs w:val="18"/>
    </w:rPr>
  </w:style>
  <w:style w:styleId="TOC3" w:type="paragraph">
    <w:name w:val="TOC 3"/>
    <w:basedOn w:val="Normal"/>
    <w:uiPriority w:val="1"/>
    <w:qFormat/>
    <w:pPr>
      <w:spacing w:before="1"/>
      <w:ind w:left="2404"/>
    </w:pPr>
    <w:rPr>
      <w:rFonts w:ascii="Calibri" w:hAnsi="Calibri" w:eastAsia="Calibri" w:cs="Calibri"/>
      <w:sz w:val="18"/>
      <w:szCs w:val="18"/>
    </w:rPr>
  </w:style>
  <w:style w:styleId="BodyText" w:type="paragraph">
    <w:name w:val="Body Text"/>
    <w:basedOn w:val="Normal"/>
    <w:uiPriority w:val="1"/>
    <w:qFormat/>
    <w:pPr/>
    <w:rPr>
      <w:rFonts w:ascii="Calibri" w:hAnsi="Calibri" w:eastAsia="Calibri" w:cs="Calibri"/>
      <w:sz w:val="20"/>
      <w:szCs w:val="20"/>
    </w:rPr>
  </w:style>
  <w:style w:styleId="Heading1" w:type="paragraph">
    <w:name w:val="Heading 1"/>
    <w:basedOn w:val="Normal"/>
    <w:uiPriority w:val="1"/>
    <w:qFormat/>
    <w:pPr>
      <w:ind w:left="1553" w:right="2503"/>
      <w:outlineLvl w:val="1"/>
    </w:pPr>
    <w:rPr>
      <w:rFonts w:ascii="Calibri" w:hAnsi="Calibri" w:eastAsia="Calibri" w:cs="Calibri"/>
      <w:sz w:val="50"/>
      <w:szCs w:val="50"/>
    </w:rPr>
  </w:style>
  <w:style w:styleId="Heading2" w:type="paragraph">
    <w:name w:val="Heading 2"/>
    <w:basedOn w:val="Normal"/>
    <w:uiPriority w:val="1"/>
    <w:qFormat/>
    <w:pPr>
      <w:spacing w:before="207"/>
      <w:ind w:left="2086" w:hanging="533"/>
      <w:outlineLvl w:val="2"/>
    </w:pPr>
    <w:rPr>
      <w:rFonts w:ascii="Calibri" w:hAnsi="Calibri" w:eastAsia="Calibri" w:cs="Calibri"/>
      <w:sz w:val="40"/>
      <w:szCs w:val="40"/>
    </w:rPr>
  </w:style>
  <w:style w:styleId="Heading3" w:type="paragraph">
    <w:name w:val="Heading 3"/>
    <w:basedOn w:val="Normal"/>
    <w:uiPriority w:val="1"/>
    <w:qFormat/>
    <w:pPr>
      <w:ind w:left="1553"/>
      <w:jc w:val="both"/>
      <w:outlineLvl w:val="3"/>
    </w:pPr>
    <w:rPr>
      <w:rFonts w:ascii="Calibri" w:hAnsi="Calibri" w:eastAsia="Calibri" w:cs="Calibri"/>
      <w:sz w:val="36"/>
      <w:szCs w:val="36"/>
    </w:rPr>
  </w:style>
  <w:style w:styleId="Heading4" w:type="paragraph">
    <w:name w:val="Heading 4"/>
    <w:basedOn w:val="Normal"/>
    <w:uiPriority w:val="1"/>
    <w:qFormat/>
    <w:pPr>
      <w:spacing w:line="320" w:lineRule="exact"/>
      <w:ind w:left="1553"/>
      <w:jc w:val="both"/>
      <w:outlineLvl w:val="4"/>
    </w:pPr>
    <w:rPr>
      <w:rFonts w:ascii="Calibri" w:hAnsi="Calibri" w:eastAsia="Calibri" w:cs="Calibri"/>
      <w:i/>
      <w:sz w:val="28"/>
      <w:szCs w:val="28"/>
    </w:rPr>
  </w:style>
  <w:style w:styleId="Heading5" w:type="paragraph">
    <w:name w:val="Heading 5"/>
    <w:basedOn w:val="Normal"/>
    <w:uiPriority w:val="1"/>
    <w:qFormat/>
    <w:pPr>
      <w:ind w:right="1560"/>
      <w:jc w:val="right"/>
      <w:outlineLvl w:val="5"/>
    </w:pPr>
    <w:rPr>
      <w:rFonts w:ascii="Calibri" w:hAnsi="Calibri" w:eastAsia="Calibri" w:cs="Calibri"/>
      <w:sz w:val="22"/>
      <w:szCs w:val="22"/>
    </w:rPr>
  </w:style>
  <w:style w:styleId="ListParagraph" w:type="paragraph">
    <w:name w:val="List Paragraph"/>
    <w:basedOn w:val="Normal"/>
    <w:uiPriority w:val="1"/>
    <w:qFormat/>
    <w:pPr>
      <w:spacing w:before="114"/>
      <w:ind w:left="1837" w:hanging="284"/>
      <w:jc w:val="both"/>
    </w:pPr>
    <w:rPr>
      <w:rFonts w:ascii="Calibri" w:hAnsi="Calibri" w:eastAsia="Calibri" w:cs="Calibri"/>
    </w:rPr>
  </w:style>
  <w:style w:styleId="TableParagraph" w:type="paragraph">
    <w:name w:val="Table Paragraph"/>
    <w:basedOn w:val="Normal"/>
    <w:uiPriority w:val="1"/>
    <w:qFormat/>
    <w:pPr>
      <w:spacing w:before="73"/>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hyperlink" Target="mailto:reverte@reverte.com.mx" TargetMode="External"/><Relationship Id="rId22" Type="http://schemas.openxmlformats.org/officeDocument/2006/relationships/hyperlink" Target="http://www.reverte.com/" TargetMode="External"/><Relationship Id="rId23" Type="http://schemas.openxmlformats.org/officeDocument/2006/relationships/hyperlink" Target="mailto:reverte@reverte.com" TargetMode="External"/><Relationship Id="rId24" Type="http://schemas.openxmlformats.org/officeDocument/2006/relationships/footer" Target="footer3.xml"/><Relationship Id="rId25" Type="http://schemas.openxmlformats.org/officeDocument/2006/relationships/footer" Target="footer4.xml"/><Relationship Id="rId26" Type="http://schemas.openxmlformats.org/officeDocument/2006/relationships/hyperlink" Target="http://www.fao.org/ag/againfo/themes/es/animal_production" TargetMode="External"/><Relationship Id="rId27" Type="http://schemas.openxmlformats.org/officeDocument/2006/relationships/hyperlink" Target="http://www/" TargetMode="External"/><Relationship Id="rId28" Type="http://schemas.openxmlformats.org/officeDocument/2006/relationships/hyperlink" Target="http://www.jornada.unam.mx/2011/12/17/cam-lecheria.html" TargetMode="External"/><Relationship Id="rId29" Type="http://schemas.openxmlformats.org/officeDocument/2006/relationships/hyperlink" Target="http://www.fao.org/ag/againfo/themes/es/income_" TargetMode="External"/><Relationship Id="rId30" Type="http://schemas.openxmlformats.org/officeDocument/2006/relationships/footer" Target="footer5.xml"/><Relationship Id="rId31" Type="http://schemas.openxmlformats.org/officeDocument/2006/relationships/footer" Target="footer6.xml"/><Relationship Id="rId32" Type="http://schemas.openxmlformats.org/officeDocument/2006/relationships/hyperlink" Target="mailto:esanchezv@uaemex.mx" TargetMode="External"/><Relationship Id="rId33" Type="http://schemas.openxmlformats.org/officeDocument/2006/relationships/hyperlink" Target="mailto:zv@uaemex.mx" TargetMode="External"/><Relationship Id="rId34" Type="http://schemas.openxmlformats.org/officeDocument/2006/relationships/footer" Target="footer7.xml"/><Relationship Id="rId35" Type="http://schemas.openxmlformats.org/officeDocument/2006/relationships/footer" Target="footer8.xml"/><Relationship Id="rId36" Type="http://schemas.openxmlformats.org/officeDocument/2006/relationships/hyperlink" Target="mailto:hsotoc@uaemex.mx" TargetMode="External"/><Relationship Id="rId37" Type="http://schemas.openxmlformats.org/officeDocument/2006/relationships/image" Target="media/image14.png"/><Relationship Id="rId38" Type="http://schemas.openxmlformats.org/officeDocument/2006/relationships/image" Target="media/image15.png"/><Relationship Id="rId39" Type="http://schemas.openxmlformats.org/officeDocument/2006/relationships/image" Target="media/image16.png"/><Relationship Id="rId40" Type="http://schemas.openxmlformats.org/officeDocument/2006/relationships/image" Target="media/image17.png"/><Relationship Id="rId41" Type="http://schemas.openxmlformats.org/officeDocument/2006/relationships/image" Target="media/image18.png"/><Relationship Id="rId42" Type="http://schemas.openxmlformats.org/officeDocument/2006/relationships/image" Target="media/image19.png"/><Relationship Id="rId43" Type="http://schemas.openxmlformats.org/officeDocument/2006/relationships/image" Target="media/image20.png"/><Relationship Id="rId44" Type="http://schemas.openxmlformats.org/officeDocument/2006/relationships/image" Target="media/image21.png"/><Relationship Id="rId45" Type="http://schemas.openxmlformats.org/officeDocument/2006/relationships/image" Target="media/image22.png"/><Relationship Id="rId46" Type="http://schemas.openxmlformats.org/officeDocument/2006/relationships/image" Target="media/image23.png"/><Relationship Id="rId47" Type="http://schemas.openxmlformats.org/officeDocument/2006/relationships/image" Target="media/image24.png"/><Relationship Id="rId48" Type="http://schemas.openxmlformats.org/officeDocument/2006/relationships/image" Target="media/image25.png"/><Relationship Id="rId49" Type="http://schemas.openxmlformats.org/officeDocument/2006/relationships/image" Target="media/image26.png"/><Relationship Id="rId50" Type="http://schemas.openxmlformats.org/officeDocument/2006/relationships/image" Target="media/image27.png"/><Relationship Id="rId51" Type="http://schemas.openxmlformats.org/officeDocument/2006/relationships/image" Target="media/image28.png"/><Relationship Id="rId52" Type="http://schemas.openxmlformats.org/officeDocument/2006/relationships/image" Target="media/image29.png"/><Relationship Id="rId53" Type="http://schemas.openxmlformats.org/officeDocument/2006/relationships/image" Target="media/image30.png"/><Relationship Id="rId54" Type="http://schemas.openxmlformats.org/officeDocument/2006/relationships/image" Target="media/image31.png"/><Relationship Id="rId55" Type="http://schemas.openxmlformats.org/officeDocument/2006/relationships/image" Target="media/image32.png"/><Relationship Id="rId56" Type="http://schemas.openxmlformats.org/officeDocument/2006/relationships/image" Target="media/image33.png"/><Relationship Id="rId57" Type="http://schemas.openxmlformats.org/officeDocument/2006/relationships/image" Target="media/image34.png"/><Relationship Id="rId58" Type="http://schemas.openxmlformats.org/officeDocument/2006/relationships/image" Target="media/image35.png"/><Relationship Id="rId59" Type="http://schemas.openxmlformats.org/officeDocument/2006/relationships/image" Target="media/image36.png"/><Relationship Id="rId60" Type="http://schemas.openxmlformats.org/officeDocument/2006/relationships/image" Target="media/image37.png"/><Relationship Id="rId61" Type="http://schemas.openxmlformats.org/officeDocument/2006/relationships/image" Target="media/image38.png"/><Relationship Id="rId62" Type="http://schemas.openxmlformats.org/officeDocument/2006/relationships/image" Target="media/image39.png"/><Relationship Id="rId63" Type="http://schemas.openxmlformats.org/officeDocument/2006/relationships/image" Target="media/image40.png"/><Relationship Id="rId64" Type="http://schemas.openxmlformats.org/officeDocument/2006/relationships/image" Target="media/image41.png"/><Relationship Id="rId65" Type="http://schemas.openxmlformats.org/officeDocument/2006/relationships/image" Target="media/image42.png"/><Relationship Id="rId66" Type="http://schemas.openxmlformats.org/officeDocument/2006/relationships/image" Target="media/image43.png"/><Relationship Id="rId67" Type="http://schemas.openxmlformats.org/officeDocument/2006/relationships/image" Target="media/image44.png"/><Relationship Id="rId68" Type="http://schemas.openxmlformats.org/officeDocument/2006/relationships/image" Target="media/image45.png"/><Relationship Id="rId69" Type="http://schemas.openxmlformats.org/officeDocument/2006/relationships/image" Target="media/image46.png"/><Relationship Id="rId70" Type="http://schemas.openxmlformats.org/officeDocument/2006/relationships/image" Target="media/image47.png"/><Relationship Id="rId71" Type="http://schemas.openxmlformats.org/officeDocument/2006/relationships/footer" Target="footer9.xml"/><Relationship Id="rId72" Type="http://schemas.openxmlformats.org/officeDocument/2006/relationships/hyperlink" Target="mailto:ofeliammolina@yahoo.com" TargetMode="External"/><Relationship Id="rId73" Type="http://schemas.openxmlformats.org/officeDocument/2006/relationships/footer" Target="footer10.xml"/><Relationship Id="rId74" Type="http://schemas.openxmlformats.org/officeDocument/2006/relationships/hyperlink" Target="http://www.siap.gob.mx/index.php?id-" TargetMode="External"/><Relationship Id="rId75" Type="http://schemas.openxmlformats.org/officeDocument/2006/relationships/hyperlink" Target="mailto:cmarriagaj@uaemex.mx" TargetMode="External"/><Relationship Id="rId76" Type="http://schemas.openxmlformats.org/officeDocument/2006/relationships/image" Target="media/image48.png"/><Relationship Id="rId77" Type="http://schemas.openxmlformats.org/officeDocument/2006/relationships/hyperlink" Target="http://www.conasami.gob/" TargetMode="External"/><Relationship Id="rId78" Type="http://schemas.openxmlformats.org/officeDocument/2006/relationships/hyperlink" Target="http://www.ifcnnetwork.org/extern/downloads/pdf/DR07-" TargetMode="External"/><Relationship Id="rId79" Type="http://schemas.openxmlformats.org/officeDocument/2006/relationships/hyperlink" Target="http://www2.ine.gob/" TargetMode="External"/><Relationship Id="rId80" Type="http://schemas.openxmlformats.org/officeDocument/2006/relationships/hyperlink" Target="http://www.lactodata.com/lactodata/lactodata_indica" TargetMode="External"/><Relationship Id="rId81" Type="http://schemas.openxmlformats.org/officeDocument/2006/relationships/hyperlink" Target="http://www.lrrd.org/" TargetMode="External"/><Relationship Id="rId82" Type="http://schemas.openxmlformats.org/officeDocument/2006/relationships/hyperlink" Target="http://www.sagarpa.gob.mx/ganaderia/Programas/" TargetMode="External"/><Relationship Id="rId83" Type="http://schemas.openxmlformats.org/officeDocument/2006/relationships/hyperlink" Target="http://www.sedesol.gob.mx/archivos/0/" TargetMode="External"/><Relationship Id="rId84" Type="http://schemas.openxmlformats.org/officeDocument/2006/relationships/footer" Target="footer11.xml"/><Relationship Id="rId85" Type="http://schemas.openxmlformats.org/officeDocument/2006/relationships/hyperlink" Target="mailto:cgmartinezg@uaemex.mx" TargetMode="External"/><Relationship Id="rId86" Type="http://schemas.openxmlformats.org/officeDocument/2006/relationships/hyperlink" Target="mailto:zg@uaemex.mx" TargetMode="External"/><Relationship Id="rId87" Type="http://schemas.openxmlformats.org/officeDocument/2006/relationships/footer" Target="footer12.xml"/><Relationship Id="rId88" Type="http://schemas.openxmlformats.org/officeDocument/2006/relationships/hyperlink" Target="mailto:jnahed@ecosur.mx" TargetMode="External"/><Relationship Id="rId89" Type="http://schemas.openxmlformats.org/officeDocument/2006/relationships/image" Target="media/image49.png"/><Relationship Id="rId90" Type="http://schemas.openxmlformats.org/officeDocument/2006/relationships/image" Target="media/image50.png"/><Relationship Id="rId91" Type="http://schemas.openxmlformats.org/officeDocument/2006/relationships/image" Target="media/image51.png"/><Relationship Id="rId92" Type="http://schemas.openxmlformats.org/officeDocument/2006/relationships/image" Target="media/image52.png"/><Relationship Id="rId93" Type="http://schemas.openxmlformats.org/officeDocument/2006/relationships/hyperlink" Target="http://www.ifoam.org/" TargetMode="External"/><Relationship Id="rId94" Type="http://schemas.openxmlformats.org/officeDocument/2006/relationships/footer" Target="footer13.xml"/><Relationship Id="rId95" Type="http://schemas.openxmlformats.org/officeDocument/2006/relationships/hyperlink" Target="http://www.ams.usda.gov/nop/" TargetMode="External"/><Relationship Id="rId96" Type="http://schemas.openxmlformats.org/officeDocument/2006/relationships/hyperlink" Target="mailto:balbarranp@uaemex.mx" TargetMode="External"/><Relationship Id="rId97" Type="http://schemas.openxmlformats.org/officeDocument/2006/relationships/image" Target="media/image53.png"/><Relationship Id="rId98" Type="http://schemas.openxmlformats.org/officeDocument/2006/relationships/image" Target="media/image54.png"/><Relationship Id="rId99" Type="http://schemas.openxmlformats.org/officeDocument/2006/relationships/image" Target="media/image55.png"/><Relationship Id="rId100" Type="http://schemas.openxmlformats.org/officeDocument/2006/relationships/image" Target="media/image56.png"/><Relationship Id="rId101" Type="http://schemas.openxmlformats.org/officeDocument/2006/relationships/image" Target="media/image57.png"/><Relationship Id="rId102" Type="http://schemas.openxmlformats.org/officeDocument/2006/relationships/image" Target="media/image58.png"/><Relationship Id="rId103" Type="http://schemas.openxmlformats.org/officeDocument/2006/relationships/image" Target="media/image59.png"/><Relationship Id="rId104" Type="http://schemas.openxmlformats.org/officeDocument/2006/relationships/image" Target="media/image60.png"/><Relationship Id="rId105" Type="http://schemas.openxmlformats.org/officeDocument/2006/relationships/image" Target="media/image61.png"/><Relationship Id="rId106" Type="http://schemas.openxmlformats.org/officeDocument/2006/relationships/header" Target="header2.xml"/><Relationship Id="rId107" Type="http://schemas.openxmlformats.org/officeDocument/2006/relationships/footer" Target="footer14.xml"/><Relationship Id="rId108" Type="http://schemas.openxmlformats.org/officeDocument/2006/relationships/header" Target="header3.xml"/><Relationship Id="rId109" Type="http://schemas.openxmlformats.org/officeDocument/2006/relationships/footer" Target="footer15.xml"/><Relationship Id="rId110" Type="http://schemas.openxmlformats.org/officeDocument/2006/relationships/hyperlink" Target="http://www.fira.gob.mx/" TargetMode="External"/><Relationship Id="rId111" Type="http://schemas.openxmlformats.org/officeDocument/2006/relationships/hyperlink" Target="http://www.siap.sagarpa.gob.mx/" TargetMode="External"/><Relationship Id="rId112" Type="http://schemas.openxmlformats.org/officeDocument/2006/relationships/hyperlink" Target="mailto:angama.agm@gmail.com" TargetMode="External"/><Relationship Id="rId113" Type="http://schemas.openxmlformats.org/officeDocument/2006/relationships/image" Target="media/image62.png"/><Relationship Id="rId114" Type="http://schemas.openxmlformats.org/officeDocument/2006/relationships/image" Target="media/image63.png"/><Relationship Id="rId115" Type="http://schemas.openxmlformats.org/officeDocument/2006/relationships/image" Target="media/image64.png"/><Relationship Id="rId116" Type="http://schemas.openxmlformats.org/officeDocument/2006/relationships/image" Target="media/image65.png"/><Relationship Id="rId117" Type="http://schemas.openxmlformats.org/officeDocument/2006/relationships/image" Target="media/image66.png"/><Relationship Id="rId118" Type="http://schemas.openxmlformats.org/officeDocument/2006/relationships/image" Target="media/image67.png"/><Relationship Id="rId119" Type="http://schemas.openxmlformats.org/officeDocument/2006/relationships/image" Target="media/image68.png"/><Relationship Id="rId120" Type="http://schemas.openxmlformats.org/officeDocument/2006/relationships/image" Target="media/image69.png"/><Relationship Id="rId121" Type="http://schemas.openxmlformats.org/officeDocument/2006/relationships/image" Target="media/image70.png"/><Relationship Id="rId122" Type="http://schemas.openxmlformats.org/officeDocument/2006/relationships/image" Target="media/image71.png"/><Relationship Id="rId123" Type="http://schemas.openxmlformats.org/officeDocument/2006/relationships/image" Target="media/image72.png"/><Relationship Id="rId124" Type="http://schemas.openxmlformats.org/officeDocument/2006/relationships/image" Target="media/image73.png"/><Relationship Id="rId125" Type="http://schemas.openxmlformats.org/officeDocument/2006/relationships/image" Target="media/image74.png"/><Relationship Id="rId126" Type="http://schemas.openxmlformats.org/officeDocument/2006/relationships/image" Target="media/image75.png"/><Relationship Id="rId127" Type="http://schemas.openxmlformats.org/officeDocument/2006/relationships/image" Target="media/image76.png"/><Relationship Id="rId128" Type="http://schemas.openxmlformats.org/officeDocument/2006/relationships/image" Target="media/image77.png"/><Relationship Id="rId129" Type="http://schemas.openxmlformats.org/officeDocument/2006/relationships/image" Target="media/image78.png"/><Relationship Id="rId130" Type="http://schemas.openxmlformats.org/officeDocument/2006/relationships/image" Target="media/image79.png"/><Relationship Id="rId131" Type="http://schemas.openxmlformats.org/officeDocument/2006/relationships/image" Target="media/image80.png"/><Relationship Id="rId132" Type="http://schemas.openxmlformats.org/officeDocument/2006/relationships/image" Target="media/image81.png"/><Relationship Id="rId133" Type="http://schemas.openxmlformats.org/officeDocument/2006/relationships/image" Target="media/image82.png"/><Relationship Id="rId134" Type="http://schemas.openxmlformats.org/officeDocument/2006/relationships/image" Target="media/image83.png"/><Relationship Id="rId135" Type="http://schemas.openxmlformats.org/officeDocument/2006/relationships/image" Target="media/image84.png"/><Relationship Id="rId136" Type="http://schemas.openxmlformats.org/officeDocument/2006/relationships/image" Target="media/image85.png"/><Relationship Id="rId137" Type="http://schemas.openxmlformats.org/officeDocument/2006/relationships/image" Target="media/image86.png"/><Relationship Id="rId138" Type="http://schemas.openxmlformats.org/officeDocument/2006/relationships/image" Target="media/image87.png"/><Relationship Id="rId139" Type="http://schemas.openxmlformats.org/officeDocument/2006/relationships/image" Target="media/image88.png"/><Relationship Id="rId140" Type="http://schemas.openxmlformats.org/officeDocument/2006/relationships/image" Target="media/image89.png"/><Relationship Id="rId141" Type="http://schemas.openxmlformats.org/officeDocument/2006/relationships/image" Target="media/image90.png"/><Relationship Id="rId142" Type="http://schemas.openxmlformats.org/officeDocument/2006/relationships/image" Target="media/image91.png"/><Relationship Id="rId143" Type="http://schemas.openxmlformats.org/officeDocument/2006/relationships/image" Target="media/image92.png"/><Relationship Id="rId144" Type="http://schemas.openxmlformats.org/officeDocument/2006/relationships/image" Target="media/image93.png"/><Relationship Id="rId145" Type="http://schemas.openxmlformats.org/officeDocument/2006/relationships/image" Target="media/image94.png"/><Relationship Id="rId146" Type="http://schemas.openxmlformats.org/officeDocument/2006/relationships/image" Target="media/image95.png"/><Relationship Id="rId147" Type="http://schemas.openxmlformats.org/officeDocument/2006/relationships/image" Target="media/image96.png"/><Relationship Id="rId148" Type="http://schemas.openxmlformats.org/officeDocument/2006/relationships/image" Target="media/image97.png"/><Relationship Id="rId149" Type="http://schemas.openxmlformats.org/officeDocument/2006/relationships/image" Target="media/image98.png"/><Relationship Id="rId150" Type="http://schemas.openxmlformats.org/officeDocument/2006/relationships/image" Target="media/image99.png"/><Relationship Id="rId151" Type="http://schemas.openxmlformats.org/officeDocument/2006/relationships/image" Target="media/image100.png"/><Relationship Id="rId152" Type="http://schemas.openxmlformats.org/officeDocument/2006/relationships/image" Target="media/image101.png"/><Relationship Id="rId153" Type="http://schemas.openxmlformats.org/officeDocument/2006/relationships/image" Target="media/image102.png"/><Relationship Id="rId154" Type="http://schemas.openxmlformats.org/officeDocument/2006/relationships/image" Target="media/image103.png"/><Relationship Id="rId155" Type="http://schemas.openxmlformats.org/officeDocument/2006/relationships/image" Target="media/image104.png"/><Relationship Id="rId156" Type="http://schemas.openxmlformats.org/officeDocument/2006/relationships/image" Target="media/image105.png"/><Relationship Id="rId157" Type="http://schemas.openxmlformats.org/officeDocument/2006/relationships/image" Target="media/image106.png"/><Relationship Id="rId158" Type="http://schemas.openxmlformats.org/officeDocument/2006/relationships/image" Target="media/image107.png"/><Relationship Id="rId159" Type="http://schemas.openxmlformats.org/officeDocument/2006/relationships/image" Target="media/image108.png"/><Relationship Id="rId160" Type="http://schemas.openxmlformats.org/officeDocument/2006/relationships/image" Target="media/image109.png"/><Relationship Id="rId161" Type="http://schemas.openxmlformats.org/officeDocument/2006/relationships/image" Target="media/image110.png"/><Relationship Id="rId162" Type="http://schemas.openxmlformats.org/officeDocument/2006/relationships/image" Target="media/image111.png"/><Relationship Id="rId163" Type="http://schemas.openxmlformats.org/officeDocument/2006/relationships/image" Target="media/image112.png"/><Relationship Id="rId164" Type="http://schemas.openxmlformats.org/officeDocument/2006/relationships/image" Target="media/image113.png"/><Relationship Id="rId165" Type="http://schemas.openxmlformats.org/officeDocument/2006/relationships/image" Target="media/image114.png"/><Relationship Id="rId166" Type="http://schemas.openxmlformats.org/officeDocument/2006/relationships/image" Target="media/image115.png"/><Relationship Id="rId167" Type="http://schemas.openxmlformats.org/officeDocument/2006/relationships/image" Target="media/image116.png"/><Relationship Id="rId168" Type="http://schemas.openxmlformats.org/officeDocument/2006/relationships/image" Target="media/image117.png"/><Relationship Id="rId169" Type="http://schemas.openxmlformats.org/officeDocument/2006/relationships/image" Target="media/image118.png"/><Relationship Id="rId170" Type="http://schemas.openxmlformats.org/officeDocument/2006/relationships/image" Target="media/image119.png"/><Relationship Id="rId171" Type="http://schemas.openxmlformats.org/officeDocument/2006/relationships/image" Target="media/image120.png"/><Relationship Id="rId172" Type="http://schemas.openxmlformats.org/officeDocument/2006/relationships/image" Target="media/image121.png"/><Relationship Id="rId173" Type="http://schemas.openxmlformats.org/officeDocument/2006/relationships/image" Target="media/image122.png"/><Relationship Id="rId174" Type="http://schemas.openxmlformats.org/officeDocument/2006/relationships/image" Target="media/image123.png"/><Relationship Id="rId175" Type="http://schemas.openxmlformats.org/officeDocument/2006/relationships/image" Target="media/image124.png"/><Relationship Id="rId176" Type="http://schemas.openxmlformats.org/officeDocument/2006/relationships/image" Target="media/image125.png"/><Relationship Id="rId177" Type="http://schemas.openxmlformats.org/officeDocument/2006/relationships/image" Target="media/image126.png"/><Relationship Id="rId178" Type="http://schemas.openxmlformats.org/officeDocument/2006/relationships/image" Target="media/image127.png"/><Relationship Id="rId179" Type="http://schemas.openxmlformats.org/officeDocument/2006/relationships/image" Target="media/image128.png"/><Relationship Id="rId180" Type="http://schemas.openxmlformats.org/officeDocument/2006/relationships/image" Target="media/image129.png"/><Relationship Id="rId181" Type="http://schemas.openxmlformats.org/officeDocument/2006/relationships/image" Target="media/image130.png"/><Relationship Id="rId182" Type="http://schemas.openxmlformats.org/officeDocument/2006/relationships/image" Target="media/image131.png"/><Relationship Id="rId183" Type="http://schemas.openxmlformats.org/officeDocument/2006/relationships/image" Target="media/image132.png"/><Relationship Id="rId184" Type="http://schemas.openxmlformats.org/officeDocument/2006/relationships/image" Target="media/image133.png"/><Relationship Id="rId185" Type="http://schemas.openxmlformats.org/officeDocument/2006/relationships/image" Target="media/image134.png"/><Relationship Id="rId186" Type="http://schemas.openxmlformats.org/officeDocument/2006/relationships/image" Target="media/image135.png"/><Relationship Id="rId187" Type="http://schemas.openxmlformats.org/officeDocument/2006/relationships/image" Target="media/image136.png"/><Relationship Id="rId188" Type="http://schemas.openxmlformats.org/officeDocument/2006/relationships/image" Target="media/image137.png"/><Relationship Id="rId189" Type="http://schemas.openxmlformats.org/officeDocument/2006/relationships/image" Target="media/image138.png"/><Relationship Id="rId190" Type="http://schemas.openxmlformats.org/officeDocument/2006/relationships/image" Target="media/image139.png"/><Relationship Id="rId191" Type="http://schemas.openxmlformats.org/officeDocument/2006/relationships/image" Target="media/image140.png"/><Relationship Id="rId192" Type="http://schemas.openxmlformats.org/officeDocument/2006/relationships/image" Target="media/image141.png"/><Relationship Id="rId193" Type="http://schemas.openxmlformats.org/officeDocument/2006/relationships/image" Target="media/image142.png"/><Relationship Id="rId194" Type="http://schemas.openxmlformats.org/officeDocument/2006/relationships/image" Target="media/image143.png"/><Relationship Id="rId195" Type="http://schemas.openxmlformats.org/officeDocument/2006/relationships/image" Target="media/image144.png"/><Relationship Id="rId196" Type="http://schemas.openxmlformats.org/officeDocument/2006/relationships/image" Target="media/image145.png"/><Relationship Id="rId197" Type="http://schemas.openxmlformats.org/officeDocument/2006/relationships/image" Target="media/image146.png"/><Relationship Id="rId198" Type="http://schemas.openxmlformats.org/officeDocument/2006/relationships/image" Target="media/image147.png"/><Relationship Id="rId199" Type="http://schemas.openxmlformats.org/officeDocument/2006/relationships/image" Target="media/image148.png"/><Relationship Id="rId200" Type="http://schemas.openxmlformats.org/officeDocument/2006/relationships/image" Target="media/image149.png"/><Relationship Id="rId201" Type="http://schemas.openxmlformats.org/officeDocument/2006/relationships/image" Target="media/image150.png"/><Relationship Id="rId202" Type="http://schemas.openxmlformats.org/officeDocument/2006/relationships/image" Target="media/image151.png"/><Relationship Id="rId203" Type="http://schemas.openxmlformats.org/officeDocument/2006/relationships/image" Target="media/image152.png"/><Relationship Id="rId204" Type="http://schemas.openxmlformats.org/officeDocument/2006/relationships/image" Target="media/image153.png"/><Relationship Id="rId205" Type="http://schemas.openxmlformats.org/officeDocument/2006/relationships/image" Target="media/image154.png"/><Relationship Id="rId206" Type="http://schemas.openxmlformats.org/officeDocument/2006/relationships/image" Target="media/image155.png"/><Relationship Id="rId207" Type="http://schemas.openxmlformats.org/officeDocument/2006/relationships/image" Target="media/image156.png"/><Relationship Id="rId208" Type="http://schemas.openxmlformats.org/officeDocument/2006/relationships/image" Target="media/image157.png"/><Relationship Id="rId209" Type="http://schemas.openxmlformats.org/officeDocument/2006/relationships/image" Target="media/image158.png"/><Relationship Id="rId210" Type="http://schemas.openxmlformats.org/officeDocument/2006/relationships/image" Target="media/image159.png"/><Relationship Id="rId211" Type="http://schemas.openxmlformats.org/officeDocument/2006/relationships/image" Target="media/image160.png"/><Relationship Id="rId212" Type="http://schemas.openxmlformats.org/officeDocument/2006/relationships/image" Target="media/image161.png"/><Relationship Id="rId213" Type="http://schemas.openxmlformats.org/officeDocument/2006/relationships/image" Target="media/image162.png"/><Relationship Id="rId214" Type="http://schemas.openxmlformats.org/officeDocument/2006/relationships/image" Target="media/image163.png"/><Relationship Id="rId215" Type="http://schemas.openxmlformats.org/officeDocument/2006/relationships/image" Target="media/image164.png"/><Relationship Id="rId216" Type="http://schemas.openxmlformats.org/officeDocument/2006/relationships/image" Target="media/image165.png"/><Relationship Id="rId217" Type="http://schemas.openxmlformats.org/officeDocument/2006/relationships/image" Target="media/image166.png"/><Relationship Id="rId218" Type="http://schemas.openxmlformats.org/officeDocument/2006/relationships/image" Target="media/image167.png"/><Relationship Id="rId219" Type="http://schemas.openxmlformats.org/officeDocument/2006/relationships/image" Target="media/image168.png"/><Relationship Id="rId220" Type="http://schemas.openxmlformats.org/officeDocument/2006/relationships/image" Target="media/image169.png"/><Relationship Id="rId221" Type="http://schemas.openxmlformats.org/officeDocument/2006/relationships/image" Target="media/image170.png"/><Relationship Id="rId222" Type="http://schemas.openxmlformats.org/officeDocument/2006/relationships/image" Target="media/image171.png"/><Relationship Id="rId223" Type="http://schemas.openxmlformats.org/officeDocument/2006/relationships/image" Target="media/image172.png"/><Relationship Id="rId224" Type="http://schemas.openxmlformats.org/officeDocument/2006/relationships/image" Target="media/image173.png"/><Relationship Id="rId225" Type="http://schemas.openxmlformats.org/officeDocument/2006/relationships/image" Target="media/image174.png"/><Relationship Id="rId226" Type="http://schemas.openxmlformats.org/officeDocument/2006/relationships/image" Target="media/image175.png"/><Relationship Id="rId227" Type="http://schemas.openxmlformats.org/officeDocument/2006/relationships/image" Target="media/image176.png"/><Relationship Id="rId228" Type="http://schemas.openxmlformats.org/officeDocument/2006/relationships/image" Target="media/image177.png"/><Relationship Id="rId229" Type="http://schemas.openxmlformats.org/officeDocument/2006/relationships/image" Target="media/image178.png"/><Relationship Id="rId230" Type="http://schemas.openxmlformats.org/officeDocument/2006/relationships/image" Target="media/image179.png"/><Relationship Id="rId231" Type="http://schemas.openxmlformats.org/officeDocument/2006/relationships/image" Target="media/image180.png"/><Relationship Id="rId232" Type="http://schemas.openxmlformats.org/officeDocument/2006/relationships/image" Target="media/image181.png"/><Relationship Id="rId233" Type="http://schemas.openxmlformats.org/officeDocument/2006/relationships/image" Target="media/image182.png"/><Relationship Id="rId234" Type="http://schemas.openxmlformats.org/officeDocument/2006/relationships/image" Target="media/image183.png"/><Relationship Id="rId235" Type="http://schemas.openxmlformats.org/officeDocument/2006/relationships/image" Target="media/image184.png"/><Relationship Id="rId236" Type="http://schemas.openxmlformats.org/officeDocument/2006/relationships/image" Target="media/image185.png"/><Relationship Id="rId237" Type="http://schemas.openxmlformats.org/officeDocument/2006/relationships/image" Target="media/image186.png"/><Relationship Id="rId238" Type="http://schemas.openxmlformats.org/officeDocument/2006/relationships/image" Target="media/image187.png"/><Relationship Id="rId239" Type="http://schemas.openxmlformats.org/officeDocument/2006/relationships/image" Target="media/image188.png"/><Relationship Id="rId240" Type="http://schemas.openxmlformats.org/officeDocument/2006/relationships/image" Target="media/image189.png"/><Relationship Id="rId241" Type="http://schemas.openxmlformats.org/officeDocument/2006/relationships/image" Target="media/image190.png"/><Relationship Id="rId242" Type="http://schemas.openxmlformats.org/officeDocument/2006/relationships/image" Target="media/image191.png"/><Relationship Id="rId243" Type="http://schemas.openxmlformats.org/officeDocument/2006/relationships/image" Target="media/image192.png"/><Relationship Id="rId244" Type="http://schemas.openxmlformats.org/officeDocument/2006/relationships/image" Target="media/image193.png"/><Relationship Id="rId245" Type="http://schemas.openxmlformats.org/officeDocument/2006/relationships/image" Target="media/image194.png"/><Relationship Id="rId246" Type="http://schemas.openxmlformats.org/officeDocument/2006/relationships/image" Target="media/image195.png"/><Relationship Id="rId247" Type="http://schemas.openxmlformats.org/officeDocument/2006/relationships/image" Target="media/image196.png"/><Relationship Id="rId248" Type="http://schemas.openxmlformats.org/officeDocument/2006/relationships/image" Target="media/image197.png"/><Relationship Id="rId249" Type="http://schemas.openxmlformats.org/officeDocument/2006/relationships/image" Target="media/image198.png"/><Relationship Id="rId250" Type="http://schemas.openxmlformats.org/officeDocument/2006/relationships/image" Target="media/image199.png"/><Relationship Id="rId251" Type="http://schemas.openxmlformats.org/officeDocument/2006/relationships/image" Target="media/image200.png"/><Relationship Id="rId252" Type="http://schemas.openxmlformats.org/officeDocument/2006/relationships/image" Target="media/image201.png"/><Relationship Id="rId253" Type="http://schemas.openxmlformats.org/officeDocument/2006/relationships/image" Target="media/image202.png"/><Relationship Id="rId254" Type="http://schemas.openxmlformats.org/officeDocument/2006/relationships/image" Target="media/image203.png"/><Relationship Id="rId255" Type="http://schemas.openxmlformats.org/officeDocument/2006/relationships/image" Target="media/image204.png"/><Relationship Id="rId256" Type="http://schemas.openxmlformats.org/officeDocument/2006/relationships/image" Target="media/image205.png"/><Relationship Id="rId257" Type="http://schemas.openxmlformats.org/officeDocument/2006/relationships/image" Target="media/image206.png"/><Relationship Id="rId258" Type="http://schemas.openxmlformats.org/officeDocument/2006/relationships/image" Target="media/image207.png"/><Relationship Id="rId259" Type="http://schemas.openxmlformats.org/officeDocument/2006/relationships/image" Target="media/image208.png"/><Relationship Id="rId260" Type="http://schemas.openxmlformats.org/officeDocument/2006/relationships/image" Target="media/image209.png"/><Relationship Id="rId261" Type="http://schemas.openxmlformats.org/officeDocument/2006/relationships/image" Target="media/image210.png"/><Relationship Id="rId262" Type="http://schemas.openxmlformats.org/officeDocument/2006/relationships/image" Target="media/image211.png"/><Relationship Id="rId263" Type="http://schemas.openxmlformats.org/officeDocument/2006/relationships/image" Target="media/image212.png"/><Relationship Id="rId264" Type="http://schemas.openxmlformats.org/officeDocument/2006/relationships/image" Target="media/image213.png"/><Relationship Id="rId265" Type="http://schemas.openxmlformats.org/officeDocument/2006/relationships/image" Target="media/image214.png"/><Relationship Id="rId266" Type="http://schemas.openxmlformats.org/officeDocument/2006/relationships/image" Target="media/image215.png"/><Relationship Id="rId267" Type="http://schemas.openxmlformats.org/officeDocument/2006/relationships/image" Target="media/image216.png"/><Relationship Id="rId268" Type="http://schemas.openxmlformats.org/officeDocument/2006/relationships/image" Target="media/image217.png"/><Relationship Id="rId269" Type="http://schemas.openxmlformats.org/officeDocument/2006/relationships/image" Target="media/image218.png"/><Relationship Id="rId270" Type="http://schemas.openxmlformats.org/officeDocument/2006/relationships/image" Target="media/image219.png"/><Relationship Id="rId271" Type="http://schemas.openxmlformats.org/officeDocument/2006/relationships/image" Target="media/image220.png"/><Relationship Id="rId272" Type="http://schemas.openxmlformats.org/officeDocument/2006/relationships/image" Target="media/image221.png"/><Relationship Id="rId273" Type="http://schemas.openxmlformats.org/officeDocument/2006/relationships/image" Target="media/image222.png"/><Relationship Id="rId274" Type="http://schemas.openxmlformats.org/officeDocument/2006/relationships/image" Target="media/image223.png"/><Relationship Id="rId275" Type="http://schemas.openxmlformats.org/officeDocument/2006/relationships/hyperlink" Target="http://www.edomexico.gob.mx/" TargetMode="External"/><Relationship Id="rId276" Type="http://schemas.openxmlformats.org/officeDocument/2006/relationships/hyperlink" Target="http://www.inegi.org.mx/inegi/default.aspx?s=est" TargetMode="External"/><Relationship Id="rId277" Type="http://schemas.openxmlformats.org/officeDocument/2006/relationships/hyperlink" Target="http://www.inegi.mx/" TargetMode="External"/><Relationship Id="rId278" Type="http://schemas.openxmlformats.org/officeDocument/2006/relationships/hyperlink" Target="http://www.sagarpa.gob/" TargetMode="External"/><Relationship Id="rId279" Type="http://schemas.openxmlformats.org/officeDocument/2006/relationships/hyperlink" Target="http://www.siap.gob.mx/index.php/ganaderia/" TargetMode="External"/><Relationship Id="rId280" Type="http://schemas.openxmlformats.org/officeDocument/2006/relationships/footer" Target="footer16.xml"/><Relationship Id="rId281" Type="http://schemas.openxmlformats.org/officeDocument/2006/relationships/hyperlink" Target="mailto:jgestradaf@uaemex.mx" TargetMode="External"/><Relationship Id="rId282" Type="http://schemas.openxmlformats.org/officeDocument/2006/relationships/image" Target="media/image224.png"/><Relationship Id="rId283" Type="http://schemas.openxmlformats.org/officeDocument/2006/relationships/footer" Target="footer17.xml"/><Relationship Id="rId284" Type="http://schemas.openxmlformats.org/officeDocument/2006/relationships/hyperlink" Target="http://www.sagarpa.gob.mx/.../" TargetMode="External"/><Relationship Id="rId285" Type="http://schemas.openxmlformats.org/officeDocument/2006/relationships/hyperlink" Target="mailto:sfrancom@uaemex.mx" TargetMode="External"/><Relationship Id="rId286" Type="http://schemas.openxmlformats.org/officeDocument/2006/relationships/image" Target="media/image225.png"/><Relationship Id="rId287" Type="http://schemas.openxmlformats.org/officeDocument/2006/relationships/image" Target="media/image226.png"/><Relationship Id="rId288" Type="http://schemas.openxmlformats.org/officeDocument/2006/relationships/image" Target="media/image227.png"/><Relationship Id="rId289" Type="http://schemas.openxmlformats.org/officeDocument/2006/relationships/hyperlink" Target="http://www.fao.org/" TargetMode="External"/><Relationship Id="rId290" Type="http://schemas.openxmlformats.org/officeDocument/2006/relationships/hyperlink" Target="http://www.fao.org/docrep/005/y2647e/" TargetMode="External"/><Relationship Id="rId291" Type="http://schemas.openxmlformats.org/officeDocument/2006/relationships/hyperlink" Target="http://www.fao.org/docrep/006/j0083e/j0083e03.htm" TargetMode="External"/><Relationship Id="rId292" Type="http://schemas.openxmlformats.org/officeDocument/2006/relationships/hyperlink" Target="http://www.ingeba.org/lurralde/lurranet/" TargetMode="External"/><Relationship Id="rId293" Type="http://schemas.openxmlformats.org/officeDocument/2006/relationships/hyperlink" Target="http://www.iucn.org/wisp/" TargetMode="External"/><Relationship Id="rId294" Type="http://schemas.openxmlformats.org/officeDocument/2006/relationships/hyperlink" Target="http://www.cm.colpos.mx/2010/" TargetMode="External"/><Relationship Id="rId295" Type="http://schemas.openxmlformats.org/officeDocument/2006/relationships/hyperlink" Target="http://data.iucn.org/wisp/es/documents_espanol/" TargetMode="External"/><Relationship Id="rId296" Type="http://schemas.openxmlformats.org/officeDocument/2006/relationships/hyperlink" Target="http://www.conabio.gob.mx/institucion/centro-" TargetMode="External"/><Relationship Id="rId297" Type="http://schemas.openxmlformats.org/officeDocument/2006/relationships/hyperlink" Target="http://www.sat.gob.mx/sitio_internet/asistencia_contribu" TargetMode="External"/><Relationship Id="rId298" Type="http://schemas.openxmlformats.org/officeDocument/2006/relationships/hyperlink" Target="http://www.engormix.com/situacion_ovinocultura_" TargetMode="External"/><Relationship Id="rId299" Type="http://schemas.openxmlformats.org/officeDocument/2006/relationships/footer" Target="footer18.xml"/><Relationship Id="rId300" Type="http://schemas.openxmlformats.org/officeDocument/2006/relationships/hyperlink" Target="http://www.uco.es/organiza/" TargetMode="External"/><Relationship Id="rId301" Type="http://schemas.openxmlformats.org/officeDocument/2006/relationships/hyperlink" Target="mailto:kaab5@yahoo.com.mx" TargetMode="External"/><Relationship Id="rId302" Type="http://schemas.openxmlformats.org/officeDocument/2006/relationships/image" Target="media/image228.png"/><Relationship Id="rId303" Type="http://schemas.openxmlformats.org/officeDocument/2006/relationships/image" Target="media/image229.png"/><Relationship Id="rId304" Type="http://schemas.openxmlformats.org/officeDocument/2006/relationships/image" Target="media/image230.png"/><Relationship Id="rId305" Type="http://schemas.openxmlformats.org/officeDocument/2006/relationships/image" Target="media/image231.png"/><Relationship Id="rId306" Type="http://schemas.openxmlformats.org/officeDocument/2006/relationships/image" Target="media/image232.png"/><Relationship Id="rId307" Type="http://schemas.openxmlformats.org/officeDocument/2006/relationships/image" Target="media/image233.png"/><Relationship Id="rId308" Type="http://schemas.openxmlformats.org/officeDocument/2006/relationships/image" Target="media/image234.png"/><Relationship Id="rId309" Type="http://schemas.openxmlformats.org/officeDocument/2006/relationships/image" Target="media/image235.png"/><Relationship Id="rId310" Type="http://schemas.openxmlformats.org/officeDocument/2006/relationships/image" Target="media/image236.png"/><Relationship Id="rId311" Type="http://schemas.openxmlformats.org/officeDocument/2006/relationships/image" Target="media/image237.png"/><Relationship Id="rId312" Type="http://schemas.openxmlformats.org/officeDocument/2006/relationships/image" Target="media/image238.png"/><Relationship Id="rId313" Type="http://schemas.openxmlformats.org/officeDocument/2006/relationships/image" Target="media/image239.png"/><Relationship Id="rId314" Type="http://schemas.openxmlformats.org/officeDocument/2006/relationships/image" Target="media/image240.png"/><Relationship Id="rId315" Type="http://schemas.openxmlformats.org/officeDocument/2006/relationships/image" Target="media/image241.png"/><Relationship Id="rId316" Type="http://schemas.openxmlformats.org/officeDocument/2006/relationships/image" Target="media/image242.png"/><Relationship Id="rId317" Type="http://schemas.openxmlformats.org/officeDocument/2006/relationships/image" Target="media/image243.png"/><Relationship Id="rId318" Type="http://schemas.openxmlformats.org/officeDocument/2006/relationships/image" Target="media/image244.png"/><Relationship Id="rId319" Type="http://schemas.openxmlformats.org/officeDocument/2006/relationships/image" Target="media/image245.png"/><Relationship Id="rId320" Type="http://schemas.openxmlformats.org/officeDocument/2006/relationships/image" Target="media/image246.png"/><Relationship Id="rId321" Type="http://schemas.openxmlformats.org/officeDocument/2006/relationships/image" Target="media/image247.png"/><Relationship Id="rId322" Type="http://schemas.openxmlformats.org/officeDocument/2006/relationships/image" Target="media/image248.png"/><Relationship Id="rId323" Type="http://schemas.openxmlformats.org/officeDocument/2006/relationships/image" Target="media/image249.png"/><Relationship Id="rId324" Type="http://schemas.openxmlformats.org/officeDocument/2006/relationships/image" Target="media/image250.png"/><Relationship Id="rId325" Type="http://schemas.openxmlformats.org/officeDocument/2006/relationships/image" Target="media/image251.png"/><Relationship Id="rId326" Type="http://schemas.openxmlformats.org/officeDocument/2006/relationships/image" Target="media/image252.png"/><Relationship Id="rId327" Type="http://schemas.openxmlformats.org/officeDocument/2006/relationships/image" Target="media/image253.png"/><Relationship Id="rId328" Type="http://schemas.openxmlformats.org/officeDocument/2006/relationships/image" Target="media/image254.png"/><Relationship Id="rId329" Type="http://schemas.openxmlformats.org/officeDocument/2006/relationships/image" Target="media/image255.png"/><Relationship Id="rId330" Type="http://schemas.openxmlformats.org/officeDocument/2006/relationships/image" Target="media/image256.png"/><Relationship Id="rId331" Type="http://schemas.openxmlformats.org/officeDocument/2006/relationships/hyperlink" Target="http://www.borrego.com.mx/" TargetMode="External"/><Relationship Id="rId332" Type="http://schemas.openxmlformats.org/officeDocument/2006/relationships/footer" Target="footer19.xml"/><Relationship Id="rId333" Type="http://schemas.openxmlformats.org/officeDocument/2006/relationships/hyperlink" Target="http://www.sagarpa.gob.mx/dgg/ftp/conargen" TargetMode="External"/><Relationship Id="rId334" Type="http://schemas.openxmlformats.org/officeDocument/2006/relationships/hyperlink" Target="mailto:mapepe17@hotmail.com" TargetMode="External"/><Relationship Id="rId335" Type="http://schemas.openxmlformats.org/officeDocument/2006/relationships/hyperlink" Target="mailto:7@hotmail.com" TargetMode="External"/><Relationship Id="rId336" Type="http://schemas.openxmlformats.org/officeDocument/2006/relationships/image" Target="media/image257.png"/><Relationship Id="rId337" Type="http://schemas.openxmlformats.org/officeDocument/2006/relationships/image" Target="media/image258.png"/><Relationship Id="rId338" Type="http://schemas.openxmlformats.org/officeDocument/2006/relationships/image" Target="media/image259.png"/><Relationship Id="rId339" Type="http://schemas.openxmlformats.org/officeDocument/2006/relationships/image" Target="media/image260.png"/><Relationship Id="rId340" Type="http://schemas.openxmlformats.org/officeDocument/2006/relationships/image" Target="media/image261.png"/><Relationship Id="rId341" Type="http://schemas.openxmlformats.org/officeDocument/2006/relationships/image" Target="media/image262.png"/><Relationship Id="rId342" Type="http://schemas.openxmlformats.org/officeDocument/2006/relationships/image" Target="media/image263.png"/><Relationship Id="rId343" Type="http://schemas.openxmlformats.org/officeDocument/2006/relationships/image" Target="media/image264.png"/><Relationship Id="rId344" Type="http://schemas.openxmlformats.org/officeDocument/2006/relationships/image" Target="media/image265.png"/><Relationship Id="rId345" Type="http://schemas.openxmlformats.org/officeDocument/2006/relationships/image" Target="media/image266.png"/><Relationship Id="rId346" Type="http://schemas.openxmlformats.org/officeDocument/2006/relationships/image" Target="media/image267.png"/><Relationship Id="rId347" Type="http://schemas.openxmlformats.org/officeDocument/2006/relationships/image" Target="media/image268.png"/><Relationship Id="rId348" Type="http://schemas.openxmlformats.org/officeDocument/2006/relationships/image" Target="media/image269.png"/><Relationship Id="rId349" Type="http://schemas.openxmlformats.org/officeDocument/2006/relationships/image" Target="media/image270.png"/><Relationship Id="rId350" Type="http://schemas.openxmlformats.org/officeDocument/2006/relationships/image" Target="media/image271.png"/><Relationship Id="rId351" Type="http://schemas.openxmlformats.org/officeDocument/2006/relationships/image" Target="media/image272.png"/><Relationship Id="rId352" Type="http://schemas.openxmlformats.org/officeDocument/2006/relationships/footer" Target="footer20.xml"/><Relationship Id="rId353" Type="http://schemas.openxmlformats.org/officeDocument/2006/relationships/image" Target="media/image273.png"/><Relationship Id="rId354" Type="http://schemas.openxmlformats.org/officeDocument/2006/relationships/image" Target="media/image274.png"/><Relationship Id="rId355" Type="http://schemas.openxmlformats.org/officeDocument/2006/relationships/footer" Target="footer21.xml"/><Relationship Id="rId356" Type="http://schemas.openxmlformats.org/officeDocument/2006/relationships/image" Target="media/image275.png"/><Relationship Id="rId357" Type="http://schemas.openxmlformats.org/officeDocument/2006/relationships/image" Target="media/image276.png"/><Relationship Id="rId358" Type="http://schemas.openxmlformats.org/officeDocument/2006/relationships/image" Target="media/image277.png"/><Relationship Id="rId359" Type="http://schemas.openxmlformats.org/officeDocument/2006/relationships/image" Target="media/image278.png"/><Relationship Id="rId360" Type="http://schemas.openxmlformats.org/officeDocument/2006/relationships/image" Target="media/image279.png"/><Relationship Id="rId361" Type="http://schemas.openxmlformats.org/officeDocument/2006/relationships/footer" Target="footer22.xml"/><Relationship Id="rId362" Type="http://schemas.openxmlformats.org/officeDocument/2006/relationships/hyperlink" Target="mailto:srebollarr@uaemex.mx" TargetMode="External"/><Relationship Id="rId363" Type="http://schemas.openxmlformats.org/officeDocument/2006/relationships/image" Target="media/image280.png"/><Relationship Id="rId364" Type="http://schemas.openxmlformats.org/officeDocument/2006/relationships/image" Target="media/image281.png"/><Relationship Id="rId365" Type="http://schemas.openxmlformats.org/officeDocument/2006/relationships/image" Target="media/image282.png"/><Relationship Id="rId366" Type="http://schemas.openxmlformats.org/officeDocument/2006/relationships/image" Target="media/image283.png"/><Relationship Id="rId367" Type="http://schemas.openxmlformats.org/officeDocument/2006/relationships/image" Target="media/image284.png"/><Relationship Id="rId368" Type="http://schemas.openxmlformats.org/officeDocument/2006/relationships/image" Target="media/image285.png"/><Relationship Id="rId369" Type="http://schemas.openxmlformats.org/officeDocument/2006/relationships/image" Target="media/image286.png"/><Relationship Id="rId370" Type="http://schemas.openxmlformats.org/officeDocument/2006/relationships/image" Target="media/image287.png"/><Relationship Id="rId371" Type="http://schemas.openxmlformats.org/officeDocument/2006/relationships/image" Target="media/image288.png"/><Relationship Id="rId372" Type="http://schemas.openxmlformats.org/officeDocument/2006/relationships/image" Target="media/image289.png"/><Relationship Id="rId373" Type="http://schemas.openxmlformats.org/officeDocument/2006/relationships/image" Target="media/image290.png"/><Relationship Id="rId374" Type="http://schemas.openxmlformats.org/officeDocument/2006/relationships/image" Target="media/image291.png"/><Relationship Id="rId375" Type="http://schemas.openxmlformats.org/officeDocument/2006/relationships/image" Target="media/image292.png"/><Relationship Id="rId376" Type="http://schemas.openxmlformats.org/officeDocument/2006/relationships/image" Target="media/image293.png"/><Relationship Id="rId377" Type="http://schemas.openxmlformats.org/officeDocument/2006/relationships/hyperlink" Target="http://faostat.fao.org/site/573/default.aspx#ancor" TargetMode="External"/><Relationship Id="rId378" Type="http://schemas.openxmlformats.org/officeDocument/2006/relationships/hyperlink" Target="http://www.uco.es/zootecniaygestion/img/pictorex/" TargetMode="External"/><Relationship Id="rId379" Type="http://schemas.openxmlformats.org/officeDocument/2006/relationships/footer" Target="footer23.xml"/><Relationship Id="rId380" Type="http://schemas.openxmlformats.org/officeDocument/2006/relationships/hyperlink" Target="http://www.edomex.gob.mx/" TargetMode="External"/><Relationship Id="rId381" Type="http://schemas.openxmlformats.org/officeDocument/2006/relationships/hyperlink" Target="http://www.campomexicano.gob.mx/" TargetMode="External"/><Relationship Id="rId382" Type="http://schemas.openxmlformats.org/officeDocument/2006/relationships/hyperlink" Target="mailto:dval_@hotmail.com" TargetMode="External"/><Relationship Id="rId383" Type="http://schemas.openxmlformats.org/officeDocument/2006/relationships/hyperlink" Target="http://www.lrrd.org/lrrd19/6/avil19073.htm" TargetMode="External"/><Relationship Id="rId384" Type="http://schemas.openxmlformats.org/officeDocument/2006/relationships/hyperlink" Target="http://www.oeidrus-bcs.gob.mx/Info_dependencias/INIFAP/" TargetMode="External"/><Relationship Id="rId385" Type="http://schemas.openxmlformats.org/officeDocument/2006/relationships/footer" Target="footer24.xml"/><Relationship Id="rId386" Type="http://schemas.openxmlformats.org/officeDocument/2006/relationships/hyperlink" Target="http://www.smallstock.info/reseeach/report/R6730/PFM-" TargetMode="External"/><Relationship Id="rId387" Type="http://schemas.openxmlformats.org/officeDocument/2006/relationships/hyperlink" Target="http://www.cuatitlan.unam.mx/" TargetMode="External"/><Relationship Id="rId388" Type="http://schemas.openxmlformats.org/officeDocument/2006/relationships/hyperlink" Target="mailto:fernestom@yahoo.com.mx" TargetMode="External"/><Relationship Id="rId389" Type="http://schemas.openxmlformats.org/officeDocument/2006/relationships/hyperlink" Target="http://www.Coneval.gob.mx/" TargetMode="External"/><Relationship Id="rId390" Type="http://schemas.openxmlformats.org/officeDocument/2006/relationships/hyperlink" Target="mailto:enresaya1@hotmail.com" TargetMode="External"/><Relationship Id="rId391" Type="http://schemas.openxmlformats.org/officeDocument/2006/relationships/image" Target="media/image294.png"/><Relationship Id="rId392" Type="http://schemas.openxmlformats.org/officeDocument/2006/relationships/image" Target="media/image295.png"/><Relationship Id="rId393" Type="http://schemas.openxmlformats.org/officeDocument/2006/relationships/hyperlink" Target="http://www.coneval.gob.mx/" TargetMode="External"/><Relationship Id="rId394" Type="http://schemas.openxmlformats.org/officeDocument/2006/relationships/footer" Target="footer25.xml"/><Relationship Id="rId395" Type="http://schemas.openxmlformats.org/officeDocument/2006/relationships/hyperlink" Target="http://www.fao.org/faostata" TargetMode="External"/><Relationship Id="rId396" Type="http://schemas.openxmlformats.org/officeDocument/2006/relationships/hyperlink" Target="http://www.sagarpa.gob.mx/" TargetMode="External"/><Relationship Id="rId397" Type="http://schemas.openxmlformats.org/officeDocument/2006/relationships/hyperlink" Target="mailto:iga@uaemex.mx" TargetMode="External"/><Relationship Id="rId398" Type="http://schemas.openxmlformats.org/officeDocument/2006/relationships/hyperlink" Target="http://www.fao.org/fishery/" TargetMode="External"/><Relationship Id="rId399" Type="http://schemas.openxmlformats.org/officeDocument/2006/relationships/footer" Target="footer26.xml"/><Relationship Id="rId40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2017-05-26T01:08:29Z</dcterms:created>
  <dcterms:modified xsi:type="dcterms:W3CDTF">2017-05-26T01:08:29Z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2014-06-18T00:00:00Z</vt:filetime>
  </property>
  <property fmtid="{D5CDD505-2E9C-101B-9397-08002B2CF9AE}" pid="3" name="Creator">
    <vt:lpwstr>Adobe InDesign CS6 (Macintosh)</vt:lpwstr>
  </property>
  <property fmtid="{D5CDD505-2E9C-101B-9397-08002B2CF9AE}" pid="4" name="LastSaved">
    <vt:filetime>2017-05-25T00:00:00Z</vt:filetime>
  </property>
</Properties>
</file>